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7BC51A">
      <w:pPr>
        <w:spacing w:line="520" w:lineRule="exact"/>
        <w:jc w:val="center"/>
        <w:rPr>
          <w:rFonts w:ascii="宋体"/>
          <w:b/>
          <w:color w:val="000000" w:themeColor="text1"/>
          <w:sz w:val="44"/>
          <w:szCs w:val="44"/>
          <w:highlight w:val="none"/>
          <w14:textFill>
            <w14:solidFill>
              <w14:schemeClr w14:val="tx1"/>
            </w14:solidFill>
          </w14:textFill>
        </w:rPr>
      </w:pPr>
    </w:p>
    <w:p w14:paraId="6654ABD8">
      <w:pPr>
        <w:spacing w:line="520" w:lineRule="exact"/>
        <w:jc w:val="center"/>
        <w:rPr>
          <w:rFonts w:ascii="宋体"/>
          <w:b/>
          <w:color w:val="000000" w:themeColor="text1"/>
          <w:sz w:val="44"/>
          <w:szCs w:val="44"/>
          <w:highlight w:val="none"/>
          <w14:textFill>
            <w14:solidFill>
              <w14:schemeClr w14:val="tx1"/>
            </w14:solidFill>
          </w14:textFill>
        </w:rPr>
      </w:pPr>
    </w:p>
    <w:p w14:paraId="64D29931">
      <w:pPr>
        <w:spacing w:line="520" w:lineRule="exact"/>
        <w:jc w:val="center"/>
        <w:rPr>
          <w:rFonts w:ascii="宋体"/>
          <w:b/>
          <w:bCs/>
          <w:color w:val="000000" w:themeColor="text1"/>
          <w:sz w:val="44"/>
          <w:szCs w:val="44"/>
          <w:highlight w:val="none"/>
          <w14:textFill>
            <w14:solidFill>
              <w14:schemeClr w14:val="tx1"/>
            </w14:solidFill>
          </w14:textFill>
        </w:rPr>
      </w:pPr>
      <w:r>
        <w:rPr>
          <w:rFonts w:hint="eastAsia" w:ascii="仿宋_GB2312" w:hAnsi="仿宋_GB2312" w:eastAsia="仿宋_GB2312" w:cs="仿宋_GB2312"/>
          <w:b/>
          <w:bCs/>
          <w:color w:val="000000" w:themeColor="text1"/>
          <w:sz w:val="44"/>
          <w:szCs w:val="44"/>
          <w:highlight w:val="none"/>
          <w14:textFill>
            <w14:solidFill>
              <w14:schemeClr w14:val="tx1"/>
            </w14:solidFill>
          </w14:textFill>
        </w:rPr>
        <w:t>土 地 估 价 报 告</w:t>
      </w:r>
    </w:p>
    <w:p w14:paraId="76422A75">
      <w:pPr>
        <w:spacing w:line="520" w:lineRule="exact"/>
        <w:rPr>
          <w:color w:val="000000" w:themeColor="text1"/>
          <w:sz w:val="32"/>
          <w:highlight w:val="none"/>
          <w14:textFill>
            <w14:solidFill>
              <w14:schemeClr w14:val="tx1"/>
            </w14:solidFill>
          </w14:textFill>
        </w:rPr>
      </w:pPr>
    </w:p>
    <w:p w14:paraId="5BC0D033">
      <w:pPr>
        <w:spacing w:line="520" w:lineRule="exact"/>
        <w:rPr>
          <w:color w:val="000000" w:themeColor="text1"/>
          <w:sz w:val="32"/>
          <w:highlight w:val="none"/>
          <w14:textFill>
            <w14:solidFill>
              <w14:schemeClr w14:val="tx1"/>
            </w14:solidFill>
          </w14:textFill>
        </w:rPr>
      </w:pPr>
    </w:p>
    <w:p w14:paraId="6F2FBCBF">
      <w:pPr>
        <w:spacing w:line="520" w:lineRule="exact"/>
        <w:rPr>
          <w:color w:val="000000" w:themeColor="text1"/>
          <w:sz w:val="32"/>
          <w:highlight w:val="none"/>
          <w14:textFill>
            <w14:solidFill>
              <w14:schemeClr w14:val="tx1"/>
            </w14:solidFill>
          </w14:textFill>
        </w:rPr>
      </w:pPr>
    </w:p>
    <w:tbl>
      <w:tblPr>
        <w:tblStyle w:val="9"/>
        <w:tblW w:w="9560" w:type="dxa"/>
        <w:jc w:val="center"/>
        <w:tblLayout w:type="fixed"/>
        <w:tblCellMar>
          <w:top w:w="0" w:type="dxa"/>
          <w:left w:w="108" w:type="dxa"/>
          <w:bottom w:w="0" w:type="dxa"/>
          <w:right w:w="108" w:type="dxa"/>
        </w:tblCellMar>
      </w:tblPr>
      <w:tblGrid>
        <w:gridCol w:w="3364"/>
        <w:gridCol w:w="6196"/>
      </w:tblGrid>
      <w:tr w14:paraId="189AF926">
        <w:trPr>
          <w:trHeight w:val="1410" w:hRule="atLeast"/>
          <w:jc w:val="center"/>
        </w:trPr>
        <w:tc>
          <w:tcPr>
            <w:tcW w:w="3364" w:type="dxa"/>
            <w:vAlign w:val="center"/>
          </w:tcPr>
          <w:p w14:paraId="7922849E">
            <w:pPr>
              <w:pStyle w:val="6"/>
              <w:keepNext w:val="0"/>
              <w:keepLines w:val="0"/>
              <w:suppressLineNumbers w:val="0"/>
              <w:tabs>
                <w:tab w:val="left" w:pos="468"/>
                <w:tab w:val="left" w:pos="2340"/>
              </w:tabs>
              <w:adjustRightInd w:val="0"/>
              <w:snapToGrid w:val="0"/>
              <w:spacing w:before="0" w:beforeAutospacing="0" w:after="0" w:afterAutospacing="0" w:line="0" w:lineRule="atLeast"/>
              <w:ind w:left="1739" w:right="-78" w:rightChars="-37" w:hanging="1739" w:hangingChars="498"/>
              <w:rPr>
                <w:rFonts w:ascii="楷体" w:hAnsi="楷体" w:eastAsia="楷体"/>
                <w:b/>
                <w:bCs/>
                <w:color w:val="000000" w:themeColor="text1"/>
                <w:spacing w:val="14"/>
                <w:sz w:val="32"/>
                <w:szCs w:val="32"/>
                <w:highlight w:val="none"/>
                <w14:textFill>
                  <w14:solidFill>
                    <w14:schemeClr w14:val="tx1"/>
                  </w14:solidFill>
                </w14:textFill>
              </w:rPr>
            </w:pPr>
            <w:r>
              <w:rPr>
                <w:rFonts w:ascii="仿宋_GB2312" w:hAnsi="仿宋_GB2312" w:eastAsia="仿宋_GB2312" w:cs="仿宋_GB2312"/>
                <w:b/>
                <w:bCs/>
                <w:color w:val="000000" w:themeColor="text1"/>
                <w:spacing w:val="14"/>
                <w:sz w:val="32"/>
                <w:szCs w:val="32"/>
                <w:highlight w:val="none"/>
                <w14:textFill>
                  <w14:solidFill>
                    <w14:schemeClr w14:val="tx1"/>
                  </w14:solidFill>
                </w14:textFill>
              </w:rPr>
              <w:t>项</w:t>
            </w:r>
            <w:r>
              <w:rPr>
                <w:rFonts w:hint="eastAsia" w:ascii="仿宋_GB2312" w:hAnsi="仿宋_GB2312" w:eastAsia="仿宋_GB2312" w:cs="仿宋_GB2312"/>
                <w:b/>
                <w:bCs/>
                <w:color w:val="000000" w:themeColor="text1"/>
                <w:spacing w:val="14"/>
                <w:sz w:val="32"/>
                <w:szCs w:val="32"/>
                <w:highlight w:val="none"/>
                <w14:textFill>
                  <w14:solidFill>
                    <w14:schemeClr w14:val="tx1"/>
                  </w14:solidFill>
                </w14:textFill>
              </w:rPr>
              <w:t xml:space="preserve">  </w:t>
            </w:r>
            <w:r>
              <w:rPr>
                <w:rFonts w:ascii="仿宋_GB2312" w:hAnsi="仿宋_GB2312" w:eastAsia="仿宋_GB2312" w:cs="仿宋_GB2312"/>
                <w:b/>
                <w:bCs/>
                <w:color w:val="000000" w:themeColor="text1"/>
                <w:spacing w:val="14"/>
                <w:sz w:val="32"/>
                <w:szCs w:val="32"/>
                <w:highlight w:val="none"/>
                <w14:textFill>
                  <w14:solidFill>
                    <w14:schemeClr w14:val="tx1"/>
                  </w14:solidFill>
                </w14:textFill>
              </w:rPr>
              <w:t>目</w:t>
            </w:r>
            <w:r>
              <w:rPr>
                <w:rFonts w:hint="eastAsia" w:ascii="仿宋_GB2312" w:hAnsi="仿宋_GB2312" w:eastAsia="仿宋_GB2312" w:cs="仿宋_GB2312"/>
                <w:b/>
                <w:bCs/>
                <w:color w:val="000000" w:themeColor="text1"/>
                <w:spacing w:val="14"/>
                <w:sz w:val="32"/>
                <w:szCs w:val="32"/>
                <w:highlight w:val="none"/>
                <w14:textFill>
                  <w14:solidFill>
                    <w14:schemeClr w14:val="tx1"/>
                  </w14:solidFill>
                </w14:textFill>
              </w:rPr>
              <w:t xml:space="preserve">   </w:t>
            </w:r>
            <w:r>
              <w:rPr>
                <w:rFonts w:ascii="仿宋_GB2312" w:hAnsi="仿宋_GB2312" w:eastAsia="仿宋_GB2312" w:cs="仿宋_GB2312"/>
                <w:b/>
                <w:bCs/>
                <w:color w:val="000000" w:themeColor="text1"/>
                <w:spacing w:val="14"/>
                <w:sz w:val="32"/>
                <w:szCs w:val="32"/>
                <w:highlight w:val="none"/>
                <w14:textFill>
                  <w14:solidFill>
                    <w14:schemeClr w14:val="tx1"/>
                  </w14:solidFill>
                </w14:textFill>
              </w:rPr>
              <w:t>名</w:t>
            </w:r>
            <w:r>
              <w:rPr>
                <w:rFonts w:hint="eastAsia" w:ascii="仿宋_GB2312" w:hAnsi="仿宋_GB2312" w:eastAsia="仿宋_GB2312" w:cs="仿宋_GB2312"/>
                <w:b/>
                <w:bCs/>
                <w:color w:val="000000" w:themeColor="text1"/>
                <w:spacing w:val="14"/>
                <w:sz w:val="32"/>
                <w:szCs w:val="32"/>
                <w:highlight w:val="none"/>
                <w14:textFill>
                  <w14:solidFill>
                    <w14:schemeClr w14:val="tx1"/>
                  </w14:solidFill>
                </w14:textFill>
              </w:rPr>
              <w:t xml:space="preserve">  </w:t>
            </w:r>
            <w:r>
              <w:rPr>
                <w:rFonts w:ascii="仿宋_GB2312" w:hAnsi="仿宋_GB2312" w:eastAsia="仿宋_GB2312" w:cs="仿宋_GB2312"/>
                <w:b/>
                <w:bCs/>
                <w:color w:val="000000" w:themeColor="text1"/>
                <w:spacing w:val="14"/>
                <w:sz w:val="32"/>
                <w:szCs w:val="32"/>
                <w:highlight w:val="none"/>
                <w14:textFill>
                  <w14:solidFill>
                    <w14:schemeClr w14:val="tx1"/>
                  </w14:solidFill>
                </w14:textFill>
              </w:rPr>
              <w:t>称：</w:t>
            </w:r>
          </w:p>
        </w:tc>
        <w:tc>
          <w:tcPr>
            <w:tcW w:w="6196" w:type="dxa"/>
            <w:vAlign w:val="center"/>
          </w:tcPr>
          <w:p w14:paraId="574CB272">
            <w:pPr>
              <w:pStyle w:val="6"/>
              <w:keepNext w:val="0"/>
              <w:keepLines w:val="0"/>
              <w:suppressLineNumbers w:val="0"/>
              <w:tabs>
                <w:tab w:val="left" w:pos="0"/>
                <w:tab w:val="left" w:pos="2340"/>
              </w:tabs>
              <w:adjustRightInd w:val="0"/>
              <w:snapToGrid w:val="0"/>
              <w:spacing w:before="0" w:beforeAutospacing="0" w:after="0" w:afterAutospacing="0" w:line="0" w:lineRule="atLeast"/>
              <w:ind w:left="2" w:right="0" w:hanging="2"/>
              <w:rPr>
                <w:rFonts w:hint="eastAsia" w:ascii="楷体" w:hAnsi="楷体" w:eastAsia="楷体"/>
                <w:color w:val="000000" w:themeColor="text1"/>
                <w:spacing w:val="14"/>
                <w:sz w:val="32"/>
                <w:szCs w:val="32"/>
                <w:highlight w:val="none"/>
                <w:lang w:eastAsia="zh-CN"/>
                <w14:textFill>
                  <w14:solidFill>
                    <w14:schemeClr w14:val="tx1"/>
                  </w14:solidFill>
                </w14:textFill>
              </w:rPr>
            </w:pPr>
            <w:r>
              <w:t>通道侗族自治县自然资源局拟挂牌出让涉及位于通道县双江镇城南街的一宗城镇住宅用地国有建设用地使用权 market 价格评估</w:t>
            </w:r>
          </w:p>
        </w:tc>
      </w:tr>
      <w:tr w14:paraId="08884643">
        <w:tblPrEx>
          <w:tblCellMar>
            <w:top w:w="0" w:type="dxa"/>
            <w:left w:w="108" w:type="dxa"/>
            <w:bottom w:w="0" w:type="dxa"/>
            <w:right w:w="108" w:type="dxa"/>
          </w:tblCellMar>
        </w:tblPrEx>
        <w:trPr>
          <w:trHeight w:val="1134" w:hRule="atLeast"/>
          <w:jc w:val="center"/>
        </w:trPr>
        <w:tc>
          <w:tcPr>
            <w:tcW w:w="3364" w:type="dxa"/>
            <w:vAlign w:val="center"/>
          </w:tcPr>
          <w:p w14:paraId="6713592C">
            <w:pPr>
              <w:pStyle w:val="6"/>
              <w:keepNext w:val="0"/>
              <w:keepLines w:val="0"/>
              <w:suppressLineNumbers w:val="0"/>
              <w:tabs>
                <w:tab w:val="left" w:pos="468"/>
                <w:tab w:val="left" w:pos="2340"/>
              </w:tabs>
              <w:adjustRightInd w:val="0"/>
              <w:snapToGrid w:val="0"/>
              <w:spacing w:before="0" w:beforeAutospacing="0" w:after="0" w:afterAutospacing="0" w:line="0" w:lineRule="atLeast"/>
              <w:ind w:left="1739"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仿宋_GB2312" w:hAnsi="仿宋_GB2312" w:eastAsia="仿宋_GB2312" w:cs="仿宋_GB2312"/>
                <w:b/>
                <w:bCs/>
                <w:color w:val="000000" w:themeColor="text1"/>
                <w:spacing w:val="14"/>
                <w:sz w:val="32"/>
                <w:szCs w:val="32"/>
                <w:highlight w:val="none"/>
                <w14:textFill>
                  <w14:solidFill>
                    <w14:schemeClr w14:val="tx1"/>
                  </w14:solidFill>
                </w14:textFill>
              </w:rPr>
              <w:t>受托估价单位：</w:t>
            </w:r>
          </w:p>
        </w:tc>
        <w:tc>
          <w:tcPr>
            <w:tcW w:w="6196" w:type="dxa"/>
            <w:vAlign w:val="center"/>
          </w:tcPr>
          <w:p w14:paraId="55C85EB9">
            <w:pPr>
              <w:pStyle w:val="6"/>
              <w:keepNext w:val="0"/>
              <w:keepLines w:val="0"/>
              <w:suppressLineNumbers w:val="0"/>
              <w:tabs>
                <w:tab w:val="left" w:pos="0"/>
                <w:tab w:val="left" w:pos="2340"/>
              </w:tabs>
              <w:adjustRightInd w:val="0"/>
              <w:snapToGrid w:val="0"/>
              <w:spacing w:before="0" w:beforeAutospacing="0" w:after="0" w:afterAutospacing="0" w:line="0" w:lineRule="atLeast"/>
              <w:ind w:left="-6" w:leftChars="-3" w:right="0"/>
              <w:jc w:val="left"/>
              <w:rPr>
                <w:rFonts w:ascii="楷体" w:hAnsi="楷体" w:eastAsia="楷体"/>
                <w:color w:val="000000" w:themeColor="text1"/>
                <w:spacing w:val="14"/>
                <w:sz w:val="32"/>
                <w:szCs w:val="32"/>
                <w:highlight w:val="none"/>
                <w14:textFill>
                  <w14:solidFill>
                    <w14:schemeClr w14:val="tx1"/>
                  </w14:solidFill>
                </w14:textFill>
              </w:rPr>
            </w:pPr>
            <w:r>
              <w:rPr>
                <w:rFonts w:hint="eastAsia" w:ascii="仿宋_GB2312" w:hAnsi="仿宋_GB2312" w:eastAsia="仿宋_GB2312" w:cs="仿宋_GB2312"/>
                <w:color w:val="000000" w:themeColor="text1"/>
                <w:spacing w:val="14"/>
                <w:sz w:val="32"/>
                <w:szCs w:val="32"/>
                <w:highlight w:val="none"/>
                <w14:textFill>
                  <w14:solidFill>
                    <w14:schemeClr w14:val="tx1"/>
                  </w14:solidFill>
                </w14:textFill>
              </w:rPr>
              <w:t>湖南兆财不动产规划评估有限公司</w:t>
            </w:r>
          </w:p>
        </w:tc>
      </w:tr>
      <w:tr w14:paraId="011EDA8E">
        <w:tblPrEx>
          <w:tblCellMar>
            <w:top w:w="0" w:type="dxa"/>
            <w:left w:w="108" w:type="dxa"/>
            <w:bottom w:w="0" w:type="dxa"/>
            <w:right w:w="108" w:type="dxa"/>
          </w:tblCellMar>
        </w:tblPrEx>
        <w:trPr>
          <w:trHeight w:val="1134" w:hRule="atLeast"/>
          <w:jc w:val="center"/>
        </w:trPr>
        <w:tc>
          <w:tcPr>
            <w:tcW w:w="3364" w:type="dxa"/>
            <w:vAlign w:val="center"/>
          </w:tcPr>
          <w:p w14:paraId="742A7F66">
            <w:pPr>
              <w:pStyle w:val="6"/>
              <w:keepNext w:val="0"/>
              <w:keepLines w:val="0"/>
              <w:suppressLineNumbers w:val="0"/>
              <w:tabs>
                <w:tab w:val="left" w:pos="2235"/>
                <w:tab w:val="left" w:pos="2340"/>
              </w:tabs>
              <w:adjustRightInd w:val="0"/>
              <w:snapToGrid w:val="0"/>
              <w:spacing w:before="0" w:beforeAutospacing="0" w:after="0" w:afterAutospacing="0" w:line="0" w:lineRule="atLeast"/>
              <w:ind w:left="1739"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仿宋_GB2312" w:hAnsi="仿宋_GB2312" w:eastAsia="仿宋_GB2312" w:cs="仿宋_GB2312"/>
                <w:b/>
                <w:bCs/>
                <w:color w:val="000000" w:themeColor="text1"/>
                <w:spacing w:val="14"/>
                <w:sz w:val="32"/>
                <w:szCs w:val="32"/>
                <w:highlight w:val="none"/>
                <w14:textFill>
                  <w14:solidFill>
                    <w14:schemeClr w14:val="tx1"/>
                  </w14:solidFill>
                </w14:textFill>
              </w:rPr>
              <w:t>土地估价报告编号：</w:t>
            </w:r>
          </w:p>
        </w:tc>
        <w:tc>
          <w:tcPr>
            <w:tcW w:w="6196" w:type="dxa"/>
            <w:vAlign w:val="center"/>
          </w:tcPr>
          <w:p w14:paraId="770D2DD8">
            <w:pPr>
              <w:pStyle w:val="6"/>
              <w:keepNext w:val="0"/>
              <w:keepLines w:val="0"/>
              <w:suppressLineNumbers w:val="0"/>
              <w:tabs>
                <w:tab w:val="left" w:pos="0"/>
                <w:tab w:val="left" w:pos="2340"/>
              </w:tabs>
              <w:adjustRightInd w:val="0"/>
              <w:snapToGrid w:val="0"/>
              <w:spacing w:before="0" w:beforeAutospacing="0" w:after="0" w:afterAutospacing="0" w:line="0" w:lineRule="atLeast"/>
              <w:ind w:left="0" w:right="0"/>
              <w:jc w:val="left"/>
              <w:rPr>
                <w:rFonts w:hint="eastAsia" w:ascii="楷体" w:hAnsi="楷体" w:eastAsia="楷体"/>
                <w:color w:val="000000" w:themeColor="text1"/>
                <w:spacing w:val="14"/>
                <w:sz w:val="32"/>
                <w:szCs w:val="32"/>
                <w:highlight w:val="none"/>
                <w:lang w:eastAsia="zh-CN"/>
                <w14:textFill>
                  <w14:solidFill>
                    <w14:schemeClr w14:val="tx1"/>
                  </w14:solidFill>
                </w14:textFill>
              </w:rPr>
            </w:pPr>
            <w:r>
              <w:rPr>
                <w:rFonts w:hint="eastAsia" w:ascii="仿宋_GB2312" w:hAnsi="仿宋_GB2312" w:eastAsia="仿宋_GB2312" w:cs="仿宋_GB2312"/>
                <w:color w:val="000000" w:themeColor="text1"/>
                <w:spacing w:val="14"/>
                <w:sz w:val="32"/>
                <w:szCs w:val="32"/>
                <w:highlight w:val="none"/>
                <w:lang w:eastAsia="zh-CN"/>
                <w14:textFill>
                  <w14:solidFill>
                    <w14:schemeClr w14:val="tx1"/>
                  </w14:solidFill>
                </w14:textFill>
              </w:rPr>
              <w:t>（湖南）湘兆财土地[2026]（估）字第ZC0005号</w:t>
            </w:r>
          </w:p>
        </w:tc>
      </w:tr>
      <w:tr w14:paraId="06059496">
        <w:tblPrEx>
          <w:tblCellMar>
            <w:top w:w="0" w:type="dxa"/>
            <w:left w:w="108" w:type="dxa"/>
            <w:bottom w:w="0" w:type="dxa"/>
            <w:right w:w="108" w:type="dxa"/>
          </w:tblCellMar>
        </w:tblPrEx>
        <w:trPr>
          <w:trHeight w:val="1134" w:hRule="atLeast"/>
          <w:jc w:val="center"/>
        </w:trPr>
        <w:tc>
          <w:tcPr>
            <w:tcW w:w="3364" w:type="dxa"/>
            <w:vAlign w:val="center"/>
          </w:tcPr>
          <w:p w14:paraId="7549ABCC">
            <w:pPr>
              <w:pStyle w:val="6"/>
              <w:keepNext w:val="0"/>
              <w:keepLines w:val="0"/>
              <w:suppressLineNumbers w:val="0"/>
              <w:tabs>
                <w:tab w:val="left" w:pos="2235"/>
                <w:tab w:val="left" w:pos="2340"/>
              </w:tabs>
              <w:adjustRightInd w:val="0"/>
              <w:snapToGrid w:val="0"/>
              <w:spacing w:before="0" w:beforeAutospacing="0" w:after="0" w:afterAutospacing="0" w:line="0" w:lineRule="atLeast"/>
              <w:ind w:left="0" w:right="-78" w:rightChars="-37"/>
              <w:jc w:val="left"/>
              <w:rPr>
                <w:rFonts w:ascii="楷体" w:hAnsi="楷体" w:eastAsia="楷体" w:cs="Times New Roman"/>
                <w:b/>
                <w:bCs/>
                <w:color w:val="000000" w:themeColor="text1"/>
                <w:spacing w:val="14"/>
                <w:kern w:val="2"/>
                <w:sz w:val="32"/>
                <w:szCs w:val="32"/>
                <w:highlight w:val="none"/>
                <w:lang w:val="en-US" w:eastAsia="zh-CN" w:bidi="ar-SA"/>
                <w14:textFill>
                  <w14:solidFill>
                    <w14:schemeClr w14:val="tx1"/>
                  </w14:solidFill>
                </w14:textFill>
              </w:rPr>
            </w:pPr>
            <w:r>
              <w:rPr>
                <w:rFonts w:hint="eastAsia" w:ascii="仿宋_GB2312" w:hAnsi="仿宋_GB2312" w:eastAsia="仿宋_GB2312" w:cs="仿宋_GB2312"/>
                <w:b/>
                <w:bCs/>
                <w:color w:val="000000" w:themeColor="text1"/>
                <w:spacing w:val="14"/>
                <w:sz w:val="32"/>
                <w:szCs w:val="32"/>
                <w:highlight w:val="none"/>
                <w14:textFill>
                  <w14:solidFill>
                    <w14:schemeClr w14:val="tx1"/>
                  </w14:solidFill>
                </w14:textFill>
              </w:rPr>
              <w:t>电 子 备 案 编 号：</w:t>
            </w:r>
          </w:p>
        </w:tc>
        <w:tc>
          <w:tcPr>
            <w:tcW w:w="6196" w:type="dxa"/>
            <w:vAlign w:val="center"/>
          </w:tcPr>
          <w:p w14:paraId="5B193721">
            <w:pPr>
              <w:pStyle w:val="6"/>
              <w:keepNext w:val="0"/>
              <w:keepLines w:val="0"/>
              <w:suppressLineNumbers w:val="0"/>
              <w:tabs>
                <w:tab w:val="left" w:pos="0"/>
                <w:tab w:val="left" w:pos="2340"/>
                <w:tab w:val="left" w:pos="2745"/>
                <w:tab w:val="left" w:pos="3030"/>
                <w:tab w:val="left" w:pos="3180"/>
              </w:tabs>
              <w:adjustRightInd w:val="0"/>
              <w:snapToGrid w:val="0"/>
              <w:spacing w:before="0" w:beforeAutospacing="0" w:after="0" w:afterAutospacing="0" w:line="0" w:lineRule="atLeast"/>
              <w:ind w:left="0" w:right="0"/>
              <w:jc w:val="left"/>
              <w:rPr>
                <w:rFonts w:hint="default" w:ascii="楷体" w:hAnsi="楷体" w:eastAsia="楷体" w:cs="Times New Roman"/>
                <w:color w:val="000000" w:themeColor="text1"/>
                <w:spacing w:val="14"/>
                <w:kern w:val="2"/>
                <w:sz w:val="32"/>
                <w:szCs w:val="32"/>
                <w:highlight w:val="none"/>
                <w:lang w:val="en-US" w:eastAsia="zh-CN" w:bidi="ar-SA"/>
                <w14:textFill>
                  <w14:solidFill>
                    <w14:schemeClr w14:val="tx1"/>
                  </w14:solidFill>
                </w14:textFill>
              </w:rPr>
            </w:pPr>
            <w:r>
              <w:rPr>
                <w:rFonts w:hint="eastAsia" w:ascii="仿宋_GB2312" w:hAnsi="仿宋_GB2312" w:eastAsia="仿宋_GB2312" w:cs="仿宋_GB2312"/>
                <w:color w:val="000000" w:themeColor="text1"/>
                <w:spacing w:val="14"/>
                <w:kern w:val="2"/>
                <w:sz w:val="32"/>
                <w:szCs w:val="32"/>
                <w:highlight w:val="none"/>
                <w:lang w:val="en-US" w:eastAsia="zh-CN" w:bidi="ar-SA"/>
                <w14:textFill>
                  <w14:solidFill>
                    <w14:schemeClr w14:val="tx1"/>
                  </w14:solidFill>
                </w14:textFill>
              </w:rPr>
              <w:t>详见备案页</w:t>
            </w:r>
          </w:p>
        </w:tc>
      </w:tr>
      <w:tr w14:paraId="28305D6E">
        <w:tblPrEx>
          <w:tblCellMar>
            <w:top w:w="0" w:type="dxa"/>
            <w:left w:w="108" w:type="dxa"/>
            <w:bottom w:w="0" w:type="dxa"/>
            <w:right w:w="108" w:type="dxa"/>
          </w:tblCellMar>
        </w:tblPrEx>
        <w:trPr>
          <w:trHeight w:val="1134" w:hRule="atLeast"/>
          <w:jc w:val="center"/>
        </w:trPr>
        <w:tc>
          <w:tcPr>
            <w:tcW w:w="3364" w:type="dxa"/>
            <w:vAlign w:val="center"/>
          </w:tcPr>
          <w:p w14:paraId="42D8D802">
            <w:pPr>
              <w:pStyle w:val="6"/>
              <w:keepNext w:val="0"/>
              <w:keepLines w:val="0"/>
              <w:suppressLineNumbers w:val="0"/>
              <w:tabs>
                <w:tab w:val="left" w:pos="2235"/>
                <w:tab w:val="left" w:pos="2340"/>
              </w:tabs>
              <w:adjustRightInd w:val="0"/>
              <w:snapToGrid w:val="0"/>
              <w:spacing w:before="0" w:beforeAutospacing="0" w:after="0" w:afterAutospacing="0" w:line="0" w:lineRule="atLeast"/>
              <w:ind w:left="1739" w:right="-78" w:rightChars="-37" w:hanging="1739" w:hangingChars="498"/>
              <w:jc w:val="left"/>
              <w:rPr>
                <w:rFonts w:ascii="楷体" w:hAnsi="楷体" w:eastAsia="楷体"/>
                <w:b/>
                <w:bCs/>
                <w:color w:val="000000" w:themeColor="text1"/>
                <w:spacing w:val="14"/>
                <w:sz w:val="32"/>
                <w:szCs w:val="32"/>
                <w:highlight w:val="none"/>
                <w14:textFill>
                  <w14:solidFill>
                    <w14:schemeClr w14:val="tx1"/>
                  </w14:solidFill>
                </w14:textFill>
              </w:rPr>
            </w:pPr>
            <w:r>
              <w:rPr>
                <w:rFonts w:ascii="仿宋_GB2312" w:hAnsi="仿宋_GB2312" w:eastAsia="仿宋_GB2312" w:cs="仿宋_GB2312"/>
                <w:b/>
                <w:bCs/>
                <w:color w:val="000000" w:themeColor="text1"/>
                <w:spacing w:val="14"/>
                <w:sz w:val="32"/>
                <w:szCs w:val="32"/>
                <w:highlight w:val="none"/>
                <w14:textFill>
                  <w14:solidFill>
                    <w14:schemeClr w14:val="tx1"/>
                  </w14:solidFill>
                </w14:textFill>
              </w:rPr>
              <w:t>提交估价报告日期：</w:t>
            </w:r>
          </w:p>
        </w:tc>
        <w:tc>
          <w:tcPr>
            <w:tcW w:w="6196" w:type="dxa"/>
            <w:vAlign w:val="center"/>
          </w:tcPr>
          <w:p w14:paraId="42FEE57D">
            <w:pPr>
              <w:pStyle w:val="6"/>
              <w:keepNext w:val="0"/>
              <w:keepLines w:val="0"/>
              <w:suppressLineNumbers w:val="0"/>
              <w:tabs>
                <w:tab w:val="left" w:pos="0"/>
                <w:tab w:val="left" w:pos="2340"/>
                <w:tab w:val="left" w:pos="2745"/>
                <w:tab w:val="left" w:pos="3030"/>
                <w:tab w:val="left" w:pos="3180"/>
              </w:tabs>
              <w:adjustRightInd w:val="0"/>
              <w:snapToGrid w:val="0"/>
              <w:spacing w:before="0" w:beforeAutospacing="0" w:after="0" w:afterAutospacing="0" w:line="0" w:lineRule="atLeast"/>
              <w:ind w:left="0" w:right="0"/>
              <w:jc w:val="left"/>
              <w:rPr>
                <w:rFonts w:hint="eastAsia" w:ascii="楷体" w:hAnsi="楷体" w:eastAsia="楷体" w:cs="楷体"/>
                <w:color w:val="000000" w:themeColor="text1"/>
                <w:spacing w:val="-20"/>
                <w:sz w:val="32"/>
                <w:szCs w:val="32"/>
                <w:highlight w:val="none"/>
                <w:lang w:eastAsia="zh-CN"/>
                <w14:textFill>
                  <w14:solidFill>
                    <w14:schemeClr w14:val="tx1"/>
                  </w14:solidFill>
                </w14:textFill>
              </w:rPr>
            </w:pPr>
            <w:r>
              <w:rPr>
                <w:rFonts w:ascii="仿宋_GB2312" w:hAnsi="仿宋_GB2312" w:eastAsia="仿宋_GB2312" w:cs="仿宋_GB2312"/>
                <w:color w:val="000000"/>
                <w:sz w:val="32"/>
              </w:rPr>
              <w:t>2026年05月08日</w:t>
            </w:r>
          </w:p>
        </w:tc>
      </w:tr>
    </w:tbl>
    <w:p w14:paraId="7F67BAAE">
      <w:pPr>
        <w:spacing w:line="520" w:lineRule="exact"/>
        <w:rPr>
          <w:color w:val="000000" w:themeColor="text1"/>
          <w:sz w:val="32"/>
          <w:highlight w:val="none"/>
          <w14:textFill>
            <w14:solidFill>
              <w14:schemeClr w14:val="tx1"/>
            </w14:solidFill>
          </w14:textFill>
        </w:rPr>
      </w:pPr>
    </w:p>
    <w:p w14:paraId="5D1D63C7">
      <w:pPr>
        <w:spacing w:line="520" w:lineRule="exact"/>
        <w:rPr>
          <w:color w:val="000000" w:themeColor="text1"/>
          <w:sz w:val="32"/>
          <w:highlight w:val="none"/>
          <w14:textFill>
            <w14:solidFill>
              <w14:schemeClr w14:val="tx1"/>
            </w14:solidFill>
          </w14:textFill>
        </w:rPr>
      </w:pPr>
    </w:p>
    <w:p w14:paraId="7C4572D0">
      <w:pPr>
        <w:spacing w:line="520" w:lineRule="exact"/>
        <w:rPr>
          <w:color w:val="000000" w:themeColor="text1"/>
          <w:sz w:val="32"/>
          <w:highlight w:val="none"/>
          <w14:textFill>
            <w14:solidFill>
              <w14:schemeClr w14:val="tx1"/>
            </w14:solidFill>
          </w14:textFill>
        </w:rPr>
      </w:pPr>
    </w:p>
    <w:p w14:paraId="424CEEA7">
      <w:pPr>
        <w:spacing w:line="520" w:lineRule="exact"/>
        <w:rPr>
          <w:color w:val="000000" w:themeColor="text1"/>
          <w:sz w:val="32"/>
          <w:highlight w:val="none"/>
          <w14:textFill>
            <w14:solidFill>
              <w14:schemeClr w14:val="tx1"/>
            </w14:solidFill>
          </w14:textFill>
        </w:rPr>
      </w:pPr>
    </w:p>
    <w:p w14:paraId="5F1F0DED">
      <w:pPr>
        <w:spacing w:line="520" w:lineRule="exact"/>
        <w:rPr>
          <w:color w:val="000000" w:themeColor="text1"/>
          <w:sz w:val="32"/>
          <w:highlight w:val="none"/>
          <w14:textFill>
            <w14:solidFill>
              <w14:schemeClr w14:val="tx1"/>
            </w14:solidFill>
          </w14:textFill>
        </w:rPr>
      </w:pPr>
    </w:p>
    <w:p w14:paraId="45A7C87E">
      <w:pPr>
        <w:spacing w:line="360" w:lineRule="auto"/>
        <w:rPr>
          <w:rFonts w:ascii="楷体_GB2312" w:eastAsia="楷体_GB2312"/>
          <w:b/>
          <w:bCs/>
          <w:color w:val="000000" w:themeColor="text1"/>
          <w:sz w:val="32"/>
          <w:highlight w:val="none"/>
          <w14:textFill>
            <w14:solidFill>
              <w14:schemeClr w14:val="tx1"/>
            </w14:solidFill>
          </w14:textFill>
        </w:rPr>
        <w:sectPr>
          <w:headerReference r:id="rId5" w:type="first"/>
          <w:footerReference r:id="rId8" w:type="first"/>
          <w:headerReference r:id="rId3" w:type="default"/>
          <w:footerReference r:id="rId6" w:type="default"/>
          <w:headerReference r:id="rId4" w:type="even"/>
          <w:footerReference r:id="rId7" w:type="even"/>
          <w:endnotePr>
            <w:numFmt w:val="decimal"/>
          </w:endnotePr>
          <w:pgSz w:w="11906" w:h="16838"/>
          <w:pgMar w:top="1440" w:right="1797" w:bottom="1440" w:left="1797" w:header="851" w:footer="992" w:gutter="0"/>
          <w:pgNumType w:fmt="decimal" w:start="1"/>
          <w:cols w:space="720" w:num="1"/>
          <w:titlePg/>
          <w:docGrid w:linePitch="312" w:charSpace="0"/>
        </w:sectPr>
      </w:pPr>
    </w:p>
    <w:p w14:paraId="768E58D4">
      <w:pPr>
        <w:pStyle w:val="12"/>
        <w:keepNext w:val="0"/>
        <w:keepLines w:val="0"/>
        <w:pageBreakBefore w:val="0"/>
        <w:kinsoku/>
        <w:wordWrap/>
        <w:overflowPunct/>
        <w:topLinePunct w:val="0"/>
        <w:autoSpaceDE/>
        <w:autoSpaceDN/>
        <w:bidi w:val="0"/>
        <w:adjustRightInd/>
        <w:snapToGrid w:val="0"/>
        <w:spacing w:line="240" w:lineRule="auto"/>
        <w:outlineLvl w:val="0"/>
        <w:rPr>
          <w:rFonts w:ascii="宋体" w:eastAsia="宋体"/>
          <w:color w:val="000000" w:themeColor="text1"/>
          <w:sz w:val="32"/>
          <w:szCs w:val="32"/>
          <w:highlight w:val="none"/>
          <w14:textFill>
            <w14:solidFill>
              <w14:schemeClr w14:val="tx1"/>
            </w14:solidFill>
          </w14:textFill>
        </w:rPr>
      </w:pPr>
      <w:r>
        <w:rPr>
          <w:rFonts w:hint="eastAsia" w:ascii="仿宋_GB2312" w:hAnsi="仿宋_GB2312" w:eastAsia="仿宋_GB2312" w:cs="仿宋_GB2312"/>
          <w:b/>
          <w:bCs/>
          <w:color w:val="000000" w:themeColor="text1"/>
          <w:sz w:val="32"/>
          <w:szCs w:val="32"/>
          <w:highlight w:val="none"/>
          <w14:textFill>
            <w14:solidFill>
              <w14:schemeClr w14:val="tx1"/>
            </w14:solidFill>
          </w14:textFill>
        </w:rPr>
        <w:t>土 地 估 价 报 告</w:t>
      </w:r>
    </w:p>
    <w:p w14:paraId="0F89BD83">
      <w:pPr>
        <w:pStyle w:val="13"/>
        <w:keepNext w:val="0"/>
        <w:keepLines w:val="0"/>
        <w:pageBreakBefore w:val="0"/>
        <w:kinsoku/>
        <w:wordWrap/>
        <w:overflowPunct/>
        <w:topLinePunct w:val="0"/>
        <w:autoSpaceDE/>
        <w:autoSpaceDN/>
        <w:bidi w:val="0"/>
        <w:adjustRightInd/>
        <w:snapToGrid w:val="0"/>
        <w:spacing w:before="120" w:beforeLines="50" w:after="240" w:afterLines="100" w:line="240" w:lineRule="auto"/>
        <w:ind w:firstLine="0" w:firstLineChars="0"/>
        <w:jc w:val="center"/>
        <w:outlineLvl w:val="0"/>
        <w:rPr>
          <w:rFonts w:ascii="宋体" w:hAnsi="宋体" w:eastAsia="宋体" w:cs="宋体"/>
          <w:b/>
          <w:color w:val="000000" w:themeColor="text1"/>
          <w:sz w:val="32"/>
          <w:szCs w:val="32"/>
          <w:highlight w:val="none"/>
          <w14:textFill>
            <w14:solidFill>
              <w14:schemeClr w14:val="tx1"/>
            </w14:solidFill>
          </w14:textFill>
        </w:rPr>
      </w:pPr>
      <w:r>
        <w:rPr>
          <w:rFonts w:hint="eastAsia" w:ascii="仿宋_GB2312" w:hAnsi="仿宋_GB2312" w:eastAsia="仿宋_GB2312" w:cs="仿宋_GB2312"/>
          <w:b/>
          <w:color w:val="000000" w:themeColor="text1"/>
          <w:sz w:val="32"/>
          <w:szCs w:val="32"/>
          <w:highlight w:val="none"/>
          <w14:textFill>
            <w14:solidFill>
              <w14:schemeClr w14:val="tx1"/>
            </w14:solidFill>
          </w14:textFill>
        </w:rPr>
        <w:t>第一部分  摘要</w:t>
      </w:r>
    </w:p>
    <w:p w14:paraId="7A480F7C">
      <w:pPr>
        <w:keepNext w:val="0"/>
        <w:keepLines w:val="0"/>
        <w:pageBreakBefore w:val="0"/>
        <w:widowControl w:val="0"/>
        <w:kinsoku/>
        <w:wordWrap/>
        <w:overflowPunct/>
        <w:topLinePunct w:val="0"/>
        <w:autoSpaceDE/>
        <w:autoSpaceDN/>
        <w:bidi w:val="0"/>
        <w:spacing w:line="480" w:lineRule="exact"/>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仿宋_GB2312" w:hAnsi="仿宋_GB2312" w:eastAsia="仿宋_GB2312" w:cs="仿宋_GB2312"/>
          <w:b/>
          <w:color w:val="000000" w:themeColor="text1"/>
          <w:sz w:val="28"/>
          <w:szCs w:val="28"/>
          <w:highlight w:val="none"/>
          <w14:textFill>
            <w14:solidFill>
              <w14:schemeClr w14:val="tx1"/>
            </w14:solidFill>
          </w14:textFill>
        </w:rPr>
        <w:t>一、估价项目名称</w:t>
      </w:r>
    </w:p>
    <w:p w14:paraId="3263ECE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color w:val="000000"/>
          <w:sz w:val="28"/>
        </w:rPr>
        <w:t>通道侗族自治县自然资源局拟挂牌出让涉及位于通道县双江镇城南街的一宗城镇住宅用地国有建设用地使用权 market 价格评估</w:t>
      </w:r>
    </w:p>
    <w:p w14:paraId="0AB73ECF">
      <w:pPr>
        <w:keepNext w:val="0"/>
        <w:keepLines w:val="0"/>
        <w:pageBreakBefore w:val="0"/>
        <w:widowControl w:val="0"/>
        <w:kinsoku/>
        <w:wordWrap/>
        <w:overflowPunct/>
        <w:topLinePunct w:val="0"/>
        <w:autoSpaceDE/>
        <w:autoSpaceDN/>
        <w:bidi w:val="0"/>
        <w:spacing w:line="480" w:lineRule="exact"/>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仿宋_GB2312" w:hAnsi="仿宋_GB2312" w:eastAsia="仿宋_GB2312" w:cs="仿宋_GB2312"/>
          <w:b/>
          <w:color w:val="000000" w:themeColor="text1"/>
          <w:sz w:val="28"/>
          <w:szCs w:val="28"/>
          <w:highlight w:val="none"/>
          <w14:textFill>
            <w14:solidFill>
              <w14:schemeClr w14:val="tx1"/>
            </w14:solidFill>
          </w14:textFill>
        </w:rPr>
        <w:t>二、委托估价方</w:t>
      </w:r>
    </w:p>
    <w:p w14:paraId="377B174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r>
        <w:rPr>
          <w:rFonts w:ascii="仿宋_GB2312" w:hAnsi="仿宋_GB2312" w:eastAsia="仿宋_GB2312" w:cs="仿宋_GB2312"/>
          <w:color w:val="000000"/>
          <w:sz w:val="28"/>
        </w:rPr>
        <w:t>通道侗族自治县自然资源局</w:t>
      </w:r>
    </w:p>
    <w:p w14:paraId="5A8AA147">
      <w:pPr>
        <w:keepNext w:val="0"/>
        <w:keepLines w:val="0"/>
        <w:pageBreakBefore w:val="0"/>
        <w:widowControl w:val="0"/>
        <w:kinsoku/>
        <w:wordWrap/>
        <w:overflowPunct/>
        <w:topLinePunct w:val="0"/>
        <w:autoSpaceDE/>
        <w:autoSpaceDN/>
        <w:bidi w:val="0"/>
        <w:spacing w:line="480" w:lineRule="exact"/>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14:textFill>
            <w14:solidFill>
              <w14:schemeClr w14:val="tx1"/>
            </w14:solidFill>
          </w14:textFill>
        </w:rPr>
        <w:t>三、</w:t>
      </w:r>
      <w:r>
        <w:rPr>
          <w:rFonts w:hint="eastAsia" w:ascii="仿宋_GB2312" w:hAnsi="仿宋_GB2312" w:eastAsia="仿宋_GB2312" w:cs="仿宋_GB2312"/>
          <w:b/>
          <w:color w:val="000000" w:themeColor="text1"/>
          <w:sz w:val="28"/>
          <w:szCs w:val="28"/>
          <w:highlight w:val="none"/>
          <w14:textFill>
            <w14:solidFill>
              <w14:schemeClr w14:val="tx1"/>
            </w14:solidFill>
          </w14:textFill>
        </w:rPr>
        <w:t>估价目的</w:t>
      </w:r>
    </w:p>
    <w:p w14:paraId="7ADA032F">
      <w:pPr>
        <w:keepNext w:val="0"/>
        <w:keepLines w:val="0"/>
        <w:pageBreakBefore w:val="0"/>
        <w:widowControl w:val="0"/>
        <w:kinsoku/>
        <w:wordWrap/>
        <w:overflowPunct/>
        <w:topLinePunct w:val="0"/>
        <w:autoSpaceDE/>
        <w:autoSpaceDN/>
        <w:bidi w:val="0"/>
        <w:spacing w:line="480" w:lineRule="exact"/>
        <w:ind w:firstLine="42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t>通道侗族自治县自然资源局拟按《关于通道县2002年第七批次建设用地农用地转用和土地征收的批复》（湘政地〔2002〕1205号，2002年9月5日）、《通道县房屋登记核发权证申请表》（2002年12月30日）确定的规划条件对位于通道县双江镇城南街处一宗住宅用地国有建设用地使用权实施挂牌供应。</w:t>
      </w:r>
    </w:p>
    <w:p w14:paraId="3D67BCC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eastAsia="仿宋_GB2312"/>
          <w:color w:val="000000" w:themeColor="text1"/>
          <w:sz w:val="28"/>
          <w:szCs w:val="30"/>
          <w:highlight w:val="none"/>
          <w:lang w:eastAsia="zh-CN"/>
          <w14:textFill>
            <w14:solidFill>
              <w14:schemeClr w14:val="tx1"/>
            </w14:solidFill>
          </w14:textFill>
        </w:rPr>
      </w:pPr>
      <w:r>
        <w:rPr>
          <w:rFonts w:ascii="仿宋_GB2312" w:hAnsi="仿宋_GB2312" w:eastAsia="仿宋_GB2312" w:cs="仿宋_GB2312"/>
          <w:color w:val="000000"/>
          <w:sz w:val="28"/>
        </w:rPr>
        <w:t>根据《中华人民共和国资产评估法》《中华人民共和国土地管理法》《中华人民共和国民法典》和《招标拍卖挂牌出让国有建设用地使用权规定》（自然资源部第39号令，2007年9月28日）、《招标拍卖挂牌出让国有土地使用权规范》（试行）（国土资发[2006]114号，2006年5月31日）、《关于印发&lt;国有建设用地使用权出让地价评估技术规范&gt;的通知》（国土资厅发（2018）4号，2018年3月9日）等有关规定及委托方提供的《评估委托书》，本次评估受通道侗族自治县自然资源局委托，为出让方通过集体决策确定估价对象挂牌出让底价提供国有出让建设用地使用权正常市场价格参考依据。</w:t>
      </w:r>
    </w:p>
    <w:p w14:paraId="60B2B325">
      <w:pPr>
        <w:keepNext w:val="0"/>
        <w:keepLines w:val="0"/>
        <w:pageBreakBefore w:val="0"/>
        <w:widowControl w:val="0"/>
        <w:kinsoku/>
        <w:wordWrap/>
        <w:overflowPunct/>
        <w:topLinePunct w:val="0"/>
        <w:autoSpaceDE/>
        <w:autoSpaceDN/>
        <w:bidi w:val="0"/>
        <w:spacing w:line="480" w:lineRule="exact"/>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仿宋_GB2312" w:hAnsi="仿宋_GB2312" w:eastAsia="仿宋_GB2312" w:cs="仿宋_GB2312"/>
          <w:b/>
          <w:color w:val="000000" w:themeColor="text1"/>
          <w:sz w:val="28"/>
          <w:szCs w:val="28"/>
          <w:highlight w:val="none"/>
          <w14:textFill>
            <w14:solidFill>
              <w14:schemeClr w14:val="tx1"/>
            </w14:solidFill>
          </w14:textFill>
        </w:rPr>
        <w:t>四、估价期日</w:t>
      </w:r>
    </w:p>
    <w:p w14:paraId="0AF12F24">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color w:val="000000"/>
          <w:sz w:val="28"/>
        </w:rPr>
        <w:t>本次土地估价师现场勘查日期为2026年4月23日至2026年4月27日，结合本次估价目的和委托估价方提供的《评估委托书》，本次估价设定估价期日为2026年04月23日。</w:t>
      </w:r>
    </w:p>
    <w:p w14:paraId="20A7FB43">
      <w:pPr>
        <w:keepNext w:val="0"/>
        <w:keepLines w:val="0"/>
        <w:pageBreakBefore w:val="0"/>
        <w:widowControl w:val="0"/>
        <w:kinsoku/>
        <w:wordWrap/>
        <w:overflowPunct/>
        <w:topLinePunct w:val="0"/>
        <w:autoSpaceDE/>
        <w:autoSpaceDN/>
        <w:bidi w:val="0"/>
        <w:spacing w:line="480" w:lineRule="exact"/>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仿宋_GB2312" w:hAnsi="仿宋_GB2312" w:eastAsia="仿宋_GB2312" w:cs="仿宋_GB2312"/>
          <w:b/>
          <w:color w:val="000000" w:themeColor="text1"/>
          <w:sz w:val="28"/>
          <w:szCs w:val="28"/>
          <w:highlight w:val="none"/>
          <w14:textFill>
            <w14:solidFill>
              <w14:schemeClr w14:val="tx1"/>
            </w14:solidFill>
          </w14:textFill>
        </w:rPr>
        <w:t>五、估价日期</w:t>
      </w:r>
    </w:p>
    <w:p w14:paraId="40E3E99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eastAsia="仿宋_GB2312"/>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2025年11月26日至202</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5</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年</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月</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28</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日</w:t>
      </w:r>
    </w:p>
    <w:p w14:paraId="2CC98B2F">
      <w:pPr>
        <w:keepNext w:val="0"/>
        <w:keepLines w:val="0"/>
        <w:pageBreakBefore w:val="0"/>
        <w:widowControl w:val="0"/>
        <w:kinsoku/>
        <w:wordWrap/>
        <w:overflowPunct/>
        <w:topLinePunct w:val="0"/>
        <w:autoSpaceDE/>
        <w:autoSpaceDN/>
        <w:bidi w:val="0"/>
        <w:spacing w:line="480" w:lineRule="exact"/>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仿宋_GB2312" w:hAnsi="仿宋_GB2312" w:eastAsia="仿宋_GB2312" w:cs="仿宋_GB2312"/>
          <w:b/>
          <w:color w:val="000000" w:themeColor="text1"/>
          <w:sz w:val="28"/>
          <w:szCs w:val="28"/>
          <w:highlight w:val="none"/>
          <w14:textFill>
            <w14:solidFill>
              <w14:schemeClr w14:val="tx1"/>
            </w14:solidFill>
          </w14:textFill>
        </w:rPr>
        <w:t>六、地价定义</w:t>
      </w:r>
    </w:p>
    <w:p w14:paraId="1E93723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color w:val="000000"/>
          <w:sz w:val="28"/>
        </w:rPr>
        <w:t>根据委托方出具的《关于国有建设用地的规划条件的函》（2025年9月11日）及现场勘查状况，估价对象总土地面积为25.32平方米，估价对象规划用途为住宅用地，至估价期日，估价对象现状为待开发建设用地，土地开发程度为宗地红线内外“五通”（通路、通电、供水、排水、通讯）及红线内场地平整。</w:t>
      </w:r>
    </w:p>
    <w:p w14:paraId="483DD28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根据《城镇土地估价规程》（GB/T18508—2014）及</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此项目估价目的、土地的权属性质和用途特点，对</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地价定义</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中有关事项作以下设定</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p>
    <w:p w14:paraId="3A96644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1.估价期日的设定</w:t>
      </w:r>
    </w:p>
    <w:p w14:paraId="7667C50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color w:val="000000"/>
          <w:sz w:val="28"/>
        </w:rPr>
        <w:t>本次土地估价师现场勘查日期为2026年4月23日至2026年4月27日，本次估价设定估价期日为2026年04月23日。</w:t>
      </w:r>
    </w:p>
    <w:p w14:paraId="1F017BF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2.土地用途的设定</w:t>
      </w:r>
    </w:p>
    <w:p w14:paraId="33E3160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color w:val="000000"/>
          <w:sz w:val="28"/>
        </w:rPr>
        <w:t>根据土地估价师现场勘查，估价对象现状为待开发用地。根据《关于国有建设用地的规划条件的函》（2025年9月11日），估价对象规划用途为住宅用地，根据《土地利用现状分类》(GB/T21010-2017，2017年11月01日)和估价目的，本次评估设定土地用途为工业用地。</w:t>
      </w:r>
    </w:p>
    <w:p w14:paraId="31B7B57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3.土地使用权类型</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设定</w:t>
      </w:r>
    </w:p>
    <w:p w14:paraId="1A331AA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至估价期日止，估价对象土地使用权类型为国有储备用地，结合本次估价目的，本次评估设定土地使用权类型为国有出让建设用地使用权。</w:t>
      </w:r>
    </w:p>
    <w:p w14:paraId="2FB19EA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4.土地使用年期的设定</w:t>
      </w:r>
    </w:p>
    <w:p w14:paraId="5987A8B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中华人民共和国城镇国有土地使用权出让和转让暂行条例》（1990年5月19日国务院令第55号）规定，土地使用权出让最高年限为工矿仓储用地50年。本次评估根据《评估委托书》约定和估价目的，估价对象土地使用权出让年限为30年，此次评估设定土地使用权年限为30年</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p>
    <w:p w14:paraId="6AC576E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5.土地开发程度的设定</w:t>
      </w:r>
    </w:p>
    <w:p w14:paraId="2375872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color w:val="000000"/>
          <w:sz w:val="28"/>
        </w:rPr>
        <w:t>根据土地估价师实地勘查，估价对象于估价期日2026年04月23日实际开发程度为宗地红线内外“五通”（通路、通电、供水、排水、通讯）及红线内场地平整。结合估价目的及实际情况，本次评估设定土地开发程度为宗地红线内外“五通”（通路、通电、供水、排水、通讯）及红线内场地平整。</w:t>
      </w:r>
    </w:p>
    <w:p w14:paraId="4BACEB6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6.用地利用条件的设定</w:t>
      </w:r>
    </w:p>
    <w:p w14:paraId="222F81E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color w:val="000000"/>
          <w:sz w:val="28"/>
        </w:rPr>
        <w:t>根据实地勘查和《关于国有建设用地的规划条件的函》（2025年9月11日），估价对象规划建筑密度35%-55%，容积率0.7-4.23，绿地率≤15%，建筑限高24米，估价对象在估价期日土地利用现状为待开发建设用地，地上无建筑物，根据土地最有效利用原则，本次评估设定容积率为4.23。</w:t>
      </w:r>
    </w:p>
    <w:p w14:paraId="0C2DE8B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7.价格类型的设定</w:t>
      </w:r>
    </w:p>
    <w:p w14:paraId="2FE76CB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委托方提供的资料及估价人员调查所获取的资料，估价对象为拟出让国有建设用地使用权，未设立抵押权、租赁权、地役权、地上权等附加权利。本次评估设定估价对象为未设立抵押权、租赁权、地役权、地上权等附加权利下的国有建设用地使用权。</w:t>
      </w:r>
    </w:p>
    <w:p w14:paraId="337ACB1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color w:val="000000"/>
          <w:sz w:val="28"/>
        </w:rPr>
        <w:t>综上所述，此次评估的地价内涵是指：估价对象在公开市场条件下，于估价期日2026年04月23日，土地使用权面积25.32平方米，土地用途设定为城镇住宅用地，容积率设定为4.23，土地使用权类型设定为国有出让建设用地使用权，出让年期为70年，土地开发程度设定为宗地红线内外“五通”（通路、通电、供水、排水、通讯）及红线内场地平整下的土地使用权市场价格。</w:t>
      </w:r>
    </w:p>
    <w:p w14:paraId="336FAC8E">
      <w:pPr>
        <w:keepNext w:val="0"/>
        <w:keepLines w:val="0"/>
        <w:pageBreakBefore w:val="0"/>
        <w:widowControl w:val="0"/>
        <w:numPr>
          <w:ilvl w:val="0"/>
          <w:numId w:val="0"/>
        </w:numPr>
        <w:kinsoku/>
        <w:wordWrap/>
        <w:overflowPunct/>
        <w:topLinePunct w:val="0"/>
        <w:autoSpaceDE/>
        <w:autoSpaceDN/>
        <w:bidi w:val="0"/>
        <w:spacing w:line="460" w:lineRule="exact"/>
        <w:ind w:firstLine="562" w:firstLineChars="200"/>
        <w:textAlignment w:val="auto"/>
        <w:outlineLvl w:val="9"/>
        <w:rPr>
          <w:rFonts w:hint="eastAsia" w:ascii="仿宋_GB2312" w:hAnsi="Times New Roman" w:eastAsia="仿宋_GB2312" w:cs="Times New Roman"/>
          <w:b/>
          <w:color w:val="000000" w:themeColor="text1"/>
          <w:kern w:val="2"/>
          <w:sz w:val="28"/>
          <w:szCs w:val="28"/>
          <w:highlight w:val="none"/>
          <w:lang w:val="en-US" w:eastAsia="zh-CN" w:bidi="ar-SA"/>
          <w14:textFill>
            <w14:solidFill>
              <w14:schemeClr w14:val="tx1"/>
            </w14:solidFill>
          </w14:textFill>
        </w:rPr>
      </w:pPr>
    </w:p>
    <w:p w14:paraId="15F1BAD4">
      <w:pPr>
        <w:rPr>
          <w:rFonts w:hint="eastAsia" w:ascii="仿宋_GB2312" w:hAnsi="Times New Roman" w:eastAsia="仿宋_GB2312" w:cs="Times New Roman"/>
          <w:b/>
          <w:color w:val="000000" w:themeColor="text1"/>
          <w:kern w:val="2"/>
          <w:sz w:val="28"/>
          <w:szCs w:val="28"/>
          <w:highlight w:val="none"/>
          <w:lang w:val="en-US" w:eastAsia="zh-CN" w:bidi="ar-SA"/>
          <w14:textFill>
            <w14:solidFill>
              <w14:schemeClr w14:val="tx1"/>
            </w14:solidFill>
          </w14:textFill>
        </w:rPr>
      </w:pPr>
      <w:r>
        <w:rPr>
          <w:rFonts w:hint="eastAsia" w:ascii="仿宋_GB2312" w:hAnsi="仿宋_GB2312" w:eastAsia="仿宋_GB2312" w:cs="仿宋_GB2312"/>
          <w:b/>
          <w:color w:val="000000" w:themeColor="text1"/>
          <w:kern w:val="2"/>
          <w:sz w:val="28"/>
          <w:szCs w:val="28"/>
          <w:highlight w:val="none"/>
          <w:lang w:val="en-US" w:eastAsia="zh-CN" w:bidi="ar-SA"/>
          <w14:textFill>
            <w14:solidFill>
              <w14:schemeClr w14:val="tx1"/>
            </w14:solidFill>
          </w14:textFill>
        </w:rPr>
        <w:br w:type="page"/>
      </w:r>
    </w:p>
    <w:p w14:paraId="6B18444E">
      <w:pPr>
        <w:keepNext w:val="0"/>
        <w:keepLines w:val="0"/>
        <w:pageBreakBefore w:val="0"/>
        <w:widowControl w:val="0"/>
        <w:numPr>
          <w:ilvl w:val="0"/>
          <w:numId w:val="0"/>
        </w:numPr>
        <w:kinsoku/>
        <w:wordWrap/>
        <w:overflowPunct/>
        <w:topLinePunct w:val="0"/>
        <w:autoSpaceDE/>
        <w:autoSpaceDN/>
        <w:bidi w:val="0"/>
        <w:spacing w:line="460" w:lineRule="exact"/>
        <w:ind w:firstLine="562" w:firstLineChars="200"/>
        <w:textAlignment w:val="auto"/>
        <w:outlineLvl w:val="1"/>
        <w:rPr>
          <w:rFonts w:hint="eastAsia" w:ascii="仿宋_GB2312" w:eastAsia="仿宋_GB2312"/>
          <w:b/>
          <w:color w:val="000000" w:themeColor="text1"/>
          <w:sz w:val="28"/>
          <w:szCs w:val="28"/>
          <w:highlight w:val="none"/>
          <w14:textFill>
            <w14:solidFill>
              <w14:schemeClr w14:val="tx1"/>
            </w14:solidFill>
          </w14:textFill>
        </w:rPr>
      </w:pPr>
      <w:r>
        <w:rPr>
          <w:rFonts w:hint="eastAsia" w:ascii="仿宋_GB2312" w:hAnsi="仿宋_GB2312" w:eastAsia="仿宋_GB2312" w:cs="仿宋_GB2312"/>
          <w:b/>
          <w:color w:val="000000" w:themeColor="text1"/>
          <w:kern w:val="2"/>
          <w:sz w:val="28"/>
          <w:szCs w:val="28"/>
          <w:highlight w:val="none"/>
          <w:lang w:val="en-US" w:eastAsia="zh-CN" w:bidi="ar-SA"/>
          <w14:textFill>
            <w14:solidFill>
              <w14:schemeClr w14:val="tx1"/>
            </w14:solidFill>
          </w14:textFill>
        </w:rPr>
        <w:t>七、</w:t>
      </w:r>
      <w:r>
        <w:rPr>
          <w:rFonts w:hint="eastAsia" w:ascii="仿宋_GB2312" w:hAnsi="仿宋_GB2312" w:eastAsia="仿宋_GB2312" w:cs="仿宋_GB2312"/>
          <w:b/>
          <w:color w:val="000000" w:themeColor="text1"/>
          <w:sz w:val="28"/>
          <w:szCs w:val="28"/>
          <w:highlight w:val="none"/>
          <w14:textFill>
            <w14:solidFill>
              <w14:schemeClr w14:val="tx1"/>
            </w14:solidFill>
          </w14:textFill>
        </w:rPr>
        <w:t>估价结果</w:t>
      </w:r>
    </w:p>
    <w:p w14:paraId="354B2AD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一</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估价结论</w:t>
      </w:r>
    </w:p>
    <w:p w14:paraId="1E764E5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color w:val="000000"/>
          <w:sz w:val="28"/>
        </w:rPr>
        <w:t>通道侗族自治县自然资源局委托评估的，位于通道县双江镇城南街（2025006号地块）的一宗国有土地，土地面积25.32平方米，于估价期日2026年04月23日，在评估设定土地用途为城镇住宅用地，设定土地使用年期为70年，设定容积率为4.23，设定土地开发程度为宗地红线外“五通”（即通路、通电、通讯、供水、排水）及红线内场地平整，规划利用条件下的土地使用权出让价格如下（币种：人民币）：</w:t>
      </w:r>
    </w:p>
    <w:p w14:paraId="35F9A0ED">
      <w:pPr>
        <w:keepNext w:val="0"/>
        <w:keepLines w:val="0"/>
        <w:pageBreakBefore w:val="0"/>
        <w:widowControl w:val="0"/>
        <w:kinsoku/>
        <w:wordWrap/>
        <w:overflowPunct/>
        <w:topLinePunct w:val="0"/>
        <w:autoSpaceDE/>
        <w:autoSpaceDN/>
        <w:bidi w:val="0"/>
        <w:spacing w:line="480" w:lineRule="exact"/>
        <w:ind w:firstLine="562" w:firstLineChars="200"/>
        <w:textAlignment w:val="auto"/>
        <w:rPr>
          <w:rFonts w:hint="eastAsia" w:ascii="仿宋_GB2312" w:eastAsia="仿宋_GB2312"/>
          <w:b/>
          <w:bCs/>
          <w:color w:val="000000" w:themeColor="text1"/>
          <w:sz w:val="28"/>
          <w:szCs w:val="22"/>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sz w:val="28"/>
          <w:szCs w:val="22"/>
          <w:highlight w:val="none"/>
          <w:lang w:val="en-US" w:eastAsia="zh-CN"/>
          <w14:textFill>
            <w14:solidFill>
              <w14:schemeClr w14:val="tx1"/>
            </w14:solidFill>
          </w14:textFill>
        </w:rPr>
        <w:t>宗地数量：共一宗</w:t>
      </w:r>
    </w:p>
    <w:p w14:paraId="7958C84D">
      <w:pPr>
        <w:keepNext w:val="0"/>
        <w:keepLines w:val="0"/>
        <w:pageBreakBefore w:val="0"/>
        <w:widowControl w:val="0"/>
        <w:kinsoku/>
        <w:wordWrap/>
        <w:overflowPunct/>
        <w:topLinePunct w:val="0"/>
        <w:autoSpaceDE/>
        <w:autoSpaceDN/>
        <w:bidi w:val="0"/>
        <w:spacing w:line="480" w:lineRule="exact"/>
        <w:ind w:firstLine="562" w:firstLineChars="200"/>
        <w:textAlignment w:val="auto"/>
        <w:rPr>
          <w:rFonts w:hint="eastAsia" w:ascii="仿宋_GB2312" w:eastAsia="仿宋_GB2312"/>
          <w:b/>
          <w:bCs/>
          <w:color w:val="000000" w:themeColor="text1"/>
          <w:sz w:val="28"/>
          <w:szCs w:val="22"/>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sz w:val="28"/>
          <w:szCs w:val="22"/>
          <w:highlight w:val="none"/>
          <w:lang w:val="en-US" w:eastAsia="zh-CN"/>
          <w14:textFill>
            <w14:solidFill>
              <w14:schemeClr w14:val="tx1"/>
            </w14:solidFill>
          </w14:textFill>
        </w:rPr>
        <w:t>估价对象</w:t>
      </w:r>
      <w:r>
        <w:rPr>
          <w:rFonts w:hint="eastAsia" w:ascii="仿宋_GB2312" w:hAnsi="仿宋_GB2312" w:eastAsia="仿宋_GB2312" w:cs="仿宋_GB2312"/>
          <w:b/>
          <w:bCs/>
          <w:color w:val="000000" w:themeColor="text1"/>
          <w:sz w:val="28"/>
          <w:szCs w:val="22"/>
          <w:highlight w:val="none"/>
          <w14:textFill>
            <w14:solidFill>
              <w14:schemeClr w14:val="tx1"/>
            </w14:solidFill>
          </w14:textFill>
        </w:rPr>
        <w:t>土地</w:t>
      </w:r>
      <w:r>
        <w:rPr>
          <w:rFonts w:hint="eastAsia" w:ascii="仿宋_GB2312" w:hAnsi="仿宋_GB2312" w:eastAsia="仿宋_GB2312" w:cs="仿宋_GB2312"/>
          <w:b/>
          <w:bCs/>
          <w:color w:val="000000" w:themeColor="text1"/>
          <w:sz w:val="28"/>
          <w:szCs w:val="22"/>
          <w:highlight w:val="none"/>
          <w:lang w:val="en-US" w:eastAsia="zh-CN"/>
          <w14:textFill>
            <w14:solidFill>
              <w14:schemeClr w14:val="tx1"/>
            </w14:solidFill>
          </w14:textFill>
        </w:rPr>
        <w:t>总</w:t>
      </w:r>
      <w:r>
        <w:rPr>
          <w:rFonts w:hint="eastAsia" w:ascii="仿宋_GB2312" w:hAnsi="仿宋_GB2312" w:eastAsia="仿宋_GB2312" w:cs="仿宋_GB2312"/>
          <w:b/>
          <w:bCs/>
          <w:color w:val="000000" w:themeColor="text1"/>
          <w:sz w:val="28"/>
          <w:szCs w:val="22"/>
          <w:highlight w:val="none"/>
          <w14:textFill>
            <w14:solidFill>
              <w14:schemeClr w14:val="tx1"/>
            </w14:solidFill>
          </w14:textFill>
        </w:rPr>
        <w:t>面积：25.32平方米</w:t>
      </w:r>
    </w:p>
    <w:p w14:paraId="34045D9F">
      <w:pPr>
        <w:spacing w:line="480" w:lineRule="exact"/>
        <w:ind w:firstLine="562" w:firstLineChars="200"/>
        <w:rPr>
          <w:rFonts w:hint="eastAsia" w:ascii="仿宋_GB2312" w:eastAsia="仿宋_GB2312"/>
          <w:b/>
          <w:bCs/>
          <w:color w:val="000000" w:themeColor="text1"/>
          <w:sz w:val="28"/>
          <w:szCs w:val="22"/>
          <w:highlight w:val="none"/>
          <w:lang w:val="en-US"/>
          <w14:textFill>
            <w14:solidFill>
              <w14:schemeClr w14:val="tx1"/>
            </w14:solidFill>
          </w14:textFill>
        </w:rPr>
      </w:pPr>
      <w:r>
        <w:rPr>
          <w:rFonts w:hint="eastAsia" w:ascii="仿宋_GB2312" w:hAnsi="仿宋_GB2312" w:eastAsia="仿宋_GB2312" w:cs="仿宋_GB2312"/>
          <w:b/>
          <w:bCs/>
          <w:color w:val="000000" w:themeColor="text1"/>
          <w:sz w:val="28"/>
          <w:szCs w:val="22"/>
          <w:highlight w:val="none"/>
          <w:lang w:val="en-US" w:eastAsia="zh-CN"/>
          <w14:textFill>
            <w14:solidFill>
              <w14:schemeClr w14:val="tx1"/>
            </w14:solidFill>
          </w14:textFill>
        </w:rPr>
        <w:t>估价对象土地单价：159元/平方米</w:t>
      </w:r>
    </w:p>
    <w:p w14:paraId="659ED78B">
      <w:pPr>
        <w:keepNext w:val="0"/>
        <w:keepLines w:val="0"/>
        <w:pageBreakBefore w:val="0"/>
        <w:widowControl w:val="0"/>
        <w:kinsoku/>
        <w:wordWrap/>
        <w:overflowPunct/>
        <w:topLinePunct w:val="0"/>
        <w:autoSpaceDE/>
        <w:autoSpaceDN/>
        <w:bidi w:val="0"/>
        <w:spacing w:line="480" w:lineRule="exact"/>
        <w:ind w:left="0" w:leftChars="0" w:firstLine="562" w:firstLineChars="200"/>
        <w:textAlignment w:val="auto"/>
        <w:rPr>
          <w:rFonts w:hint="eastAsia" w:ascii="仿宋_GB2312" w:eastAsia="仿宋_GB2312"/>
          <w:b/>
          <w:bCs/>
          <w:color w:val="000000" w:themeColor="text1"/>
          <w:sz w:val="28"/>
          <w:szCs w:val="22"/>
          <w:highlight w:val="none"/>
          <w14:textFill>
            <w14:solidFill>
              <w14:schemeClr w14:val="tx1"/>
            </w14:solidFill>
          </w14:textFill>
        </w:rPr>
      </w:pPr>
      <w:r>
        <w:rPr>
          <w:rFonts w:hint="eastAsia" w:ascii="仿宋_GB2312" w:hAnsi="仿宋_GB2312" w:eastAsia="仿宋_GB2312" w:cs="仿宋_GB2312"/>
          <w:b/>
          <w:bCs/>
          <w:color w:val="000000" w:themeColor="text1"/>
          <w:sz w:val="28"/>
          <w:szCs w:val="22"/>
          <w:highlight w:val="none"/>
          <w:lang w:val="en-US" w:eastAsia="zh-CN"/>
          <w14:textFill>
            <w14:solidFill>
              <w14:schemeClr w14:val="tx1"/>
            </w14:solidFill>
          </w14:textFill>
        </w:rPr>
        <w:t>估计对象土地</w:t>
      </w:r>
      <w:r>
        <w:rPr>
          <w:rFonts w:hint="eastAsia" w:ascii="仿宋_GB2312" w:hAnsi="仿宋_GB2312" w:eastAsia="仿宋_GB2312" w:cs="仿宋_GB2312"/>
          <w:b/>
          <w:bCs/>
          <w:color w:val="000000" w:themeColor="text1"/>
          <w:sz w:val="28"/>
          <w:szCs w:val="22"/>
          <w:highlight w:val="none"/>
          <w14:textFill>
            <w14:solidFill>
              <w14:schemeClr w14:val="tx1"/>
            </w14:solidFill>
          </w14:textFill>
        </w:rPr>
        <w:t>总价：</w:t>
      </w:r>
      <w:r>
        <w:rPr>
          <w:rFonts w:hint="eastAsia" w:ascii="仿宋_GB2312" w:hAnsi="仿宋_GB2312" w:eastAsia="仿宋_GB2312" w:cs="仿宋_GB2312"/>
          <w:b/>
          <w:bCs/>
          <w:color w:val="000000" w:themeColor="text1"/>
          <w:sz w:val="28"/>
          <w:szCs w:val="22"/>
          <w:highlight w:val="none"/>
          <w:lang w:val="en-US" w:eastAsia="zh-CN"/>
          <w14:textFill>
            <w14:solidFill>
              <w14:schemeClr w14:val="tx1"/>
            </w14:solidFill>
          </w14:textFill>
        </w:rPr>
        <w:t>76.79</w:t>
      </w:r>
      <w:r>
        <w:rPr>
          <w:rFonts w:hint="eastAsia" w:ascii="仿宋_GB2312" w:hAnsi="仿宋_GB2312" w:eastAsia="仿宋_GB2312" w:cs="仿宋_GB2312"/>
          <w:b/>
          <w:bCs/>
          <w:color w:val="000000" w:themeColor="text1"/>
          <w:sz w:val="28"/>
          <w:szCs w:val="22"/>
          <w:highlight w:val="none"/>
          <w14:textFill>
            <w14:solidFill>
              <w14:schemeClr w14:val="tx1"/>
            </w14:solidFill>
          </w14:textFill>
        </w:rPr>
        <w:t>万元</w:t>
      </w:r>
    </w:p>
    <w:p w14:paraId="4C32D361">
      <w:pPr>
        <w:keepNext w:val="0"/>
        <w:keepLines w:val="0"/>
        <w:pageBreakBefore w:val="0"/>
        <w:widowControl w:val="0"/>
        <w:kinsoku/>
        <w:wordWrap/>
        <w:overflowPunct/>
        <w:topLinePunct w:val="0"/>
        <w:autoSpaceDE/>
        <w:autoSpaceDN/>
        <w:bidi w:val="0"/>
        <w:spacing w:line="480" w:lineRule="exact"/>
        <w:ind w:firstLine="562" w:firstLineChars="200"/>
        <w:textAlignment w:val="auto"/>
        <w:rPr>
          <w:rFonts w:hint="eastAsia" w:ascii="仿宋_GB2312" w:eastAsia="仿宋_GB2312"/>
          <w:b/>
          <w:bCs/>
          <w:color w:val="000000" w:themeColor="text1"/>
          <w:sz w:val="28"/>
          <w:szCs w:val="22"/>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sz w:val="28"/>
          <w:szCs w:val="22"/>
          <w:highlight w:val="none"/>
          <w14:textFill>
            <w14:solidFill>
              <w14:schemeClr w14:val="tx1"/>
            </w14:solidFill>
          </w14:textFill>
        </w:rPr>
        <w:t>大写：人民币</w:t>
      </w:r>
      <w:r>
        <w:rPr>
          <w:rFonts w:hint="eastAsia" w:ascii="仿宋_GB2312" w:hAnsi="仿宋_GB2312" w:eastAsia="仿宋_GB2312" w:cs="仿宋_GB2312"/>
          <w:b/>
          <w:bCs/>
          <w:color w:val="000000" w:themeColor="text1"/>
          <w:sz w:val="28"/>
          <w:szCs w:val="22"/>
          <w:highlight w:val="none"/>
          <w:lang w:val="en-US" w:eastAsia="zh-CN"/>
          <w14:textFill>
            <w14:solidFill>
              <w14:schemeClr w14:val="tx1"/>
            </w14:solidFill>
          </w14:textFill>
        </w:rPr>
        <w:t>柒拾陆万柒仟玖佰</w:t>
      </w:r>
      <w:r>
        <w:rPr>
          <w:rFonts w:hint="eastAsia" w:ascii="仿宋_GB2312" w:hAnsi="仿宋_GB2312" w:eastAsia="仿宋_GB2312" w:cs="仿宋_GB2312"/>
          <w:b/>
          <w:bCs/>
          <w:color w:val="000000" w:themeColor="text1"/>
          <w:sz w:val="28"/>
          <w:szCs w:val="22"/>
          <w:highlight w:val="none"/>
          <w14:textFill>
            <w14:solidFill>
              <w14:schemeClr w14:val="tx1"/>
            </w14:solidFill>
          </w14:textFill>
        </w:rPr>
        <w:t>元整；</w:t>
      </w:r>
    </w:p>
    <w:p w14:paraId="72E7188B">
      <w:pPr>
        <w:keepNext w:val="0"/>
        <w:keepLines w:val="0"/>
        <w:pageBreakBefore w:val="0"/>
        <w:widowControl w:val="0"/>
        <w:kinsoku/>
        <w:wordWrap/>
        <w:overflowPunct/>
        <w:topLinePunct w:val="0"/>
        <w:autoSpaceDE/>
        <w:autoSpaceDN/>
        <w:bidi w:val="0"/>
        <w:spacing w:line="480" w:lineRule="exact"/>
        <w:ind w:firstLine="562" w:firstLineChars="200"/>
        <w:textAlignment w:val="auto"/>
        <w:rPr>
          <w:rFonts w:hint="eastAsia" w:ascii="仿宋_GB2312" w:hAnsi="Times New Roman" w:eastAsia="仿宋_GB2312" w:cs="Times New Roman"/>
          <w:b/>
          <w:bCs/>
          <w:color w:val="000000" w:themeColor="text1"/>
          <w:sz w:val="28"/>
          <w:szCs w:val="22"/>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sz w:val="28"/>
          <w:szCs w:val="22"/>
          <w:highlight w:val="none"/>
          <w:lang w:val="en-US" w:eastAsia="zh-CN"/>
          <w14:textFill>
            <w14:solidFill>
              <w14:schemeClr w14:val="tx1"/>
            </w14:solidFill>
          </w14:textFill>
        </w:rPr>
        <w:t>详见《土地估价结果一览表》。</w:t>
      </w:r>
    </w:p>
    <w:p w14:paraId="5E5DA2E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（二）出让底价建议</w:t>
      </w:r>
    </w:p>
    <w:p w14:paraId="56C99E7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土地市场情况及有关法律法规和政策规定，该地区土地出让底价由选定的估价机构的估价结果水平及具体宗地的实际情况综合确定。建议估价对象出让底价与本次估价结果相一致，具体由出让方根据出让土地的实际情况综合确定。</w:t>
      </w:r>
    </w:p>
    <w:p w14:paraId="0283DC6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建议出让地价的理由：1.评估操作过程技术合理，本次评估技术操作方面严格参照《城镇土地估价规程》(GB／T18508-2014)及《关于印发&lt;国有建设用地使用权出让地价评估技术规范&gt;的通知》（国土资厅发〔2018〕4号，2018年3月9日）要求，采用</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成本逼近</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市场比较法分别进行测算，取</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成本逼近法和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市场比较法估价结果</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的简单算术平均值作</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为最终结果。</w:t>
      </w:r>
    </w:p>
    <w:p w14:paraId="7FF80E81">
      <w:pPr>
        <w:keepNext w:val="0"/>
        <w:keepLines w:val="0"/>
        <w:pageBreakBefore w:val="0"/>
        <w:widowControl w:val="0"/>
        <w:kinsoku/>
        <w:wordWrap/>
        <w:overflowPunct/>
        <w:topLinePunct w:val="0"/>
        <w:autoSpaceDE/>
        <w:autoSpaceDN/>
        <w:bidi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评估操作过程技术合理，本次评估技术操作方面严格参照《城镇土地估价规程》(GB／T18508-2014)及《关于印发&lt;国有建设用地使用权出让地价评估技术规范&gt;的通知》（国土资厅发〔2018〕4号，2018年3月9日）要求，本次评估采用成本逼近法和市场比较法分别进行测算，</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取</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成本逼近</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市场比较法估价结果</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的简单算数平均数作</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为最终结果。</w:t>
      </w:r>
    </w:p>
    <w:p w14:paraId="38E2EB9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2</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.通过湖南省国土资源网上交易系统、中国土地交易市场网查询，</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近期通过“招拍挂”途径出让的估价对象周边土地单位面积地价与估价结果较为接近，估价结果符合该区域规划发展的趋势。</w:t>
      </w:r>
    </w:p>
    <w:p w14:paraId="5B77391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依据财政部、自然资源部、中国人民银行《关于加强土地成交价款管理规范资金缴库行为的通知》（财综[2009]89号，2009年12月31日），与土地出让有关的评估费、交易服务费等经营服务性成本费用应纳入土地出让底价。前述建议底价未包含契税、评估费及交易服务费等价外税费及经营服务性费用。</w:t>
      </w:r>
    </w:p>
    <w:p w14:paraId="56E24D36">
      <w:pPr>
        <w:rPr>
          <w:rFonts w:hint="eastAsia" w:ascii="仿宋_GB2312" w:hAnsi="仿宋_GB2312" w:eastAsia="仿宋_GB2312" w:cs="仿宋_GB2312"/>
          <w:b/>
          <w:color w:val="000000" w:themeColor="text1"/>
          <w:sz w:val="28"/>
          <w:szCs w:val="28"/>
          <w:highlight w:val="none"/>
          <w14:textFill>
            <w14:solidFill>
              <w14:schemeClr w14:val="tx1"/>
            </w14:solidFill>
          </w14:textFill>
        </w:rPr>
      </w:pPr>
      <w:r>
        <w:rPr>
          <w:rFonts w:hint="eastAsia" w:ascii="仿宋_GB2312" w:hAnsi="仿宋_GB2312" w:eastAsia="仿宋_GB2312" w:cs="仿宋_GB2312"/>
          <w:b/>
          <w:color w:val="000000" w:themeColor="text1"/>
          <w:sz w:val="28"/>
          <w:szCs w:val="28"/>
          <w:highlight w:val="none"/>
          <w14:textFill>
            <w14:solidFill>
              <w14:schemeClr w14:val="tx1"/>
            </w14:solidFill>
          </w14:textFill>
        </w:rPr>
        <w:br w:type="page"/>
      </w:r>
    </w:p>
    <w:p w14:paraId="07E2B988">
      <w:pPr>
        <w:spacing w:before="0" w:beforeLines="-2147483648" w:line="460" w:lineRule="exact"/>
        <w:ind w:firstLine="562" w:firstLineChars="200"/>
        <w:outlineLvl w:val="9"/>
        <w:rPr>
          <w:rFonts w:ascii="仿宋_GB2312" w:eastAsia="仿宋_GB2312"/>
          <w:b/>
          <w:color w:val="000000" w:themeColor="text1"/>
          <w:szCs w:val="28"/>
          <w:highlight w:val="none"/>
          <w14:textFill>
            <w14:solidFill>
              <w14:schemeClr w14:val="tx1"/>
            </w14:solidFill>
          </w14:textFill>
        </w:rPr>
      </w:pPr>
      <w:r>
        <w:rPr>
          <w:rFonts w:hint="eastAsia" w:ascii="仿宋_GB2312" w:hAnsi="仿宋_GB2312" w:eastAsia="仿宋_GB2312" w:cs="仿宋_GB2312"/>
          <w:b/>
          <w:color w:val="000000" w:themeColor="text1"/>
          <w:sz w:val="28"/>
          <w:szCs w:val="28"/>
          <w:highlight w:val="none"/>
          <w14:textFill>
            <w14:solidFill>
              <w14:schemeClr w14:val="tx1"/>
            </w14:solidFill>
          </w14:textFill>
        </w:rPr>
        <w:t>八、土地估价师签字</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98"/>
        <w:gridCol w:w="2925"/>
        <w:gridCol w:w="2799"/>
      </w:tblGrid>
      <w:tr w14:paraId="2CD78A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17" w:hRule="atLeast"/>
        </w:trPr>
        <w:tc>
          <w:tcPr>
            <w:tcW w:w="3093" w:type="dxa"/>
            <w:tcBorders>
              <w:tl2br w:val="nil"/>
              <w:tr2bl w:val="nil"/>
            </w:tcBorders>
            <w:vAlign w:val="center"/>
          </w:tcPr>
          <w:p w14:paraId="2DAC57FC">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估价师姓名</w:t>
            </w:r>
          </w:p>
        </w:tc>
        <w:tc>
          <w:tcPr>
            <w:tcW w:w="3093" w:type="dxa"/>
            <w:tcBorders>
              <w:tl2br w:val="nil"/>
              <w:tr2bl w:val="nil"/>
            </w:tcBorders>
            <w:vAlign w:val="center"/>
          </w:tcPr>
          <w:p w14:paraId="6B5234F6">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土地估价师资格证号</w:t>
            </w:r>
          </w:p>
        </w:tc>
        <w:tc>
          <w:tcPr>
            <w:tcW w:w="3093" w:type="dxa"/>
            <w:tcBorders>
              <w:tl2br w:val="nil"/>
              <w:tr2bl w:val="nil"/>
            </w:tcBorders>
            <w:vAlign w:val="center"/>
          </w:tcPr>
          <w:p w14:paraId="6E9C6687">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签    字</w:t>
            </w:r>
          </w:p>
        </w:tc>
      </w:tr>
      <w:tr w14:paraId="7D1239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20" w:hRule="atLeast"/>
        </w:trPr>
        <w:tc>
          <w:tcPr>
            <w:tcW w:w="3093" w:type="dxa"/>
            <w:tcBorders>
              <w:tl2br w:val="nil"/>
              <w:tr2bl w:val="nil"/>
            </w:tcBorders>
            <w:vAlign w:val="center"/>
          </w:tcPr>
          <w:p w14:paraId="7465A432">
            <w:pPr>
              <w:keepNext w:val="0"/>
              <w:keepLines w:val="0"/>
              <w:suppressLineNumbers w:val="0"/>
              <w:spacing w:before="120" w:beforeLines="50" w:beforeAutospacing="0" w:after="240" w:afterLines="100" w:afterAutospacing="0" w:line="440" w:lineRule="exact"/>
              <w:ind w:left="0" w:leftChars="0" w:right="0" w:rightChars="0"/>
              <w:jc w:val="cente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谢良元</w:t>
            </w:r>
          </w:p>
        </w:tc>
        <w:tc>
          <w:tcPr>
            <w:tcW w:w="3093" w:type="dxa"/>
            <w:tcBorders>
              <w:tl2br w:val="nil"/>
              <w:tr2bl w:val="nil"/>
            </w:tcBorders>
            <w:vAlign w:val="center"/>
          </w:tcPr>
          <w:p w14:paraId="5605A63A">
            <w:pPr>
              <w:keepNext w:val="0"/>
              <w:keepLines w:val="0"/>
              <w:suppressLineNumbers w:val="0"/>
              <w:spacing w:before="0" w:beforeAutospacing="0" w:after="0" w:afterAutospacing="0" w:line="460" w:lineRule="exact"/>
              <w:ind w:left="0" w:leftChars="0" w:right="0" w:rightChars="0" w:firstLine="0" w:firstLineChars="0"/>
              <w:jc w:val="center"/>
              <w:rPr>
                <w:rFonts w:hint="eastAsia" w:ascii="仿宋_GB2312" w:hAnsi="仿宋_GB2312" w:eastAsia="仿宋_GB2312" w:cs="仿宋_GB2312"/>
                <w:color w:val="000000" w:themeColor="text1"/>
                <w:sz w:val="28"/>
                <w:szCs w:val="1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2019430003</w:t>
            </w:r>
          </w:p>
        </w:tc>
        <w:tc>
          <w:tcPr>
            <w:tcW w:w="3093" w:type="dxa"/>
            <w:tcBorders>
              <w:tl2br w:val="nil"/>
              <w:tr2bl w:val="nil"/>
            </w:tcBorders>
          </w:tcPr>
          <w:p w14:paraId="4CB171A6">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p>
        </w:tc>
      </w:tr>
      <w:tr w14:paraId="094F07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66" w:hRule="atLeast"/>
        </w:trPr>
        <w:tc>
          <w:tcPr>
            <w:tcW w:w="3093" w:type="dxa"/>
            <w:tcBorders>
              <w:tl2br w:val="nil"/>
              <w:tr2bl w:val="nil"/>
            </w:tcBorders>
            <w:vAlign w:val="center"/>
          </w:tcPr>
          <w:p w14:paraId="548710EB">
            <w:pPr>
              <w:keepNext w:val="0"/>
              <w:keepLines w:val="0"/>
              <w:suppressLineNumbers w:val="0"/>
              <w:spacing w:before="120" w:beforeLines="50" w:beforeAutospacing="0" w:after="240" w:afterLines="100" w:afterAutospacing="0" w:line="440" w:lineRule="exact"/>
              <w:ind w:left="0" w:leftChars="0" w:right="0" w:rightChars="0"/>
              <w:jc w:val="center"/>
              <w:rPr>
                <w:rFonts w:hint="default" w:ascii="仿宋_GB2312" w:hAnsi="仿宋_GB2312" w:eastAsia="仿宋_GB2312" w:cs="仿宋_GB2312"/>
                <w:color w:val="000000" w:themeColor="text1"/>
                <w:sz w:val="28"/>
                <w:szCs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彭翀</w:t>
            </w:r>
          </w:p>
        </w:tc>
        <w:tc>
          <w:tcPr>
            <w:tcW w:w="3093" w:type="dxa"/>
            <w:tcBorders>
              <w:tl2br w:val="nil"/>
              <w:tr2bl w:val="nil"/>
            </w:tcBorders>
            <w:vAlign w:val="center"/>
          </w:tcPr>
          <w:p w14:paraId="4B7C996E">
            <w:pPr>
              <w:keepNext w:val="0"/>
              <w:keepLines w:val="0"/>
              <w:suppressLineNumbers w:val="0"/>
              <w:spacing w:before="0" w:beforeAutospacing="0" w:after="0" w:afterAutospacing="0" w:line="480" w:lineRule="exact"/>
              <w:ind w:left="0" w:leftChars="0" w:right="0" w:rightChars="0" w:firstLine="0" w:firstLineChars="0"/>
              <w:jc w:val="center"/>
              <w:rPr>
                <w:rFonts w:hint="eastAsia" w:ascii="仿宋_GB2312" w:hAnsi="仿宋_GB2312" w:eastAsia="仿宋_GB2312" w:cs="仿宋_GB2312"/>
                <w:color w:val="000000" w:themeColor="text1"/>
                <w:sz w:val="28"/>
                <w:szCs w:val="1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2004450008</w:t>
            </w:r>
          </w:p>
        </w:tc>
        <w:tc>
          <w:tcPr>
            <w:tcW w:w="3093" w:type="dxa"/>
            <w:tcBorders>
              <w:tl2br w:val="nil"/>
              <w:tr2bl w:val="nil"/>
            </w:tcBorders>
          </w:tcPr>
          <w:p w14:paraId="0C56E8FF">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p>
        </w:tc>
      </w:tr>
    </w:tbl>
    <w:p w14:paraId="5AAFD7C0">
      <w:pPr>
        <w:spacing w:line="440" w:lineRule="exact"/>
        <w:ind w:firstLine="562" w:firstLineChars="200"/>
        <w:outlineLvl w:val="1"/>
        <w:rPr>
          <w:rFonts w:ascii="仿宋_GB2312" w:eastAsia="仿宋_GB2312"/>
          <w:b/>
          <w:color w:val="000000" w:themeColor="text1"/>
          <w:sz w:val="28"/>
          <w:szCs w:val="28"/>
          <w:highlight w:val="none"/>
          <w14:textFill>
            <w14:solidFill>
              <w14:schemeClr w14:val="tx1"/>
            </w14:solidFill>
          </w14:textFill>
        </w:rPr>
      </w:pPr>
      <w:r>
        <w:rPr>
          <w:rFonts w:hint="eastAsia" w:ascii="仿宋_GB2312" w:hAnsi="仿宋_GB2312" w:eastAsia="仿宋_GB2312" w:cs="仿宋_GB2312"/>
          <w:b/>
          <w:color w:val="000000" w:themeColor="text1"/>
          <w:sz w:val="28"/>
          <w:szCs w:val="28"/>
          <w:highlight w:val="none"/>
          <w14:textFill>
            <w14:solidFill>
              <w14:schemeClr w14:val="tx1"/>
            </w14:solidFill>
          </w14:textFill>
        </w:rPr>
        <w:t>九、土地估价机构</w:t>
      </w:r>
    </w:p>
    <w:p w14:paraId="53022D82">
      <w:pPr>
        <w:tabs>
          <w:tab w:val="left" w:pos="3780"/>
        </w:tabs>
        <w:spacing w:before="240" w:beforeLines="100" w:line="440" w:lineRule="exact"/>
        <w:jc w:val="left"/>
        <w:rPr>
          <w:rFonts w:ascii="仿宋_GB2312" w:eastAsia="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 xml:space="preserve">   估价机构法定代表人签字：</w:t>
      </w:r>
    </w:p>
    <w:p w14:paraId="50444B32">
      <w:pPr>
        <w:keepNext w:val="0"/>
        <w:keepLines w:val="0"/>
        <w:pageBreakBefore w:val="0"/>
        <w:widowControl w:val="0"/>
        <w:kinsoku/>
        <w:wordWrap/>
        <w:overflowPunct/>
        <w:topLinePunct w:val="0"/>
        <w:autoSpaceDE/>
        <w:autoSpaceDN/>
        <w:bidi w:val="0"/>
        <w:spacing w:line="480" w:lineRule="exact"/>
        <w:ind w:right="140"/>
        <w:jc w:val="right"/>
        <w:textAlignment w:val="auto"/>
        <w:rPr>
          <w:rFonts w:ascii="仿宋_GB2312" w:eastAsia="仿宋_GB2312"/>
          <w:color w:val="000000" w:themeColor="text1"/>
          <w:sz w:val="28"/>
          <w:highlight w:val="none"/>
          <w14:textFill>
            <w14:solidFill>
              <w14:schemeClr w14:val="tx1"/>
            </w14:solidFill>
          </w14:textFill>
        </w:rPr>
      </w:pPr>
    </w:p>
    <w:p w14:paraId="0EE88D38">
      <w:pPr>
        <w:keepNext w:val="0"/>
        <w:keepLines w:val="0"/>
        <w:pageBreakBefore w:val="0"/>
        <w:widowControl w:val="0"/>
        <w:kinsoku/>
        <w:wordWrap/>
        <w:overflowPunct/>
        <w:topLinePunct w:val="0"/>
        <w:autoSpaceDE/>
        <w:autoSpaceDN/>
        <w:bidi w:val="0"/>
        <w:spacing w:line="480" w:lineRule="exact"/>
        <w:ind w:right="140"/>
        <w:jc w:val="right"/>
        <w:textAlignment w:val="auto"/>
        <w:rPr>
          <w:rFonts w:ascii="仿宋_GB2312" w:eastAsia="仿宋_GB2312"/>
          <w:color w:val="000000" w:themeColor="text1"/>
          <w:sz w:val="28"/>
          <w:highlight w:val="none"/>
          <w14:textFill>
            <w14:solidFill>
              <w14:schemeClr w14:val="tx1"/>
            </w14:solidFill>
          </w14:textFill>
        </w:rPr>
      </w:pPr>
    </w:p>
    <w:p w14:paraId="40DD68A0">
      <w:pPr>
        <w:keepNext w:val="0"/>
        <w:keepLines w:val="0"/>
        <w:pageBreakBefore w:val="0"/>
        <w:widowControl w:val="0"/>
        <w:kinsoku/>
        <w:wordWrap/>
        <w:overflowPunct/>
        <w:topLinePunct w:val="0"/>
        <w:autoSpaceDE/>
        <w:autoSpaceDN/>
        <w:bidi w:val="0"/>
        <w:spacing w:line="480" w:lineRule="exact"/>
        <w:ind w:right="140"/>
        <w:jc w:val="right"/>
        <w:textAlignment w:val="auto"/>
        <w:outlineLvl w:val="9"/>
        <w:rPr>
          <w:rFonts w:ascii="仿宋_GB2312" w:eastAsia="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湖南兆财不动产规划评估有限公司</w:t>
      </w:r>
    </w:p>
    <w:p w14:paraId="1B0F9F6C">
      <w:pPr>
        <w:pStyle w:val="13"/>
        <w:keepNext w:val="0"/>
        <w:keepLines w:val="0"/>
        <w:pageBreakBefore w:val="0"/>
        <w:widowControl w:val="0"/>
        <w:kinsoku/>
        <w:wordWrap/>
        <w:overflowPunct/>
        <w:topLinePunct w:val="0"/>
        <w:autoSpaceDE/>
        <w:autoSpaceDN/>
        <w:bidi w:val="0"/>
        <w:spacing w:line="480" w:lineRule="exact"/>
        <w:ind w:firstLine="560"/>
        <w:textAlignment w:val="auto"/>
        <w:rPr>
          <w:rFonts w:hint="eastAsia" w:eastAsia="仿宋_GB2312"/>
          <w:color w:val="000000" w:themeColor="text1"/>
          <w:highlight w:val="none"/>
          <w:lang w:eastAsia="zh-CN"/>
          <w14:textFill>
            <w14:solidFill>
              <w14:schemeClr w14:val="tx1"/>
            </w14:solidFill>
          </w14:textFill>
        </w:rPr>
        <w:sectPr>
          <w:headerReference r:id="rId9" w:type="first"/>
          <w:footerReference r:id="rId10" w:type="first"/>
          <w:endnotePr>
            <w:numFmt w:val="decimal"/>
          </w:endnotePr>
          <w:pgSz w:w="11906" w:h="16838"/>
          <w:pgMar w:top="1440" w:right="1800" w:bottom="1440" w:left="1800" w:header="851" w:footer="992" w:gutter="0"/>
          <w:pgNumType w:fmt="decimal" w:start="1"/>
          <w:cols w:space="720" w:num="1"/>
          <w:titlePg/>
          <w:docGrid w:linePitch="312" w:charSpace="0"/>
        </w:sectPr>
      </w:pPr>
      <w:r>
        <w:rPr>
          <w:rFonts w:hint="eastAsia" w:ascii="仿宋_GB2312" w:hAnsi="仿宋_GB2312" w:eastAsia="仿宋_GB2312" w:cs="仿宋_GB2312"/>
          <w:color w:val="000000" w:themeColor="text1"/>
          <w:highlight w:val="none"/>
          <w14:textFill>
            <w14:solidFill>
              <w14:schemeClr w14:val="tx1"/>
            </w14:solidFill>
          </w14:textFill>
        </w:rPr>
        <w:t xml:space="preserve">                            </w:t>
      </w:r>
      <w:r>
        <w:rPr>
          <w:rFonts w:hint="eastAsia" w:ascii="仿宋_GB2312" w:hAnsi="仿宋_GB2312" w:eastAsia="仿宋_GB2312" w:cs="仿宋_GB2312"/>
          <w:color w:val="000000" w:themeColor="text1"/>
          <w:highlight w:val="non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highlight w:val="none"/>
          <w:lang w:eastAsia="zh-CN"/>
          <w14:textFill>
            <w14:solidFill>
              <w14:schemeClr w14:val="tx1"/>
            </w14:solidFill>
          </w14:textFill>
        </w:rPr>
        <w:t>202</w:t>
      </w:r>
      <w:r>
        <w:rPr>
          <w:rFonts w:hint="eastAsia" w:ascii="仿宋_GB2312" w:hAnsi="仿宋_GB2312" w:eastAsia="仿宋_GB2312" w:cs="仿宋_GB2312"/>
          <w:color w:val="000000" w:themeColor="text1"/>
          <w:highlight w:val="none"/>
          <w:lang w:val="en-US" w:eastAsia="zh-CN"/>
          <w14:textFill>
            <w14:solidFill>
              <w14:schemeClr w14:val="tx1"/>
            </w14:solidFill>
          </w14:textFill>
        </w:rPr>
        <w:t>5年11</w:t>
      </w:r>
      <w:r>
        <w:rPr>
          <w:rFonts w:hint="eastAsia" w:ascii="仿宋_GB2312" w:hAnsi="仿宋_GB2312" w:eastAsia="仿宋_GB2312" w:cs="仿宋_GB2312"/>
          <w:color w:val="000000" w:themeColor="text1"/>
          <w:highlight w:val="none"/>
          <w:lang w:eastAsia="zh-CN"/>
          <w14:textFill>
            <w14:solidFill>
              <w14:schemeClr w14:val="tx1"/>
            </w14:solidFill>
          </w14:textFill>
        </w:rPr>
        <w:t>月</w:t>
      </w:r>
      <w:r>
        <w:rPr>
          <w:rFonts w:hint="eastAsia" w:ascii="仿宋_GB2312" w:hAnsi="仿宋_GB2312" w:eastAsia="仿宋_GB2312" w:cs="仿宋_GB2312"/>
          <w:color w:val="000000" w:themeColor="text1"/>
          <w:highlight w:val="none"/>
          <w:lang w:val="en-US" w:eastAsia="zh-CN"/>
          <w14:textFill>
            <w14:solidFill>
              <w14:schemeClr w14:val="tx1"/>
            </w14:solidFill>
          </w14:textFill>
        </w:rPr>
        <w:t>28</w:t>
      </w:r>
      <w:r>
        <w:rPr>
          <w:rFonts w:hint="eastAsia" w:ascii="仿宋_GB2312" w:hAnsi="仿宋_GB2312" w:eastAsia="仿宋_GB2312" w:cs="仿宋_GB2312"/>
          <w:color w:val="000000" w:themeColor="text1"/>
          <w:highlight w:val="none"/>
          <w:lang w:eastAsia="zh-CN"/>
          <w14:textFill>
            <w14:solidFill>
              <w14:schemeClr w14:val="tx1"/>
            </w14:solidFill>
          </w14:textFill>
        </w:rPr>
        <w:t>日</w:t>
      </w:r>
    </w:p>
    <w:p w14:paraId="11A4184C">
      <w:pPr>
        <w:keepNext w:val="0"/>
        <w:keepLines w:val="0"/>
        <w:pageBreakBefore w:val="0"/>
        <w:widowControl w:val="0"/>
        <w:kinsoku/>
        <w:wordWrap/>
        <w:overflowPunct/>
        <w:topLinePunct w:val="0"/>
        <w:autoSpaceDE/>
        <w:autoSpaceDN/>
        <w:bidi w:val="0"/>
        <w:adjustRightInd/>
        <w:snapToGrid/>
        <w:spacing w:line="200" w:lineRule="exact"/>
        <w:ind w:left="0" w:hanging="537" w:hangingChars="192"/>
        <w:jc w:val="center"/>
        <w:textAlignment w:val="auto"/>
        <w:outlineLvl w:val="9"/>
        <w:rPr>
          <w:rFonts w:hint="eastAsia" w:ascii="仿宋_GB2312" w:eastAsia="仿宋_GB2312"/>
          <w:b/>
          <w:bCs/>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 xml:space="preserve"> </w:t>
      </w:r>
      <w:r>
        <w:rPr>
          <w:rFonts w:hint="eastAsia" w:ascii="仿宋_GB2312" w:hAnsi="仿宋_GB2312" w:eastAsia="仿宋_GB2312" w:cs="仿宋_GB2312"/>
          <w:b/>
          <w:bCs/>
          <w:color w:val="000000" w:themeColor="text1"/>
          <w:sz w:val="28"/>
          <w:highlight w:val="none"/>
          <w14:textFill>
            <w14:solidFill>
              <w14:schemeClr w14:val="tx1"/>
            </w14:solidFill>
          </w14:textFill>
        </w:rPr>
        <w:t xml:space="preserve"> </w:t>
      </w:r>
    </w:p>
    <w:p w14:paraId="0CF0DCC1">
      <w:pPr>
        <w:spacing w:line="520" w:lineRule="exact"/>
        <w:ind w:left="538" w:hanging="540" w:hangingChars="192"/>
        <w:jc w:val="center"/>
        <w:outlineLvl w:val="2"/>
        <w:rPr>
          <w:rFonts w:ascii="仿宋_GB2312" w:eastAsia="仿宋_GB2312"/>
          <w:b/>
          <w:bCs/>
          <w:color w:val="000000" w:themeColor="text1"/>
          <w:sz w:val="28"/>
          <w:highlight w:val="none"/>
          <w14:textFill>
            <w14:solidFill>
              <w14:schemeClr w14:val="tx1"/>
            </w14:solidFill>
          </w14:textFill>
        </w:rPr>
      </w:pPr>
      <w:r>
        <w:rPr>
          <w:rFonts w:hint="eastAsia" w:ascii="仿宋_GB2312" w:hAnsi="仿宋_GB2312" w:eastAsia="仿宋_GB2312" w:cs="仿宋_GB2312"/>
          <w:b/>
          <w:bCs/>
          <w:color w:val="000000" w:themeColor="text1"/>
          <w:sz w:val="28"/>
          <w:highlight w:val="none"/>
          <w14:textFill>
            <w14:solidFill>
              <w14:schemeClr w14:val="tx1"/>
            </w14:solidFill>
          </w14:textFill>
        </w:rPr>
        <w:t xml:space="preserve"> 土地估价结果一览表</w:t>
      </w:r>
    </w:p>
    <w:p w14:paraId="170F58C6">
      <w:pPr>
        <w:spacing w:line="240" w:lineRule="exact"/>
        <w:ind w:left="-2478" w:leftChars="-1180" w:right="-227" w:firstLine="2625" w:firstLineChars="1250"/>
        <w:rPr>
          <w:rFonts w:hint="eastAsia" w:ascii="仿宋_GB2312" w:hAnsi="仿宋_GB2312" w:eastAsia="仿宋_GB2312" w:cs="仿宋_GB2312"/>
          <w:color w:val="000000" w:themeColor="text1"/>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估价机构：湖南兆财不动产规划评估有限公司                                                          估价期日：</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2025年11月26日</w:t>
      </w:r>
    </w:p>
    <w:p w14:paraId="44C42AC6">
      <w:pPr>
        <w:spacing w:line="240" w:lineRule="exact"/>
        <w:ind w:right="-227" w:firstLine="105" w:firstLineChars="50"/>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估价报告编号：（湖南）湘兆财土地[2026]（估）字第ZC0005号           估价目的：</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出让</w:t>
      </w:r>
      <w:r>
        <w:rPr>
          <w:rFonts w:hint="eastAsia" w:ascii="仿宋_GB2312" w:hAnsi="仿宋_GB2312" w:eastAsia="仿宋_GB2312" w:cs="仿宋_GB2312"/>
          <w:color w:val="000000" w:themeColor="text1"/>
          <w:szCs w:val="21"/>
          <w:highlight w:val="none"/>
          <w14:textFill>
            <w14:solidFill>
              <w14:schemeClr w14:val="tx1"/>
            </w14:solidFill>
          </w14:textFill>
        </w:rPr>
        <w:t xml:space="preserve">                    估价期日的土地使用权性质：拟出让</w:t>
      </w:r>
    </w:p>
    <w:tbl>
      <w:tblPr>
        <w:tblStyle w:val="9"/>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2"/>
        <w:gridCol w:w="945"/>
        <w:gridCol w:w="1096"/>
        <w:gridCol w:w="794"/>
        <w:gridCol w:w="778"/>
        <w:gridCol w:w="523"/>
        <w:gridCol w:w="576"/>
        <w:gridCol w:w="1336"/>
        <w:gridCol w:w="435"/>
        <w:gridCol w:w="910"/>
        <w:gridCol w:w="1322"/>
        <w:gridCol w:w="1584"/>
        <w:gridCol w:w="809"/>
        <w:gridCol w:w="976"/>
        <w:gridCol w:w="658"/>
        <w:gridCol w:w="693"/>
        <w:gridCol w:w="860"/>
        <w:gridCol w:w="652"/>
      </w:tblGrid>
      <w:tr w14:paraId="5C069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tblHeader/>
          <w:jc w:val="center"/>
        </w:trPr>
        <w:tc>
          <w:tcPr>
            <w:tcW w:w="260" w:type="pct"/>
            <w:vMerge w:val="restart"/>
            <w:vAlign w:val="center"/>
          </w:tcPr>
          <w:p w14:paraId="4DFF3B4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估价期日土地使用者</w:t>
            </w:r>
          </w:p>
        </w:tc>
        <w:tc>
          <w:tcPr>
            <w:tcW w:w="315" w:type="pct"/>
            <w:vMerge w:val="restart"/>
            <w:vAlign w:val="center"/>
          </w:tcPr>
          <w:p w14:paraId="1B4172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宗地</w:t>
            </w:r>
          </w:p>
          <w:p w14:paraId="5AE49D7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编号</w:t>
            </w:r>
          </w:p>
        </w:tc>
        <w:tc>
          <w:tcPr>
            <w:tcW w:w="363" w:type="pct"/>
            <w:vMerge w:val="restart"/>
            <w:vAlign w:val="center"/>
          </w:tcPr>
          <w:p w14:paraId="52AEE51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宗地名称</w:t>
            </w:r>
          </w:p>
        </w:tc>
        <w:tc>
          <w:tcPr>
            <w:tcW w:w="267" w:type="pct"/>
            <w:vMerge w:val="restart"/>
            <w:vAlign w:val="center"/>
          </w:tcPr>
          <w:p w14:paraId="561DE0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土地使用证编号</w:t>
            </w:r>
          </w:p>
        </w:tc>
        <w:tc>
          <w:tcPr>
            <w:tcW w:w="641" w:type="pct"/>
            <w:gridSpan w:val="3"/>
            <w:vAlign w:val="center"/>
          </w:tcPr>
          <w:p w14:paraId="0B8DB79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估价期日的用途</w:t>
            </w:r>
          </w:p>
        </w:tc>
        <w:tc>
          <w:tcPr>
            <w:tcW w:w="628" w:type="pct"/>
            <w:gridSpan w:val="3"/>
            <w:vAlign w:val="center"/>
          </w:tcPr>
          <w:p w14:paraId="6574021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容积率</w:t>
            </w:r>
          </w:p>
        </w:tc>
        <w:tc>
          <w:tcPr>
            <w:tcW w:w="435" w:type="pct"/>
            <w:vMerge w:val="restart"/>
            <w:vAlign w:val="center"/>
          </w:tcPr>
          <w:p w14:paraId="3E9CF40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估价期日实际土地开发程度</w:t>
            </w:r>
          </w:p>
        </w:tc>
        <w:tc>
          <w:tcPr>
            <w:tcW w:w="518" w:type="pct"/>
            <w:vMerge w:val="restart"/>
            <w:vAlign w:val="center"/>
          </w:tcPr>
          <w:p w14:paraId="609312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估价设定土地开发程度</w:t>
            </w:r>
          </w:p>
        </w:tc>
        <w:tc>
          <w:tcPr>
            <w:tcW w:w="272" w:type="pct"/>
            <w:vMerge w:val="restart"/>
            <w:vAlign w:val="center"/>
          </w:tcPr>
          <w:p w14:paraId="45052E9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剩余土地使用权年期（年）</w:t>
            </w:r>
          </w:p>
        </w:tc>
        <w:tc>
          <w:tcPr>
            <w:tcW w:w="325" w:type="pct"/>
            <w:vMerge w:val="restart"/>
            <w:vAlign w:val="center"/>
          </w:tcPr>
          <w:p w14:paraId="7E5885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面积(㎡)</w:t>
            </w:r>
          </w:p>
        </w:tc>
        <w:tc>
          <w:tcPr>
            <w:tcW w:w="224" w:type="pct"/>
            <w:vMerge w:val="restart"/>
            <w:vAlign w:val="center"/>
          </w:tcPr>
          <w:p w14:paraId="3DF9AE6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地面地价(元/㎡)</w:t>
            </w:r>
          </w:p>
        </w:tc>
        <w:tc>
          <w:tcPr>
            <w:tcW w:w="235" w:type="pct"/>
            <w:vMerge w:val="restart"/>
            <w:vAlign w:val="center"/>
          </w:tcPr>
          <w:p w14:paraId="3CDEE84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楼面地价(元/㎡)</w:t>
            </w:r>
          </w:p>
        </w:tc>
        <w:tc>
          <w:tcPr>
            <w:tcW w:w="288" w:type="pct"/>
            <w:vMerge w:val="restart"/>
            <w:vAlign w:val="center"/>
          </w:tcPr>
          <w:p w14:paraId="2FA94CA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总价</w:t>
            </w:r>
          </w:p>
          <w:p w14:paraId="2673F6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(万元)</w:t>
            </w:r>
          </w:p>
        </w:tc>
        <w:tc>
          <w:tcPr>
            <w:tcW w:w="222" w:type="pct"/>
            <w:vMerge w:val="restart"/>
            <w:vAlign w:val="center"/>
          </w:tcPr>
          <w:p w14:paraId="033E873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备注</w:t>
            </w:r>
          </w:p>
        </w:tc>
      </w:tr>
      <w:tr w14:paraId="6CC7E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0" w:hRule="atLeast"/>
          <w:tblHeader/>
          <w:jc w:val="center"/>
        </w:trPr>
        <w:tc>
          <w:tcPr>
            <w:tcW w:w="260" w:type="pct"/>
            <w:vMerge w:val="continue"/>
            <w:vAlign w:val="center"/>
          </w:tcPr>
          <w:p w14:paraId="24FAB25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15" w:type="pct"/>
            <w:vMerge w:val="continue"/>
            <w:vAlign w:val="center"/>
          </w:tcPr>
          <w:p w14:paraId="0A4C36D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63" w:type="pct"/>
            <w:vMerge w:val="continue"/>
            <w:vAlign w:val="center"/>
          </w:tcPr>
          <w:p w14:paraId="05055C2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67" w:type="pct"/>
            <w:vMerge w:val="continue"/>
            <w:vAlign w:val="center"/>
          </w:tcPr>
          <w:p w14:paraId="0140DFE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62" w:type="pct"/>
            <w:vAlign w:val="center"/>
          </w:tcPr>
          <w:p w14:paraId="285EC9C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证载（或批准）</w:t>
            </w:r>
          </w:p>
        </w:tc>
        <w:tc>
          <w:tcPr>
            <w:tcW w:w="181" w:type="pct"/>
            <w:vAlign w:val="center"/>
          </w:tcPr>
          <w:p w14:paraId="0D225E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实际</w:t>
            </w:r>
          </w:p>
        </w:tc>
        <w:tc>
          <w:tcPr>
            <w:tcW w:w="197" w:type="pct"/>
            <w:vAlign w:val="center"/>
          </w:tcPr>
          <w:p w14:paraId="4F974C3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设定</w:t>
            </w:r>
          </w:p>
        </w:tc>
        <w:tc>
          <w:tcPr>
            <w:tcW w:w="171" w:type="pct"/>
            <w:vAlign w:val="center"/>
          </w:tcPr>
          <w:p w14:paraId="2E6AEBF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规划</w:t>
            </w:r>
          </w:p>
        </w:tc>
        <w:tc>
          <w:tcPr>
            <w:tcW w:w="153" w:type="pct"/>
            <w:vAlign w:val="center"/>
          </w:tcPr>
          <w:p w14:paraId="4961F4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实际</w:t>
            </w:r>
          </w:p>
        </w:tc>
        <w:tc>
          <w:tcPr>
            <w:tcW w:w="303" w:type="pct"/>
            <w:vAlign w:val="center"/>
          </w:tcPr>
          <w:p w14:paraId="3A47FA3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设定</w:t>
            </w:r>
          </w:p>
        </w:tc>
        <w:tc>
          <w:tcPr>
            <w:tcW w:w="435" w:type="pct"/>
            <w:vMerge w:val="continue"/>
            <w:vAlign w:val="center"/>
          </w:tcPr>
          <w:p w14:paraId="10C4B65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518" w:type="pct"/>
            <w:vMerge w:val="continue"/>
            <w:vAlign w:val="center"/>
          </w:tcPr>
          <w:p w14:paraId="6092D3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72" w:type="pct"/>
            <w:vMerge w:val="continue"/>
            <w:vAlign w:val="center"/>
          </w:tcPr>
          <w:p w14:paraId="05E18C2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25" w:type="pct"/>
            <w:vMerge w:val="continue"/>
            <w:vAlign w:val="center"/>
          </w:tcPr>
          <w:p w14:paraId="7B2B2A8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24" w:type="pct"/>
            <w:vMerge w:val="continue"/>
            <w:vAlign w:val="center"/>
          </w:tcPr>
          <w:p w14:paraId="2FDEA45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35" w:type="pct"/>
            <w:vMerge w:val="continue"/>
            <w:vAlign w:val="center"/>
          </w:tcPr>
          <w:p w14:paraId="29F8A15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88" w:type="pct"/>
            <w:vMerge w:val="continue"/>
            <w:vAlign w:val="center"/>
          </w:tcPr>
          <w:p w14:paraId="58823D0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22" w:type="pct"/>
            <w:vMerge w:val="continue"/>
            <w:vAlign w:val="center"/>
          </w:tcPr>
          <w:p w14:paraId="7BAF88C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r>
      <w:tr w14:paraId="3CD81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atLeast"/>
          <w:jc w:val="center"/>
        </w:trPr>
        <w:tc>
          <w:tcPr>
            <w:tcW w:w="260" w:type="pct"/>
            <w:vAlign w:val="center"/>
          </w:tcPr>
          <w:p w14:paraId="00A0949F">
            <w:r>
              <w:t>黄璞</w:t>
            </w:r>
          </w:p>
        </w:tc>
        <w:tc>
          <w:tcPr>
            <w:tcW w:w="315" w:type="pct"/>
            <w:vAlign w:val="center"/>
          </w:tcPr>
          <w:p w14:paraId="75AC025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2025018</w:t>
            </w:r>
          </w:p>
        </w:tc>
        <w:tc>
          <w:tcPr>
            <w:tcW w:w="363" w:type="pct"/>
            <w:vAlign w:val="center"/>
          </w:tcPr>
          <w:p w14:paraId="0A0D7F9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t>通道县双江镇城南街</w:t>
            </w:r>
          </w:p>
        </w:tc>
        <w:tc>
          <w:tcPr>
            <w:tcW w:w="267" w:type="pct"/>
            <w:vAlign w:val="center"/>
          </w:tcPr>
          <w:p w14:paraId="695D09F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待办</w:t>
            </w:r>
          </w:p>
        </w:tc>
        <w:tc>
          <w:tcPr>
            <w:tcW w:w="262" w:type="pct"/>
            <w:vAlign w:val="center"/>
          </w:tcPr>
          <w:p w14:paraId="36C859A0">
            <w:r>
              <w:t>住宅用地</w:t>
            </w:r>
          </w:p>
        </w:tc>
        <w:tc>
          <w:tcPr>
            <w:tcW w:w="181" w:type="pct"/>
            <w:vAlign w:val="center"/>
          </w:tcPr>
          <w:p w14:paraId="5C5964B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t>/</w:t>
            </w:r>
          </w:p>
        </w:tc>
        <w:tc>
          <w:tcPr>
            <w:tcW w:w="197" w:type="pct"/>
            <w:vAlign w:val="center"/>
          </w:tcPr>
          <w:p w14:paraId="791BFDC7">
            <w:r>
              <w:t>住宅用地</w:t>
            </w:r>
          </w:p>
        </w:tc>
        <w:tc>
          <w:tcPr>
            <w:tcW w:w="171" w:type="pct"/>
            <w:vAlign w:val="center"/>
          </w:tcPr>
          <w:p w14:paraId="7695DB1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ascii="仿宋_GB2312" w:hAnsi="仿宋_GB2312" w:eastAsia="仿宋_GB2312" w:cs="仿宋_GB2312"/>
                <w:color w:val="000000"/>
                <w:sz w:val="28"/>
              </w:rPr>
              <w:t>0.7-4.23</w:t>
            </w:r>
          </w:p>
        </w:tc>
        <w:tc>
          <w:tcPr>
            <w:tcW w:w="153" w:type="pct"/>
            <w:vAlign w:val="center"/>
          </w:tcPr>
          <w:p w14:paraId="46C1A9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t>/</w:t>
            </w:r>
          </w:p>
        </w:tc>
        <w:tc>
          <w:tcPr>
            <w:tcW w:w="303" w:type="pct"/>
            <w:vAlign w:val="center"/>
          </w:tcPr>
          <w:p w14:paraId="35A8B91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ascii="仿宋_GB2312" w:hAnsi="仿宋_GB2312" w:eastAsia="仿宋_GB2312" w:cs="仿宋_GB2312"/>
                <w:color w:val="000000"/>
                <w:sz w:val="28"/>
              </w:rPr>
              <w:t>4.23</w:t>
            </w:r>
          </w:p>
        </w:tc>
        <w:tc>
          <w:tcPr>
            <w:tcW w:w="435" w:type="pct"/>
            <w:vAlign w:val="center"/>
          </w:tcPr>
          <w:p w14:paraId="488C4C2A">
            <w:r>
              <w:t>宗地红线内外“五通”（通路、通电、供水、排水、通讯）及红线内场地平整</w:t>
            </w:r>
          </w:p>
        </w:tc>
        <w:tc>
          <w:tcPr>
            <w:tcW w:w="518" w:type="pct"/>
            <w:vAlign w:val="center"/>
          </w:tcPr>
          <w:p w14:paraId="782CE035">
            <w:r>
              <w:t>宗地红线内外“五通”（通路、通电、供水、排水、通讯）及红线内场地平整</w:t>
            </w:r>
          </w:p>
        </w:tc>
        <w:tc>
          <w:tcPr>
            <w:tcW w:w="272" w:type="pct"/>
            <w:vAlign w:val="center"/>
          </w:tcPr>
          <w:p w14:paraId="5C0C57FC">
            <w:r>
              <w:t>70</w:t>
            </w:r>
          </w:p>
        </w:tc>
        <w:tc>
          <w:tcPr>
            <w:tcW w:w="325" w:type="pct"/>
            <w:vAlign w:val="center"/>
          </w:tcPr>
          <w:p w14:paraId="197EBCB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25.32</w:t>
            </w:r>
          </w:p>
        </w:tc>
        <w:tc>
          <w:tcPr>
            <w:tcW w:w="224" w:type="pct"/>
            <w:vAlign w:val="center"/>
          </w:tcPr>
          <w:p w14:paraId="4EF124C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159</w:t>
            </w:r>
          </w:p>
        </w:tc>
        <w:tc>
          <w:tcPr>
            <w:tcW w:w="235" w:type="pct"/>
            <w:vAlign w:val="center"/>
          </w:tcPr>
          <w:p w14:paraId="6B11CD9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w:t>
            </w:r>
          </w:p>
        </w:tc>
        <w:tc>
          <w:tcPr>
            <w:tcW w:w="288" w:type="pct"/>
            <w:shd w:val="clear" w:color="auto" w:fill="auto"/>
            <w:vAlign w:val="center"/>
          </w:tcPr>
          <w:p w14:paraId="3C51DFB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default" w:ascii="等线" w:hAnsi="等线" w:eastAsia="等线" w:cs="等线"/>
                <w:i w:val="0"/>
                <w:iCs w:val="0"/>
                <w:color w:val="000000" w:themeColor="text1"/>
                <w:kern w:val="2"/>
                <w:sz w:val="22"/>
                <w:szCs w:val="22"/>
                <w:highlight w:val="none"/>
                <w:u w:val="none"/>
                <w:lang w:val="en-US" w:eastAsia="zh-CN" w:bidi="ar-SA"/>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76.79</w:t>
            </w:r>
          </w:p>
        </w:tc>
        <w:tc>
          <w:tcPr>
            <w:tcW w:w="222" w:type="pct"/>
            <w:vAlign w:val="center"/>
          </w:tcPr>
          <w:p w14:paraId="02E1964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合</w:t>
            </w:r>
            <w:r>
              <w:rPr>
                <w:rFonts w:hint="eastAsia" w:ascii="仿宋_GB2312" w:hAnsi="仿宋_GB2312" w:eastAsia="仿宋_GB2312" w:cs="仿宋_GB2312"/>
                <w:color w:val="000000" w:themeColor="text1"/>
                <w:spacing w:val="0"/>
                <w:sz w:val="21"/>
                <w:szCs w:val="21"/>
                <w:highlight w:val="none"/>
                <w:lang w:val="en-US" w:eastAsia="zh-CN"/>
                <w14:textFill>
                  <w14:solidFill>
                    <w14:schemeClr w14:val="tx1"/>
                  </w14:solidFill>
                </w14:textFill>
              </w:rPr>
              <w:t>10.7</w:t>
            </w: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万元/亩</w:t>
            </w:r>
          </w:p>
        </w:tc>
      </w:tr>
    </w:tbl>
    <w:p w14:paraId="7891DF78">
      <w:pPr>
        <w:keepNext w:val="0"/>
        <w:keepLines w:val="0"/>
        <w:pageBreakBefore w:val="0"/>
        <w:widowControl w:val="0"/>
        <w:kinsoku/>
        <w:wordWrap/>
        <w:overflowPunct/>
        <w:topLinePunct w:val="0"/>
        <w:autoSpaceDE/>
        <w:autoSpaceDN/>
        <w:bidi w:val="0"/>
        <w:adjustRightInd/>
        <w:snapToGrid/>
        <w:spacing w:line="22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注：上表中“</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五通</w:t>
      </w:r>
      <w:r>
        <w:rPr>
          <w:rFonts w:hint="eastAsia" w:ascii="仿宋_GB2312" w:hAnsi="仿宋_GB2312" w:eastAsia="仿宋_GB2312" w:cs="仿宋_GB2312"/>
          <w:color w:val="000000" w:themeColor="text1"/>
          <w:szCs w:val="21"/>
          <w:highlight w:val="none"/>
          <w14:textFill>
            <w14:solidFill>
              <w14:schemeClr w14:val="tx1"/>
            </w14:solidFill>
          </w14:textFill>
        </w:rPr>
        <w:t>”指宗地红外围通路、通电、通讯</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排水、供水</w:t>
      </w:r>
      <w:r>
        <w:rPr>
          <w:rFonts w:hint="eastAsia" w:ascii="仿宋_GB2312" w:hAnsi="仿宋_GB2312" w:eastAsia="仿宋_GB2312" w:cs="仿宋_GB2312"/>
          <w:color w:val="000000" w:themeColor="text1"/>
          <w:szCs w:val="21"/>
          <w:highlight w:val="none"/>
          <w14:textFill>
            <w14:solidFill>
              <w14:schemeClr w14:val="tx1"/>
            </w14:solidFill>
          </w14:textFill>
        </w:rPr>
        <w:t>。</w:t>
      </w:r>
    </w:p>
    <w:p w14:paraId="7F132A0A">
      <w:pPr>
        <w:keepNext w:val="0"/>
        <w:keepLines w:val="0"/>
        <w:pageBreakBefore w:val="0"/>
        <w:widowControl w:val="0"/>
        <w:tabs>
          <w:tab w:val="left" w:pos="560"/>
        </w:tabs>
        <w:kinsoku/>
        <w:wordWrap/>
        <w:overflowPunct/>
        <w:topLinePunct w:val="0"/>
        <w:autoSpaceDE/>
        <w:autoSpaceDN/>
        <w:bidi w:val="0"/>
        <w:adjustRightInd/>
        <w:snapToGrid/>
        <w:spacing w:line="22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一、上述土地估价结果的限定条件</w:t>
      </w:r>
    </w:p>
    <w:p w14:paraId="370D3D0D">
      <w:pPr>
        <w:keepNext w:val="0"/>
        <w:keepLines w:val="0"/>
        <w:pageBreakBefore w:val="0"/>
        <w:widowControl w:val="0"/>
        <w:tabs>
          <w:tab w:val="left" w:pos="560"/>
        </w:tabs>
        <w:kinsoku/>
        <w:wordWrap/>
        <w:overflowPunct/>
        <w:topLinePunct w:val="0"/>
        <w:autoSpaceDE/>
        <w:autoSpaceDN/>
        <w:bidi w:val="0"/>
        <w:adjustRightInd/>
        <w:snapToGrid/>
        <w:spacing w:line="220" w:lineRule="exact"/>
        <w:ind w:left="-283" w:leftChars="-135" w:firstLine="943" w:firstLineChars="337"/>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color w:val="000000"/>
          <w:sz w:val="28"/>
        </w:rPr>
        <w:t>1.根据《关于国有建设用地的规划条件的函》（2025年9月11日），估价对象位于通道县双江镇城南街，估价对象土地所有权为国有，土地使用权性质为拟出让，土地使用者拟通过挂牌出让确定。根据委托方提供相关资料和估价人员调查结果，截至估价期日估价对象未有抵押权、地役权、租赁权等他项权利登记，本次评估设定估价对象地上无抵押权、地役权、租赁权等他项权利登记；</w:t>
      </w:r>
    </w:p>
    <w:p w14:paraId="7785B2A9">
      <w:pPr>
        <w:keepNext w:val="0"/>
        <w:keepLines w:val="0"/>
        <w:pageBreakBefore w:val="0"/>
        <w:widowControl w:val="0"/>
        <w:tabs>
          <w:tab w:val="left" w:pos="560"/>
        </w:tabs>
        <w:kinsoku/>
        <w:wordWrap/>
        <w:overflowPunct/>
        <w:topLinePunct w:val="0"/>
        <w:autoSpaceDE/>
        <w:autoSpaceDN/>
        <w:bidi w:val="0"/>
        <w:adjustRightInd/>
        <w:snapToGrid/>
        <w:spacing w:line="220" w:lineRule="exact"/>
        <w:ind w:left="-283" w:leftChars="-135" w:firstLine="943" w:firstLineChars="337"/>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color w:val="000000"/>
          <w:sz w:val="28"/>
        </w:rPr>
        <w:t>2.宗地红线外“五通”（即通路、通电、供水、排水、通讯），宗地红线内场地平整。</w:t>
      </w:r>
    </w:p>
    <w:tbl>
      <w:tblPr>
        <w:tblStyle w:val="9"/>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2"/>
        <w:gridCol w:w="2322"/>
        <w:gridCol w:w="3011"/>
        <w:gridCol w:w="2048"/>
        <w:gridCol w:w="2448"/>
        <w:gridCol w:w="4194"/>
      </w:tblGrid>
      <w:tr w14:paraId="1E1DB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93" w:hRule="atLeast"/>
          <w:jc w:val="center"/>
        </w:trPr>
        <w:tc>
          <w:tcPr>
            <w:tcW w:w="541" w:type="pct"/>
            <w:noWrap w:val="0"/>
            <w:vAlign w:val="center"/>
          </w:tcPr>
          <w:p w14:paraId="44D543C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 w:hAnsi="仿宋" w:eastAsia="仿宋" w:cs="仿宋"/>
                <w:b/>
                <w:snapToGrid w:val="0"/>
                <w:color w:val="auto"/>
                <w:sz w:val="18"/>
                <w:szCs w:val="18"/>
                <w:highlight w:val="none"/>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地面平整状况</w:t>
            </w:r>
          </w:p>
        </w:tc>
        <w:tc>
          <w:tcPr>
            <w:tcW w:w="738" w:type="pct"/>
            <w:noWrap w:val="0"/>
            <w:vAlign w:val="center"/>
          </w:tcPr>
          <w:p w14:paraId="3A447DE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周围道路状况</w:t>
            </w:r>
          </w:p>
        </w:tc>
        <w:tc>
          <w:tcPr>
            <w:tcW w:w="957" w:type="pct"/>
            <w:noWrap w:val="0"/>
            <w:vAlign w:val="center"/>
          </w:tcPr>
          <w:p w14:paraId="15C9E47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供电状况</w:t>
            </w:r>
          </w:p>
        </w:tc>
        <w:tc>
          <w:tcPr>
            <w:tcW w:w="651" w:type="pct"/>
            <w:noWrap w:val="0"/>
            <w:vAlign w:val="center"/>
          </w:tcPr>
          <w:p w14:paraId="096C27E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供水状况</w:t>
            </w:r>
          </w:p>
        </w:tc>
        <w:tc>
          <w:tcPr>
            <w:tcW w:w="778" w:type="pct"/>
            <w:noWrap w:val="0"/>
            <w:vAlign w:val="center"/>
          </w:tcPr>
          <w:p w14:paraId="6FB3AF1C">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排水状况</w:t>
            </w:r>
          </w:p>
        </w:tc>
        <w:tc>
          <w:tcPr>
            <w:tcW w:w="1333" w:type="pct"/>
            <w:noWrap w:val="0"/>
            <w:vAlign w:val="center"/>
          </w:tcPr>
          <w:p w14:paraId="7F48AD8C">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通</w:t>
            </w:r>
            <w:r>
              <w:rPr>
                <w:rFonts w:hint="eastAsia" w:ascii="仿宋_GB2312" w:hAnsi="仿宋_GB2312" w:eastAsia="仿宋_GB2312" w:cs="仿宋_GB2312"/>
                <w:b/>
                <w:bCs/>
                <w:snapToGrid/>
                <w:color w:val="000000" w:themeColor="text1"/>
                <w:spacing w:val="-10"/>
                <w:sz w:val="21"/>
                <w:szCs w:val="21"/>
                <w:highlight w:val="none"/>
                <w:lang w:eastAsia="zh-CN"/>
                <w14:textFill>
                  <w14:solidFill>
                    <w14:schemeClr w14:val="tx1"/>
                  </w14:solidFill>
                </w14:textFill>
              </w:rPr>
              <w:t>讯</w:t>
            </w: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状况</w:t>
            </w:r>
          </w:p>
        </w:tc>
      </w:tr>
      <w:tr w14:paraId="42EB6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8" w:hRule="atLeast"/>
          <w:jc w:val="center"/>
        </w:trPr>
        <w:tc>
          <w:tcPr>
            <w:tcW w:w="541" w:type="pct"/>
            <w:noWrap w:val="0"/>
            <w:vAlign w:val="center"/>
          </w:tcPr>
          <w:p w14:paraId="7B088AAB">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 w:hAnsi="仿宋" w:eastAsia="仿宋" w:cs="仿宋"/>
                <w:snapToGrid w:val="0"/>
                <w:color w:val="auto"/>
                <w:sz w:val="18"/>
                <w:szCs w:val="18"/>
                <w:highlight w:val="none"/>
                <w:lang w:val="en-US" w:eastAsia="zh-CN"/>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宗地红线外“五通”宗地红线内场地平整</w:t>
            </w:r>
          </w:p>
        </w:tc>
        <w:tc>
          <w:tcPr>
            <w:tcW w:w="738" w:type="pct"/>
            <w:noWrap w:val="0"/>
            <w:vAlign w:val="center"/>
          </w:tcPr>
          <w:p w14:paraId="22A59669">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场内道路为山皮石路面，路面宽4.5m</w:t>
            </w:r>
          </w:p>
          <w:p w14:paraId="0B559232">
            <w:pPr>
              <w:spacing w:line="220" w:lineRule="exact"/>
              <w:jc w:val="center"/>
              <w:outlineLvl w:val="9"/>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p>
        </w:tc>
        <w:tc>
          <w:tcPr>
            <w:tcW w:w="957" w:type="pct"/>
            <w:noWrap w:val="0"/>
            <w:vAlign w:val="center"/>
          </w:tcPr>
          <w:p w14:paraId="1072708C">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区域内接市政双回路110KV供电管网，供电保证率一般</w:t>
            </w:r>
          </w:p>
        </w:tc>
        <w:tc>
          <w:tcPr>
            <w:tcW w:w="651" w:type="pct"/>
            <w:noWrap w:val="0"/>
            <w:vAlign w:val="center"/>
          </w:tcPr>
          <w:p w14:paraId="7E44F5BC">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区域内供水主要来自区内的市政供水</w:t>
            </w:r>
          </w:p>
        </w:tc>
        <w:tc>
          <w:tcPr>
            <w:tcW w:w="778" w:type="pct"/>
            <w:noWrap w:val="0"/>
            <w:vAlign w:val="center"/>
          </w:tcPr>
          <w:p w14:paraId="11808839">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宗地外接排水设施，在雨水大的情况下无洪涝和积水</w:t>
            </w:r>
          </w:p>
        </w:tc>
        <w:tc>
          <w:tcPr>
            <w:tcW w:w="1333" w:type="pct"/>
            <w:noWrap w:val="0"/>
            <w:vAlign w:val="center"/>
          </w:tcPr>
          <w:p w14:paraId="1F929EEC">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宗地接市政通讯设施，有中国电信光缆、移动、联通综合网络覆盖该区域，区域通讯直接与市政通信网络相联，线路畅通，现有通讯能力保障率为100%。</w:t>
            </w:r>
          </w:p>
        </w:tc>
      </w:tr>
    </w:tbl>
    <w:p w14:paraId="5D899708">
      <w:pPr>
        <w:keepNext w:val="0"/>
        <w:keepLines w:val="0"/>
        <w:pageBreakBefore w:val="0"/>
        <w:widowControl w:val="0"/>
        <w:kinsoku/>
        <w:wordWrap/>
        <w:overflowPunct/>
        <w:topLinePunct w:val="0"/>
        <w:autoSpaceDE/>
        <w:autoSpaceDN/>
        <w:bidi w:val="0"/>
        <w:adjustRightInd/>
        <w:snapToGrid/>
        <w:spacing w:line="240" w:lineRule="exact"/>
        <w:ind w:firstLine="56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color w:val="000000"/>
          <w:sz w:val="28"/>
        </w:rPr>
        <w:t>3.规划限制条件：根据《关于国有建设用地的规划条件的函》（2025年9月11日），估价对象为位于通道县双江镇城南街，用地面积25.32平方米。</w:t>
      </w:r>
    </w:p>
    <w:p w14:paraId="72DFE86F">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4.影响土地价值的其他限定条件：无。</w:t>
      </w:r>
    </w:p>
    <w:p w14:paraId="2B47F6B8">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 xml:space="preserve">二、其他需要说明的事项 </w:t>
      </w:r>
    </w:p>
    <w:p w14:paraId="7A3E6D39">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1.本次估价目的为土地出让方通过集体决策确定估价对象挂牌出让底价提供国有建设用地使用权市场价格参考依据。</w:t>
      </w:r>
    </w:p>
    <w:p w14:paraId="2BCEE574">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2.本估价报告有效期自提交估价报告日</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202</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5年11月28</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日</w:t>
      </w:r>
      <w:r>
        <w:rPr>
          <w:rFonts w:hint="eastAsia" w:ascii="仿宋_GB2312" w:hAnsi="仿宋_GB2312" w:eastAsia="仿宋_GB2312" w:cs="仿宋_GB2312"/>
          <w:color w:val="000000" w:themeColor="text1"/>
          <w:szCs w:val="21"/>
          <w:highlight w:val="none"/>
          <w14:textFill>
            <w14:solidFill>
              <w14:schemeClr w14:val="tx1"/>
            </w14:solidFill>
          </w14:textFill>
        </w:rPr>
        <w:t>至</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202</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6</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年</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11</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月</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27</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日</w:t>
      </w:r>
      <w:r>
        <w:rPr>
          <w:rFonts w:hint="eastAsia" w:ascii="仿宋_GB2312" w:hAnsi="仿宋_GB2312" w:eastAsia="仿宋_GB2312" w:cs="仿宋_GB2312"/>
          <w:color w:val="000000" w:themeColor="text1"/>
          <w:szCs w:val="21"/>
          <w:highlight w:val="none"/>
          <w14:textFill>
            <w14:solidFill>
              <w14:schemeClr w14:val="tx1"/>
            </w14:solidFill>
          </w14:textFill>
        </w:rPr>
        <w:t>一年内有效。</w:t>
      </w:r>
    </w:p>
    <w:p w14:paraId="459F75BC">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3.估价结果按规定须报请自然资源主管部门备案。</w:t>
      </w:r>
    </w:p>
    <w:p w14:paraId="03091924">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t>4.本评估报告中涉及的土地面积、土地权属、土地用途、规划利用指标以委托方提供的《关于通道县2002年第七批次建设用地农用地转用和土地征收的批复》（湘政地〔2002〕1205号，2002年9月5日）、《通道县房屋登记核发权证申请表》（2002年12月30日）为依据，本报告估价结果是在满足地价定义所设定条件下的使用权价格，若估价期日、土地利用方式、土地开发状况、土地面积等影响地价的任一因素发生变化，则该估价结果应作相应调整。</w:t>
      </w:r>
    </w:p>
    <w:p w14:paraId="329D4C36">
      <w:pPr>
        <w:keepNext w:val="0"/>
        <w:keepLines w:val="0"/>
        <w:pageBreakBefore w:val="0"/>
        <w:widowControl w:val="0"/>
        <w:kinsoku/>
        <w:wordWrap/>
        <w:overflowPunct/>
        <w:topLinePunct w:val="0"/>
        <w:autoSpaceDE/>
        <w:autoSpaceDN/>
        <w:bidi w:val="0"/>
        <w:adjustRightInd/>
        <w:snapToGrid/>
        <w:spacing w:line="240" w:lineRule="exact"/>
        <w:ind w:firstLine="56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color w:val="000000"/>
          <w:sz w:val="28"/>
        </w:rPr>
        <w:t>5.依据通道县自然资源局《关于国有建设用地的规划条件的函》（2025年9月11日），用地面积25.32平方米，本次评估面积以拟出让地块红线图的供应面积为准。</w:t>
      </w:r>
    </w:p>
    <w:p w14:paraId="7C2B4B66">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6</w:t>
      </w:r>
      <w:r>
        <w:rPr>
          <w:rFonts w:hint="eastAsia" w:ascii="仿宋_GB2312" w:hAnsi="仿宋_GB2312" w:eastAsia="仿宋_GB2312" w:cs="仿宋_GB2312"/>
          <w:color w:val="000000" w:themeColor="text1"/>
          <w:szCs w:val="21"/>
          <w:highlight w:val="none"/>
          <w14:textFill>
            <w14:solidFill>
              <w14:schemeClr w14:val="tx1"/>
            </w14:solidFill>
          </w14:textFill>
        </w:rPr>
        <w:t>.本估价结果仅作为委托估价方在本次估价目的下使用，不得用做验资证明、征收补偿、司法、房地产交易等除本次目的之外的其他用途。未经本估价机构和土地估价师的同意，该结果不得向委托估价方及报告审查部门以外的单位及个人提供，凡因委托人使用估价报告不当而引起的后果，估价机构和土地估价师不承担相应的责任。</w:t>
      </w:r>
    </w:p>
    <w:p w14:paraId="099D94EF">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right"/>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 xml:space="preserve"> </w:t>
      </w:r>
    </w:p>
    <w:p w14:paraId="4682344D">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right"/>
        <w:textAlignment w:val="auto"/>
        <w:outlineLvl w:val="9"/>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湖南兆财不动产规划评估有限公司</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 xml:space="preserve">                                                                                                                                                                                                                    </w:t>
      </w:r>
    </w:p>
    <w:p w14:paraId="2B90C411">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center"/>
        <w:textAlignment w:val="auto"/>
        <w:outlineLvl w:val="9"/>
        <w:rPr>
          <w:rFonts w:hint="eastAsia" w:ascii="仿宋_GB2312" w:hAnsi="仿宋_GB2312" w:eastAsia="仿宋_GB2312" w:cs="仿宋_GB2312"/>
          <w:color w:val="000000" w:themeColor="text1"/>
          <w:highlight w:val="none"/>
          <w:lang w:eastAsia="zh-CN"/>
          <w14:textFill>
            <w14:solidFill>
              <w14:schemeClr w14:val="tx1"/>
            </w14:solidFill>
          </w14:textFill>
        </w:rPr>
      </w:pP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202</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5</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年</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11</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月</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28</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日</w:t>
      </w:r>
    </w:p>
    <w:p w14:paraId="1890A5BA">
      <w:pPr>
        <w:pStyle w:val="14"/>
        <w:rPr>
          <w:rFonts w:hint="eastAsia" w:ascii="仿宋_GB2312" w:hAnsi="仿宋_GB2312" w:eastAsia="仿宋_GB2312" w:cs="仿宋_GB2312"/>
          <w:color w:val="000000" w:themeColor="text1"/>
          <w:highlight w:val="none"/>
          <w14:textFill>
            <w14:solidFill>
              <w14:schemeClr w14:val="tx1"/>
            </w14:solidFill>
          </w14:textFill>
        </w:rPr>
        <w:sectPr>
          <w:endnotePr>
            <w:numFmt w:val="decimal"/>
          </w:endnotePr>
          <w:type w:val="continuous"/>
          <w:pgSz w:w="16838" w:h="11906" w:orient="landscape"/>
          <w:pgMar w:top="720" w:right="663" w:bottom="720" w:left="663" w:header="624" w:footer="624" w:gutter="0"/>
          <w:pgNumType w:fmt="decimal"/>
          <w:cols w:space="720" w:num="1"/>
          <w:docGrid w:linePitch="312" w:charSpace="0"/>
        </w:sectPr>
      </w:pPr>
    </w:p>
    <w:p w14:paraId="6BD788E0">
      <w:pPr>
        <w:spacing w:before="120" w:beforeLines="50" w:after="240" w:afterLines="100" w:line="440" w:lineRule="exact"/>
        <w:ind w:left="641" w:firstLine="180" w:firstLineChars="56"/>
        <w:jc w:val="center"/>
        <w:outlineLvl w:val="0"/>
        <w:rPr>
          <w:rFonts w:ascii="宋体" w:hAnsi="宋体"/>
          <w:b/>
          <w:color w:val="000000" w:themeColor="text1"/>
          <w:sz w:val="32"/>
          <w:szCs w:val="32"/>
          <w:highlight w:val="none"/>
          <w14:textFill>
            <w14:solidFill>
              <w14:schemeClr w14:val="tx1"/>
            </w14:solidFill>
          </w14:textFill>
        </w:rPr>
      </w:pPr>
      <w:r>
        <w:rPr>
          <w:rFonts w:hint="eastAsia" w:ascii="仿宋_GB2312" w:hAnsi="仿宋_GB2312" w:eastAsia="仿宋_GB2312" w:cs="仿宋_GB2312"/>
          <w:b/>
          <w:bCs/>
          <w:color w:val="000000" w:themeColor="text1"/>
          <w:sz w:val="32"/>
          <w:highlight w:val="none"/>
          <w14:textFill>
            <w14:solidFill>
              <w14:schemeClr w14:val="tx1"/>
            </w14:solidFill>
          </w14:textFill>
        </w:rPr>
        <w:t>第二部分    估价对象界定</w:t>
      </w:r>
    </w:p>
    <w:p w14:paraId="3CD27D98">
      <w:pPr>
        <w:keepNext w:val="0"/>
        <w:keepLines w:val="0"/>
        <w:pageBreakBefore w:val="0"/>
        <w:widowControl w:val="0"/>
        <w:kinsoku/>
        <w:wordWrap/>
        <w:overflowPunct/>
        <w:topLinePunct w:val="0"/>
        <w:autoSpaceDE/>
        <w:autoSpaceDN/>
        <w:bidi w:val="0"/>
        <w:spacing w:line="460" w:lineRule="exact"/>
        <w:ind w:firstLine="562" w:firstLineChars="200"/>
        <w:textAlignment w:val="auto"/>
        <w:outlineLvl w:val="1"/>
        <w:rPr>
          <w:rFonts w:eastAsia="仿宋_GB2312"/>
          <w:b/>
          <w:color w:val="000000" w:themeColor="text1"/>
          <w:sz w:val="28"/>
          <w:szCs w:val="28"/>
          <w:highlight w:val="none"/>
          <w14:textFill>
            <w14:solidFill>
              <w14:schemeClr w14:val="tx1"/>
            </w14:solidFill>
          </w14:textFill>
        </w:rPr>
      </w:pPr>
      <w:r>
        <w:rPr>
          <w:rFonts w:hint="eastAsia" w:ascii="仿宋_GB2312" w:hAnsi="仿宋_GB2312" w:eastAsia="仿宋_GB2312" w:cs="仿宋_GB2312"/>
          <w:b/>
          <w:color w:val="000000" w:themeColor="text1"/>
          <w:sz w:val="28"/>
          <w:szCs w:val="28"/>
          <w:highlight w:val="none"/>
          <w14:textFill>
            <w14:solidFill>
              <w14:schemeClr w14:val="tx1"/>
            </w14:solidFill>
          </w14:textFill>
        </w:rPr>
        <w:t>一、委托估价方</w:t>
      </w:r>
    </w:p>
    <w:p w14:paraId="222853D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color w:val="000000"/>
          <w:sz w:val="28"/>
        </w:rPr>
        <w:t>委托估价方：通道侗族自治县自然资源局</w:t>
      </w:r>
    </w:p>
    <w:p w14:paraId="5210314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社会统一信用代码：11431230MB16183635</w:t>
      </w:r>
    </w:p>
    <w:p w14:paraId="10EAE09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负责人：杨理雄</w:t>
      </w:r>
    </w:p>
    <w:p w14:paraId="0EA4EA1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机构性质：机关</w:t>
      </w:r>
    </w:p>
    <w:p w14:paraId="023DBD5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机构地址：湖南省怀化市通道侗族自治县双江镇友谊街3号</w:t>
      </w:r>
    </w:p>
    <w:p w14:paraId="0507BE63">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hAnsi="仿宋_GB2312" w:eastAsia="仿宋_GB2312" w:cs="仿宋_GB2312"/>
          <w:color w:val="000000" w:themeColor="text1"/>
          <w:sz w:val="28"/>
          <w:szCs w:val="30"/>
          <w:highlight w:val="none"/>
          <w14:textFill>
            <w14:solidFill>
              <w14:schemeClr w14:val="tx1"/>
            </w14:solidFill>
          </w14:textFill>
        </w:rPr>
        <w:t>联 系 人：袁先生</w:t>
      </w:r>
    </w:p>
    <w:p w14:paraId="556188D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ascii="仿宋_GB2312" w:eastAsia="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联系电话：13974595151</w:t>
      </w:r>
    </w:p>
    <w:p w14:paraId="441D6F5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邮    编：418500</w:t>
      </w:r>
    </w:p>
    <w:p w14:paraId="5639949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与估价对象土地使用者之间的关系：</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委托方为土地挂牌出让实施单位，土地使用者拟通过挂牌出让确定</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p>
    <w:p w14:paraId="772789BC">
      <w:pPr>
        <w:keepNext w:val="0"/>
        <w:keepLines w:val="0"/>
        <w:pageBreakBefore w:val="0"/>
        <w:widowControl w:val="0"/>
        <w:kinsoku/>
        <w:wordWrap/>
        <w:overflowPunct/>
        <w:topLinePunct w:val="0"/>
        <w:autoSpaceDE/>
        <w:autoSpaceDN/>
        <w:bidi w:val="0"/>
        <w:spacing w:line="460" w:lineRule="exact"/>
        <w:ind w:firstLine="562" w:firstLineChars="200"/>
        <w:textAlignment w:val="auto"/>
        <w:outlineLvl w:val="1"/>
        <w:rPr>
          <w:rFonts w:eastAsia="仿宋_GB2312"/>
          <w:b/>
          <w:color w:val="000000" w:themeColor="text1"/>
          <w:sz w:val="28"/>
          <w:szCs w:val="28"/>
          <w:highlight w:val="none"/>
          <w14:textFill>
            <w14:solidFill>
              <w14:schemeClr w14:val="tx1"/>
            </w14:solidFill>
          </w14:textFill>
        </w:rPr>
      </w:pPr>
      <w:r>
        <w:rPr>
          <w:rFonts w:hint="eastAsia" w:ascii="仿宋_GB2312" w:hAnsi="仿宋_GB2312" w:eastAsia="仿宋_GB2312" w:cs="仿宋_GB2312"/>
          <w:b/>
          <w:color w:val="000000" w:themeColor="text1"/>
          <w:sz w:val="28"/>
          <w:szCs w:val="28"/>
          <w:highlight w:val="none"/>
          <w14:textFill>
            <w14:solidFill>
              <w14:schemeClr w14:val="tx1"/>
            </w14:solidFill>
          </w14:textFill>
        </w:rPr>
        <w:t>二、估价对象</w:t>
      </w:r>
    </w:p>
    <w:p w14:paraId="29E9AAAD">
      <w:pPr>
        <w:keepNext w:val="0"/>
        <w:keepLines w:val="0"/>
        <w:pageBreakBefore w:val="0"/>
        <w:widowControl w:val="0"/>
        <w:kinsoku/>
        <w:wordWrap/>
        <w:overflowPunct/>
        <w:topLinePunct w:val="0"/>
        <w:autoSpaceDE/>
        <w:autoSpaceDN/>
        <w:bidi w:val="0"/>
        <w:adjustRightInd w:val="0"/>
        <w:snapToGrid w:val="0"/>
        <w:spacing w:line="460" w:lineRule="exact"/>
        <w:ind w:firstLine="42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t>本次估价对象为通道侗族自治县自然资源局拟挂牌出让涉及的位于通道县双江镇城南街一宗住宅用地国有建设用地使用权，根据《关于通道县2002年第七批次建设用地农用地转用和土地征收的批复》（湘政地〔2002〕1205号，2002年9月5日）、《通道县房屋登记核发权证申请表》（2002年12月30日）等资料，估价对象土地面积为25.32平方米，土地开发程度为宗地红线内外“五通”（通路、通电、供水、排水、通讯）及红线内场地平整。由于该宗土地为拟出让土地，土地使用者待出让后确定。</w:t>
      </w:r>
    </w:p>
    <w:p w14:paraId="5650E2D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估价对象仅为国有建设用地使用权，不包括其他土地附着物、动产、债权债务、特许经营权等其他财产或权益。</w:t>
      </w:r>
    </w:p>
    <w:p w14:paraId="066C5006">
      <w:pPr>
        <w:keepNext w:val="0"/>
        <w:keepLines w:val="0"/>
        <w:pageBreakBefore w:val="0"/>
        <w:widowControl w:val="0"/>
        <w:kinsoku/>
        <w:wordWrap/>
        <w:overflowPunct/>
        <w:topLinePunct w:val="0"/>
        <w:autoSpaceDE/>
        <w:autoSpaceDN/>
        <w:bidi w:val="0"/>
        <w:spacing w:line="460" w:lineRule="exact"/>
        <w:ind w:firstLine="562" w:firstLineChars="200"/>
        <w:textAlignment w:val="auto"/>
        <w:outlineLvl w:val="1"/>
        <w:rPr>
          <w:rFonts w:eastAsia="仿宋_GB2312"/>
          <w:b/>
          <w:color w:val="000000" w:themeColor="text1"/>
          <w:sz w:val="28"/>
          <w:szCs w:val="28"/>
          <w:highlight w:val="none"/>
          <w14:textFill>
            <w14:solidFill>
              <w14:schemeClr w14:val="tx1"/>
            </w14:solidFill>
          </w14:textFill>
        </w:rPr>
      </w:pPr>
      <w:bookmarkStart w:id="0" w:name="_GoBack"/>
      <w:r>
        <w:rPr>
          <w:rFonts w:hint="eastAsia" w:ascii="仿宋_GB2312" w:hAnsi="仿宋_GB2312" w:eastAsia="仿宋_GB2312" w:cs="仿宋_GB2312"/>
          <w:b/>
          <w:color w:val="000000" w:themeColor="text1"/>
          <w:sz w:val="28"/>
          <w:szCs w:val="28"/>
          <w:highlight w:val="none"/>
          <w14:textFill>
            <w14:solidFill>
              <w14:schemeClr w14:val="tx1"/>
            </w14:solidFill>
          </w14:textFill>
        </w:rPr>
        <w:t>三、估价对象概况</w:t>
      </w:r>
    </w:p>
    <w:p w14:paraId="403B3CC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（一）土地登记状况</w:t>
      </w:r>
    </w:p>
    <w:p w14:paraId="6DE1A269">
      <w:pPr>
        <w:keepNext w:val="0"/>
        <w:keepLines w:val="0"/>
        <w:pageBreakBefore w:val="0"/>
        <w:widowControl w:val="0"/>
        <w:kinsoku/>
        <w:wordWrap/>
        <w:overflowPunct/>
        <w:topLinePunct w:val="0"/>
        <w:autoSpaceDE/>
        <w:autoSpaceDN/>
        <w:bidi w:val="0"/>
        <w:adjustRightInd w:val="0"/>
        <w:snapToGrid w:val="0"/>
        <w:spacing w:line="460" w:lineRule="exact"/>
        <w:ind w:firstLine="42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t>根据《关于通道县2002年第七批次建设用地农用地转用和土地征收的批复》（湘政地〔2002〕1205号，2002年9月5日）、《通道县房屋登记核发权证申请表》（2002年12月30日），估价对象位于通道县双江镇城南街，土地面积25.32平方米，土地用途为城镇住宅用地，拟作为住宅用途国有建设用地供应。至估价期日，估价对象尚未办理土地使用权登记，土地使用者待依法供应后确定。</w:t>
      </w:r>
    </w:p>
    <w:p w14:paraId="3A3D5AA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（二）土地权利状况</w:t>
      </w:r>
    </w:p>
    <w:p w14:paraId="57A89F20">
      <w:pPr>
        <w:keepNext w:val="0"/>
        <w:keepLines w:val="0"/>
        <w:pageBreakBefore w:val="0"/>
        <w:widowControl w:val="0"/>
        <w:kinsoku/>
        <w:wordWrap/>
        <w:overflowPunct/>
        <w:topLinePunct w:val="0"/>
        <w:autoSpaceDE/>
        <w:autoSpaceDN/>
        <w:bidi w:val="0"/>
        <w:adjustRightInd w:val="0"/>
        <w:snapToGrid w:val="0"/>
        <w:spacing w:line="460" w:lineRule="exact"/>
        <w:ind w:firstLine="42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t>于估价期日，估价对象土地所有权属国家所有，土地使用权人待依法供应后确定。根据委托方提供资料及现场勘查，估价对象未发现已登记抵押权、地役权、租赁权等他项权利限制；本次评估在无他项权利的完全权利条件下进行。</w:t>
      </w:r>
    </w:p>
    <w:p w14:paraId="6EC8BCC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（三）土地利用状况</w:t>
      </w:r>
    </w:p>
    <w:p w14:paraId="75B8A2AD">
      <w:pPr>
        <w:keepNext w:val="0"/>
        <w:keepLines w:val="0"/>
        <w:pageBreakBefore w:val="0"/>
        <w:widowControl w:val="0"/>
        <w:kinsoku/>
        <w:wordWrap/>
        <w:overflowPunct/>
        <w:topLinePunct w:val="0"/>
        <w:autoSpaceDE/>
        <w:autoSpaceDN/>
        <w:bidi w:val="0"/>
        <w:adjustRightInd w:val="0"/>
        <w:snapToGrid w:val="0"/>
        <w:spacing w:line="460" w:lineRule="exact"/>
        <w:ind w:firstLine="42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t>根据委托方提供资料及估价人员现场勘查，估价对象现状与住宅用地及其配套使用相关，地上建筑物建筑面积107平方米，分摊土地使用权面积25.32平方米。宗地实际开发程度为宗地红线内外“五通”（通路、通电、供水、排水、通讯）及红线内场地平整；本次评估按现状利用条件，设定用途为住宅用地，设定开发程度为宗地红线内外“五通”（通路、通电、供水、排水、通讯）及红线内场地平整。</w:t>
      </w:r>
    </w:p>
    <w:bookmarkEnd w:id="0"/>
    <w:p w14:paraId="1972E25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估价对象利用现状如下：</w:t>
      </w:r>
    </w:p>
    <w:tbl>
      <w:tblPr>
        <w:tblStyle w:val="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18"/>
        <w:gridCol w:w="4204"/>
      </w:tblGrid>
      <w:tr w14:paraId="29FE99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92" w:hRule="atLeast"/>
          <w:jc w:val="center"/>
        </w:trPr>
        <w:tc>
          <w:tcPr>
            <w:tcW w:w="2533" w:type="pct"/>
          </w:tcPr>
          <w:p w14:paraId="20E86172">
            <w:pPr>
              <w:pStyle w:val="14"/>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lang w:eastAsia="zh-CN"/>
                <w14:textFill>
                  <w14:solidFill>
                    <w14:schemeClr w14:val="tx1"/>
                  </w14:solidFill>
                </w14:textFill>
              </w:rPr>
              <w:drawing>
                <wp:inline distT="0" distB="0" distL="114300" distR="114300">
                  <wp:extent cx="2519680" cy="1889760"/>
                  <wp:effectExtent l="0" t="0" r="13970" b="15240"/>
                  <wp:docPr id="1001" name="图片 29" descr="6370f888bb35fb58c249f13c827f9b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图片 29" descr="6370f888bb35fb58c249f13c827f9b50"/>
                          <pic:cNvPicPr>
                            <a:picLocks noChangeAspect="1"/>
                          </pic:cNvPicPr>
                        </pic:nvPicPr>
                        <pic:blipFill>
                          <a:blip r:embed="rId30"/>
                          <a:stretch>
                            <a:fillRect/>
                          </a:stretch>
                        </pic:blipFill>
                        <pic:spPr>
                          <a:xfrm>
                            <a:off x="0" y="0"/>
                            <a:ext cx="2519680" cy="1889760"/>
                          </a:xfrm>
                          <a:prstGeom prst="rect">
                            <a:avLst/>
                          </a:prstGeom>
                        </pic:spPr>
                      </pic:pic>
                    </a:graphicData>
                  </a:graphic>
                </wp:inline>
              </w:drawing>
            </w:r>
          </w:p>
        </w:tc>
        <w:tc>
          <w:tcPr>
            <w:tcW w:w="2466" w:type="pct"/>
          </w:tcPr>
          <w:p w14:paraId="43B41D26">
            <w:pPr>
              <w:pStyle w:val="14"/>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lang w:eastAsia="zh-CN"/>
                <w14:textFill>
                  <w14:solidFill>
                    <w14:schemeClr w14:val="tx1"/>
                  </w14:solidFill>
                </w14:textFill>
              </w:rPr>
              <w:drawing>
                <wp:inline distT="0" distB="0" distL="114300" distR="114300">
                  <wp:extent cx="2522220" cy="1891030"/>
                  <wp:effectExtent l="0" t="0" r="7620" b="13970"/>
                  <wp:docPr id="1002" name="图片 6" descr="b9ee6a2c6791617f1697764a5113a0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图片 6" descr="b9ee6a2c6791617f1697764a5113a0eb"/>
                          <pic:cNvPicPr>
                            <a:picLocks noChangeAspect="1"/>
                          </pic:cNvPicPr>
                        </pic:nvPicPr>
                        <pic:blipFill>
                          <a:blip r:embed="rId31"/>
                          <a:stretch>
                            <a:fillRect/>
                          </a:stretch>
                        </pic:blipFill>
                        <pic:spPr>
                          <a:xfrm>
                            <a:off x="0" y="0"/>
                            <a:ext cx="2522220" cy="1891030"/>
                          </a:xfrm>
                          <a:prstGeom prst="rect">
                            <a:avLst/>
                          </a:prstGeom>
                        </pic:spPr>
                      </pic:pic>
                    </a:graphicData>
                  </a:graphic>
                </wp:inline>
              </w:drawing>
            </w:r>
          </w:p>
        </w:tc>
      </w:tr>
    </w:tbl>
    <w:p w14:paraId="3892FF0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2.规划利用条件</w:t>
      </w:r>
    </w:p>
    <w:p w14:paraId="34C703D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（1）规划利用状况</w:t>
      </w:r>
    </w:p>
    <w:p w14:paraId="3332284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color w:val="000000"/>
          <w:sz w:val="28"/>
        </w:rPr>
        <w:t>根据《关于国有建设用地的规划条件的函》（2025年9月11日）及现场勘查状况，估价对象土地面积为25.32平方米，规划建筑密度35%-55%，容积率0.7-4.23，绿地率≤15%，建筑限高24米，规划指标批准机关为通道县自然资源局，批准日期为2025年9月11日。</w:t>
      </w:r>
    </w:p>
    <w:p w14:paraId="6FB5FD1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（2）最佳利用</w:t>
      </w:r>
    </w:p>
    <w:p w14:paraId="7F991390">
      <w:pPr>
        <w:keepNext w:val="0"/>
        <w:keepLines w:val="0"/>
        <w:pageBreakBefore w:val="0"/>
        <w:widowControl w:val="0"/>
        <w:kinsoku/>
        <w:wordWrap/>
        <w:overflowPunct/>
        <w:topLinePunct w:val="0"/>
        <w:autoSpaceDE/>
        <w:autoSpaceDN/>
        <w:bidi w:val="0"/>
        <w:adjustRightInd w:val="0"/>
        <w:snapToGrid w:val="0"/>
        <w:spacing w:line="460" w:lineRule="exact"/>
        <w:ind w:firstLine="42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t>本次评估根据最有效利用原则，估价对象在规划利用下价值利用状况为最有效利用。故设定估价对象为住宅用地，设定容积率为0.7-4.23，其余指标均取规划值为最佳利用方式。</w:t>
      </w:r>
    </w:p>
    <w:p w14:paraId="4D8F550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规划</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利用限制和缺陷情况</w:t>
      </w:r>
    </w:p>
    <w:p w14:paraId="681B729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根据委托方提供的资料及估价人员了解，宗地无明显利用限制和缺陷。</w:t>
      </w:r>
    </w:p>
    <w:p w14:paraId="1D814087">
      <w:pPr>
        <w:keepNext w:val="0"/>
        <w:keepLines w:val="0"/>
        <w:pageBreakBefore w:val="0"/>
        <w:widowControl w:val="0"/>
        <w:tabs>
          <w:tab w:val="left" w:pos="1050"/>
        </w:tabs>
        <w:kinsoku/>
        <w:wordWrap/>
        <w:overflowPunct/>
        <w:topLinePunct w:val="0"/>
        <w:autoSpaceDE/>
        <w:autoSpaceDN/>
        <w:bidi w:val="0"/>
        <w:spacing w:line="460" w:lineRule="exact"/>
        <w:ind w:right="23" w:firstLine="562" w:firstLineChars="200"/>
        <w:textAlignment w:val="auto"/>
        <w:outlineLvl w:val="1"/>
        <w:rPr>
          <w:rFonts w:ascii="仿宋" w:hAnsi="仿宋" w:eastAsia="仿宋"/>
          <w:color w:val="000000" w:themeColor="text1"/>
          <w:sz w:val="28"/>
          <w:highlight w:val="none"/>
          <w14:textFill>
            <w14:solidFill>
              <w14:schemeClr w14:val="tx1"/>
            </w14:solidFill>
          </w14:textFill>
        </w:rPr>
      </w:pPr>
      <w:r>
        <w:rPr>
          <w:rFonts w:hint="eastAsia" w:ascii="仿宋_GB2312" w:hAnsi="仿宋_GB2312" w:eastAsia="仿宋_GB2312" w:cs="仿宋_GB2312"/>
          <w:b/>
          <w:color w:val="000000" w:themeColor="text1"/>
          <w:sz w:val="28"/>
          <w:szCs w:val="28"/>
          <w:highlight w:val="none"/>
          <w14:textFill>
            <w14:solidFill>
              <w14:schemeClr w14:val="tx1"/>
            </w14:solidFill>
          </w14:textFill>
        </w:rPr>
        <w:t>四、影响地价的因素说明</w:t>
      </w:r>
    </w:p>
    <w:p w14:paraId="4B572FA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(一)一般因素</w:t>
      </w:r>
    </w:p>
    <w:p w14:paraId="4366BDE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一般因素是指影响土地价格的一般、普遍、共同的因素，主要是指社会经济、政策和自然因素等诸方面的综合。其包括城市资源状况、不动产制度与不动产市场状况、产业政策、城市规划与发展目标、城市社会经济发展状况等，通过土地供求两方面的不同作用，从而影响城市总体地价水平的变化。</w:t>
      </w:r>
    </w:p>
    <w:p w14:paraId="422B526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1.城市资源状况</w:t>
      </w:r>
    </w:p>
    <w:p w14:paraId="2C42317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（1）地理位置</w:t>
      </w:r>
    </w:p>
    <w:p w14:paraId="2895C41D">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道县位于湖南省南部、永州市中部。介于东经111°17′-111°56′，北纬25°09′-25°50′之间。东邻宁远县，南界江华瑶族自治县、江永县，西接灌阳县、全州县，北连双牌县，总面积2441.78平方千米。</w:t>
      </w:r>
    </w:p>
    <w:p w14:paraId="00C9C0E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（2）地形地貌</w:t>
      </w:r>
    </w:p>
    <w:p w14:paraId="6A6EA48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属南岭地区，四周高山环绕，中部岗丘起伏，平川交错。整个地势从四周向中间倾斜，呈盆状结构。山地占总面积的44.7%，丘陵占11.4%，岗地占24.6%，平原占14.9%。大致分为东南山地、西北山地、中部岗平三个一级地貌区，岩溶地貌发育较好。东南有九嶷山，南有铜山岭，西有都庞岭，北有紫金山。海拔千米以上的山峰150多个，且多与邻近山脉连成整体，最高峰韭菜岭，海拔2009米。</w:t>
      </w:r>
    </w:p>
    <w:p w14:paraId="35009D3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（3）气候</w:t>
      </w:r>
    </w:p>
    <w:p w14:paraId="48A7CDB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属亚热带湿润季风气候区，热量丰富，雨量充沛，光能潜力大，无霜期长达309天。年平均温度18.6℃。年平均太阳总辐射量105.3千卡/平方厘米，年日照时间为1569.9小时，日照百分率35%，年蒸发量1634.6毫米。全县雨量充沛，年平均降雨量为1506.7毫米，是全省有名的多雨中心之一，但分布不均匀。降雨集中在春季和初夏，与光、热基本同季，有效性好，对农业生产极为有利；春末夏初常有暴雨，造成洪涝；夏秋时节，降雨偏少，常出现干旱。</w:t>
      </w:r>
    </w:p>
    <w:p w14:paraId="791385E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（4）水文</w:t>
      </w:r>
    </w:p>
    <w:p w14:paraId="7BA3D32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内河流稠密，塘库面积广阔，水量丰盈。全县有长度在5千米以上的河流63条，总长1019千米。泡水河、洑水河、永明河、九嶷河、濂溪河等连结大小支流，顺着地势，汇入县内的潇水，流进湘江，形成叶脉状的完整水系。县内还有中型水库4座，小一型水库15座，小二型水库82座，山塘4400口。全县多年平均径流深917.9毫米，径流量22.41亿立方米。年产水量由东南向西北递减，东南部最多的地区年产水量104.5万立方米/平方公里，中部丘平区年产水量90万立方米/平方公里，西北部为78万立方米/平方公里。地表水总量达89.50亿立方米，其中，客水67.09亿立方米。不计客水和地下水，全县人平均拥有水量3069.86立方米，为全省人均水资源的1.15倍。加上客水，全县人平均拥有水量12260立方米，大大高于全国、长江流域和湖南省平均水平。目前已利用水量仅占9%。</w:t>
      </w:r>
    </w:p>
    <w:p w14:paraId="25152C2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人口</w:t>
      </w:r>
    </w:p>
    <w:p w14:paraId="758EAF3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第七次人口普查数据，道县常住人口62.1275万人，其中城镇人口29.8236万人，农村人口32.3039万人，常住人口城镇化率48.00%，与湖南省城镇化率平均水平基本持平。道县人口密度253.79人/平方公里，高于永州市人口密度237.65人/平方公里，低于湖南省及长沙市人口密度。</w:t>
      </w:r>
    </w:p>
    <w:p w14:paraId="261AF73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（6）交通运输</w:t>
      </w:r>
    </w:p>
    <w:p w14:paraId="359D6CA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道县处于湘粤桂三省交汇区，与长沙、南宁均相距400公里，距离广州360公里，历史上是兵家必争之地、商贾云集之处，</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是</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三省通衢要塞。洛湛铁路，厦蓉、道贺高速公路，207国道纵横县域。县城距离桂林国际机场、京广高铁、湘桂高铁、贵广高铁均不到两小时车程，是全省以至中部地区对接东盟，融入泛珠三角经济圈、泛北部湾经济圈的重要节点城市。</w:t>
      </w:r>
    </w:p>
    <w:p w14:paraId="2A3CC00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土地概况</w:t>
      </w:r>
    </w:p>
    <w:p w14:paraId="690BC0B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color w:val="000000"/>
          <w:sz w:val="28"/>
        </w:rPr>
        <w:t>2022年2月8日，道县第三次国土调查结果经县政府、永州市“三调”办审议并原则同意后，道县第三次国土调查领导小组办公室、通道侗族自治县自然资源局、道县统计局印发了《道县第三次国土调查主要数据公报》，道县主要地类数据如下：</w:t>
      </w:r>
    </w:p>
    <w:p w14:paraId="1D4F5A8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耕地664793.55亩(44319.57公顷)。其中，水田482092.50亩(32139.50公顷),占比72.52%;旱地182701.05亩(12180.07公顷),占比27.48%。另外，还有6060.45亩(404.03公顷)现状耕地位于城镇村庄范围内尚未建设的土地中，其中水田3225.90亩(215.06公顷),旱地2834.55亩(188.97公顷)。总体来看，耕地主要分布在清塘镇、寿雁镇、祥霖铺镇、白芒铺镇、柑子园镇、蚣坝镇等。耕地整体位于国家划定的一年两熟制区域，均位于年降水量1000mm以上地区。位于2度以下坡度(含2度)的耕地 402443.40亩(26829.56公顷),占比60.54%;位于2-6度坡度(含6度)的耕地193651.65亩(12910.11公顷),占比29.13%;位于6-15度坡度(含15度)的耕地59623.05亩(3974.87公顷),占比8.97%;位于15-25度坡度(含25度)的耕地6413.85亩(427.59公顷),占比0.96%;位于25度以上坡度的耕地2661.60亩(177.44公顷),占比0.40%。</w:t>
      </w:r>
    </w:p>
    <w:p w14:paraId="4B7DD37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2）园地337559.10亩(22503.94公顷)。其中，果园166497.00亩(11099.80公顷),占比49.32%;茶园209.55 亩(13.97公顷),占比0.06%;其他园地170852.55亩(11390.17公顷),占比50.62%。总体来看，园地主要分布在祥霖铺镇、审章塘瑶族乡、白芒铺镇、柑子园镇、蚣坝镇、白马渡镇、东门街道和上关街道等。</w:t>
      </w:r>
    </w:p>
    <w:p w14:paraId="435FC66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3）林地2182564.20亩(145504.28公顷)。其中，乔木林地1606323.75亩(107088.25公顷),占比73.60%; 竹林地37044.75亩(2469.65公顷),占比1.70%;灌木林地276271.80亩(18418.12公顷),占比12.66%;其他林地262923.90亩(17528.26公顷),占比12.04%。总体来看，林地主要分布在桥头镇、乐福堂乡、仙子脚镇、清塘镇、四马桥镇、横岭瑶族乡、洪塘营瑶族乡、寿雁镇等。</w:t>
      </w:r>
    </w:p>
    <w:p w14:paraId="3AFFA50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4）草地49423.20亩(3294.88公顷)。其中，其他草地49423.20亩(3294.88公顷),占比100%。总体来看，草地主要分布在白芒铺镇、蚣坝镇、祥霖铺镇、清塘镇等。</w:t>
      </w:r>
    </w:p>
    <w:p w14:paraId="2863155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5）湿地11854.05亩(790.27公顷)。湿地是“三调” 新增的一级地类，包括8个二级地类，道县涉及4个二级地类。其中，森林沼泽5075.10亩(338.34公顷),占比42.81%;灌丛沼泽555.00亩(37.00公顷),占比4.68%;沼泽草地118.95亩(7.93公顷),占比1.01%;内陆滩涂6105.00亩(407.00公顷),占比51.50%。总体来看，湿地主要分布在白马渡镇、祥霖铺镇和四马桥镇等。</w:t>
      </w:r>
    </w:p>
    <w:p w14:paraId="3F986F8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6）城镇村及工矿用地190153.80亩(12676.92公顷)。</w:t>
      </w:r>
    </w:p>
    <w:p w14:paraId="26D1C261">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其中，建制镇用地36675.75亩(2445.05公顷),占比19.29%; 村庄用地142302.45亩(9486.83公顷),占比74.83%;工业用地8931.15亩(595.41公顷),占比4.70%;风景名胜及特殊用地2244.45亩(149.63公顷),占比1.18%。总体来看，城镇村及工矿用地主要分布在濂溪街道、西洲街道、东门街道等。</w:t>
      </w:r>
    </w:p>
    <w:p w14:paraId="5140AF5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交通运输用地51000.90亩(3400.06公顷)。其中，铁路用地2208.90亩(147.26公顷),占比4.33%;公路用地13619.70亩(907.98公顷),占比26.71%;农村道路35163.75亩(2344.25公顷),占比68.95%;机场用地7.35亩(0.49公顷),占比0.01%;港口码头用地1.20亩(0.08公顷)。总体来看，交通运输用地中面积占比最大的地类是农村道路。</w:t>
      </w:r>
    </w:p>
    <w:p w14:paraId="2D54A7B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8）水域及水利设施用地145174.35亩(9678.29公顷)。</w:t>
      </w:r>
    </w:p>
    <w:p w14:paraId="7E56D9D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其中，河流水面52697.40亩(3513.16公顷),占比36.30%; 水库水面15825.00亩(1055.00公顷),占比10.90%;坑 塘水面61042.65亩(4069.51公顷),占比42.05%;沟渠 14012.25亩(934.15公顷),占比9.65%;水工建筑用地 1597.05亩(106.47公顷),占比1.10%。总体来看，祥霖 铺镇、清塘镇、白马渡镇、寿雁镇、东门街道等乡镇街道的水域及水利设施用地面积较大。</w:t>
      </w:r>
    </w:p>
    <w:p w14:paraId="3CED0E1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2.不动产制度与不动产市场状况</w:t>
      </w:r>
    </w:p>
    <w:p w14:paraId="69AA2AE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（1）土地制度</w:t>
      </w:r>
    </w:p>
    <w:p w14:paraId="0647595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根据《中华人民共和国宪法》《中华人民共和国土地管理法》和《中华人民共和国民法典》等规定，按照国家现行的土地政策进行土地施政。</w:t>
      </w:r>
    </w:p>
    <w:p w14:paraId="58B98C2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1）土地所有制</w:t>
      </w:r>
    </w:p>
    <w:p w14:paraId="566DB3B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《土地管理法》第二条规定：“中华人民共和国实行土地的社会主义公有制，即全民所有制和劳动群众集体所有制。”</w:t>
      </w:r>
    </w:p>
    <w:p w14:paraId="6DF65C4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①国有土地</w:t>
      </w:r>
    </w:p>
    <w:p w14:paraId="7D4A512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全民所有制的土地被称为国家所有土地，简称国有土地，其所有权由国务院代表国家行使。《土地管理法》第二条规定：“全民所有，即国家所有土地的所有权由国务院代表国家行驶。”</w:t>
      </w:r>
    </w:p>
    <w:p w14:paraId="0C1A436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城市市区的土地属于国家所有。《宪法》《民法典》都明确规定，城市的土地属于国家所有。《土地管理法》第八条更明确规定：“城市市区的土地属于国家所有。”这里所说的城市是指国家设立市建制的城市，不同于某些法律、法规中的城市含义。建制镇不属于《宪法》《土地管理法》所说的城市范畴，也不属于其所说的农村和城市郊区的范畴。《土地管理法实施条例》第二条进一步明确了国有土地的范畴，其规定如下：①城市市区的土地；②农村和城市郊区中已经依法没收、征收、征购为国有的土地；③国家依法征收的土地； ④依法不属于集体所有的林地、草地、荒地、滩涂及其他土地；⑤农村集体经济组织全部成员转为城镇居民的，原属于其成员集体所有的土地；⑥因国家组织移民、自然灾害等原因，农民成建制地集体迁移后不再使用的原属于迁移农民集体所有的土地。</w:t>
      </w:r>
    </w:p>
    <w:p w14:paraId="3A92DB8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②集体土地</w:t>
      </w:r>
    </w:p>
    <w:p w14:paraId="7E2A0F5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劳动群众集体所有制的土地采取的是农民集体所有的形式，该种所有制的土地被称为农民集体所有土地，简称集体土地。农民集体的范围有下列三种：①村农民集体；②村内两个以上农村集体经济组织的农民集体；③乡（镇）农民集体。《土地管理法》第十条规定：“农民集体所有的土地依法属于农民集体所有的，由村集体经济组织或者村民委员会经营、管理；已经分别属于村内两个以上农村集体经济组织的农民集体所有的，由村内给该农村集体经济组织或者村民小组经营、管理；已经属于乡（镇）农民集体所有的，由乡（镇）农村集体经济组织经营、管理。”</w:t>
      </w:r>
    </w:p>
    <w:p w14:paraId="70412E0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2）土地管理的基本制度</w:t>
      </w:r>
    </w:p>
    <w:p w14:paraId="384E11D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①实行土地登记制度</w:t>
      </w:r>
    </w:p>
    <w:p w14:paraId="0999653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土地管理法》和《土地登记规则》，国家依法对国有土地使用权、集体土地所有权、集体土地使用权和土地他项权利进行登记。土地登记由县级以上人民政府登记造册，确认有关土地权利。属于国有土地的，核发相应的《不动产权证书》，确认国有建设用地使用权；属于农民集体所有土地的，核发相应的《不动产权证书》，确认集体土地所有权；使用集体土地的，核发《集体建设用地使用证》，确认集体土地使用权；属于土地他项权利的，核发土地他项权利证明书，确认土地他相权。他项权利包括抵押权、承租权以及法律、行政法规规定需要登记的他项权利。</w:t>
      </w:r>
    </w:p>
    <w:p w14:paraId="17AF1EA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②实行土地有偿有限期使用制度</w:t>
      </w:r>
    </w:p>
    <w:p w14:paraId="418ABB4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除国家核准的划拨用地以外，凡新增土地和原使用的土地改变用途或使用条件、进行市场交易等，均实行有偿有限期使用。</w:t>
      </w:r>
    </w:p>
    <w:p w14:paraId="5CEE0651">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管理法》第二条规定：“国家依法实行国有土地有偿使用制度。但是，国家在法律规定的范围内划拨国有土地使用权的除外。”《中华人民共和国城镇国有土地使用权出让和转让暂行条例》第八条也明确规定：“土地使用权出让是指国家以土地所有者的身份将土地使用权在一定年限内让与土地使用者，并由土地使用者向国家支付土地使用权出让金的行为。”</w:t>
      </w:r>
    </w:p>
    <w:p w14:paraId="4470CB1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③实行土地用途管制制度</w:t>
      </w:r>
    </w:p>
    <w:p w14:paraId="1F64BA0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土地利用总体规划，将土地用途分为农用地、建设用地和未利用地。土地用途管制的核心是不能随意改变农用地的用途。农用地转用须经有批准权的人民政府核准。控制建设用地总量，严格限制农用地转为建设用地。</w:t>
      </w:r>
    </w:p>
    <w:p w14:paraId="4DE428B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④实行耕地保护制度</w:t>
      </w:r>
    </w:p>
    <w:p w14:paraId="782FF9E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十分珍惜、合理利用土地和切实保护耕地是我国的基本国策。《民法典》规定，国家对耕地实行特殊保护，严格限制农用地转为建设用地，控制建设用地总规模。耕地主要是指种植农作物的土地，包括新开垦荒地、轮歇地、草田轮作地；以种植农作物为主间有零星果树、桑树或其他树木的土地；耕种3年以上的滩地和滩涂等。</w:t>
      </w:r>
    </w:p>
    <w:p w14:paraId="7FF5A87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（2）住房制度</w:t>
      </w:r>
    </w:p>
    <w:p w14:paraId="2EB033E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目前</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实行“市场型、商品性、工资化分配、社会化管理”的住房制度，其基本特点是：主要通过市场机制调节住房的生产、分配、交换、消费，决定住房资源的配置、分配和使用。住房投资建设由开发商自主进行。住房消费包含在职工工资之中。住房分配通过市场交换进行，职工以其收入自由选择购买或租房入住。住房管理与政府和单位分离，由物业公司进行社会化、专业化管理。政府的作用主要体现在调控市场和对低收入者提供基本的住房社会保障方面。</w:t>
      </w:r>
    </w:p>
    <w:p w14:paraId="21F8B2B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2020年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8月18</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人民政府发布了《道县农村宅基地管理办法》（道政发〔2020〕5号），强调农村村（居）民住房建设应当遵循规划先行、先批后建、一户一宅、适度集中的原则，鼓励乡镇（街道）、村集体经济组织对废旧宅基地进行复垦并落实耕种，对复垦项目经验收确认的新增建设用地指标和耕地占补指标，按县人民政府规定的奖励标准予以补偿。节余的新增建设用地指标和耕地占补指标由县人民政府统筹安排，用于全县范围内的项目建设。复垦后的农用地由当地集体经济组织进行承包经营和分配。</w:t>
      </w:r>
    </w:p>
    <w:p w14:paraId="11627E9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2022年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月，湖南省发展和改革委员会 湖南省住房和城乡建设厅 印发</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了</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湖南省公共租赁住房租金管理办法》的通知，“实行政府定价的公共租赁住房的租金标准在制定和调整时，属省直单位投资筹集的由省直有关单位提出建议方案，属市、县投资筹集的由市、县住房和城乡建设部门负责提出建议方案，同级发展改革部门在履行相关定价程序后作出价格决定，并向社会公布；实行政府指导价管理的公共租赁住房租金标准在制定和调整时可按照不超过同地段或同区域、同类型住房市场租金水平的70％确定，具体标准由公共租赁住房的所有权人或其委托的运营管理机构确定，并报送同级发展改革部门和住房和城乡建设部门审查同意后向社会公布实施。”。</w:t>
      </w:r>
    </w:p>
    <w:p w14:paraId="108631C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（3）地价政策</w:t>
      </w:r>
    </w:p>
    <w:p w14:paraId="29F31E1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现行土地征收补偿标准是根据《湖南省人民政府关于调整湖南省征地补偿标准的通知》（湘政发〔2024〕1号，202</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日）文件执行，相较于上一轮，现行土地征收补偿标准有</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%的上调，各等级片区划分有一定微调。</w:t>
      </w:r>
    </w:p>
    <w:p w14:paraId="09FE85D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现行的农村集体土地地上附着物及青苗补偿标准按照《关于印发</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&lt;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永州市集体土地与房屋征收补偿安置办法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&gt;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的通知》（永政发〔2024〕4号，20</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日）文件执行。</w:t>
      </w:r>
    </w:p>
    <w:p w14:paraId="0A43D0D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（4）不动产市场状况</w:t>
      </w:r>
    </w:p>
    <w:p w14:paraId="497222D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1）土地市场状况</w:t>
      </w:r>
    </w:p>
    <w:p w14:paraId="243AB6D1">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①土地供应总量 </w:t>
      </w:r>
    </w:p>
    <w:p w14:paraId="17811CF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土地动态监测监管系统数据显示，2020年以来，道县土地供应情况总体呈下降的特征。其中2020年供应土地面积最大，达256.4公顷。2022年供应土地最少，仅为161.63公顷。近5年共供应土地总面积达到972.42公顷，其中出让土地415.14公顷，占供应总量的42.69%，划拨土地557.28公顷，占供应总量的57.31%，总体年均供地194.49公顷，其中出让年均供应83.03公顷，划拨年均供地111.46公顷，详见下表。</w:t>
      </w:r>
    </w:p>
    <w:p w14:paraId="72CC2199">
      <w:pPr>
        <w:keepLines w:val="0"/>
        <w:pageBreakBefore w:val="0"/>
        <w:kinsoku/>
        <w:wordWrap/>
        <w:overflowPunct/>
        <w:topLinePunct w:val="0"/>
        <w:autoSpaceDE/>
        <w:autoSpaceDN/>
        <w:bidi w:val="0"/>
        <w:spacing w:line="480" w:lineRule="exact"/>
        <w:ind w:firstLine="560" w:firstLineChars="200"/>
        <w:jc w:val="center"/>
        <w:textAlignment w:val="auto"/>
        <w:outlineLvl w:val="9"/>
        <w:rPr>
          <w:rFonts w:hint="eastAsia" w:ascii="仿宋_GB2312" w:eastAsia="仿宋_GB2312"/>
          <w:color w:val="000000" w:themeColor="text1"/>
          <w:sz w:val="28"/>
          <w:szCs w:val="30"/>
          <w:highlight w:val="none"/>
          <w14:textFill>
            <w14:solidFill>
              <w14:schemeClr w14:val="tx1"/>
            </w14:solidFill>
          </w14:textFill>
        </w:rPr>
      </w:pPr>
      <w:r>
        <w:rPr>
          <w:rFonts w:hint="eastAsia" w:ascii="仿宋_GB2312" w:hAnsi="仿宋_GB2312" w:eastAsia="仿宋_GB2312" w:cs="仿宋_GB2312"/>
          <w:color w:val="000000" w:themeColor="text1"/>
          <w:kern w:val="0"/>
          <w:sz w:val="28"/>
          <w:szCs w:val="28"/>
          <w:highlight w:val="none"/>
          <w:lang w:val="en-US" w:eastAsia="zh-CN" w:bidi="ar"/>
          <w14:textFill>
            <w14:solidFill>
              <w14:schemeClr w14:val="tx1"/>
            </w14:solidFill>
          </w14:textFill>
        </w:rPr>
        <w:t>道县 2020—2024年土地供应情况一览表</w:t>
      </w:r>
    </w:p>
    <w:tbl>
      <w:tblPr>
        <w:tblStyle w:val="9"/>
        <w:tblW w:w="4962"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60"/>
        <w:gridCol w:w="2591"/>
        <w:gridCol w:w="2298"/>
        <w:gridCol w:w="2408"/>
      </w:tblGrid>
      <w:tr w14:paraId="0E950F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DA348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年份</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8FE55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出让土地（公顷）</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B81C9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划拨土地（公顷）</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B09E5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总面积（公顷）</w:t>
            </w:r>
          </w:p>
        </w:tc>
      </w:tr>
      <w:tr w14:paraId="63D844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6FA90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default"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2020</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7554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91.77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1F56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164.63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8B9A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256.40 </w:t>
            </w:r>
          </w:p>
        </w:tc>
      </w:tr>
      <w:tr w14:paraId="1FA626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A8D83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2021</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F4925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100.84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9FDA1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83.89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9425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184.73 </w:t>
            </w:r>
          </w:p>
        </w:tc>
      </w:tr>
      <w:tr w14:paraId="25BB68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7F582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2022</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970B0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67.23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F894D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94.40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3EF8A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161.63 </w:t>
            </w:r>
          </w:p>
        </w:tc>
      </w:tr>
      <w:tr w14:paraId="1E0C13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A36E5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2023</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481D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20.42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D1C5D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ascii="仿宋_GB2312" w:hAnsi="仿宋_GB2312" w:eastAsia="仿宋_GB2312" w:cs="仿宋_GB2312"/>
                <w:color w:val="000000"/>
                <w:sz w:val="21"/>
              </w:rPr>
              <w:t xml:space="preserve">181.51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8D779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201.93 </w:t>
            </w:r>
          </w:p>
        </w:tc>
      </w:tr>
      <w:tr w14:paraId="37888A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8B1E4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2024</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1CBA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134.88</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DAE50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32.85</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EB50C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167.73 </w:t>
            </w:r>
          </w:p>
        </w:tc>
      </w:tr>
      <w:tr w14:paraId="2740F3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EF190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合计</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F1C9C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415.14</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7F3CC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557.28</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9531A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972.42</w:t>
            </w:r>
          </w:p>
        </w:tc>
      </w:tr>
      <w:tr w14:paraId="596E01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D5D88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年均</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5B64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83.03</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F9525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111.46</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53FB6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194.49</w:t>
            </w:r>
          </w:p>
        </w:tc>
      </w:tr>
      <w:tr w14:paraId="17A475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8"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501FD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占比</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EF622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42.69%</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46B81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57.31%</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D9A8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100.00%</w:t>
            </w:r>
          </w:p>
        </w:tc>
      </w:tr>
    </w:tbl>
    <w:p w14:paraId="1D04DA12">
      <w:pPr>
        <w:pStyle w:val="2"/>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center"/>
        <w:textAlignment w:val="auto"/>
        <w:outlineLvl w:val="9"/>
        <w:rPr>
          <w:rFonts w:hint="eastAsia" w:eastAsia="仿宋_GB2312"/>
          <w:color w:val="000000" w:themeColor="text1"/>
          <w:highlight w:val="none"/>
          <w:lang w:eastAsia="zh-CN"/>
          <w14:textFill>
            <w14:solidFill>
              <w14:schemeClr w14:val="tx1"/>
            </w14:solidFill>
          </w14:textFill>
        </w:rPr>
      </w:pPr>
    </w:p>
    <w:p w14:paraId="547DD2B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eastAsia="仿宋_GB2312"/>
          <w:color w:val="000000" w:themeColor="text1"/>
          <w:sz w:val="28"/>
          <w:szCs w:val="30"/>
          <w:highlight w:val="none"/>
          <w:lang w:eastAsia="zh-CN"/>
          <w14:textFill>
            <w14:solidFill>
              <w14:schemeClr w14:val="tx1"/>
            </w14:solidFill>
          </w14:textFill>
        </w:rPr>
      </w:pPr>
      <w:r>
        <w:rPr>
          <w:rFonts w:ascii="仿宋_GB2312" w:hAnsi="仿宋_GB2312" w:eastAsia="仿宋_GB2312" w:cs="仿宋_GB2312"/>
          <w:color w:val="000000" w:themeColor="text1"/>
          <w:highlight w:val="none"/>
          <w14:textFill>
            <w14:solidFill>
              <w14:schemeClr w14:val="tx1"/>
            </w14:solidFill>
          </w14:textFill>
        </w:rPr>
        <w:drawing>
          <wp:inline distT="0" distB="0" distL="114300" distR="114300">
            <wp:extent cx="4654550" cy="2590800"/>
            <wp:effectExtent l="4445" t="4445" r="19685" b="10795"/>
            <wp:docPr id="1003"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3A26772A">
      <w:pPr>
        <w:keepLines w:val="0"/>
        <w:pageBreakBefore w:val="0"/>
        <w:kinsoku/>
        <w:wordWrap/>
        <w:overflowPunct/>
        <w:topLinePunct w:val="0"/>
        <w:autoSpaceDE/>
        <w:autoSpaceDN/>
        <w:bidi w:val="0"/>
        <w:spacing w:line="480" w:lineRule="exact"/>
        <w:ind w:left="0" w:leftChars="0" w:firstLine="0" w:firstLineChars="0"/>
        <w:jc w:val="center"/>
        <w:textAlignment w:val="auto"/>
        <w:outlineLvl w:val="9"/>
        <w:rPr>
          <w:rFonts w:hint="eastAsia" w:ascii="仿宋" w:hAnsi="仿宋" w:eastAsia="仿宋" w:cs="仿宋"/>
          <w:color w:val="000000" w:themeColor="text1"/>
          <w:kern w:val="0"/>
          <w:sz w:val="28"/>
          <w:szCs w:val="28"/>
          <w:highlight w:val="none"/>
          <w:lang w:val="en-US" w:eastAsia="zh-CN" w:bidi="ar"/>
          <w14:textFill>
            <w14:solidFill>
              <w14:schemeClr w14:val="tx1"/>
            </w14:solidFill>
          </w14:textFill>
        </w:rPr>
      </w:pPr>
      <w:r>
        <w:rPr>
          <w:rFonts w:hint="eastAsia" w:ascii="仿宋_GB2312" w:hAnsi="仿宋_GB2312" w:eastAsia="仿宋_GB2312" w:cs="仿宋_GB2312"/>
          <w:color w:val="000000" w:themeColor="text1"/>
          <w:kern w:val="0"/>
          <w:sz w:val="28"/>
          <w:szCs w:val="28"/>
          <w:highlight w:val="none"/>
          <w:lang w:val="en-US" w:eastAsia="zh-CN" w:bidi="ar"/>
          <w14:textFill>
            <w14:solidFill>
              <w14:schemeClr w14:val="tx1"/>
            </w14:solidFill>
          </w14:textFill>
        </w:rPr>
        <w:t>道县2020-2024年土地供应总量图</w:t>
      </w:r>
    </w:p>
    <w:p w14:paraId="7997F65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②土地供应结构 </w:t>
      </w:r>
    </w:p>
    <w:p w14:paraId="4DD3CD6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近几年发展形势来看，宏观经济进入新常态发展时期，经济增速逐步趋缓，2020-2024年土地市场供应有所起伏，2020年土地市场趋于活跃。从道县近5年的房地产开发用地商服、住宅及工矿仓储用地供应情况来看，三类用地占土地供应总量的34.5%，其中住宅用地供应量最大，占土地供应总量的19.01%，其次是工矿仓储用地，占土地供应总量的12.24%，商服用地最小，仅占土地供应总量的3.25%。从其他用地的供应情况来看，其他土地占总供应量的65.5%。其中公共管理与公共服务用地、交通运输用地的供应面积比例较大，占土地供应总面积的比例分别为29.5%、35.1%，另外还有少量特殊用地的供应，占土地供应总面积的0.9%，详见下表。</w:t>
      </w:r>
    </w:p>
    <w:p w14:paraId="3A34AC59">
      <w:pPr>
        <w:keepLines w:val="0"/>
        <w:pageBreakBefore w:val="0"/>
        <w:kinsoku/>
        <w:wordWrap/>
        <w:overflowPunct/>
        <w:topLinePunct w:val="0"/>
        <w:autoSpaceDE/>
        <w:autoSpaceDN/>
        <w:bidi w:val="0"/>
        <w:spacing w:line="480" w:lineRule="exact"/>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道县2020-2024年土地供应情况表</w:t>
      </w:r>
    </w:p>
    <w:p w14:paraId="1646A79D">
      <w:pPr>
        <w:pStyle w:val="14"/>
        <w:jc w:val="right"/>
        <w:rPr>
          <w:rFonts w:hint="default"/>
          <w:color w:val="000000" w:themeColor="text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单位：公顷</w:t>
      </w:r>
    </w:p>
    <w:p w14:paraId="08CB03B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ascii="仿宋_GB2312" w:hAnsi="仿宋_GB2312" w:eastAsia="仿宋_GB2312" w:cs="仿宋_GB2312"/>
          <w:color w:val="000000" w:themeColor="text1"/>
          <w:highlight w:val="none"/>
          <w14:textFill>
            <w14:solidFill>
              <w14:schemeClr w14:val="tx1"/>
            </w14:solidFill>
          </w14:textFill>
        </w:rPr>
        <w:drawing>
          <wp:inline distT="0" distB="0" distL="114300" distR="114300">
            <wp:extent cx="5757545" cy="2015490"/>
            <wp:effectExtent l="0" t="0" r="3175" b="11430"/>
            <wp:docPr id="100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图片 2"/>
                    <pic:cNvPicPr>
                      <a:picLocks noChangeAspect="1"/>
                    </pic:cNvPicPr>
                  </pic:nvPicPr>
                  <pic:blipFill>
                    <a:blip r:embed="rId33"/>
                    <a:stretch>
                      <a:fillRect/>
                    </a:stretch>
                  </pic:blipFill>
                  <pic:spPr>
                    <a:xfrm>
                      <a:off x="0" y="0"/>
                      <a:ext cx="5757545" cy="2015490"/>
                    </a:xfrm>
                    <a:prstGeom prst="rect">
                      <a:avLst/>
                    </a:prstGeom>
                    <a:noFill/>
                    <a:ln>
                      <a:noFill/>
                    </a:ln>
                  </pic:spPr>
                </pic:pic>
              </a:graphicData>
            </a:graphic>
          </wp:inline>
        </w:drawing>
      </w:r>
    </w:p>
    <w:p w14:paraId="641D151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color w:val="000000" w:themeColor="text1"/>
          <w:highlight w:val="none"/>
          <w14:textFill>
            <w14:solidFill>
              <w14:schemeClr w14:val="tx1"/>
            </w14:solidFill>
          </w14:textFill>
        </w:rPr>
      </w:pPr>
    </w:p>
    <w:p w14:paraId="5FAE319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ascii="仿宋_GB2312" w:hAnsi="仿宋_GB2312" w:eastAsia="仿宋_GB2312" w:cs="仿宋_GB2312"/>
          <w:color w:val="000000" w:themeColor="text1"/>
          <w:highlight w:val="none"/>
          <w14:textFill>
            <w14:solidFill>
              <w14:schemeClr w14:val="tx1"/>
            </w14:solidFill>
          </w14:textFill>
        </w:rPr>
        <w:drawing>
          <wp:inline distT="0" distB="0" distL="114300" distR="114300">
            <wp:extent cx="3742055" cy="2219960"/>
            <wp:effectExtent l="4445" t="4445" r="17780" b="15875"/>
            <wp:docPr id="1005" name="图表 2" descr="7b0a202020202263686172745265734964223a202234353338343530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0E715250">
      <w:pPr>
        <w:keepLines w:val="0"/>
        <w:pageBreakBefore w:val="0"/>
        <w:kinsoku/>
        <w:wordWrap/>
        <w:overflowPunct/>
        <w:topLinePunct w:val="0"/>
        <w:autoSpaceDE/>
        <w:autoSpaceDN/>
        <w:bidi w:val="0"/>
        <w:spacing w:line="480" w:lineRule="exact"/>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道县2020-2024年土地供应结构图</w:t>
      </w:r>
    </w:p>
    <w:p w14:paraId="777A777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③土地供应方式 </w:t>
      </w:r>
    </w:p>
    <w:p w14:paraId="273227E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从供应方式来看，主要包括划拨和出让两种方式，从近5年的累计数据来看，道县以划拨方式供应土地557.28公顷，占供应土地总量的57.31%，出让土地面积415.14公顷，占42.69%，出让方式均为招拍挂出让。</w:t>
      </w:r>
    </w:p>
    <w:p w14:paraId="32AE3E1A">
      <w:pPr>
        <w:keepLines w:val="0"/>
        <w:pageBreakBefore w:val="0"/>
        <w:kinsoku/>
        <w:wordWrap/>
        <w:overflowPunct/>
        <w:topLinePunct w:val="0"/>
        <w:autoSpaceDE/>
        <w:autoSpaceDN/>
        <w:bidi w:val="0"/>
        <w:spacing w:line="480" w:lineRule="exact"/>
        <w:ind w:firstLine="560" w:firstLineChars="20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道县2020-2024年土地供应方式情况表</w:t>
      </w:r>
    </w:p>
    <w:p w14:paraId="2508AB32">
      <w:pPr>
        <w:pStyle w:val="14"/>
        <w:jc w:val="right"/>
        <w:rPr>
          <w:rFonts w:hint="default"/>
          <w:color w:val="000000" w:themeColor="text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单位：公顷</w:t>
      </w:r>
    </w:p>
    <w:tbl>
      <w:tblPr>
        <w:tblStyle w:val="9"/>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130"/>
        <w:gridCol w:w="2130"/>
        <w:gridCol w:w="2130"/>
        <w:gridCol w:w="2132"/>
      </w:tblGrid>
      <w:tr w14:paraId="5C47E8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3CF25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年份</w:t>
            </w:r>
          </w:p>
        </w:tc>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AE7F2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出让面积</w:t>
            </w:r>
          </w:p>
        </w:tc>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FC153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划拨面积</w:t>
            </w:r>
          </w:p>
        </w:tc>
        <w:tc>
          <w:tcPr>
            <w:tcW w:w="12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941DB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供应总量</w:t>
            </w:r>
          </w:p>
        </w:tc>
      </w:tr>
      <w:tr w14:paraId="4B2803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87E1B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2020</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E6054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91.77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94AFD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164.63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25E8F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256.40 </w:t>
            </w:r>
          </w:p>
        </w:tc>
      </w:tr>
      <w:tr w14:paraId="484C9F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606A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2021</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5CCA4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100.84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99041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83.89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29323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184.73 </w:t>
            </w:r>
          </w:p>
        </w:tc>
      </w:tr>
      <w:tr w14:paraId="02B17F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9227E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2022</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89E1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67.23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49D40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94.40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94B2D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161.63 </w:t>
            </w:r>
          </w:p>
        </w:tc>
      </w:tr>
      <w:tr w14:paraId="7A63FA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8914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2023</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A87AE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20.42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A926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ascii="仿宋_GB2312" w:hAnsi="仿宋_GB2312" w:eastAsia="仿宋_GB2312" w:cs="仿宋_GB2312"/>
                <w:color w:val="000000"/>
                <w:sz w:val="21"/>
              </w:rPr>
              <w:t xml:space="preserve">181.51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2DFE6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201.93 </w:t>
            </w:r>
          </w:p>
        </w:tc>
      </w:tr>
      <w:tr w14:paraId="42F582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D96F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2024</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09CF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134.88</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E4BF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32.85</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BAE37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167.73 </w:t>
            </w:r>
          </w:p>
        </w:tc>
      </w:tr>
      <w:tr w14:paraId="4225CA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77A7B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合计</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08367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415.14</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54F4F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557.28</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0A74C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972.42</w:t>
            </w:r>
          </w:p>
        </w:tc>
      </w:tr>
    </w:tbl>
    <w:p w14:paraId="31B0D5A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p>
    <w:p w14:paraId="00ACBD4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④土地供应分布 </w:t>
      </w:r>
    </w:p>
    <w:p w14:paraId="767141C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土地供应分布情况来看，根据对道县往年出让台账统计数据显示，近5年道县城区商服用地土地出让主要分布在富元路、振兴路等城北区域，住宅用地主要分布在城北路、道州北路、道州南路、道州中路、环城西路、潇水沿线等区域，工矿仓储用地主要分布在道县高新技术产业开发区区域；公共管理与公共服务用地主要分布在各乡镇和道县高新技术产业开发区等区域。另外各用途出让地块在清塘镇、审章塘瑶族乡有少量分布。</w:t>
      </w:r>
    </w:p>
    <w:p w14:paraId="35D6385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2）房地产市场状况</w:t>
      </w:r>
    </w:p>
    <w:p w14:paraId="045728A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近几年来，道县房地产业在宏观调控中不断发展壮大，总体上呈现持续、稳定、快速发展的格局，已成为推动全县国民经济和社会发展的有力支撑点。</w:t>
      </w:r>
    </w:p>
    <w:p w14:paraId="4F83776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房地产业作为关系国计民生的重要产业，对于推进道县城市建设、改善民生、拉动投资增长、增加财政收入都具有十分重要意义。 </w:t>
      </w:r>
    </w:p>
    <w:p w14:paraId="0E950EB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当前道县很多开发商重视市场调查和分析，开发建设地段选择、环境配套、套型设计、房屋档次各方面与市场需求较适应。推出了一批具有一定档次的小区式住宅，连片式开发已成势头。出现了一批有规模、有实力、有信誉的大型房地产开发经营企业，这些房地产开发企业的规模、资金实力、技术力量、经营水平等都有了大幅度提高，推动了我县房地产开发业持续、稳定、健康发展。</w:t>
      </w:r>
    </w:p>
    <w:p w14:paraId="74FC753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道县实现建筑业增加值177396万元，比上年增长9.8%。具有资质等级的总承包和专业承包建筑企业完成产值586174.6万元，增长19.05%；房屋建筑施工面积174.88万平方米,比上年增长16.22%；房屋建筑竣工面积124.28万平方米,比上年上升15.39%。实现房地产业（k门类）增加值39342万元,下降15.5%。完成房地产开发投资41337万元,下降44.16%。房屋施工面积74.73万平方米,下降14.56%；竣工面积32.78万平方米，下降6.76%。商品房销售面积33.79万平方米,下降19.89%；商品房销售额14.05亿元,下降28.84%。</w:t>
      </w:r>
    </w:p>
    <w:p w14:paraId="284F8C0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为了解决中低收入城镇居民的住房问题，道县实施解困房工程建设，向社会提供价格低廉的商品房，建立以商品房住宅供应为主体，安居工程住宅供应为补充的住宅供应体系。 </w:t>
      </w:r>
    </w:p>
    <w:p w14:paraId="0F16EE2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3.产业政策</w:t>
      </w:r>
    </w:p>
    <w:p w14:paraId="68FB6FB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（1）相关产业政策</w:t>
      </w:r>
    </w:p>
    <w:p w14:paraId="6B47FCA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2022年1月，湖南省发改委发布关于对《湖南省物业服务收费管理办法》（征求意见稿）（以下简称《办法》）公开征求意见的公告。</w:t>
      </w:r>
    </w:p>
    <w:p w14:paraId="13AF87D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《办法》明确，物业应当于每年第一季度公示上一年度物业服务合同履行情况、物业服务项目收支情况、利用公共部位公共设施设备进行经营等收入情况，本年度收支预算。</w:t>
      </w:r>
    </w:p>
    <w:p w14:paraId="0EE56D8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同时，鼓励物业对未入住或未使用的空置房业主，实行适当费用优惠。</w:t>
      </w:r>
    </w:p>
    <w:p w14:paraId="108EED6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2022年6月，永州市住房和城乡建设局印发《永州市中心城区进一步促进房地产市场平稳发展的若干措施》，在引导住房合理消费需求方面有七条措施：</w:t>
      </w:r>
    </w:p>
    <w:p w14:paraId="21A8A8A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1）实行购房契税补贴。在本措施有效期内购买中心城区新建商品房（含住宅、非住宅）均可享受其所缴纳契税总额80％的财政补贴。</w:t>
      </w:r>
    </w:p>
    <w:p w14:paraId="6009B60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2）实行人才购房补贴。对全日制本科生、全日制研究生和副高级职称人才、全日制博士研究生和正高级职称人才购房，分别补贴2万元、3万元、5万元。</w:t>
      </w:r>
    </w:p>
    <w:p w14:paraId="261B2C4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3）切实解决业主子女入学问题。购房业主子女凭房屋不动产权证或购房合同并契税缴纳凭证，享受房屋所在地义务教育阶段学校学位。</w:t>
      </w:r>
    </w:p>
    <w:p w14:paraId="1707785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4）加大房地产信贷支持力度。实施差别化住房信贷政策，鼓励金融机构支持个人购房贷款，支持房地产企业贷款。</w:t>
      </w:r>
    </w:p>
    <w:p w14:paraId="1B190A2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5）提高住房公积金贷款额度。全面放开异地贷款业务，先进模范人物和高层次人才最高贷款额度提高至100万元，生育二孩、三孩的家庭最高贷款额度可上浮10万元和20万元。</w:t>
      </w:r>
    </w:p>
    <w:p w14:paraId="36DE5F9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6）停止新建安置房和自建安置房。采用以货币化为主的安置方式，鼓励征收户选择已建成的安置房或商品房进行产权调换。</w:t>
      </w:r>
    </w:p>
    <w:p w14:paraId="19A1E75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7）下调二手房评税价格。将住房类、商业类、其他非住宅存量房分别按当前系统评估价格下调20%、40%、30%。</w:t>
      </w:r>
    </w:p>
    <w:p w14:paraId="1DFF65C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在帮助企业纾困解难方面有六条措施：</w:t>
      </w:r>
    </w:p>
    <w:p w14:paraId="4569ED3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1）加大税收支持力度。房地产开发企业可以依法办理延期缴纳税款，确保税收优惠应享尽享。</w:t>
      </w:r>
    </w:p>
    <w:p w14:paraId="752D8D6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2）优化预售资金监管政策。对信用等级良好的房地产开发企业适当放宽预售资金解控比例，支持启动应急用款方式支付项目工程建设费用。</w:t>
      </w:r>
    </w:p>
    <w:p w14:paraId="23CB2CF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分期缴纳土地价款，调整延缓缴纳相关费用。土地出让金1亿元以上的项目，在中标后缴纳50%土地出让金，余款可以分次交清。全市土地挂牌出让交易服务费按现行标准下浮40%。延缓城市基础设施配套费缴纳时间至在取得预售许可证后3个月内缴清。</w:t>
      </w:r>
    </w:p>
    <w:p w14:paraId="2C482D6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4）实行“商改住”。采取“商改住”、“商改租”、降低商住配比、降低公寓业主使用成本、加大购买非住宅金融支持等方式加快非住宅库存去化。</w:t>
      </w:r>
    </w:p>
    <w:p w14:paraId="1A178A7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5）加速公共服务配套。破解“大开发、小配套”问题，鼓励房企引入优质医疗、教育等公共资源，引导社会资本投资配建公共服务和市政基础设施。</w:t>
      </w:r>
    </w:p>
    <w:p w14:paraId="4935300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6）实行新建商品房“交房即交证”。缩短房地产开发建设项目从竣工验收到办理不动产首次登记及转移登记的全过程时限，推动地下车位、车库出售、出租、办理不动产权证。</w:t>
      </w:r>
    </w:p>
    <w:p w14:paraId="6D6D9E5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2023年5月，道县人民政府关于印发《道县进一步促进房地产市场平稳健康发展的十条措施》的通知，结合道县实际，制定十条措施保障房地产市场健康发展：</w:t>
      </w:r>
    </w:p>
    <w:p w14:paraId="0121425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1）实行购房契税补贴。本措施有效期内在道县城区购买新建商 品房（不含商业门面和二手房），签订商品房网签合同、备案并缴纳契税的，由县财政按其所缴纳契税金额的100%对购房人予以补贴。</w:t>
      </w:r>
    </w:p>
    <w:p w14:paraId="4D63031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2）实行人才购房补贴。对企事业单位全职引进的35周岁以下全日制硕士研究生或副高级专业技术职称人才和“双一流”建设高校全日制本科生、其他高校全日制本科生分别给予5万元、2万元购房补贴。</w:t>
      </w:r>
    </w:p>
    <w:p w14:paraId="4300DCA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3）切实解决业主子女入学问题。在义务教育学段，根据招生政 策及学位情况，购房人凭商品房买卖合同备案证明或不动产证可申请子女就近入学。教育部门根据辖区的人口分布等情况，按道路和住宅小区的边界等调整义务教育招生辖区。学校学位不足时，由教育部门统筹安排入学。</w:t>
      </w:r>
    </w:p>
    <w:p w14:paraId="53E7E0C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4）鼓励房企团购让利销售。支持机关、企事业单位、村（社区）、社会团体等组团购买商品住房，鼓励房地产企业对团购合理合 规让利销售，团购价格可按商品住房备案价格优惠2%—10%。</w:t>
      </w:r>
    </w:p>
    <w:p w14:paraId="780B662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完善公共配套和基础设施。根据道县国土空间总体规划完善房地产项目周边的交通、教育、医疗、公园等公共配套和基础设施建设,为楼盘开发销售创造优良环境，确保房地产开发项目配套完善、功能齐全，满足业主的入住条件。</w:t>
      </w:r>
    </w:p>
    <w:p w14:paraId="52F96E0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容缺办理相关审批手续。房地产开发企业购置国有建设用地使用权的，在签订土地出让合同并缴纳不低于50%土地出让金后，相关职能部门可容缺办理建设用地规划许可证、规划设计方案审查、建设工程规划许可证、施工许可证等行政审批手续；在完成规划条件核实、竣工验收并缴清相关费用后，给予办理不动产登记手续。</w:t>
      </w:r>
    </w:p>
    <w:p w14:paraId="0AC0762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加大金融支持力度。落实个人住房贷款首付比例、利率等优惠政策，争取首套房首付比例不高于永州全辖金融机构最低规定比例，首套房贷款年利率不高于4.3%。实施差别化住房信贷政策，个人按揭贷款放款周期缩短到3个月内，对拥有1套住房并已结清购房贷款的家庭，为改善居住条件再次申请贷款购买商品住房的，金融机构贷 款执行首套房贷款政策。鼓励金融机构对符合条件的小微企业主、个体工商户，购买商铺、公寓等非住宅商品房按房地产贷款政策给予利率优惠。住房公积金全面放开异地贷款业务，支持全国住房公积金缴存职工到道县购房，不受缴存地、户籍地的限制。</w:t>
      </w:r>
    </w:p>
    <w:p w14:paraId="01BC376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加大税收支持力度。房地产开发企业可以按规定申请延期纳税申报。对有特殊困难而不能按期缴纳税款的，由企业申请，依法办理延期缴纳税款，最长不超过3个月。对房地产企业销售未完工产品计税毛利率统一下调至10%。对纳税信用等级好、管理规范的房地产企业，税务部门依法受理审批增值税期末留抵退税，确保税收优惠应享尽享。</w:t>
      </w:r>
    </w:p>
    <w:p w14:paraId="2CC2A07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实行新建商品房“交房即交证”。通过部门协同、整合平台、强化监管、再造流程、信息共享等方式，缩短房地产开发建设项目从竣工验收到办理不动产首次登记及转移登记的全过程时限，努力构建行之有效、可复制的新建商品房“交房即交证”工作模式。</w:t>
      </w:r>
    </w:p>
    <w:p w14:paraId="5E4915A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切实维护房地产市场秩序。加强房地产政策宣传，适时举办住博会；加大违法建设查处力度，禁止任何单位和个人建设和销售小产权房；加大对未批先售、未经竣工验收即交付使用、虚假违法宣传、未明码标价、价格欺诈、相互串通、操纵市场价格、低于成本价格倾销、以及哄抬价格等违法违规行为的查处力度，持续有效地促进房地产市场平稳健康发展。</w:t>
      </w:r>
    </w:p>
    <w:p w14:paraId="4D58C26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（2）税收政策</w:t>
      </w:r>
    </w:p>
    <w:p w14:paraId="18E2EAE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根据国家有关税法文件规定，房地产开发企业主要涉及的税费包括：</w:t>
      </w:r>
    </w:p>
    <w:p w14:paraId="5C5841C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1）契税</w:t>
      </w:r>
    </w:p>
    <w:p w14:paraId="64A9F2F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纳税人：转移土地、房屋权属，承受的单位和个人；</w:t>
      </w:r>
    </w:p>
    <w:p w14:paraId="2506580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计税依据：市场价格或差额，计征契税的成交价格不含增值税；</w:t>
      </w:r>
    </w:p>
    <w:p w14:paraId="285AFE7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税率：3%—5%</w:t>
      </w:r>
    </w:p>
    <w:p w14:paraId="13EC954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w:t>
      </w:r>
    </w:p>
    <w:p w14:paraId="1EB3273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2）城镇土地使用税</w:t>
      </w:r>
    </w:p>
    <w:p w14:paraId="5AB9571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纳税人：在城市、县城、建制镇、工矿区范围内拥有土地使用权的单位和个人；</w:t>
      </w:r>
    </w:p>
    <w:p w14:paraId="7E24680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计税依据：实际占用土地面积；</w:t>
      </w:r>
    </w:p>
    <w:p w14:paraId="203B1A0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适用税额：大城市1.5-30元，中等城市1.2-24元，小城市0.9-18元，县城、建制镇、工矿区0.6-12元；</w:t>
      </w:r>
    </w:p>
    <w:p w14:paraId="66564A5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纳税义务发生时间：取得土地后次月；</w:t>
      </w:r>
    </w:p>
    <w:p w14:paraId="4717502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涉税阶段：前期准备阶段、建设施工阶段、预售阶段。</w:t>
      </w:r>
    </w:p>
    <w:p w14:paraId="375509C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3）耕地占用税</w:t>
      </w:r>
    </w:p>
    <w:p w14:paraId="01E50F6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纳税人：占用耕地建房或者从事非农业建设的单位或者个人；</w:t>
      </w:r>
    </w:p>
    <w:p w14:paraId="4686AF8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计税依据：占用的耕地面积</w:t>
      </w:r>
    </w:p>
    <w:p w14:paraId="374A230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适用税额：人均耕地不超过1亩的地区，每平方米为10~50元；人均耕地占用超过1亩但不超过2亩的地区，每平方米为8~40元；人均耕地占用超过2亩但不超过3亩的地区，每平方米为6~30元；人均耕地超过3亩的地区，每平方米为5~25元；</w:t>
      </w:r>
    </w:p>
    <w:p w14:paraId="687B82C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涉税阶段：土地获取阶段、前期准备阶段。</w:t>
      </w:r>
    </w:p>
    <w:p w14:paraId="4187B9C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4）印花税</w:t>
      </w:r>
    </w:p>
    <w:p w14:paraId="4312013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纳税人：经济活动和经济交往中书立、领受应税凭证的单位和个人；</w:t>
      </w:r>
    </w:p>
    <w:p w14:paraId="21A0AE5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应税对象：经济合同、产权转移数据、营业账簿、权利许可证照等；</w:t>
      </w:r>
    </w:p>
    <w:p w14:paraId="53194BD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房地产涉及的印花税：取得土地和销售阶段签订的房屋销售合同；建设工程合同、借款合同、财产保险合同、注册资本等；</w:t>
      </w:r>
    </w:p>
    <w:p w14:paraId="209973C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涉税阶段：土地获取阶段、建设施工阶段、预售阶段；</w:t>
      </w:r>
    </w:p>
    <w:p w14:paraId="51ADAA4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5）增值税</w:t>
      </w:r>
    </w:p>
    <w:p w14:paraId="19EE114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纳税人：在中华人民共和国境内销售货物或者加工、修理修配劳务，销售服务、无形资产、不动产以及进口货物的单位和个人；</w:t>
      </w:r>
    </w:p>
    <w:p w14:paraId="682951A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计税方法：一般计税和简易计税；</w:t>
      </w:r>
    </w:p>
    <w:p w14:paraId="61C1328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预缴增值税：在取得预收款的次月纳税申报期预缴税款</w:t>
      </w:r>
    </w:p>
    <w:p w14:paraId="477FD08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房地产开发企业纳税义务发生时间：</w:t>
      </w:r>
    </w:p>
    <w:p w14:paraId="180E96D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发生应税行为并收讫销售款项或者取得索取销售款项凭据的当天；先开具发票的，为开具发票的当天。收讫销售款项，是指纳税人销售服务、无形资产、不动产过程中或者完成后收到款项。取得索取销售款项凭据的当天，是指书面合同确定的付款日期；未签订书面合同或者书面合同未确定付款日期的，为服务、无形资产转让完成的当天或者不动产权属变更的当天。</w:t>
      </w:r>
    </w:p>
    <w:p w14:paraId="1874895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2AE0A27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6）城市维护建设税</w:t>
      </w:r>
    </w:p>
    <w:p w14:paraId="51F13C4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纳税人：缴纳增值税、消费税的单位和个人；</w:t>
      </w:r>
    </w:p>
    <w:p w14:paraId="51231C9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计税依据：纳税人实际缴纳的增值税、消费税税额；</w:t>
      </w:r>
    </w:p>
    <w:p w14:paraId="5D3D4DC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计税税率：1.纳税人所在地在市区，税率为7%；2.纳税人所在地在县城、镇的，税率为 5%；3.纳税人不在上述地区的，税率为1%；</w:t>
      </w:r>
    </w:p>
    <w:p w14:paraId="67FF10B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房地产开发企业纳税义务：跨地区提供建筑服务、销售和出租不动产的，按预缴所在地城建税税率计算缴纳。与增值税的纳税期限一致，与增值税同时缴纳。</w:t>
      </w:r>
    </w:p>
    <w:p w14:paraId="5458F93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3CDF9A7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7）教育费附加</w:t>
      </w:r>
    </w:p>
    <w:p w14:paraId="5D39204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纳税人：凡缴纳增值税、消费税的单位和个人，按3%计征；</w:t>
      </w:r>
    </w:p>
    <w:p w14:paraId="66E929C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计税依据：实际缴纳的增值税、消费税税额；</w:t>
      </w:r>
    </w:p>
    <w:p w14:paraId="158EAB8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62304E2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8）地方教育附加</w:t>
      </w:r>
    </w:p>
    <w:p w14:paraId="6159FA4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纳税人：缴纳增值税、消费税的单位和个人，按 2%计征；</w:t>
      </w:r>
    </w:p>
    <w:p w14:paraId="01F1BC0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计税依据：实际缴纳的增值税、消费税税额；</w:t>
      </w:r>
    </w:p>
    <w:p w14:paraId="62A6B20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涉税阶段：销售阶段</w:t>
      </w:r>
    </w:p>
    <w:p w14:paraId="13DD938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9）房产税</w:t>
      </w:r>
    </w:p>
    <w:p w14:paraId="7E663FD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纳税人：房屋产权所有人；</w:t>
      </w:r>
    </w:p>
    <w:p w14:paraId="1D47E46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计税依据：房屋的计税余值或租金收入，房屋出租的，计征租金收入不含增值税；</w:t>
      </w:r>
    </w:p>
    <w:p w14:paraId="77227A8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房地产开发企业纳税义务：自用房屋，房产税依照房产原值一次减除10%-30% 后的余值计算缴纳，具体减除幅度由省、自治区、直辖市人民政府规定，适用税率 1.2%；房屋出租的，以房产租金收入和税率 12%计算缴纳。对于个人按市场价格出租的居民住房，房产税暂减按 4%税率征收。</w:t>
      </w:r>
    </w:p>
    <w:p w14:paraId="63868511">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涉税阶段：前期准备阶段、建设施工阶段、销售阶段</w:t>
      </w:r>
    </w:p>
    <w:p w14:paraId="7A01944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10）土地增值税</w:t>
      </w:r>
    </w:p>
    <w:p w14:paraId="3C96210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纳税人：有偿转让国有土地使用权及地上建筑物和其他附着物产权，取得增值收入的单位和个人；</w:t>
      </w:r>
    </w:p>
    <w:p w14:paraId="1BA8E4D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房地产开发企业纳税义务：房地产开发企业转让土地时，要按照其转让房地产时取得的收入减去允许扣除的项目金额后的余额，依照规定的税率缴纳土地增值税；</w:t>
      </w:r>
    </w:p>
    <w:p w14:paraId="22F87BD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计税依据：对增值额征税，增值额计算要素如下：</w:t>
      </w:r>
    </w:p>
    <w:p w14:paraId="4339E2D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①计税收入为房地产企业转让房地产取得的收入，土地增值税应税收入=营改增之前转让房地产取得的收入+营改增后转让房地产取得的不含税收入</w:t>
      </w:r>
    </w:p>
    <w:p w14:paraId="6C8C117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允许扣除项目包括取得土地使用权所支付的金额、开发土地和新建房及配套设施的成本、开发土地和新建房及配套设施的费用以及前述两项20%加计扣除，还有与转让房地产有关的税金。与转让房地产有关的税金=营改 增前实际缴纳的营业税、城市维护建设税、教育费附加+营改增后允许扣除的城市维护建设税、教育费附加。</w:t>
      </w:r>
    </w:p>
    <w:p w14:paraId="38DA4AB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③建造普通住宅出售，增值额未超过扣除项目金额20%的，免征土地增值税。</w:t>
      </w:r>
    </w:p>
    <w:p w14:paraId="6124C47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④征收方式：采取按期预征、项目完工清算的方法。也就是按照当期取得的售房收入，依照预征率计算征收，项目完工后清算，多退少补。对于无法查账征收土地增值税的企业，可以核定征收。</w:t>
      </w:r>
    </w:p>
    <w:p w14:paraId="722C1C2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⑤涉税阶段：销售阶段、土增税清算阶段。</w:t>
      </w:r>
    </w:p>
    <w:p w14:paraId="3CA7E49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11）企业所得税</w:t>
      </w:r>
    </w:p>
    <w:p w14:paraId="5F8DE56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征收方式：查账征收和核定征收。房地产企业一般采用查账征收，适用 25%税率。企业所得税是按年计算，分月或者分季预缴，年终汇算清缴，多退少补。自年度终了之日起5个月内，向税务机关报送年度企业所得税纳税申报表，并汇算清缴，结清应缴应退税款；</w:t>
      </w:r>
    </w:p>
    <w:p w14:paraId="6994D63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2021.1.1～2022.12.31，对小型微利企业年应纳税所得额不超过100万元的部分，减按12.5%计入应纳税所得额，按20%的税率缴纳企业所得税（税负2.5％）；对年应纳税所得额超过100万元但不超过300万元的部分，减按50%计入应纳税所得额，按20%的税率缴纳企业所得税（税负10％）。</w:t>
      </w:r>
    </w:p>
    <w:p w14:paraId="4FAB7ED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小型微利企业是指从事国家非限制和禁止行业，且同时符合年度应纳税所得额不超过300万元、从业人数不超过300人、资产总额不超过5000万元等三个条件的企业。</w:t>
      </w:r>
    </w:p>
    <w:p w14:paraId="6791673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所得税预缴：房地产开发企业销售未完工产品取得的收入，应先按预计毛利率分季（或月）计算出预计毛利额，计入当期应纳税所得额。</w:t>
      </w:r>
    </w:p>
    <w:p w14:paraId="0FAD583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涉税阶段：项目全周期</w:t>
      </w:r>
    </w:p>
    <w:p w14:paraId="1367D1B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12）个人所得税</w:t>
      </w:r>
    </w:p>
    <w:p w14:paraId="0949A5E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征税对象：工资、薪金所得；劳务报酬所得；稿酬所得；特许权使用费所得；利息、股息、红利所得；财产租赁所得；财产转让所得；偶然所得。</w:t>
      </w:r>
    </w:p>
    <w:p w14:paraId="2F22614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房地产开发企业纳税义务：代扣代缴个人所得税；</w:t>
      </w:r>
    </w:p>
    <w:p w14:paraId="090B29A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涉税阶段：项目全周期</w:t>
      </w:r>
    </w:p>
    <w:p w14:paraId="28FA135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目前道县房地产税收政策与国家政策保持完全一致。</w:t>
      </w:r>
    </w:p>
    <w:p w14:paraId="0E8544C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4.城市规划与发展目标</w:t>
      </w:r>
    </w:p>
    <w:p w14:paraId="2156081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（1）城市规划</w:t>
      </w:r>
    </w:p>
    <w:p w14:paraId="4F2952E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根据道县国土空间总体规划征求意见稿，道县县域规划产业发展形成“一核、一轴、三区、多基地 ”空间布局。一核：县城，以道县工业集中区为基础，打造县域产业发展极核。一轴：沿国道G357产业发展主轴。三区：国道G357以北的北部特色农业发展区、南部瑶族乡为主南部生态保护 和旅游发展区，中部乡镇形成城郊型产业发展区。多基地：分布于县域产业发展基地，主要有工业发展基地、旅游基地、烟草 基地、脐橙基地等。</w:t>
      </w:r>
    </w:p>
    <w:p w14:paraId="0286C68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结合产业发展现状，根据工业园内的现状路网和总体规划路网、自然地形及规划用地性质，规划以城区为依托，以工业大道与东环二路为工业园发展主轴，按照工业向北向东拓展的用地布局设想，形成清晰的规划结构。整个工业园区为“一心、两轴、多板块”的规划结构。“一心”是指：以工业大道与东环二路相交区域为依托规划形成的片区园区综合服务核心；该中心将集中园区主要的商业金融、商务办公及行政办公等设施，设置绿化、广场，以林荫步道与周围镇区道路相连，把生态和市民活动引入内部，形成真正集聚人们各种公共活动的园区中心。“两轴”是指：工业园内的产业发展轴。即工业大道两厢的以工业为主，以生活服务、综合居住为辅的产业发展主轴线。以东环二路两厢的工业为主、生活服务为辅的产业发展次要轴线。“多板块”是指：工业板块、综合办公板块、综合居住板块、生活服务板块四大板块。</w:t>
      </w:r>
    </w:p>
    <w:p w14:paraId="0C61EA7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通过对自然地貌的分析梳理和城市空间构思设想，规划构建县城“一带双心、二廊四轴、七组团”的县城整体空间结构。一带：即沿潇水的县城核心景观带，由南至北，串联县城各核心组团；双心：即县城中心的商业服务中心和历史文化核心城区。二廊：指濂溪河生态廊道和板坝河生态廊道；四轴：南北向即以道洲路为依托的县城综合发展轴、营阳大道综合发展发展轴；东西向以月岩路为依托的综合发展轴、工业大道发展轴；七组团：即县城七大核心组团，分别为工业园组团、城北组团、历史城区组团、火车站站前城西现代商贸组团、中部综合服务组团、城南物流园组团、城东文旅康养组团。</w:t>
      </w:r>
    </w:p>
    <w:p w14:paraId="661AD11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（2）发展目标</w:t>
      </w:r>
    </w:p>
    <w:p w14:paraId="44DA3D72">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2025年目标</w:t>
      </w:r>
    </w:p>
    <w:p w14:paraId="52F1821D">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生态保护红线和永久基本农田保护红线得到严格落实，国土空间开发保护格 局得到优化；潇水及其支流水系、森林、山体等生态功能得到大幅提升，资源利 用水平显著提高；重点环境问题得到有效整治，城乡污水处理、生活垃圾分类无 害化处理实现全覆盖，生态环境持续改善，生态安全屏障更加牢固，城乡人居环 境明显改善；“江湾映城、山水相融 ”的城市空间格局基本形成，民生设施建设 取得显著成效，乡村地区基本实现集约发展，传统历史文化得到保护、传承和弘 扬；现代化产业体系初具规模，科技创新能力显著增强，对外开放与区域协同水 平全面提升，成为湘粤桂交汇区经济发展的核心引擎。</w:t>
      </w:r>
    </w:p>
    <w:p w14:paraId="0A4BE403">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2035年目标</w:t>
      </w:r>
    </w:p>
    <w:p w14:paraId="27FAFBBA">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国土空间治理体系和治理能力现代化基本实现，优良的生态格局全面稳固；城市功能完善，人居环境品质优良，文化吸引力突出；创新驱动的开放型现代产业体系基本建立，发展形成全省内陆开放前沿阵地；绿色生产生活方式广泛形成、蔚然成风，生态优势持续放大，人与自然和谐共生；理学文化、红色文化持续发扬光大；全面建成湘粤桂交汇区山水城园和谐共生、城乡深度融合、创新开放品质活力的中心城市。</w:t>
      </w:r>
    </w:p>
    <w:p w14:paraId="18B8BE77">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远景展望目标</w:t>
      </w:r>
    </w:p>
    <w:p w14:paraId="276D25C7">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到本世纪中叶，县域各项经济社会发展指标达到区域领先水平，国土空间治理体系和治理能力实现现代化；城乡互补、区域互通、三生互动、山水林田湖有 机融合的国土空间“生命共同体”格局全面形成，生态环境进入自然良性循环；传统文化与现代文化交相呼应、繁荣发展；对外开放水平和国际影响力不断提高，科技创新和高端高新产业引领发展；城市功能趋于完善，交通网络便捷高效，现代化基础设施系统完备；全面建成经济繁荣、社会和谐、生态宜居的现代化样板 区和质量变革、效率变革、动力变革的领先发展区。</w:t>
      </w:r>
    </w:p>
    <w:p w14:paraId="5CB6D887">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5.城市社会经济发展状况</w:t>
      </w:r>
    </w:p>
    <w:p w14:paraId="284489C2">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（1）城市经济布局</w:t>
      </w:r>
    </w:p>
    <w:p w14:paraId="705C1ABB">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根据道县人民政府网发布的消息，道县目前城市经济布局主要突出以下几个方面：</w:t>
      </w:r>
    </w:p>
    <w:p w14:paraId="4163C2FE">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优化城镇空间布局。立足道县资源禀赋，落实国家、省市主体功能区战略，科学构建“一核两轴六带”县域发展新格局。一核：以县城为核心，加快中心城区扩容提质，提升城市首位度。两轴：统筹推动沿G207和G357构成的“大十字架”经济发展轴，串联县域高速和国、省、县交通干线，注重推动资源、项目、产业、人口沿着两轴聚集发展，精心打造沿线特色小镇、特色农业 集群发展轴；六带：以县域潇水、濂溪、洑水、泡水、淹水、九嶷河六大水系为纽带，形成六大国土空间开发保护格局。重点加强沿河两岸国土空间开发保护，统筹山水林田湖草系统治理，推进沿河岸线治岸治污治渔，落实好长江十年禁渔，优化村庄规划布局，开展乡村建设行动，提升建房质量，建设美丽道县。</w:t>
      </w:r>
    </w:p>
    <w:p w14:paraId="71B0B690">
      <w:pPr>
        <w:pStyle w:val="2"/>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优化城区空间布局。按照“六纵十八横”的空间架构进行布局， 以千年州府为底色，打造 “一水两岸、双星闪耀”的城市新景观，加快构建“一心两河四岸三新城”的城市空间布局，努力把道县建成现代智慧新城、生态山水洲城、历史文化名城。一心：以县城老城区为核心，突出城区提质扩容、老旧小区改造。两河四岸：以潇水河、濂溪河为纽带，注重以水活城、以洲载城、以文润城，统筹推进城市濂溪河两岸提质、潇水河两岸扩容，推动 城市由“沿线发展”向“沿河发展”转变。三新城：以道县高新区调规扩区为契机，重点发展电子信息、智能智造两大百亿产业，积极培育新材料、新能源两大战略型新兴产业，打造北部工业新城，带动玉潭片区、树湘片区开发发展。 以湘粤桂综合物流园为依托，建设以一个综合物流园、多个专业物流园（汽贸物流园、 家居建材物流园、钢贸物流园、陶瓷建材物流园、 日化物流园和 冷链物流园等）、一个电商综合配送中心为主体的立足湘南、辐射桂东粤西北的区域性综合物流集散基地，加快建设城西路，推 动火车站片区、物流园片区组团滚动发展，打造南部现代物流新 城。以潇水为发展纵轴，以营阳大道（G207 道县绕城公路）、树湘大道为环线，突出上关片区开发建设，加快路网成型，产业导入，打造东部文化生态新城。</w:t>
      </w:r>
    </w:p>
    <w:p w14:paraId="3B65C784">
      <w:pPr>
        <w:pStyle w:val="2"/>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构建新型城镇化体系。打造现代智慧新城。加快城市片区开发， 以濂溪为发展横轴，南面城区突出沿潇水东西拓展，建设东部文化生态新城、南部现代物流新城；北面城区突出提质，改造古城历史文化街区，提升工业新城。以潇水为发展纵轴，以营阳大道（G207 道县绕城公路）、树湘大道为环线，突出上关片区开 发建设，加快路网成型，产业导入，打造东部文化生态新城；以湘粤桂综合物流园为依托，加快建设城西路，推进物流园片区与火车站片区组团滚动发展，打造南部现代物流新城，形成“ 一水两岸、双星闪耀”的城市新景观。以园区调规扩区为契机，健全功能，完善配套，壮大电子信息、智能制造、轻纺制鞋等产业，打造现代工业新城，带动玉潭片区、树湘片区开发发展。提升城市路网建设。加快完成营阳大道（G207道县绕城公路）、东环二路、树湘大道、城西路等城区主干道建设，拆除重建潇水大桥，拓宽建设西关桥，拉通状元路、城北路、振兴路、滨河路等城区“断头路”，形成“六纵十八横”城市路网框架。完善城市功能。持续推进城市更新，实施城中村提质改造，加快老旧小区改造，加强社区建设，支持智慧社区应用和平台建设，完善储能设施、新能源汽车充电桩、换电站及车路协同设施，推进智慧城市建设。创建国家文明城市，强化市容市貌管理整治，规范城市综合执法，推动城市治理方式向全周期管理转变。打造生态山水洲城。依托城市自然生态和山水脉络，建好东洲河坝、濂溪河坝，精心打造东洲生态湿地公园和潇水、濂溪沿岸滨河生态风光带，加强濂溪河生态廊道和板坝河生态廊道建设，完善城市防洪保护圈，加快城市绿地公园建设，创建省级园林、森林城市，打造生态宜居山水洲城。打造历史文化名城。注重将地域特色文化融入城市建设全过程，精心建设城市文化地标，改造寇公街、次山街、湾里街等历史街区，启动绍基故里保护开发，修缮保护古城墙，建好“道州府衙”，建设国家历史文化名城。同时，完善城镇发展体系。</w:t>
      </w:r>
    </w:p>
    <w:p w14:paraId="302882EA">
      <w:pPr>
        <w:pStyle w:val="2"/>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新型城镇化提质扩能。推进环境卫生设施提级扩能。完善垃圾无害化资源化处理设施。全面推进生活垃圾分类，逐步建立分类投放、分类收集、分类运输、分类无害化资源化处理的生活垃圾处理系统。完善道县城区、寿雁和祥霖铺特大镇生活垃圾收运体系，配备分类清运、密封性好、压缩式收运车辆，改造垃圾房和转运站。加快建设道县生活垃圾焚烧终端处理设施，逐步减少原生垃圾直接填埋。建设餐厨垃圾处理中心，建立餐厨垃圾等回收及再生利用体系。加快医疗废物、污水集中处理设施，完善收转运体系，因地制宜建设危险废物处理设施。建设规范的回收网点和分拣中心，对大件垃圾、园林垃圾、装修垃圾等生活垃圾进行回收利用，实现城区生活垃圾分类全覆盖。健全污水集中处理设施。以“共抓长江大保护”试点为契机，按照“厂网配套、泥水并重”要求，建设城区污水集中处理设施，提升管网收集能力，积极推进“雨污分流”，加强混错接、漏接、老化和破损管网更 新修复。加快建设污泥无害化资源化处理设施，推进濂溪河、潇 水河等片区治理。改善县城公共厕所。在旧城区、人流密集区和主次干路等区域，配建、补建2类以上土建厕所、2类装配式移 动厕所，利用节能环保技术配置除臭设施。改造老旧公共厕所，分批进行拆除或改建。新区建设和商业开发要严格按标准配建公共厕所。合理增加无障碍厕位和第三卫生间。推进市政公用设施提档升级。优化市政交通设施。重点推进东二环、营阳大道（G207道县绕城公路）、站前大道、城西路等两条环城路建设；推进东西横线建设，实施金都路、滨河路三段、万家庄路、公园东路、红星西路、文化西路、长征西路、状元路、城北路（东段）、湘源西路、荷叶塘东路、振兴西路、乌家山路等道路建设，完善高新技术产业开发区、物流园区路网建设。完善市政管网设施。全面完善地下给水、雨水、污水、电力、电讯、燃气等工程管线，推进地下综合管廊建设，试点推进海绵城市建设。重点建设一批城市消防站和地下人防工程，推进水系整治、防洪堤和防洪排涝设施建设。发展配送投递设施。建设道县统一分拨中转的公共配送中心，鼓励发展共同配送等新模式，满足小微企业和群众日常物流分拨配送需要。支持社会力量面向家庭用户和单位职工等受众群体，布设不同类型智能快件箱及末端网点设施，升级配套系统管理软硬件等，提供便捷安全的“最后一百米”服务。推进县城智慧化改造。实施道县5G网络建设工程，建设5G基站1200个。推行县城智慧化改造，实现政务服务“一网通办”，部署智 慧交通、智慧电网、智慧水务等感知终端，推进市政公用设施智慧化。建设政务信息数据共享交换平台、智慧安防城市项目，推行智慧教育、智慧医疗、智慧文旅、智慧城管、智慧环卫推进社会治理精细化、公共服务供给便捷化。更新改造老旧小区。推进道县老旧小区改造及基础设施配套，重点实施地下管网改造、强弱电下地、燃气管道铺设、道路提质、房屋修缮加固、安装电梯等项目。鼓励探索以社区乃至街区为单元进行改造的商业模式，吸引社会资本参与有一定盈利的改造项目。推进产业培育设施提 质增效。完善产业平台配套设施。培育城区内生增长动力和 “造 血”能力，引导乡间、夜间、网间经济蓬勃发展和服务业集聚发展，促进农业转移人口就近城镇化。完善文化产业园、特色小镇等产业集聚区配套设施，建设道县检测认证园区；优化技术研发转化中心，提供厚朴等共性技术公用研发设备；在有条件的地区建设智能标准厂房，提供共用生产空间，降低企业成本、提高生产效率；完善便企政务服务中心，优化“最多跑一次”的一站式 服务；完善道县农村资源产权交易平台，盘活农村闲置资源资产。加大高新区产业转型升级力度，争取建设一批产业转型升级示范园区。健全冷链物流设施。建设湘粤桂综合物流园、中农批冷链粤港澳大湾区湖南农副产品配送中心冷链物流产业园等冷链配送设施，保障农副产品全程冷鲜冷冻保存和运输。建设面向城市消费 的生鲜食品低温加工处理中心，推广“生鲜电商+冷链宅配”“中央厨房+食材冷链配送”等新模式。引导社会力量在大中型商场超市建设冷链物流前置仓，解决冷链物流“最后一公里”问题。提升农贸市场水平。新建畜禽批发市场、提质农贸市场、集贸市 场，合理扩大规模和服务半径，改善交易棚厅等经营条件。在批发型农贸市场配置检测检疫设备，确保进场农副产品质量安全。完善零售型农贸市场和社区菜市场环保设施，解决卫生“脏乱差”问题。支持社会力量改造建设畜禽定点屠宰加工厂。</w:t>
      </w:r>
    </w:p>
    <w:p w14:paraId="02ED6B67">
      <w:pPr>
        <w:pStyle w:val="2"/>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（2）城市发展水平</w:t>
      </w:r>
    </w:p>
    <w:p w14:paraId="7E45BD32">
      <w:pPr>
        <w:pStyle w:val="2"/>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实现地区生产总值2938136万元，比上年增长7.0%。其中，第一产业增加值548917万元，增长3.3%；第二产业增加值1002533万元,增长11.3%；第三产业增加值1386686万元，增长5.5%。按常住人口计算，2024年人均地区生产总值为51483元，比上年增长8.3%。</w:t>
      </w:r>
    </w:p>
    <w:p w14:paraId="2F16459C">
      <w:pPr>
        <w:pStyle w:val="2"/>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三次产业结构为18.68:34.12:47.2。工业增加值占地区生产总值的比重为28.08%，比上年提高4.58个百分点；高新技术产业增加值占地区生产总值的比重为10.2%，比上年下降1.6个百分点。第一、二、三产业对经济增长的贡献率分别为9.7%、54.2%和36.1%，分别拉动GDP增长0.68个、3.8个、2.52个百分点。2024年非公有制经济增加值189.73亿元，比上年增长7.3%，占地区生产总值的比重为64.58%，比上年提高1.18个百分点。</w:t>
      </w:r>
    </w:p>
    <w:p w14:paraId="330A78CF">
      <w:pPr>
        <w:pStyle w:val="2"/>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实现工业增加值82.51亿元，增长11.6%，其中：规模工业总产值198.71亿元，增长15.81%，规模工业增加值52.97亿元，增长14.0%。2024年新增规模以上工业企业20家，规模以上工业企业达到154家。规模工业企业实现主营业务收入159.9亿元，增长3.8%；实现利税总额7.55亿元,下降38.96%，其中利润总额5.92亿元,下降48.75%。实现建筑业增加值177396万元，比上年增长9.8%。具有资质等级的总承包和专业承包建筑企业完成产值586174.6万元，增长19.05%；房屋建筑施工面积174.88万平方米,比上年增长16.22%；房屋建筑竣工面积124.28万平方米,比上年上升15.39%。</w:t>
      </w:r>
    </w:p>
    <w:p w14:paraId="31B8B2C8">
      <w:pPr>
        <w:pStyle w:val="2"/>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（3）综合实力</w:t>
      </w:r>
    </w:p>
    <w:p w14:paraId="4477E263">
      <w:pPr>
        <w:pStyle w:val="2"/>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是湖南省历史文化名城、全国糖料作物生产基地、全国秸秆养牛示范基地、全国粮食生产先进县、全国蔬菜产业重点县、全国厚朴生产基地县、全国生猪生产调出大县、全国能繁母牛养殖示范县、全国出口食品农产品质量安全示范县、全国100个柑橘生产基地、中国脐橙之乡。</w:t>
      </w:r>
    </w:p>
    <w:p w14:paraId="0933A585">
      <w:pPr>
        <w:pStyle w:val="2"/>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（4）社会储蓄与投资</w:t>
      </w:r>
    </w:p>
    <w:p w14:paraId="75F2DA9C">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2024年道县完成财政总收入172805万元，下降0.94%,其中一般预算收入146235万元，下降6.7%。全县一般公共预算支出539101万元，增长0.8%。</w:t>
      </w:r>
    </w:p>
    <w:p w14:paraId="6A5A03EF">
      <w:pPr>
        <w:pStyle w:val="2"/>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金融机构各项存款余额350.9万元，比上年增长13.59%，比年初净增41.99万元。其中城乡居民储蓄存款余额296.88万元，增长11.03%，比年初净增29.5万元；年末全县金融机构各项贷款余额223.57万元，比上年增长11.16%，比年初净增22.44万元。其中中长期贷款余额170.18万元，比上年增长10.09%，比年初净增15.77万元。</w:t>
      </w:r>
    </w:p>
    <w:p w14:paraId="5970DA3E">
      <w:pPr>
        <w:pStyle w:val="2"/>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（5）物价变动</w:t>
      </w:r>
    </w:p>
    <w:p w14:paraId="5B971D0F">
      <w:pPr>
        <w:pStyle w:val="2"/>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居民消费价格总指数(CPI)比上年上涨0.4%，其中消费品价格指数比上年上涨0.5%。居民消费八大类指标中：食品烟酒类上涨0.3%，衣着类上涨0.1%，居住类上涨0.3%，生活用品及服务上涨0.9%，交通和通信类下跌0.2%，教育文化和娱乐类上涨0.3%，医疗保健类上涨1.4%，其他用品和服务上涨3.7%。</w:t>
      </w:r>
    </w:p>
    <w:p w14:paraId="501ECDA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 综合考虑以上影响地价的一般因素，评估分析：道县地理位置优越，对外交通便利，城市规划前景良好，随着道县社会经济的不断发展，对于土地的需求将逐渐增加；受全国房地产市场形势的影响，近两年道县的房地产市场趋于平稳，整体市场保持稳健。在宏观调控的综合作用下，道县房地产市场将保持健康平稳态势发展。</w:t>
      </w:r>
    </w:p>
    <w:p w14:paraId="69E303B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(二)区域因素</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ab/>
      </w:r>
    </w:p>
    <w:p w14:paraId="72714E1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区域因素指估价对象对地价有影响的内部区域条件，即影响内部区域之间地价水平的商服繁华程度及区域在城镇中的位置、交通条件、公用设施及基础设施水平、区域环境条件、土地使用限制和自然条件等。</w:t>
      </w:r>
    </w:p>
    <w:p w14:paraId="1D4C8D8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1.区域概况</w:t>
      </w:r>
    </w:p>
    <w:p w14:paraId="37D86E7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（1）区域位置</w:t>
      </w:r>
    </w:p>
    <w:p w14:paraId="0D70EAC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估价对象位于道县四马桥镇。</w:t>
      </w:r>
    </w:p>
    <w:p w14:paraId="6544F15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四马桥镇位于道县东南部，东界宁远县水市镇，南接洪塘营瑶族乡，西临横岭瑶族乡、蚣坝镇，北与白芒铺镇、宁远县天堂镇毗邻。县城至湘源温泉风景区公路、湘江二级支流泡水河横贯南北。</w:t>
      </w:r>
    </w:p>
    <w:p w14:paraId="6403E6F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（2）人口</w:t>
      </w:r>
    </w:p>
    <w:p w14:paraId="42DB945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户籍人口3.86万人，集镇人口9800余人，共10,792户。</w:t>
      </w:r>
    </w:p>
    <w:p w14:paraId="2D1CC2E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（3）土地级别</w:t>
      </w:r>
    </w:p>
    <w:p w14:paraId="264B7D7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道县城镇</w:t>
      </w:r>
      <w:r>
        <w:rPr>
          <w:rFonts w:hint="eastAsia" w:ascii="仿宋_GB2312" w:hAnsi="仿宋_GB2312" w:eastAsia="仿宋_GB2312" w:cs="仿宋_GB2312"/>
          <w:color w:val="000000" w:themeColor="text1"/>
          <w:sz w:val="28"/>
          <w:highlight w:val="none"/>
          <w14:textFill>
            <w14:solidFill>
              <w14:schemeClr w14:val="tx1"/>
            </w14:solidFill>
          </w14:textFill>
        </w:rPr>
        <w:t>基准地价的颁布实施时间为2019年11月22日，批准文号为道政函〔2019〕85号,文件名称为《关于更新城区基准地价和制订11个建制镇基准地价的通告》（道政函〔2019〕85号，2019年11月22日），批准机关为道县人民政府，估价期日为2019年5月1日，距估价期日超过六年</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故暂无土地级别信息</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p>
    <w:p w14:paraId="56CB683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（4）经济发展</w:t>
      </w:r>
    </w:p>
    <w:p w14:paraId="0900C50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eastAsia="仿宋_GB2312"/>
          <w:color w:val="0000FF"/>
          <w:sz w:val="28"/>
          <w:szCs w:val="30"/>
          <w:highlight w:val="none"/>
          <w:lang w:val="en-US" w:eastAsia="zh-CN"/>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四马桥镇是道县重要的产粮区和烤烟生产主产区。2024年，大豆、玉米种植4400亩，油菜5000亩，水稻种植面积达18,600余亩，蔬菜产业对接粤港澳大湾区，华山村等地绿色蔬菜产业基地扩展至2000亩以上。</w:t>
      </w:r>
    </w:p>
    <w:p w14:paraId="576049C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2.交通条件</w:t>
      </w:r>
    </w:p>
    <w:p w14:paraId="47C88F47">
      <w:pPr>
        <w:spacing w:line="460" w:lineRule="exact"/>
        <w:ind w:firstLine="560" w:firstLineChars="200"/>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（1）对内交通条件</w:t>
      </w:r>
    </w:p>
    <w:p w14:paraId="044D550C">
      <w:pPr>
        <w:spacing w:line="460" w:lineRule="exact"/>
        <w:ind w:firstLine="560" w:firstLineChars="200"/>
        <w:outlineLvl w:val="9"/>
        <w:rPr>
          <w:rFonts w:hint="eastAsia" w:ascii="仿宋_GB2312" w:eastAsia="仿宋_GB2312"/>
          <w:color w:val="000000" w:themeColor="text1"/>
          <w:sz w:val="28"/>
          <w:szCs w:val="30"/>
          <w:highlight w:val="none"/>
          <w14:textFill>
            <w14:solidFill>
              <w14:schemeClr w14:val="tx1"/>
            </w14:solidFill>
          </w14:textFill>
        </w:rPr>
      </w:pPr>
      <w:r>
        <w:rPr>
          <w:rFonts w:hint="default" w:ascii="仿宋_GB2312" w:hAnsi="仿宋_GB2312" w:eastAsia="仿宋_GB2312" w:cs="仿宋_GB2312"/>
          <w:color w:val="000000" w:themeColor="text1"/>
          <w:sz w:val="28"/>
          <w:szCs w:val="30"/>
          <w:highlight w:val="none"/>
          <w14:textFill>
            <w14:solidFill>
              <w14:schemeClr w14:val="tx1"/>
            </w14:solidFill>
          </w14:textFill>
        </w:rPr>
        <w:t>四马桥镇</w:t>
      </w:r>
      <w:r>
        <w:rPr>
          <w:rFonts w:hint="eastAsia" w:ascii="仿宋_GB2312" w:hAnsi="仿宋_GB2312" w:eastAsia="仿宋_GB2312" w:cs="仿宋_GB2312"/>
          <w:color w:val="000000" w:themeColor="text1"/>
          <w:sz w:val="28"/>
          <w:szCs w:val="30"/>
          <w:highlight w:val="none"/>
          <w14:textFill>
            <w14:solidFill>
              <w14:schemeClr w14:val="tx1"/>
            </w14:solidFill>
          </w14:textFill>
        </w:rPr>
        <w:t>境内有县城到</w:t>
      </w: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四马桥镇</w:t>
      </w:r>
      <w:r>
        <w:rPr>
          <w:rFonts w:hint="eastAsia" w:ascii="仿宋_GB2312" w:hAnsi="仿宋_GB2312" w:eastAsia="仿宋_GB2312" w:cs="仿宋_GB2312"/>
          <w:color w:val="000000" w:themeColor="text1"/>
          <w:sz w:val="28"/>
          <w:szCs w:val="30"/>
          <w:highlight w:val="none"/>
          <w14:textFill>
            <w14:solidFill>
              <w14:schemeClr w14:val="tx1"/>
            </w14:solidFill>
          </w14:textFill>
        </w:rPr>
        <w:t>、县城到大洞田的客运汽车，6个村通了客运班车，日均客容量140余人次。</w:t>
      </w:r>
    </w:p>
    <w:p w14:paraId="1CE0F72F">
      <w:pPr>
        <w:spacing w:line="460" w:lineRule="exact"/>
        <w:ind w:firstLine="560" w:firstLineChars="200"/>
        <w:outlineLvl w:val="9"/>
        <w:rPr>
          <w:rFonts w:hint="default"/>
          <w:color w:val="000000" w:themeColor="text1"/>
          <w:lang w:eastAsia="zh-CN"/>
          <w14:textFill>
            <w14:solidFill>
              <w14:schemeClr w14:val="tx1"/>
            </w14:solidFill>
          </w14:textFill>
        </w:rPr>
      </w:pPr>
      <w:r>
        <w:rPr>
          <w:rFonts w:hint="default" w:ascii="仿宋_GB2312" w:hAnsi="仿宋_GB2312" w:eastAsia="仿宋_GB2312" w:cs="仿宋_GB2312"/>
          <w:color w:val="000000" w:themeColor="text1"/>
          <w:sz w:val="28"/>
          <w:szCs w:val="30"/>
          <w:highlight w:val="none"/>
          <w14:textFill>
            <w14:solidFill>
              <w14:schemeClr w14:val="tx1"/>
            </w14:solidFill>
          </w14:textFill>
        </w:rPr>
        <w:t>估价对象距四马桥镇客运站12km。</w:t>
      </w:r>
    </w:p>
    <w:p w14:paraId="089F9922">
      <w:pPr>
        <w:spacing w:line="460" w:lineRule="exact"/>
        <w:ind w:firstLine="560" w:firstLineChars="200"/>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（2）对外交通条件</w:t>
      </w:r>
    </w:p>
    <w:p w14:paraId="545AF47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①公路：</w:t>
      </w:r>
      <w:r>
        <w:rPr>
          <w:rFonts w:hint="eastAsia" w:ascii="仿宋_GB2312" w:hAnsi="仿宋_GB2312" w:eastAsia="仿宋_GB2312" w:cs="仿宋_GB2312"/>
          <w:color w:val="000000" w:themeColor="text1"/>
          <w:sz w:val="28"/>
          <w:szCs w:val="30"/>
          <w:highlight w:val="none"/>
          <w14:textFill>
            <w14:solidFill>
              <w14:schemeClr w14:val="tx1"/>
            </w14:solidFill>
          </w14:textFill>
        </w:rPr>
        <w:t>区域的外联道路主要</w:t>
      </w:r>
      <w:r>
        <w:rPr>
          <w:rFonts w:hint="default" w:ascii="仿宋_GB2312" w:hAnsi="仿宋_GB2312" w:eastAsia="仿宋_GB2312" w:cs="仿宋_GB2312"/>
          <w:color w:val="000000" w:themeColor="text1"/>
          <w:sz w:val="28"/>
          <w:szCs w:val="30"/>
          <w:highlight w:val="none"/>
          <w14:textFill>
            <w14:solidFill>
              <w14:schemeClr w14:val="tx1"/>
            </w14:solidFill>
          </w14:textFill>
        </w:rPr>
        <w:t>有县道X089、县道X069、县道X090、XA43等</w:t>
      </w: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等。</w:t>
      </w:r>
    </w:p>
    <w:p w14:paraId="4FFD9DF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②铁路：江华火车站主要线路为益湛铁路，估价对象所在区域中心距离该火车站约15km。</w:t>
      </w:r>
    </w:p>
    <w:p w14:paraId="709A43D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③高铁：估价对象区域距东安高铁站约127km。</w:t>
      </w:r>
    </w:p>
    <w:p w14:paraId="2F38F06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④航空：估价对象区域距离最近的机场为永州零陵机场约117km。</w:t>
      </w:r>
    </w:p>
    <w:p w14:paraId="52E6987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⑤水运：四马桥镇境内有</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begin"/>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instrText xml:space="preserve"> HYPERLINK "https://m.baike.so.com/"/doc/5408752-5646740.html/"" \t "/home/hsl/Documents\\x/\\"_blank\\"" </w:instrTex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separate"/>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湘江</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end"/>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水系二级支流</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begin"/>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instrText xml:space="preserve"> HYPERLINK "https://m.baike.so.com/"/doc/304737-322616.html/"" \t "/home/hsl/Documents\\x/\\"_blank\\"" </w:instrTex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separate"/>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泡水</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end"/>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河穿境而过，境内河道长15.5千米</w:t>
      </w:r>
      <w:r>
        <w:rPr>
          <w:rFonts w:hint="default" w:ascii="仿宋_GB2312" w:hAnsi="仿宋_GB2312" w:eastAsia="仿宋_GB2312" w:cs="仿宋_GB2312"/>
          <w:bCs/>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水位较浅，未形成水运条件，水运主要依托长沙湘江流域。</w:t>
      </w:r>
    </w:p>
    <w:p w14:paraId="510F37E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3.基础设施和市政公用设施</w:t>
      </w:r>
    </w:p>
    <w:p w14:paraId="2C2C6E7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（1）供电：区域内接市政双回路110KV供电管网，供电保证率一般。</w:t>
      </w:r>
    </w:p>
    <w:p w14:paraId="6E41B4B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（2）通讯：区域内通讯与市政通讯网相联，通讯线路以地下管道为主，辅以架空线路，通讯线路畅通，区内已实现移动电话全国漫游，区内全面铺设了高速宽带通讯光缆。</w:t>
      </w:r>
    </w:p>
    <w:p w14:paraId="5A59E07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（3）给水：区域内供水主要来自区内的市政供水。自来水供应管道标准φ1000mm、φ800mm、φ600mm，供水保证率高。</w:t>
      </w:r>
    </w:p>
    <w:p w14:paraId="593BE6C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（4）排水：区内排水为雨污分流方式，排污管沿主要道路铺设，以污水处理厂为终结，市政排水体系完备。</w:t>
      </w:r>
    </w:p>
    <w:p w14:paraId="113B5DA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（5）通气：/。</w:t>
      </w:r>
    </w:p>
    <w:p w14:paraId="11428BE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（6）供暖：/。</w:t>
      </w:r>
    </w:p>
    <w:p w14:paraId="667DBAD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4.环境条件</w:t>
      </w:r>
    </w:p>
    <w:p w14:paraId="1735F52D">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hAnsi="仿宋_GB2312" w:eastAsia="仿宋_GB2312" w:cs="仿宋_GB2312"/>
          <w:color w:val="000000" w:themeColor="text1"/>
          <w:sz w:val="28"/>
          <w:szCs w:val="30"/>
          <w:highlight w:val="none"/>
          <w14:textFill>
            <w14:solidFill>
              <w14:schemeClr w14:val="tx1"/>
            </w14:solidFill>
          </w14:textFill>
        </w:rPr>
        <w:t>（1）人文环境</w:t>
      </w:r>
    </w:p>
    <w:p w14:paraId="2607F4A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w:t>
      </w:r>
      <w:r>
        <w:rPr>
          <w:rFonts w:hint="eastAsia" w:ascii="仿宋_GB2312" w:hAnsi="仿宋_GB2312" w:eastAsia="仿宋_GB2312" w:cs="仿宋_GB2312"/>
          <w:bCs/>
          <w:color w:val="000000" w:themeColor="text1"/>
          <w:sz w:val="28"/>
          <w:szCs w:val="28"/>
          <w:highlight w:val="none"/>
          <w14:textFill>
            <w14:solidFill>
              <w14:schemeClr w14:val="tx1"/>
            </w14:solidFill>
          </w14:textFill>
        </w:rPr>
        <w:t>居民整体文化素质一般，周边治安稳定，文人环境一般。</w:t>
      </w:r>
    </w:p>
    <w:p w14:paraId="536EBFB5">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hAnsi="仿宋_GB2312" w:eastAsia="仿宋_GB2312" w:cs="仿宋_GB2312"/>
          <w:color w:val="000000" w:themeColor="text1"/>
          <w:sz w:val="28"/>
          <w:szCs w:val="30"/>
          <w:highlight w:val="none"/>
          <w14:textFill>
            <w14:solidFill>
              <w14:schemeClr w14:val="tx1"/>
            </w14:solidFill>
          </w14:textFill>
        </w:rPr>
        <w:t>（2）自然环境</w:t>
      </w:r>
    </w:p>
    <w:p w14:paraId="1BB2278B">
      <w:pPr>
        <w:spacing w:line="460" w:lineRule="exact"/>
        <w:ind w:firstLine="560" w:firstLineChars="200"/>
        <w:outlineLvl w:val="9"/>
        <w:rPr>
          <w:rFonts w:hint="default" w:ascii="仿宋_GB2312" w:eastAsia="仿宋_GB2312"/>
          <w:color w:val="auto"/>
          <w:sz w:val="28"/>
          <w:szCs w:val="30"/>
          <w:highlight w:val="none"/>
        </w:rPr>
      </w:pPr>
      <w:r>
        <w:rPr>
          <w:rFonts w:hint="default" w:ascii="仿宋_GB2312" w:hAnsi="仿宋_GB2312" w:eastAsia="仿宋_GB2312" w:cs="仿宋_GB2312"/>
          <w:color w:val="auto"/>
          <w:sz w:val="28"/>
          <w:szCs w:val="30"/>
          <w:highlight w:val="none"/>
        </w:rPr>
        <w:t>四马桥镇境内麻子寨、分水凹等山矗立南部，地势东高西低，南高北低。泡水流注其间，沿河两岸为较大面积的溪谷平原，地势平坦。地面高度一般在海拔350米，最高点牛鸾心海拔1037米，最低点泡水河海拔200米。</w:t>
      </w:r>
    </w:p>
    <w:p w14:paraId="22F4227B">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hAnsi="仿宋_GB2312" w:eastAsia="仿宋_GB2312" w:cs="仿宋_GB2312"/>
          <w:color w:val="auto"/>
          <w:sz w:val="28"/>
          <w:szCs w:val="30"/>
          <w:highlight w:val="none"/>
        </w:rPr>
        <w:t>宗地所在区域，地质条</w:t>
      </w:r>
      <w:r>
        <w:rPr>
          <w:rFonts w:hint="eastAsia" w:ascii="仿宋_GB2312" w:hAnsi="仿宋_GB2312" w:eastAsia="仿宋_GB2312" w:cs="仿宋_GB2312"/>
          <w:color w:val="000000" w:themeColor="text1"/>
          <w:sz w:val="28"/>
          <w:szCs w:val="30"/>
          <w:highlight w:val="none"/>
          <w14:textFill>
            <w14:solidFill>
              <w14:schemeClr w14:val="tx1"/>
            </w14:solidFill>
          </w14:textFill>
        </w:rPr>
        <w:t>件较好，宗地无异常地质现象，地基承载力</w:t>
      </w: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大于25</w:t>
      </w:r>
      <w:r>
        <w:rPr>
          <w:rFonts w:hint="eastAsia" w:ascii="仿宋_GB2312" w:hAnsi="仿宋_GB2312" w:eastAsia="仿宋_GB2312" w:cs="仿宋_GB2312"/>
          <w:color w:val="000000" w:themeColor="text1"/>
          <w:sz w:val="28"/>
          <w:szCs w:val="30"/>
          <w:highlight w:val="none"/>
          <w14:textFill>
            <w14:solidFill>
              <w14:schemeClr w14:val="tx1"/>
            </w14:solidFill>
          </w14:textFill>
        </w:rPr>
        <w:t>吨/平方米，地势平坦。区域内无大型污染性企业，区域内自然灾害率大于100年一遇。</w:t>
      </w:r>
    </w:p>
    <w:p w14:paraId="5F2840C1">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5.产业集聚度</w:t>
      </w:r>
    </w:p>
    <w:p w14:paraId="2EC25ED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估价对象位于产业独立分布区，产业集聚度劣。</w:t>
      </w:r>
    </w:p>
    <w:p w14:paraId="5688FE8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6.规划限制</w:t>
      </w:r>
    </w:p>
    <w:p w14:paraId="639FA9D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目前城市规划对估价对象所在区域无特殊限制，具体的开发建设必须符合规划管理部门的控制性详细规划。</w:t>
      </w:r>
    </w:p>
    <w:p w14:paraId="61E131B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7.微观区位因素</w:t>
      </w:r>
    </w:p>
    <w:p w14:paraId="4A12677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color w:val="000000"/>
          <w:sz w:val="28"/>
        </w:rPr>
        <w:t>估价对象位于通道县双江镇城南街，估价对价对象交通由支路构成，区域交通条件差。距离最近火车站（江华火车站）约12km，距火车站距离差；区域基础设施状况一般，区域内产业集聚度差。</w:t>
      </w:r>
    </w:p>
    <w:p w14:paraId="145F5FE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综合考虑以上影响地价区域因素，评估分析：估价对象所在区域交通条件差，基础设施齐全，产业集聚度差，地质条件好，区域无特殊规划限制。</w:t>
      </w:r>
    </w:p>
    <w:p w14:paraId="3640194B">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(三)个别因素</w:t>
      </w:r>
    </w:p>
    <w:p w14:paraId="4C8C8F28">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影响宗地的个别因素主要指与土地利用直接有关的宗地自身条件，包括估价对象位置、面积、用途、土地利用现状、宗地形状、地质条件、地势、基础设施条件等。</w:t>
      </w:r>
    </w:p>
    <w:p w14:paraId="0D565D13">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1.土地位置</w:t>
      </w:r>
    </w:p>
    <w:p w14:paraId="7DF5C5BA">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估价对象位于道县湖南紫金新材料聚集区。</w:t>
      </w:r>
    </w:p>
    <w:p w14:paraId="05C13040">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2.土地面积</w:t>
      </w:r>
    </w:p>
    <w:p w14:paraId="406E676F">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color w:val="000000"/>
          <w:sz w:val="28"/>
        </w:rPr>
        <w:t>根据委托估价方提供的《关于国有建设用地的规划条件的函》（2025年9月11日），估价对象土地面积为25.32平方米，面积适中，对土地利用有利。</w:t>
      </w:r>
    </w:p>
    <w:p w14:paraId="0BF01DA4">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3.宗地四至：东临建筑物，南临建筑物，西临长征南路，北临建筑物</w:t>
      </w:r>
    </w:p>
    <w:p w14:paraId="77D8C53F">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4.土地用途</w:t>
      </w:r>
    </w:p>
    <w:p w14:paraId="3504F6AD">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color w:val="000000"/>
          <w:sz w:val="28"/>
        </w:rPr>
        <w:t>根据《关于国有建设用地的规划条件的函》（2025年9月11日），土地用途为城镇住宅用地。</w:t>
      </w:r>
    </w:p>
    <w:p w14:paraId="523EACAC">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5.土地形状</w:t>
      </w:r>
    </w:p>
    <w:p w14:paraId="51680C86">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根据委托估价方提供的《通道县房屋登记核发权证申请表》，宗地形状基本规则，对利用无影响。</w:t>
      </w:r>
    </w:p>
    <w:p w14:paraId="0FCC2F77">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6.地质条件</w:t>
      </w:r>
    </w:p>
    <w:p w14:paraId="2ADABEAB">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估价对象地基承载大于25吨/平方米，地质条件优。</w:t>
      </w:r>
    </w:p>
    <w:p w14:paraId="70834E80">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7.地势条件</w:t>
      </w:r>
    </w:p>
    <w:p w14:paraId="221558E6">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根据估价师现场勘查，宗地地势较平坦。</w:t>
      </w:r>
    </w:p>
    <w:p w14:paraId="5A907B07">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8.土地利用条件</w:t>
      </w:r>
    </w:p>
    <w:p w14:paraId="76C90B0E">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（1）土地利用现状</w:t>
      </w:r>
    </w:p>
    <w:p w14:paraId="0FE69799">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根据委托估价方提供的资料和土地估价师现场勘查结果，宗地现状开发程度为宗地红线内外“五通”（通路、通电、供水、排水、通讯）及红线内场地平整，利用现状为待开发建设用地。</w:t>
      </w:r>
    </w:p>
    <w:p w14:paraId="6CA09E17">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估价对象利用现状如下：</w:t>
      </w:r>
    </w:p>
    <w:tbl>
      <w:tblPr>
        <w:tblStyle w:val="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18"/>
        <w:gridCol w:w="4204"/>
      </w:tblGrid>
      <w:tr w14:paraId="6CD3CA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92" w:hRule="atLeast"/>
          <w:jc w:val="center"/>
        </w:trPr>
        <w:tc>
          <w:tcPr>
            <w:tcW w:w="2533" w:type="pct"/>
          </w:tcPr>
          <w:p w14:paraId="61B55515">
            <w:pPr>
              <w:pStyle w:val="14"/>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lang w:eastAsia="zh-CN"/>
                <w14:textFill>
                  <w14:solidFill>
                    <w14:schemeClr w14:val="tx1"/>
                  </w14:solidFill>
                </w14:textFill>
              </w:rPr>
              <w:drawing>
                <wp:inline distT="0" distB="0" distL="114300" distR="114300">
                  <wp:extent cx="2519680" cy="1889760"/>
                  <wp:effectExtent l="0" t="0" r="13970" b="15240"/>
                  <wp:docPr id="1006" name="图片 1" descr="0d1c4769464c08c55cd7d263fc47bf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图片 1" descr="0d1c4769464c08c55cd7d263fc47bf45"/>
                          <pic:cNvPicPr>
                            <a:picLocks noChangeAspect="1"/>
                          </pic:cNvPicPr>
                        </pic:nvPicPr>
                        <pic:blipFill>
                          <a:blip r:embed="rId30"/>
                          <a:stretch>
                            <a:fillRect/>
                          </a:stretch>
                        </pic:blipFill>
                        <pic:spPr>
                          <a:xfrm>
                            <a:off x="0" y="0"/>
                            <a:ext cx="2519680" cy="1889760"/>
                          </a:xfrm>
                          <a:prstGeom prst="rect">
                            <a:avLst/>
                          </a:prstGeom>
                        </pic:spPr>
                      </pic:pic>
                    </a:graphicData>
                  </a:graphic>
                </wp:inline>
              </w:drawing>
            </w:r>
          </w:p>
        </w:tc>
        <w:tc>
          <w:tcPr>
            <w:tcW w:w="2466" w:type="pct"/>
          </w:tcPr>
          <w:p w14:paraId="5D9B8107">
            <w:pPr>
              <w:pStyle w:val="14"/>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lang w:eastAsia="zh-CN"/>
                <w14:textFill>
                  <w14:solidFill>
                    <w14:schemeClr w14:val="tx1"/>
                  </w14:solidFill>
                </w14:textFill>
              </w:rPr>
              <w:drawing>
                <wp:inline distT="0" distB="0" distL="114300" distR="114300">
                  <wp:extent cx="2522220" cy="1891030"/>
                  <wp:effectExtent l="0" t="0" r="11430" b="13970"/>
                  <wp:docPr id="1007" name="图片 3" descr="b9ee6a2c6791617f1697764a5113a0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图片 3" descr="b9ee6a2c6791617f1697764a5113a0eb"/>
                          <pic:cNvPicPr>
                            <a:picLocks noChangeAspect="1"/>
                          </pic:cNvPicPr>
                        </pic:nvPicPr>
                        <pic:blipFill>
                          <a:blip r:embed="rId31"/>
                          <a:stretch>
                            <a:fillRect/>
                          </a:stretch>
                        </pic:blipFill>
                        <pic:spPr>
                          <a:xfrm>
                            <a:off x="0" y="0"/>
                            <a:ext cx="2522220" cy="1891030"/>
                          </a:xfrm>
                          <a:prstGeom prst="rect">
                            <a:avLst/>
                          </a:prstGeom>
                        </pic:spPr>
                      </pic:pic>
                    </a:graphicData>
                  </a:graphic>
                </wp:inline>
              </w:drawing>
            </w:r>
          </w:p>
        </w:tc>
      </w:tr>
    </w:tbl>
    <w:p w14:paraId="02073010">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（2）规划利用条件</w:t>
      </w:r>
    </w:p>
    <w:p w14:paraId="60982C1E">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①规划利用状况</w:t>
      </w:r>
    </w:p>
    <w:p w14:paraId="1AF2793F">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color w:val="000000"/>
          <w:sz w:val="28"/>
        </w:rPr>
        <w:t>根据《关于国有建设用地的规划条件的函》（2025年9月11日）及现场勘查状况，估价对象土地面积为25.32平方米，规划建筑密度35%-55%，容积率0.7-4.23，绿地率≤15%，建筑限高24米，规划指标批准机关为通道县自然资源局，批准日期为2025年9月11日。</w:t>
      </w:r>
    </w:p>
    <w:p w14:paraId="6849B2D4">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②最佳利用</w:t>
      </w:r>
    </w:p>
    <w:p w14:paraId="7C889307">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42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t>本次评估根据最有效利用原则，估价对象在规划利用下价值利用状况为最有效利用。故设定估价对象为住宅用地，设定容积率为0.7-4.23，其余指标均取规划值为最佳利用方式。</w:t>
      </w:r>
    </w:p>
    <w:p w14:paraId="37F0EB9E">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③规划利用限制和缺陷情况</w:t>
      </w:r>
    </w:p>
    <w:p w14:paraId="6EBA7B6F">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根据委托方提供的资料及估价人员了解，宗地无明显规划利用限制和缺陷。</w:t>
      </w:r>
    </w:p>
    <w:p w14:paraId="11A7E29F">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9.基础设施条件</w:t>
      </w:r>
    </w:p>
    <w:p w14:paraId="46A524AA">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估价对象宗地实际土地开发程度为宗地红线内外“五通”（通路、通电、供水、排水、通讯）及红线内场地平整。</w:t>
      </w:r>
    </w:p>
    <w:p w14:paraId="05C96FAB">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（1）通路：临支路。</w:t>
      </w:r>
    </w:p>
    <w:p w14:paraId="516EFC0F">
      <w:pPr>
        <w:pStyle w:val="2"/>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（2）供电：区域内接市政双回路110KV供电管网，供电保证率一般。</w:t>
      </w:r>
    </w:p>
    <w:p w14:paraId="6D7AC5FB">
      <w:pPr>
        <w:pStyle w:val="2"/>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（3）通讯：区域内通讯与市政通讯网相联，通讯线路以地下管道为主，辅以架空线路，通讯线路畅通，区内已实现移动电话全国漫游，区内全面铺设了高速宽带通讯光缆。</w:t>
      </w:r>
    </w:p>
    <w:p w14:paraId="310ED1DA">
      <w:pPr>
        <w:pStyle w:val="2"/>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（4）给水：/。</w:t>
      </w:r>
    </w:p>
    <w:p w14:paraId="68010F06">
      <w:pPr>
        <w:pStyle w:val="2"/>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（5）排水：/。</w:t>
      </w:r>
    </w:p>
    <w:p w14:paraId="29EF1C13">
      <w:pPr>
        <w:pStyle w:val="2"/>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14:textFill>
            <w14:solidFill>
              <w14:schemeClr w14:val="tx1"/>
            </w14:solidFill>
          </w14:textFill>
        </w:rPr>
        <w:sectPr>
          <w:headerReference r:id="rId11" w:type="first"/>
          <w:footerReference r:id="rId12" w:type="first"/>
          <w:endnotePr>
            <w:numFmt w:val="decimal"/>
          </w:endnotePr>
          <w:type w:val="continuous"/>
          <w:pgSz w:w="11906" w:h="16838"/>
          <w:pgMar w:top="1440" w:right="1800" w:bottom="1440" w:left="1800" w:header="851" w:footer="992" w:gutter="0"/>
          <w:pgNumType w:fmt="decimal"/>
          <w:cols w:space="720" w:num="1"/>
          <w:docGrid w:linePitch="312" w:charSpace="0"/>
        </w:sect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综合考虑以上影响地价的个别因素，评估分析：面积适中，对土地利用有利，宗地形状基本规则，对利用有一定影响，地质地势条件优，主要进出道路为支路，道路通达度较差，距最近货运火车站距离为劣。估价对象作为设定用途符合有效利用原则，其他个别条件均对宗地产生较有利影响。</w:t>
      </w:r>
    </w:p>
    <w:p w14:paraId="6A8170F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p>
    <w:p w14:paraId="1D4FE92F">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sectPr>
          <w:headerReference r:id="rId13" w:type="first"/>
          <w:footerReference r:id="rId14" w:type="first"/>
          <w:endnotePr>
            <w:numFmt w:val="decimal"/>
          </w:endnotePr>
          <w:type w:val="continuous"/>
          <w:pgSz w:w="11906" w:h="16838"/>
          <w:pgMar w:top="1440" w:right="1800" w:bottom="1440" w:left="1800" w:header="851" w:footer="992" w:gutter="0"/>
          <w:pgNumType w:fmt="decimal"/>
          <w:cols w:space="720" w:num="1"/>
          <w:docGrid w:linePitch="312" w:charSpace="0"/>
        </w:sectPr>
      </w:pPr>
    </w:p>
    <w:p w14:paraId="4A2C50C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p>
    <w:p w14:paraId="0DD4A18E">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sectPr>
          <w:headerReference r:id="rId15" w:type="first"/>
          <w:footerReference r:id="rId16" w:type="first"/>
          <w:endnotePr>
            <w:numFmt w:val="decimal"/>
          </w:endnotePr>
          <w:type w:val="continuous"/>
          <w:pgSz w:w="11906" w:h="16838"/>
          <w:pgMar w:top="1440" w:right="1800" w:bottom="1440" w:left="1800" w:header="851" w:footer="992" w:gutter="0"/>
          <w:pgNumType w:fmt="decimal"/>
          <w:cols w:space="720" w:num="1"/>
          <w:docGrid w:linePitch="312" w:charSpace="0"/>
        </w:sectPr>
      </w:pPr>
    </w:p>
    <w:p w14:paraId="7B6D4CF8">
      <w:pPr>
        <w:tabs>
          <w:tab w:val="left" w:pos="0"/>
        </w:tabs>
        <w:spacing w:before="120" w:beforeLines="50" w:after="240" w:afterLines="100" w:line="440" w:lineRule="exact"/>
        <w:jc w:val="center"/>
        <w:outlineLvl w:val="1"/>
        <w:rPr>
          <w:rFonts w:ascii="宋体" w:hAnsi="宋体"/>
          <w:b/>
          <w:color w:val="000000" w:themeColor="text1"/>
          <w:sz w:val="32"/>
          <w:szCs w:val="32"/>
          <w:highlight w:val="none"/>
          <w14:textFill>
            <w14:solidFill>
              <w14:schemeClr w14:val="tx1"/>
            </w14:solidFill>
          </w14:textFill>
        </w:rPr>
      </w:pPr>
      <w:r>
        <w:rPr>
          <w:rFonts w:hint="eastAsia" w:ascii="仿宋_GB2312" w:hAnsi="仿宋_GB2312" w:eastAsia="仿宋_GB2312" w:cs="仿宋_GB2312"/>
          <w:b/>
          <w:color w:val="000000" w:themeColor="text1"/>
          <w:sz w:val="32"/>
          <w:szCs w:val="32"/>
          <w:highlight w:val="none"/>
          <w14:textFill>
            <w14:solidFill>
              <w14:schemeClr w14:val="tx1"/>
            </w14:solidFill>
          </w14:textFill>
        </w:rPr>
        <w:t>第三部分   土地估价结果及其使用</w:t>
      </w:r>
    </w:p>
    <w:p w14:paraId="11C473B3">
      <w:pPr>
        <w:keepNext w:val="0"/>
        <w:keepLines w:val="0"/>
        <w:pageBreakBefore w:val="0"/>
        <w:widowControl w:val="0"/>
        <w:kinsoku/>
        <w:wordWrap/>
        <w:topLinePunct w:val="0"/>
        <w:bidi w:val="0"/>
        <w:spacing w:line="460" w:lineRule="exact"/>
        <w:ind w:firstLine="562" w:firstLineChars="200"/>
        <w:textAlignment w:val="auto"/>
        <w:outlineLvl w:val="1"/>
        <w:rPr>
          <w:rFonts w:hint="default"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b/>
          <w:color w:val="000000" w:themeColor="text1"/>
          <w:sz w:val="28"/>
          <w:szCs w:val="28"/>
          <w:highlight w:val="none"/>
          <w:lang w:val="en-US" w:eastAsia="zh-CN"/>
          <w14:textFill>
            <w14:solidFill>
              <w14:schemeClr w14:val="tx1"/>
            </w14:solidFill>
          </w14:textFill>
        </w:rPr>
        <w:t>一、估价依据</w:t>
      </w:r>
    </w:p>
    <w:p w14:paraId="1648BD1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（一）国家相关法律、法规及行政规章</w:t>
      </w:r>
    </w:p>
    <w:p w14:paraId="1B5806B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1.《中华人民共和国资产评估法》（中华人民共和国主席令第46号，2016年12月1日起实施）；</w:t>
      </w:r>
    </w:p>
    <w:p w14:paraId="6F3C2A43">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2.《中华人民共和国民法典》（2020年5月28日中华人民共和国主席令第45号公布，自2021年1月1日起施行）；</w:t>
      </w:r>
    </w:p>
    <w:p w14:paraId="0BC1F63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中华人民共和国土地管理法》（中华人民共和国主席令第28号，自1999年1月1日起施行，根据2019年8月26日第十三届全国人民代表大会常务委员会第十二次会议《关于修改〈中华人民共和国土地管理法〉〈中华人民共和国城市房地产管理法〉的决定》第三次修正，2020年1月1日起施行）；</w:t>
      </w:r>
    </w:p>
    <w:p w14:paraId="63647F1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中华人民共和国城市房地产管理法》（中华人民共和国主席令第72号，自1995年1月1日起施行，根据2019年8月26日第十三届全国人民代表大会常务委员会第十二次会议《关于修改〈中华人民共和国土地管理法〉、〈中华人民共和国城市房地产管理法〉的决定》第三次修正）；</w:t>
      </w:r>
    </w:p>
    <w:p w14:paraId="128CF79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中华人民共和国城乡规划法》（2007年10月28日，第十届全国人民代表大会常务委员会第三十次会通过，自2008年1月1日起施行。根据2019年4月23日第十三届全国人民代表大会常务委员会第十次会议《关于修改〈中华人民共和国建筑法〉等八部法律的决定》第二次修正）；</w:t>
      </w:r>
    </w:p>
    <w:p w14:paraId="497821B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6.《中华人民共和国土地管理法实施条例》（1998年12月27日中华人民共和国国务院令第256号发布，根据2021年7月2日中华人民共和国国务院令第743号第三次修订）；</w:t>
      </w:r>
    </w:p>
    <w:p w14:paraId="1A4656E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7.《中华人民共和国城镇国有土地使用权出让和转让暂行条例》（1990年5月19日国务院令第55号发布，根据2020年11月29日《国务院关于修改和废止部分行政法规的决定》修订,自发布之日起施行）；</w:t>
      </w:r>
    </w:p>
    <w:p w14:paraId="4F133C0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8.国土资源部办公厅《国有土地使用权出让地价评估技术规范》（国土资厅发〔2018〕4号，2018年3月9日）；</w:t>
      </w:r>
    </w:p>
    <w:p w14:paraId="0E36E09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9.国土资源部《招标拍卖挂牌出让国有建设用地使用权规定》（国土资源部部令第 39 号，2007年9月28日）；</w:t>
      </w:r>
    </w:p>
    <w:p w14:paraId="4AA5D29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10.《国土资源部办公厅关于实施《城镇土地分等定级规程》和《城镇土地估价规程》有关问题的通知》（国土资厅发〔2015〕12号，2015年3月18日）；</w:t>
      </w:r>
    </w:p>
    <w:p w14:paraId="512B02DA">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11.《国务院关于深化改革严格土地管理的决定》（国发[2004]28号，2004年10月21日）；</w:t>
      </w:r>
    </w:p>
    <w:p w14:paraId="227F01E4">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12.《国务院关于加强国有土地资产管理的通知》（国发[2001]15号，2001年4月30日）；</w:t>
      </w:r>
    </w:p>
    <w:p w14:paraId="33FB135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13.《国务院关于加强土地调控有关问题的通知》（国发[2006]31号，2006年8月31日）；</w:t>
      </w:r>
    </w:p>
    <w:p w14:paraId="7ABC4EE1">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14.《节约集约利用土地规定》（2014年5月22日国土资源部令第61号公布，根据2019年7月16日自然资源部第2次部务会议《自然资源部关于第一批废止和修改的部门规章的决定》修正）；</w:t>
      </w:r>
    </w:p>
    <w:p w14:paraId="0535F00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15.《国土资源部办公厅关于实行电子化备案完善土地估价报告备案制度的通知》（国土资厅发[2012]35号，2012年6月24日）；</w:t>
      </w:r>
    </w:p>
    <w:p w14:paraId="5ACFB4B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16.《国土资源部关于进一步加强城市地价动态监测工作的通知》（国土资发[2008]51号）；</w:t>
      </w:r>
    </w:p>
    <w:p w14:paraId="3FCDC4F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17.《国土资源部关于贯彻实施&lt;中华人民共和国资产评估法&gt;的通知》（国土资发〔2016〕181号，2016年11月25日）；</w:t>
      </w:r>
    </w:p>
    <w:p w14:paraId="468AFA4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18.《中华人民共和国增值税暂行条例》（1993年12月13日中华人民共和国国务院令第134号公布，根据2017年11月19日《国务院关于废止〈中华人民共和国营业税暂行条例〉和修改〈中华人民共和国增值税暂行条例〉的决定》第二次修订）；</w:t>
      </w:r>
    </w:p>
    <w:p w14:paraId="7FBA967D">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19.《营业税改征增值税试点实施办法》（财税〔2016〕36号，2016年3月24日）；</w:t>
      </w:r>
    </w:p>
    <w:p w14:paraId="2F0B971A">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20.财政部、国家税务总局《关于调整增值税税率的通知》（财税[2018]32号，2018年4月4日）；</w:t>
      </w:r>
    </w:p>
    <w:p w14:paraId="4CA2CE4D">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21.《关于深化增值税改革有关政策的公告》（财政部、税务总局、海关总署公告2019年第39号，2019年3月20日）；</w:t>
      </w:r>
    </w:p>
    <w:p w14:paraId="5EE35B3A">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22.《中华人民共和国契税法》（中华人民共和国第十三届全国人民代表大会常务委员会第二十一次会议于2020年8月11日通过，自2021年9月1日起施行）；</w:t>
      </w:r>
    </w:p>
    <w:p w14:paraId="333AF494">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23.《中华人民共和国城市维护建设税法》（中华人民共和国主席令（第五十一号），中华人民共和国第十三届全国人民代表大会常务委员会第二十一次会议于2020年8月11日通过，自2021年9月1日起施行）；</w:t>
      </w:r>
    </w:p>
    <w:p w14:paraId="071A130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24.《国务院关于统一内外资企业和个人城市维护建设税和教育费附加制度的通知》（国发[2010]35号，2010年12月1日）；</w:t>
      </w:r>
    </w:p>
    <w:p w14:paraId="0B5784A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25.《关于贯彻落实&lt;自然资源部办公厅关于做好2021年度自然资源评价评估有关工作的通知&gt;加强业务能力建设规范执业行为的通知》（中估协发〔2021〕16号，2021年5月15日）；</w:t>
      </w:r>
    </w:p>
    <w:p w14:paraId="7A4D49E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26.其他有关的国家相关法律、法规及行政规章。</w:t>
      </w:r>
    </w:p>
    <w:p w14:paraId="3ED8EC01">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（二）地方政府及有关部门颁发的法规规章及相关文件</w:t>
      </w:r>
    </w:p>
    <w:p w14:paraId="2391820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1.湖南省实施《中华人民共和国土地管理法》办法（湖南省第十三届人民代表大会常务委员会第五次会议通过，2022年3月1日施行）；</w:t>
      </w:r>
    </w:p>
    <w:p w14:paraId="5862CE3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2.《湖南省城镇国有土地使用权出让和转让实施办法》(1994年11月19日湖南省人民政府令第38号公布，2002年3月7日湖南省人民政府令152号第二次修改，自1994年11月19日起施行)；</w:t>
      </w:r>
    </w:p>
    <w:p w14:paraId="6F488D3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3.湖南省人民政府《湖南省土地市场管理办法》（2005年1月20日湖南省人民政府令第195号公布，2011年1月30日湖南省人民政府令第251号修改，自2005年3月1日起施行）；</w:t>
      </w:r>
    </w:p>
    <w:p w14:paraId="2FBB4B4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4.湖南省人民政府办公厅关于印发《湖南省国有土地使用权出让收支管理办法》的通知（湘政办发[2015]1号，2015年3月12日）；</w:t>
      </w:r>
    </w:p>
    <w:p w14:paraId="7D2BEB4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5.湖南省人民政府《湖南省教育费附加和地方教育附加征收管理办法》（2007年12月31日湖南省人民政府令第218号公布，2022年10月8日湖南省人民政府令第310号修改，自2008年1月1日起施行）；</w:t>
      </w:r>
    </w:p>
    <w:p w14:paraId="03436E5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6.湖南省财政厅、湖南省地方税务局《关于调整地方教育附加征收标准的通知》（湘财综〔2018〕35号，2018年10月 24日）；</w:t>
      </w:r>
    </w:p>
    <w:p w14:paraId="3EFDB13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7.《湖南省人民代表大会常务委员会关于契税具体适用税率等事项的决定》（2021年5月27日湖南省第十三届人民代表大会常务委员会第二十四次会议通过，自2021年9月1日起施行）；</w:t>
      </w:r>
    </w:p>
    <w:p w14:paraId="311FB5F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8.湖南省发改委、省财政厅《关于我省公共资源交易服务费有关问题的通知》（湘发改价服〔2016〕147号，2016年3月9日）；</w:t>
      </w:r>
    </w:p>
    <w:p w14:paraId="745EFC4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9.湖南省地方税务局《关于加强土地增值税管理的公告》（湖南省地方税务局公告2015年第4号，2015年6月18日）；</w:t>
      </w:r>
    </w:p>
    <w:p w14:paraId="1A7D8ED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湖南省人民政府关于调整湖南省征地补偿标准的通知</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》（湘政发〔2024〕1号，2024年1月31日）；</w:t>
      </w:r>
    </w:p>
    <w:p w14:paraId="5F5DB1F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《湖南省自然资源厅关于调整征收农用地补偿区片空间范围的通知》（湘自资发〔2024〕7号，</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2024年2月1日</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p>
    <w:p w14:paraId="07171B1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12.</w:t>
      </w:r>
      <w:r>
        <w:rPr>
          <w:rFonts w:hint="eastAsia" w:ascii="仿宋_GB2312" w:hAnsi="仿宋_GB2312" w:eastAsia="仿宋_GB2312" w:cs="仿宋_GB2312"/>
          <w:color w:val="000000" w:themeColor="text1"/>
          <w:sz w:val="28"/>
          <w:szCs w:val="28"/>
          <w:highlight w:val="none"/>
          <w14:textFill>
            <w14:solidFill>
              <w14:schemeClr w14:val="tx1"/>
            </w14:solidFill>
          </w14:textFill>
        </w:rPr>
        <w:t>湖南省人民政府关于印发《湖南省水利建设基金筹集和使用管理办法》的通知（湘政发[2011]27号）</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p>
    <w:p w14:paraId="2064FA6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13.</w:t>
      </w:r>
      <w:r>
        <w:rPr>
          <w:rFonts w:hint="eastAsia" w:ascii="仿宋_GB2312" w:hAnsi="仿宋_GB2312" w:eastAsia="仿宋_GB2312" w:cs="仿宋_GB2312"/>
          <w:color w:val="000000" w:themeColor="text1"/>
          <w:sz w:val="28"/>
          <w:highlight w:val="none"/>
          <w14:textFill>
            <w14:solidFill>
              <w14:schemeClr w14:val="tx1"/>
            </w14:solidFill>
          </w14:textFill>
        </w:rPr>
        <w:t>《湖南省人民政府办公厅&lt;湖南省耕地开垦费征收使用管理办法&gt;的通知》（湘政办〔2019〕38号）</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170439C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14.</w:t>
      </w:r>
      <w:r>
        <w:rPr>
          <w:rFonts w:hint="eastAsia" w:ascii="仿宋_GB2312" w:hAnsi="仿宋_GB2312" w:eastAsia="仿宋_GB2312" w:cs="仿宋_GB2312"/>
          <w:color w:val="000000" w:themeColor="text1"/>
          <w:sz w:val="28"/>
          <w:highlight w:val="none"/>
          <w14:textFill>
            <w14:solidFill>
              <w14:schemeClr w14:val="tx1"/>
            </w14:solidFill>
          </w14:textFill>
        </w:rPr>
        <w:t>湖南省人力资源社会保障厅《关于进一步做好被征地农民社会保障工作的通知》（湘人社规〔2023〕1号，2023年4月28日）</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3C7F721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15.《湖南省财政厅 国家税务总局湖南省税务局 湖南省林业局 中国人民银行湖南省分行关于印发&lt;湖南省森林植被恢复费征收使用管理实施办法&gt;的通知》（湘财税〔2024〕10号）；</w:t>
      </w:r>
    </w:p>
    <w:p w14:paraId="3841216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16.</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《道县国土空间总体规划（2021-2035年）》；</w:t>
      </w:r>
    </w:p>
    <w:p w14:paraId="47E5D62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17.《道县2024年国民经济和社会发展统计公报》；</w:t>
      </w:r>
    </w:p>
    <w:p w14:paraId="493D3BC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18.</w:t>
      </w:r>
      <w:r>
        <w:rPr>
          <w:rFonts w:hint="eastAsia" w:ascii="仿宋_GB2312" w:hAnsi="仿宋_GB2312" w:eastAsia="仿宋_GB2312" w:cs="仿宋_GB2312"/>
          <w:color w:val="000000" w:themeColor="text1"/>
          <w:sz w:val="28"/>
          <w:highlight w:val="none"/>
          <w14:textFill>
            <w14:solidFill>
              <w14:schemeClr w14:val="tx1"/>
            </w14:solidFill>
          </w14:textFill>
        </w:rPr>
        <w:t>《永州市集体土地与房屋征收补偿安置办法》的通知（永政发〔2024〕4号，2024年5月11日）</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5EB19004">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eastAsia="宋体"/>
          <w:color w:val="000000" w:themeColor="text1"/>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19</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.湖南省人民政府、永州市人民政府、道县人民政府及有关部门颁布的其他有关政策、规定、实施办法、通知等法规文件</w:t>
      </w:r>
      <w:r>
        <w:rPr>
          <w:rFonts w:hint="eastAsia" w:ascii="仿宋_GB2312" w:hAnsi="仿宋_GB2312" w:eastAsia="仿宋_GB2312" w:cs="仿宋_GB2312"/>
          <w:color w:val="000000" w:themeColor="text1"/>
          <w:highlight w:val="none"/>
          <w:lang w:eastAsia="zh-CN"/>
          <w14:textFill>
            <w14:solidFill>
              <w14:schemeClr w14:val="tx1"/>
            </w14:solidFill>
          </w14:textFill>
        </w:rPr>
        <w:t>。</w:t>
      </w:r>
    </w:p>
    <w:p w14:paraId="2EB04C7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（三）采用的技术规程及标准</w:t>
      </w:r>
    </w:p>
    <w:p w14:paraId="4580E31A">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1.中华人民共和国国家标准《城镇土地估价规程》（GB/T18508-2014）；</w:t>
      </w:r>
    </w:p>
    <w:p w14:paraId="5F7FC82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2.中华人民共和国国家标准《城镇土地分等定级规程》（GB/T18507-2014）；</w:t>
      </w:r>
    </w:p>
    <w:p w14:paraId="3806C00D">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3.中华人民共和国国家标准《土地利用现状分类》（GB/T21010-2017）；</w:t>
      </w:r>
    </w:p>
    <w:p w14:paraId="57686189">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4.中华人民共和国国家标准《城市用地分类与规划建设用地标准》（GB50136.73-2011）；</w:t>
      </w:r>
    </w:p>
    <w:p w14:paraId="0F58DE0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5.中华人民共和国土地管理行业标准《城市地价动态监测技术规范》（TD/T1009-2007）；</w:t>
      </w:r>
    </w:p>
    <w:p w14:paraId="393CF9A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6.中华人民共和国自然资源管理行业标准《自然资源分等定级通则》（TD/T1060-2021）；</w:t>
      </w:r>
    </w:p>
    <w:p w14:paraId="7E4E1709">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7.中华人民共和国自然资源管理行业标准《自然资源价格评估通则》（TD/T1061-2021）;</w:t>
      </w:r>
    </w:p>
    <w:p w14:paraId="75205385">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8.《国有建设用地使用权出让地价评估技术规范》；</w:t>
      </w:r>
    </w:p>
    <w:p w14:paraId="28D702AD">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9.中国地价信息服务平台地价动态监测网数据。</w:t>
      </w:r>
    </w:p>
    <w:p w14:paraId="72FD319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（四）委托估价方提供的资料</w:t>
      </w:r>
    </w:p>
    <w:p w14:paraId="06B9039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1.《评估委托书》；</w:t>
      </w:r>
    </w:p>
    <w:p w14:paraId="7377954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2.委托方《统一社会信用代码证书》复印件；</w:t>
      </w:r>
    </w:p>
    <w:p w14:paraId="6860A0E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3.《关于国有建设用地的规划条件的函》（2025年9月11日）；</w:t>
      </w:r>
    </w:p>
    <w:p w14:paraId="7DE881A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4.《通道县房屋登记核发权证申请表》；</w:t>
      </w:r>
    </w:p>
    <w:p w14:paraId="079C58A6">
      <w:pPr>
        <w:keepNext w:val="0"/>
        <w:keepLines w:val="0"/>
        <w:pageBreakBefore w:val="0"/>
        <w:widowControl w:val="0"/>
        <w:kinsoku/>
        <w:wordWrap/>
        <w:overflowPunct/>
        <w:topLinePunct w:val="0"/>
        <w:autoSpaceDE/>
        <w:autoSpaceDN/>
        <w:bidi w:val="0"/>
        <w:adjustRightInd w:val="0"/>
        <w:snapToGrid w:val="0"/>
        <w:spacing w:line="460" w:lineRule="exact"/>
        <w:ind w:firstLine="42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t>5、《关于通道县2002年第七批次建设用地农用地转用和土地征收的批复》（湘政地〔2002〕1205号，2002年9月5日）、《通道县房屋登记核发权证申请表》（2002年12月30日）；</w:t>
      </w:r>
    </w:p>
    <w:p w14:paraId="7A06350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6.委托估价方提供的其它与土地估价相关的资料。</w:t>
      </w:r>
    </w:p>
    <w:p w14:paraId="3BC56BF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（五）受托估价方掌握的有关资料及土地估价师实地勘查、调查所获取的资料。</w:t>
      </w:r>
    </w:p>
    <w:p w14:paraId="50A820F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1.估价对象宗地现场查勘表;</w:t>
      </w:r>
    </w:p>
    <w:p w14:paraId="0C1BE1A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2.估价对象现状利用资料（宗地照片、位置示意图）;</w:t>
      </w:r>
    </w:p>
    <w:p w14:paraId="103DBC9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3.宗地内外基础设施调查收集的资料;</w:t>
      </w:r>
    </w:p>
    <w:p w14:paraId="4674A08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4.市场比较法比较实例所处位置、照片等资料；</w:t>
      </w:r>
    </w:p>
    <w:p w14:paraId="55F1782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5.宗地所在区域土地利用现状、基础设施、环境状况等资料;</w:t>
      </w:r>
    </w:p>
    <w:p w14:paraId="467CECE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6.宗地所在区域房地产市场情况；</w:t>
      </w:r>
    </w:p>
    <w:p w14:paraId="06D94A8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7.宗地所在区域土地市场交易情况；</w:t>
      </w:r>
    </w:p>
    <w:p w14:paraId="081122F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8.估价人员现场调查收集的其它相关资料。</w:t>
      </w:r>
    </w:p>
    <w:p w14:paraId="3D4162E3">
      <w:pPr>
        <w:keepNext w:val="0"/>
        <w:keepLines w:val="0"/>
        <w:pageBreakBefore w:val="0"/>
        <w:widowControl w:val="0"/>
        <w:kinsoku/>
        <w:wordWrap/>
        <w:topLinePunct w:val="0"/>
        <w:bidi w:val="0"/>
        <w:spacing w:line="460" w:lineRule="exact"/>
        <w:ind w:firstLine="562" w:firstLineChars="200"/>
        <w:textAlignment w:val="auto"/>
        <w:outlineLvl w:val="1"/>
        <w:rPr>
          <w:rFonts w:ascii="仿宋_GB2312" w:eastAsia="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b/>
          <w:color w:val="000000" w:themeColor="text1"/>
          <w:sz w:val="28"/>
          <w:szCs w:val="28"/>
          <w:highlight w:val="none"/>
          <w14:textFill>
            <w14:solidFill>
              <w14:schemeClr w14:val="tx1"/>
            </w14:solidFill>
          </w14:textFill>
        </w:rPr>
        <w:t>二、土地估价</w:t>
      </w:r>
    </w:p>
    <w:p w14:paraId="209AB8D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（一）估价原则</w:t>
      </w:r>
    </w:p>
    <w:p w14:paraId="24AD221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地价是由其效用、相对稀缺性及有效需求三者相互作用影响所形成的。而这些因素又经常处于变动之中，土地估价必须要对此做细致分析并准确判断其变动趋向，了解土地价格组成的各种因素及各因素之间相互作用，才能做出正确的估价。我们在本次估价过程中根据《城镇土地估价规程》（中华人民共和国国家标准GB/T18508-2014）、《关于印发&lt;国有建设用地使用权出让地价评估技术规范&gt;的通知》（国土资厅发（2018）4号，2018年3月9日）及估价对象的具体情况主要遵循以下原则：</w:t>
      </w:r>
    </w:p>
    <w:p w14:paraId="768AF22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替代原则：根据市场运行规律，在同一商品市场中，商品或提供服务的效用相同或大致相似时，价格低者吸引需求，即有两个以上互有替代性的商品或服务同时存在时，商品或服务的价格是经过相互影响与比较之后来决定的。土地价值也同样遵循替代规律，某块土地的价格，受其它具有相同使用价值的地块，即同类型具有替代可能的地块价格所牵制。换言之，具有相同使用价值、替代可能的地块之间，会相互影响和竞争，使价格相互牵制而趋于一致。</w:t>
      </w:r>
    </w:p>
    <w:p w14:paraId="3A7D9FF3">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本次评估中采用的市场比较法以该原则为基础。市场比较法选择的交易实例与估价对象位于同一供求圈，土地用途一致，区位条件相近，替代性较强。估价对象土地价格受同类型替代性的地块价格的牵制。</w:t>
      </w:r>
    </w:p>
    <w:p w14:paraId="709CED6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市场比较法选择的交易实例与估价对象位于同一供求圈，土地用途一致，区位条件相近，替代性较强。估价对象土地价格受同类型替代性的地块价格的牵制。基准地价系数修正法中对区域平均级别价进行修正也体现了替代原则。</w:t>
      </w:r>
    </w:p>
    <w:p w14:paraId="4EE74FD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2.最有效利用原则：土地估价应以估价对象的最有效利用为前提。判断土地的最有效利用以土地利用是否符合其自身利用条件、法律法规政策及规划限制、市场要求和最佳利用程度等为依据。</w:t>
      </w:r>
    </w:p>
    <w:p w14:paraId="04EE365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以估价对象最有效利用为前提。根据委托人提供的《关于国有建设用地的规划条件的函》（2025年9月11日），开发建设时，投资人将使土地利用达到最有效利用，因此本次评估按规划指标最高值进行设定，符合最有效利用原则。</w:t>
      </w:r>
    </w:p>
    <w:p w14:paraId="1768142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预期收益原则：土地价值可由土地产生的未来预期收益折现值来反映，土地投资者在预测该土地将来所能带来的收益或效用后进行投资的。土地评估应以估价对象在正常利用下的未来客观有效的预期收益为依据。</w:t>
      </w:r>
    </w:p>
    <w:p w14:paraId="40B2B1D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本次评估估价对象土地价格为规划条件下的市场价格，考虑了土地在未来所能产生的利润，体现了预期收益原则。</w:t>
      </w:r>
    </w:p>
    <w:p w14:paraId="3F22DEF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供需原则：在完全的市场竞争中，一般商品的价格都取决于供求的均衡点。由于土地与一般商品相比，具有独特的人文和自然特性，因此在进行土地估价时既要考虑到所假设的公平市场，又要考虑土地供应的垄断特性。土地评估要充分考虑土地供需的特殊性和土地市场的地域性。</w:t>
      </w:r>
    </w:p>
    <w:p w14:paraId="771A042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由于估价对象所在区域内土地供给有限，土地市场正常价格有潜在的增长趋势，估价人员充分分析区域市场的供需情况，合理确定宗地价格。</w:t>
      </w:r>
    </w:p>
    <w:p w14:paraId="0DA7748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5.贡献原则：不动产总收益是由土地及其他生产要素共同作用的结果，土地价格可根据土地对不动产收益的贡献大小确定。</w:t>
      </w:r>
    </w:p>
    <w:p w14:paraId="473489F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评估中土地还原利率的确定考虑了贡献原则。本次评估土地价格为规划条件下的市场价格，是土地对总收益贡献大小的最终体现。</w:t>
      </w:r>
    </w:p>
    <w:p w14:paraId="3BA17BE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6.价值主导原则：土地综合质量优劣是对地价产生影响的主要因素。</w:t>
      </w:r>
    </w:p>
    <w:p w14:paraId="0DCD627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本次评估综合考虑了影响土地价格的自然、社会、经济状况等因素，并对其起控制主导作用的因素进行分析，符合价值主导原则。</w:t>
      </w:r>
    </w:p>
    <w:p w14:paraId="341FFD2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7.审慎原则：在评估中确定相关参数和结果时，应分析并充分考虑土地市场运行状况、有关行业发展状况，以及存在的风险。</w:t>
      </w:r>
    </w:p>
    <w:p w14:paraId="4C401BB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人员对不动产的未来收益或市场状况不应予以过于乐观的估计，同时，尽管统计数据或经验表明土地价格可能上升，但在评估时人应以估价期日的不动产市场价格为估价结果。对因土地市场运行状况、有关行业发展状况及存在的风险对外来可能造成的减值应给予充分的重视。本次评估中各参数的确定，充分考虑了国家对房地产行业的宏观调控政策，以谨慎的态度来选取各项参数。</w:t>
      </w:r>
    </w:p>
    <w:p w14:paraId="0AD3361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8.公开市场原则：评估结果在公平、公正、公开的土地市场上可实现。</w:t>
      </w:r>
    </w:p>
    <w:p w14:paraId="0B0CAFB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本次评估中市场比较法中各案例均来源来公开市场，是公开市场原则的具体体现。</w:t>
      </w:r>
    </w:p>
    <w:p w14:paraId="7EF393F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总之，在评估过程中，要按照国家、地方的有关规定，恪守客观、公正、科学、合法总原则进行土地价格评估，做到评估过程合理、评估方法科学、评估结果准确、严格保守评估秘密。</w:t>
      </w:r>
    </w:p>
    <w:p w14:paraId="339AFB7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（二）估价方法</w:t>
      </w:r>
    </w:p>
    <w:p w14:paraId="3188F82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1.土地使用权估价方法选择原则</w:t>
      </w:r>
    </w:p>
    <w:p w14:paraId="3B78B8C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A.根据《城镇土地估价规程》（GB/T18508-2014,2014年12月01日实施）中关于工矿仓储用地估价方法选择的原则：</w:t>
      </w:r>
    </w:p>
    <w:p w14:paraId="210A7E3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（1）评估工矿仓储用地价格，宜选择市场比较法，并至少辅以另一种适宜的估价方法。</w:t>
      </w:r>
    </w:p>
    <w:p w14:paraId="64B9C62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（2）如缺少市场可比案例，可酌情选用成本逼近法与基准地价系数修正法。</w:t>
      </w:r>
    </w:p>
    <w:p w14:paraId="2B5FE50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（3）评估租赁性工矿仓储用地，宜选用收益还原法。</w:t>
      </w:r>
    </w:p>
    <w:p w14:paraId="0CE2545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（4）评估投资待建的工矿仓储用地，可选用剩余法。</w:t>
      </w:r>
    </w:p>
    <w:p w14:paraId="0DB8C86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（5）评估位于中心城区的工业仓储用地，一般情况下不宜采用成本逼近法。</w:t>
      </w:r>
    </w:p>
    <w:p w14:paraId="2027E3A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B.根据《国土资源部办公厅关于印发&lt;国有建设用地使用权出让地价评估技术规范&gt;的通知》（国土资厅发[2018]4号，2018年4月9日施行），出让地价评估的方法有：(1)收益还原法、(2)市场比较法、(3)剩余法、(4)成本逼近法、(5)公示地价系数修正法（含基准地价系数修正法）。出让地价评估，应至少采用两种评估方法，包括(1)、(2)、(3)之一，以及(4)或(5)。因土地市场不发育等原因，无法满足上述要求的，应有详细的市场调查情况说明。</w:t>
      </w:r>
    </w:p>
    <w:p w14:paraId="1256CB9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2.基本估价方法介绍</w:t>
      </w:r>
    </w:p>
    <w:p w14:paraId="3297361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根据《城镇土地估价规程》（GB/T18508-2014,2014年12月01日实施），宗地估价基本方法包括以下几种：</w:t>
      </w:r>
    </w:p>
    <w:p w14:paraId="7B8CE97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（1）市场比较法：将估价对象与在估价期日近期有过交易的类似土地进行比较，对这些类似土地的已知价格作适当的修正，以此估算估价对象的客观合理价格或价值的方法；</w:t>
      </w:r>
    </w:p>
    <w:p w14:paraId="31791D0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（2）收益还原法：为预计估价对象未来的正常收益，选用适当的资本化率将其折现到估价期日后累加，以此估算估价对象的客观合理价格或价值的方法；</w:t>
      </w:r>
    </w:p>
    <w:p w14:paraId="0430F97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（3）剩余法：是在估算开发完成后不动产正常交易价格的基础上，扣除建筑物建造费用和与建筑物建造、买卖有关的专业费、利息、利润、税收等费用后，以价格余额来估算土地价格的方法；</w:t>
      </w:r>
    </w:p>
    <w:p w14:paraId="69B64C1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（4）成本逼近法：是以土地取得费、土地开发所耗各项费用之和为主要依据，再加上一定的利润、利息、应缴纳的税金和土地增值收益来确定土地价格的估价方法；</w:t>
      </w:r>
    </w:p>
    <w:p w14:paraId="11098C9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公示地价系数修正法：包括基准地价系数修正法、路线价法和标定地价系数修正法。是指在求取一宗土地的价格时，依据估价对象所处地区的土地级别基准地价（或路线价、标定地价等）水平，考虑各系数修正，最后修正得出估价对象地价的一种方法。</w:t>
      </w:r>
    </w:p>
    <w:p w14:paraId="7701A15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3.估价方法选择</w:t>
      </w:r>
    </w:p>
    <w:p w14:paraId="5EE490E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color w:val="000000"/>
          <w:sz w:val="28"/>
        </w:rPr>
        <w:t>（1）采用的估价方法及理由：</w:t>
      </w:r>
    </w:p>
    <w:p w14:paraId="0BDC2FE1">
      <w:pPr>
        <w:spacing w:line="480" w:lineRule="exact"/>
        <w:ind w:firstLine="560"/>
      </w:pPr>
      <w:r>
        <w:rPr>
          <w:rFonts w:ascii="仿宋_GB2312" w:hAnsi="仿宋_GB2312" w:eastAsia="仿宋_GB2312" w:cs="仿宋_GB2312"/>
          <w:sz w:val="28"/>
        </w:rPr>
        <w:t>市场比较法：估价对象位于通道县双江镇城南街，属于开发程度较好的区域，区域内同类土地及房地产交易市场较活跃，类似交易案例易于搜集，适宜采用市场比较法进行评估。</w:t>
      </w:r>
    </w:p>
    <w:p w14:paraId="55F902C5">
      <w:pPr>
        <w:spacing w:line="480" w:lineRule="exact"/>
        <w:ind w:firstLine="560"/>
      </w:pPr>
    </w:p>
    <w:p w14:paraId="788DB068">
      <w:pPr>
        <w:spacing w:line="480" w:lineRule="exact"/>
        <w:ind w:firstLine="560"/>
      </w:pPr>
    </w:p>
    <w:p w14:paraId="5B3009D5">
      <w:pPr>
        <w:spacing w:line="480" w:lineRule="exact"/>
        <w:ind w:firstLine="560"/>
      </w:pPr>
      <w:r>
        <w:rPr>
          <w:rFonts w:ascii="仿宋_GB2312" w:hAnsi="仿宋_GB2312" w:eastAsia="仿宋_GB2312" w:cs="仿宋_GB2312"/>
          <w:sz w:val="28"/>
        </w:rPr>
        <w:t>成本逼近法：估价对象为住宅用地，其土地开发成本、征地安置补偿费用及相关税费等各项历史及重置成本容易搜集并测算，适宜通过累加重置成本、土地开发费用、利息、利润及土地增值等求取土地使用权价值。</w:t>
      </w:r>
    </w:p>
    <w:p w14:paraId="610A1EC8">
      <w:pPr>
        <w:spacing w:line="480" w:lineRule="exact"/>
        <w:ind w:firstLine="560"/>
      </w:pPr>
    </w:p>
    <w:p w14:paraId="10CE9AA6">
      <w:pPr>
        <w:spacing w:line="480" w:lineRule="exact"/>
        <w:ind w:firstLine="560"/>
      </w:pPr>
      <w:r>
        <w:rPr>
          <w:rFonts w:ascii="仿宋_GB2312" w:hAnsi="仿宋_GB2312" w:eastAsia="仿宋_GB2312" w:cs="仿宋_GB2312"/>
          <w:sz w:val="28"/>
        </w:rPr>
        <w:t>（2）不采用的估价方法及理由：</w:t>
      </w:r>
    </w:p>
    <w:p w14:paraId="461073A7">
      <w:pPr>
        <w:spacing w:line="480" w:lineRule="exact"/>
        <w:ind w:firstLine="560"/>
      </w:pPr>
    </w:p>
    <w:p w14:paraId="00016779">
      <w:pPr>
        <w:spacing w:line="480" w:lineRule="exact"/>
        <w:ind w:firstLine="560"/>
      </w:pPr>
      <w:r>
        <w:rPr>
          <w:rFonts w:ascii="仿宋_GB2312" w:hAnsi="仿宋_GB2312" w:eastAsia="仿宋_GB2312" w:cs="仿宋_GB2312"/>
          <w:sz w:val="28"/>
        </w:rPr>
        <w:t>收益还原法：估价对象所在区域同类住宅及房地产租赁市场不活跃，难以收集到客观、准确的租金及经营性纯收益数据，故不采用收益还原法进行评估。</w:t>
      </w:r>
    </w:p>
    <w:p w14:paraId="0FCDFCDD">
      <w:pPr>
        <w:spacing w:line="480" w:lineRule="exact"/>
        <w:ind w:firstLine="560"/>
      </w:pPr>
      <w:r>
        <w:rPr>
          <w:rFonts w:ascii="仿宋_GB2312" w:hAnsi="仿宋_GB2312" w:eastAsia="仿宋_GB2312" w:cs="仿宋_GB2312"/>
          <w:sz w:val="28"/>
        </w:rPr>
        <w:t>剩余法：估价对象所在区域的房地产开发市场趋于饱和或不活跃，估价对象为已建成并正常使用的房产，不具备重新投资开发建设的实际条件，开发完成后的房地产价值及各项开发费用难以准确预测，故不采用剩余法评估。</w:t>
      </w:r>
    </w:p>
    <w:p w14:paraId="6C805A5E">
      <w:pPr>
        <w:spacing w:line="480" w:lineRule="exact"/>
        <w:ind w:firstLine="560"/>
      </w:pPr>
    </w:p>
    <w:p w14:paraId="6330F2BD">
      <w:pPr>
        <w:spacing w:line="480" w:lineRule="exact"/>
        <w:ind w:firstLine="560"/>
      </w:pPr>
      <w:r>
        <w:rPr>
          <w:rFonts w:ascii="仿宋_GB2312" w:hAnsi="仿宋_GB2312" w:eastAsia="仿宋_GB2312" w:cs="仿宋_GB2312"/>
          <w:sz w:val="28"/>
        </w:rPr>
        <w:t>基准地价系数修正法（公示地价系数修正法）：根据自然资源部及湖南省自然资源厅关于基准地价更新管理规定，当本地基准地价体系成果自发布实施至估价期日已超过三年未全面更新时，该基准地价系数修正法强制停用，为确保评估结果客观合理与审计合规，故本次不采用基准地价系数修正法。</w:t>
      </w:r>
    </w:p>
    <w:p w14:paraId="6F81D378">
      <w:pPr>
        <w:spacing w:line="480" w:lineRule="exact"/>
        <w:ind w:firstLine="560"/>
      </w:pPr>
      <w:r>
        <w:rPr>
          <w:rFonts w:ascii="仿宋_GB2312" w:hAnsi="仿宋_GB2312" w:eastAsia="仿宋_GB2312" w:cs="仿宋_GB2312"/>
          <w:sz w:val="28"/>
        </w:rPr>
        <w:t>综上所述，经对上述估价方法适用性的科学分析与甄选，本次评估最终采用成本逼近法和市场比较法最适用于估价对象，确保了评估结果的科学、合理与准确。</w:t>
      </w:r>
    </w:p>
    <w:p w14:paraId="52A87EF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1.地价确定的方法</w:t>
      </w:r>
    </w:p>
    <w:p w14:paraId="39487BC3">
      <w:pPr>
        <w:spacing w:line="480" w:lineRule="exact"/>
        <w:ind w:firstLine="560"/>
      </w:pPr>
      <w:r>
        <w:rPr>
          <w:rFonts w:ascii="仿宋_GB2312" w:hAnsi="仿宋_GB2312" w:eastAsia="仿宋_GB2312" w:cs="仿宋_GB2312"/>
          <w:sz w:val="28"/>
        </w:rPr>
        <w:t>根据以上评估过程，本次评估采用了成本逼近法和市场比较法进行测算。各估价方法测算情况如下：</w:t>
      </w:r>
    </w:p>
    <w:p w14:paraId="0A98B170">
      <w:pPr>
        <w:spacing w:line="480" w:lineRule="exact"/>
        <w:ind w:firstLine="560"/>
      </w:pPr>
      <w:r>
        <w:rPr>
          <w:rFonts w:ascii="仿宋_GB2312" w:hAnsi="仿宋_GB2312" w:eastAsia="仿宋_GB2312" w:cs="仿宋_GB2312"/>
          <w:sz w:val="28"/>
        </w:rPr>
        <w:t>【成本逼近法】成本逼近法是以开发土地所耗费的各项客观费用之和为主要依据，再加上一定的利润、利息、应缴纳的税金和土地增值收益来确定土地价格的方法。考虑到估价对象所在区域有类似征地案例，能够通过征地案例的调查分析，对各项土地取得成本进行量化得出土地价格。</w:t>
      </w:r>
    </w:p>
    <w:p w14:paraId="394FEA09">
      <w:pPr>
        <w:spacing w:line="480" w:lineRule="exact"/>
        <w:ind w:firstLine="560"/>
      </w:pPr>
      <w:r>
        <w:rPr>
          <w:rFonts w:ascii="仿宋_GB2312" w:hAnsi="仿宋_GB2312" w:eastAsia="仿宋_GB2312" w:cs="仿宋_GB2312"/>
          <w:sz w:val="28"/>
        </w:rPr>
        <w:t>【市场比较法】市场比较法是根据替代原理，将待估宗地与具有替代性的，且在估价期日近期市场上交易的类似地产进行比较，对类似地产成交价格作适当修正，以此得到待估宗地比准价格的一种方法。该方法选择的比较案例是市场搜集的比较客观的真实交易，修正体系科学合理.</w:t>
      </w:r>
    </w:p>
    <w:p w14:paraId="58C94FA9">
      <w:pPr>
        <w:spacing w:line="480" w:lineRule="exact"/>
        <w:ind w:firstLine="560"/>
      </w:pPr>
    </w:p>
    <w:p w14:paraId="1D26F11C">
      <w:pPr>
        <w:spacing w:line="480" w:lineRule="exact"/>
        <w:ind w:firstLine="560"/>
      </w:pPr>
    </w:p>
    <w:p w14:paraId="44ABB27F">
      <w:pPr>
        <w:spacing w:line="480" w:lineRule="exact"/>
        <w:ind w:firstLine="560"/>
      </w:pPr>
    </w:p>
    <w:p w14:paraId="48E4270C">
      <w:pPr>
        <w:spacing w:line="480" w:lineRule="exact"/>
        <w:ind w:firstLine="560"/>
      </w:pPr>
      <w:r>
        <w:rPr>
          <w:rFonts w:ascii="仿宋_GB2312" w:hAnsi="仿宋_GB2312" w:eastAsia="仿宋_GB2312" w:cs="仿宋_GB2312"/>
          <w:sz w:val="28"/>
        </w:rPr>
        <w:t>综上所述，通过对当地土地市场和土地价格的分析和各方法的可靠性综合分析，根据项目特点，综合考虑宗地所在区域的地价水平，确定以成本逼近法和市场比较法评估结果的简单算术平均值[成本逼近法×50%+市场比较法×50%]作为本次评估的最终结果。</w:t>
      </w:r>
    </w:p>
    <w:p w14:paraId="6EA525EE">
      <w:pPr>
        <w:spacing w:line="480" w:lineRule="exact"/>
        <w:ind w:firstLine="560"/>
      </w:pPr>
      <w:r>
        <w:rPr>
          <w:rFonts w:ascii="仿宋_GB2312" w:hAnsi="仿宋_GB2312" w:eastAsia="仿宋_GB2312" w:cs="仿宋_GB2312"/>
          <w:sz w:val="28"/>
        </w:rPr>
        <w:t>具体地价结果确定及各方法测算数值详见“地价结果确定表”。</w:t>
      </w:r>
    </w:p>
    <w:p w14:paraId="32C9FBCE">
      <w:pPr>
        <w:spacing w:line="460" w:lineRule="exact"/>
        <w:jc w:val="center"/>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表3-1 估价对象地价结果表</w:t>
      </w:r>
    </w:p>
    <w:tbl>
      <w:tblPr>
        <w:tblStyle w:val="9"/>
        <w:tblW w:w="502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00"/>
        <w:gridCol w:w="1390"/>
        <w:gridCol w:w="781"/>
        <w:gridCol w:w="1143"/>
        <w:gridCol w:w="778"/>
        <w:gridCol w:w="1214"/>
        <w:gridCol w:w="1546"/>
      </w:tblGrid>
      <w:tr w14:paraId="17FB6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7" w:hRule="atLeast"/>
          <w:jc w:val="center"/>
        </w:trPr>
        <w:tc>
          <w:tcPr>
            <w:tcW w:w="1702" w:type="dxa"/>
            <w:vMerge w:val="restart"/>
            <w:shd w:val="clear" w:color="auto" w:fill="auto"/>
            <w:vAlign w:val="center"/>
          </w:tcPr>
          <w:p w14:paraId="5EFBCB23">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_GB2312" w:hAnsi="仿宋_GB2312" w:eastAsia="仿宋_GB2312" w:cs="仿宋_GB2312"/>
                <w:bCs/>
                <w:color w:val="000000" w:themeColor="text1"/>
                <w:szCs w:val="21"/>
                <w:highlight w:val="none"/>
                <w:lang w:val="en-US" w:eastAsia="zh-CN"/>
                <w14:textFill>
                  <w14:solidFill>
                    <w14:schemeClr w14:val="tx1"/>
                  </w14:solidFill>
                </w14:textFill>
              </w:rPr>
              <w:t>宗地名称</w:t>
            </w:r>
          </w:p>
        </w:tc>
        <w:tc>
          <w:tcPr>
            <w:tcW w:w="2172" w:type="dxa"/>
            <w:gridSpan w:val="2"/>
            <w:shd w:val="clear" w:color="auto" w:fill="auto"/>
            <w:vAlign w:val="center"/>
          </w:tcPr>
          <w:p w14:paraId="7D20C3E2">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14:textFill>
                  <w14:solidFill>
                    <w14:schemeClr w14:val="tx1"/>
                  </w14:solidFill>
                </w14:textFill>
              </w:rPr>
            </w:pPr>
            <w:r>
              <w:rPr>
                <w:rFonts w:hint="eastAsia" w:ascii="仿宋_GB2312" w:hAnsi="仿宋_GB2312" w:eastAsia="仿宋_GB2312" w:cs="仿宋_GB2312"/>
                <w:bCs/>
                <w:color w:val="000000" w:themeColor="text1"/>
                <w:szCs w:val="21"/>
                <w:highlight w:val="none"/>
                <w:lang w:val="en-US" w:eastAsia="zh-CN"/>
                <w14:textFill>
                  <w14:solidFill>
                    <w14:schemeClr w14:val="tx1"/>
                  </w14:solidFill>
                </w14:textFill>
              </w:rPr>
              <w:t>成本逼近法</w:t>
            </w:r>
          </w:p>
        </w:tc>
        <w:tc>
          <w:tcPr>
            <w:tcW w:w="1922" w:type="dxa"/>
            <w:gridSpan w:val="2"/>
            <w:shd w:val="clear" w:color="auto" w:fill="auto"/>
            <w:vAlign w:val="center"/>
          </w:tcPr>
          <w:p w14:paraId="33BEEADB">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_GB2312" w:hAnsi="仿宋_GB2312" w:eastAsia="仿宋_GB2312" w:cs="仿宋_GB2312"/>
                <w:bCs/>
                <w:color w:val="000000" w:themeColor="text1"/>
                <w:szCs w:val="21"/>
                <w:highlight w:val="none"/>
                <w:lang w:val="en-US" w:eastAsia="zh-CN"/>
                <w14:textFill>
                  <w14:solidFill>
                    <w14:schemeClr w14:val="tx1"/>
                  </w14:solidFill>
                </w14:textFill>
              </w:rPr>
              <w:t>市场比较法</w:t>
            </w:r>
          </w:p>
        </w:tc>
        <w:tc>
          <w:tcPr>
            <w:tcW w:w="1215" w:type="dxa"/>
            <w:vMerge w:val="restart"/>
            <w:shd w:val="clear" w:color="auto" w:fill="auto"/>
            <w:vAlign w:val="center"/>
          </w:tcPr>
          <w:p w14:paraId="36B704F4">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_GB2312" w:hAnsi="仿宋_GB2312" w:eastAsia="仿宋_GB2312" w:cs="仿宋_GB2312"/>
                <w:bCs/>
                <w:color w:val="000000" w:themeColor="text1"/>
                <w:szCs w:val="21"/>
                <w:highlight w:val="none"/>
                <w:lang w:val="en-US" w:eastAsia="zh-CN"/>
                <w14:textFill>
                  <w14:solidFill>
                    <w14:schemeClr w14:val="tx1"/>
                  </w14:solidFill>
                </w14:textFill>
              </w:rPr>
              <w:t>最终评估地面单价（元/㎡）</w:t>
            </w:r>
          </w:p>
        </w:tc>
        <w:tc>
          <w:tcPr>
            <w:tcW w:w="1547" w:type="dxa"/>
            <w:vMerge w:val="restart"/>
            <w:shd w:val="clear" w:color="auto" w:fill="auto"/>
            <w:vAlign w:val="center"/>
          </w:tcPr>
          <w:p w14:paraId="3FCE9E5E">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Cs w:val="21"/>
                <w:highlight w:val="none"/>
                <w:lang w:val="en-US" w:eastAsia="zh-CN"/>
                <w14:textFill>
                  <w14:solidFill>
                    <w14:schemeClr w14:val="tx1"/>
                  </w14:solidFill>
                </w14:textFill>
              </w:rPr>
              <w:t>总价（万元）</w:t>
            </w:r>
          </w:p>
        </w:tc>
      </w:tr>
      <w:tr w14:paraId="28D2C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7" w:hRule="atLeast"/>
          <w:jc w:val="center"/>
        </w:trPr>
        <w:tc>
          <w:tcPr>
            <w:tcW w:w="1702" w:type="dxa"/>
            <w:vMerge w:val="continue"/>
            <w:shd w:val="clear" w:color="auto" w:fill="auto"/>
            <w:vAlign w:val="center"/>
          </w:tcPr>
          <w:p w14:paraId="5639B7C4">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c>
          <w:tcPr>
            <w:tcW w:w="1391" w:type="dxa"/>
            <w:shd w:val="clear" w:color="auto" w:fill="auto"/>
            <w:vAlign w:val="center"/>
          </w:tcPr>
          <w:p w14:paraId="6F7076F2">
            <w:pPr>
              <w:keepNext w:val="0"/>
              <w:keepLines w:val="0"/>
              <w:suppressLineNumbers w:val="0"/>
              <w:spacing w:before="0" w:beforeAutospacing="0" w:after="0" w:afterAutospacing="0"/>
              <w:ind w:left="0" w:right="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Cs w:val="21"/>
                <w:highlight w:val="none"/>
                <w:lang w:val="en-US" w:eastAsia="zh-CN"/>
                <w14:textFill>
                  <w14:solidFill>
                    <w14:schemeClr w14:val="tx1"/>
                  </w14:solidFill>
                </w14:textFill>
              </w:rPr>
              <w:t>地面单价</w:t>
            </w:r>
          </w:p>
          <w:p w14:paraId="3AB8D74E">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_GB2312" w:hAnsi="仿宋_GB2312" w:eastAsia="仿宋_GB2312" w:cs="仿宋_GB2312"/>
                <w:bCs/>
                <w:color w:val="000000" w:themeColor="text1"/>
                <w:szCs w:val="21"/>
                <w:highlight w:val="none"/>
                <w:lang w:val="en-US" w:eastAsia="zh-CN"/>
                <w14:textFill>
                  <w14:solidFill>
                    <w14:schemeClr w14:val="tx1"/>
                  </w14:solidFill>
                </w14:textFill>
              </w:rPr>
              <w:t>（元/㎡）</w:t>
            </w:r>
          </w:p>
        </w:tc>
        <w:tc>
          <w:tcPr>
            <w:tcW w:w="781" w:type="dxa"/>
            <w:shd w:val="clear" w:color="auto" w:fill="auto"/>
            <w:vAlign w:val="center"/>
          </w:tcPr>
          <w:p w14:paraId="6433603A">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_GB2312" w:hAnsi="仿宋_GB2312" w:eastAsia="仿宋_GB2312" w:cs="仿宋_GB2312"/>
                <w:bCs/>
                <w:color w:val="000000" w:themeColor="text1"/>
                <w:szCs w:val="21"/>
                <w:highlight w:val="none"/>
                <w:lang w:val="en-US" w:eastAsia="zh-CN"/>
                <w14:textFill>
                  <w14:solidFill>
                    <w14:schemeClr w14:val="tx1"/>
                  </w14:solidFill>
                </w14:textFill>
              </w:rPr>
              <w:t>权重</w:t>
            </w:r>
          </w:p>
        </w:tc>
        <w:tc>
          <w:tcPr>
            <w:tcW w:w="1144" w:type="dxa"/>
            <w:shd w:val="clear" w:color="auto" w:fill="auto"/>
            <w:vAlign w:val="center"/>
          </w:tcPr>
          <w:p w14:paraId="4623621D">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_GB2312" w:hAnsi="仿宋_GB2312" w:eastAsia="仿宋_GB2312" w:cs="仿宋_GB2312"/>
                <w:bCs/>
                <w:color w:val="000000" w:themeColor="text1"/>
                <w:szCs w:val="21"/>
                <w:highlight w:val="none"/>
                <w:lang w:val="en-US" w:eastAsia="zh-CN"/>
                <w14:textFill>
                  <w14:solidFill>
                    <w14:schemeClr w14:val="tx1"/>
                  </w14:solidFill>
                </w14:textFill>
              </w:rPr>
              <w:t>地面单价（元/㎡）</w:t>
            </w:r>
          </w:p>
        </w:tc>
        <w:tc>
          <w:tcPr>
            <w:tcW w:w="778" w:type="dxa"/>
            <w:shd w:val="clear" w:color="auto" w:fill="auto"/>
            <w:vAlign w:val="center"/>
          </w:tcPr>
          <w:p w14:paraId="55719BB4">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_GB2312" w:hAnsi="仿宋_GB2312" w:eastAsia="仿宋_GB2312" w:cs="仿宋_GB2312"/>
                <w:bCs/>
                <w:color w:val="000000" w:themeColor="text1"/>
                <w:szCs w:val="21"/>
                <w:highlight w:val="none"/>
                <w:lang w:val="en-US" w:eastAsia="zh-CN"/>
                <w14:textFill>
                  <w14:solidFill>
                    <w14:schemeClr w14:val="tx1"/>
                  </w14:solidFill>
                </w14:textFill>
              </w:rPr>
              <w:t>权重</w:t>
            </w:r>
          </w:p>
        </w:tc>
        <w:tc>
          <w:tcPr>
            <w:tcW w:w="1215" w:type="dxa"/>
            <w:vMerge w:val="continue"/>
            <w:shd w:val="clear" w:color="auto" w:fill="auto"/>
            <w:vAlign w:val="center"/>
          </w:tcPr>
          <w:p w14:paraId="63BB559B">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c>
          <w:tcPr>
            <w:tcW w:w="1547" w:type="dxa"/>
            <w:vMerge w:val="continue"/>
            <w:shd w:val="clear" w:color="auto" w:fill="auto"/>
            <w:vAlign w:val="center"/>
          </w:tcPr>
          <w:p w14:paraId="042D9111">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r>
      <w:tr w14:paraId="75157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jc w:val="center"/>
        </w:trPr>
        <w:tc>
          <w:tcPr>
            <w:tcW w:w="1702" w:type="dxa"/>
            <w:shd w:val="clear" w:color="auto" w:fill="auto"/>
            <w:vAlign w:val="center"/>
          </w:tcPr>
          <w:p w14:paraId="23C6A175">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ascii="仿宋_GB2312" w:hAnsi="仿宋_GB2312" w:eastAsia="仿宋_GB2312" w:cs="仿宋_GB2312"/>
                <w:color w:val="000000"/>
                <w:sz w:val="28"/>
              </w:rPr>
              <w:t>通道县双江镇城南街</w:t>
            </w:r>
          </w:p>
        </w:tc>
        <w:tc>
          <w:tcPr>
            <w:tcW w:w="1391" w:type="dxa"/>
            <w:shd w:val="clear" w:color="auto" w:fill="auto"/>
            <w:vAlign w:val="center"/>
          </w:tcPr>
          <w:p w14:paraId="7EDAD7F6">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Cs w:val="21"/>
                <w:highlight w:val="none"/>
                <w:lang w:val="en-US" w:eastAsia="zh-CN"/>
                <w14:textFill>
                  <w14:solidFill>
                    <w14:schemeClr w14:val="tx1"/>
                  </w14:solidFill>
                </w14:textFill>
              </w:rPr>
              <w:t>189.9</w:t>
            </w:r>
          </w:p>
        </w:tc>
        <w:tc>
          <w:tcPr>
            <w:tcW w:w="781" w:type="dxa"/>
            <w:shd w:val="clear" w:color="auto" w:fill="auto"/>
            <w:vAlign w:val="center"/>
          </w:tcPr>
          <w:p w14:paraId="1F76BBC0">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_GB2312" w:hAnsi="仿宋_GB2312" w:eastAsia="仿宋_GB2312" w:cs="仿宋_GB2312"/>
                <w:bCs/>
                <w:color w:val="000000" w:themeColor="text1"/>
                <w:szCs w:val="21"/>
                <w:highlight w:val="none"/>
                <w:lang w:val="en-US" w:eastAsia="zh-CN"/>
                <w14:textFill>
                  <w14:solidFill>
                    <w14:schemeClr w14:val="tx1"/>
                  </w14:solidFill>
                </w14:textFill>
              </w:rPr>
              <w:t>50%</w:t>
            </w:r>
          </w:p>
        </w:tc>
        <w:tc>
          <w:tcPr>
            <w:tcW w:w="1144" w:type="dxa"/>
            <w:shd w:val="clear" w:color="auto" w:fill="auto"/>
            <w:vAlign w:val="center"/>
          </w:tcPr>
          <w:p w14:paraId="0C911FBA">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Cs w:val="21"/>
                <w:highlight w:val="none"/>
                <w:lang w:val="en-US" w:eastAsia="zh-CN"/>
                <w14:textFill>
                  <w14:solidFill>
                    <w14:schemeClr w14:val="tx1"/>
                  </w14:solidFill>
                </w14:textFill>
              </w:rPr>
              <w:t>127.7</w:t>
            </w:r>
          </w:p>
        </w:tc>
        <w:tc>
          <w:tcPr>
            <w:tcW w:w="778" w:type="dxa"/>
            <w:shd w:val="clear" w:color="auto" w:fill="auto"/>
            <w:vAlign w:val="center"/>
          </w:tcPr>
          <w:p w14:paraId="458E9F29">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Cs w:val="21"/>
                <w:highlight w:val="none"/>
                <w:lang w:val="en-US" w:eastAsia="zh-CN"/>
                <w14:textFill>
                  <w14:solidFill>
                    <w14:schemeClr w14:val="tx1"/>
                  </w14:solidFill>
                </w14:textFill>
              </w:rPr>
              <w:t>50%</w:t>
            </w:r>
          </w:p>
        </w:tc>
        <w:tc>
          <w:tcPr>
            <w:tcW w:w="1215" w:type="dxa"/>
            <w:shd w:val="clear" w:color="auto" w:fill="auto"/>
            <w:vAlign w:val="center"/>
          </w:tcPr>
          <w:p w14:paraId="4730094C">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Cs w:val="21"/>
                <w:highlight w:val="none"/>
                <w:lang w:val="en-US" w:eastAsia="zh-CN"/>
                <w14:textFill>
                  <w14:solidFill>
                    <w14:schemeClr w14:val="tx1"/>
                  </w14:solidFill>
                </w14:textFill>
              </w:rPr>
              <w:t>159</w:t>
            </w:r>
          </w:p>
        </w:tc>
        <w:tc>
          <w:tcPr>
            <w:tcW w:w="1547" w:type="dxa"/>
            <w:shd w:val="clear" w:color="auto" w:fill="auto"/>
            <w:vAlign w:val="center"/>
          </w:tcPr>
          <w:p w14:paraId="7DCA2BB8">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Cs w:val="21"/>
                <w:highlight w:val="none"/>
                <w:lang w:val="en-US" w:eastAsia="zh-CN"/>
                <w14:textFill>
                  <w14:solidFill>
                    <w14:schemeClr w14:val="tx1"/>
                  </w14:solidFill>
                </w14:textFill>
              </w:rPr>
              <w:t>76.79</w:t>
            </w:r>
          </w:p>
        </w:tc>
      </w:tr>
    </w:tbl>
    <w:p w14:paraId="2789BB6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2.确定估价结果</w:t>
      </w:r>
    </w:p>
    <w:p w14:paraId="23EA7D5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eastAsia="仿宋_GB2312"/>
          <w:b/>
          <w:bCs/>
          <w:color w:val="000000" w:themeColor="text1"/>
          <w:sz w:val="28"/>
          <w:szCs w:val="22"/>
          <w:highlight w:val="none"/>
          <w:lang w:val="en-US" w:eastAsia="zh-CN"/>
          <w14:textFill>
            <w14:solidFill>
              <w14:schemeClr w14:val="tx1"/>
            </w14:solidFill>
          </w14:textFill>
        </w:rPr>
      </w:pPr>
      <w:r>
        <w:rPr>
          <w:rFonts w:ascii="仿宋_GB2312" w:hAnsi="仿宋_GB2312" w:eastAsia="仿宋_GB2312" w:cs="仿宋_GB2312"/>
          <w:color w:val="000000"/>
          <w:sz w:val="28"/>
        </w:rPr>
        <w:t>通道侗族自治县自然资源局委托评估的，位于通道县双江镇城南街的一宗国有土地，土地面积25.32平方米，于估价期日2026年04月23日，在评估设定土地用途为城镇住宅用地，设定土地使用年期为70年，设定容积率为4.23，设定土地开发程度为宗地红线内外“五通”（通路、通电、供水、排水、通讯）及红线内场地平整，规划利用条件下的土地使用权出让价格如下（币种：人民币）：</w:t>
      </w:r>
    </w:p>
    <w:p w14:paraId="2B291BAE">
      <w:pPr>
        <w:keepNext w:val="0"/>
        <w:keepLines w:val="0"/>
        <w:pageBreakBefore w:val="0"/>
        <w:widowControl w:val="0"/>
        <w:kinsoku/>
        <w:wordWrap/>
        <w:overflowPunct/>
        <w:topLinePunct w:val="0"/>
        <w:autoSpaceDE/>
        <w:autoSpaceDN/>
        <w:bidi w:val="0"/>
        <w:adjustRightInd w:val="0"/>
        <w:snapToGrid w:val="0"/>
        <w:spacing w:line="460" w:lineRule="exact"/>
        <w:ind w:firstLine="562" w:firstLineChars="200"/>
        <w:textAlignment w:val="auto"/>
        <w:rPr>
          <w:rFonts w:hint="default"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t>宗地数量：共一宗</w:t>
      </w:r>
    </w:p>
    <w:p w14:paraId="0D92A67A">
      <w:pPr>
        <w:keepNext w:val="0"/>
        <w:keepLines w:val="0"/>
        <w:pageBreakBefore w:val="0"/>
        <w:widowControl w:val="0"/>
        <w:kinsoku/>
        <w:wordWrap/>
        <w:overflowPunct/>
        <w:topLinePunct w:val="0"/>
        <w:autoSpaceDE/>
        <w:autoSpaceDN/>
        <w:bidi w:val="0"/>
        <w:adjustRightInd w:val="0"/>
        <w:snapToGrid w:val="0"/>
        <w:spacing w:line="460" w:lineRule="exact"/>
        <w:ind w:firstLine="562" w:firstLineChars="200"/>
        <w:textAlignment w:val="auto"/>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t>估价对象</w:t>
      </w:r>
      <w:r>
        <w:rPr>
          <w:rFonts w:hint="eastAsia" w:ascii="仿宋_GB2312" w:hAnsi="仿宋_GB2312" w:eastAsia="仿宋_GB2312" w:cs="仿宋_GB2312"/>
          <w:b/>
          <w:bCs w:val="0"/>
          <w:color w:val="000000" w:themeColor="text1"/>
          <w:sz w:val="28"/>
          <w:szCs w:val="28"/>
          <w:highlight w:val="none"/>
          <w:lang w:eastAsia="zh-CN"/>
          <w14:textFill>
            <w14:solidFill>
              <w14:schemeClr w14:val="tx1"/>
            </w14:solidFill>
          </w14:textFill>
        </w:rPr>
        <w:t>土地</w:t>
      </w:r>
      <w:r>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t>总</w:t>
      </w:r>
      <w:r>
        <w:rPr>
          <w:rFonts w:hint="eastAsia" w:ascii="仿宋_GB2312" w:hAnsi="仿宋_GB2312" w:eastAsia="仿宋_GB2312" w:cs="仿宋_GB2312"/>
          <w:b/>
          <w:bCs w:val="0"/>
          <w:color w:val="000000" w:themeColor="text1"/>
          <w:sz w:val="28"/>
          <w:szCs w:val="28"/>
          <w:highlight w:val="none"/>
          <w:lang w:eastAsia="zh-CN"/>
          <w14:textFill>
            <w14:solidFill>
              <w14:schemeClr w14:val="tx1"/>
            </w14:solidFill>
          </w14:textFill>
        </w:rPr>
        <w:t>面积：25.32平方米</w:t>
      </w:r>
    </w:p>
    <w:p w14:paraId="77A0FDA4">
      <w:pPr>
        <w:keepNext w:val="0"/>
        <w:keepLines w:val="0"/>
        <w:pageBreakBefore w:val="0"/>
        <w:widowControl w:val="0"/>
        <w:kinsoku/>
        <w:wordWrap/>
        <w:overflowPunct/>
        <w:topLinePunct w:val="0"/>
        <w:autoSpaceDE/>
        <w:autoSpaceDN/>
        <w:bidi w:val="0"/>
        <w:adjustRightInd w:val="0"/>
        <w:snapToGrid w:val="0"/>
        <w:spacing w:line="460" w:lineRule="exact"/>
        <w:ind w:firstLine="562" w:firstLineChars="200"/>
        <w:textAlignment w:val="auto"/>
        <w:rPr>
          <w:rFonts w:hint="default"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t>估价对象土地单价：159元/平方米</w:t>
      </w:r>
    </w:p>
    <w:p w14:paraId="5890616A">
      <w:pPr>
        <w:keepNext w:val="0"/>
        <w:keepLines w:val="0"/>
        <w:pageBreakBefore w:val="0"/>
        <w:widowControl w:val="0"/>
        <w:kinsoku/>
        <w:wordWrap/>
        <w:overflowPunct/>
        <w:topLinePunct w:val="0"/>
        <w:autoSpaceDE/>
        <w:autoSpaceDN/>
        <w:bidi w:val="0"/>
        <w:adjustRightInd w:val="0"/>
        <w:snapToGrid w:val="0"/>
        <w:spacing w:line="460" w:lineRule="exact"/>
        <w:ind w:firstLine="562" w:firstLineChars="200"/>
        <w:textAlignment w:val="auto"/>
        <w:rPr>
          <w:rFonts w:hint="eastAsia" w:ascii="仿宋_GB2312" w:hAnsi="仿宋_GB2312" w:eastAsia="仿宋_GB2312" w:cs="仿宋_GB2312"/>
          <w:b/>
          <w:bCs w:val="0"/>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t>估计对象土地</w:t>
      </w:r>
      <w:r>
        <w:rPr>
          <w:rFonts w:hint="eastAsia" w:ascii="仿宋_GB2312" w:hAnsi="仿宋_GB2312" w:eastAsia="仿宋_GB2312" w:cs="仿宋_GB2312"/>
          <w:b/>
          <w:bCs w:val="0"/>
          <w:color w:val="000000" w:themeColor="text1"/>
          <w:sz w:val="28"/>
          <w:szCs w:val="28"/>
          <w:highlight w:val="none"/>
          <w:lang w:eastAsia="zh-CN"/>
          <w14:textFill>
            <w14:solidFill>
              <w14:schemeClr w14:val="tx1"/>
            </w14:solidFill>
          </w14:textFill>
        </w:rPr>
        <w:t>总价：</w:t>
      </w:r>
      <w:r>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t>76.79</w:t>
      </w:r>
      <w:r>
        <w:rPr>
          <w:rFonts w:hint="eastAsia" w:ascii="仿宋_GB2312" w:hAnsi="仿宋_GB2312" w:eastAsia="仿宋_GB2312" w:cs="仿宋_GB2312"/>
          <w:b/>
          <w:bCs w:val="0"/>
          <w:color w:val="000000" w:themeColor="text1"/>
          <w:sz w:val="28"/>
          <w:szCs w:val="28"/>
          <w:highlight w:val="none"/>
          <w:lang w:eastAsia="zh-CN"/>
          <w14:textFill>
            <w14:solidFill>
              <w14:schemeClr w14:val="tx1"/>
            </w14:solidFill>
          </w14:textFill>
        </w:rPr>
        <w:t>万元</w:t>
      </w:r>
    </w:p>
    <w:p w14:paraId="55F551C6">
      <w:pPr>
        <w:keepNext w:val="0"/>
        <w:keepLines w:val="0"/>
        <w:pageBreakBefore w:val="0"/>
        <w:widowControl w:val="0"/>
        <w:kinsoku/>
        <w:wordWrap/>
        <w:overflowPunct/>
        <w:topLinePunct w:val="0"/>
        <w:autoSpaceDE/>
        <w:autoSpaceDN/>
        <w:bidi w:val="0"/>
        <w:adjustRightInd w:val="0"/>
        <w:snapToGrid w:val="0"/>
        <w:spacing w:line="460" w:lineRule="exact"/>
        <w:ind w:firstLine="562" w:firstLineChars="200"/>
        <w:textAlignment w:val="auto"/>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bCs w:val="0"/>
          <w:color w:val="000000" w:themeColor="text1"/>
          <w:sz w:val="28"/>
          <w:szCs w:val="28"/>
          <w:highlight w:val="none"/>
          <w:lang w:eastAsia="zh-CN"/>
          <w14:textFill>
            <w14:solidFill>
              <w14:schemeClr w14:val="tx1"/>
            </w14:solidFill>
          </w14:textFill>
        </w:rPr>
        <w:t>大写：</w:t>
      </w:r>
      <w:r>
        <w:rPr>
          <w:rFonts w:hint="eastAsia" w:ascii="仿宋_GB2312" w:hAnsi="仿宋_GB2312" w:eastAsia="仿宋_GB2312" w:cs="仿宋_GB2312"/>
          <w:b/>
          <w:bCs/>
          <w:color w:val="000000" w:themeColor="text1"/>
          <w:sz w:val="28"/>
          <w:szCs w:val="22"/>
          <w:highlight w:val="none"/>
          <w14:textFill>
            <w14:solidFill>
              <w14:schemeClr w14:val="tx1"/>
            </w14:solidFill>
          </w14:textFill>
        </w:rPr>
        <w:t>人民币</w:t>
      </w:r>
      <w:r>
        <w:rPr>
          <w:rFonts w:hint="eastAsia" w:ascii="仿宋_GB2312" w:hAnsi="仿宋_GB2312" w:eastAsia="仿宋_GB2312" w:cs="仿宋_GB2312"/>
          <w:b/>
          <w:bCs/>
          <w:color w:val="000000" w:themeColor="text1"/>
          <w:sz w:val="28"/>
          <w:szCs w:val="22"/>
          <w:highlight w:val="none"/>
          <w:lang w:val="en-US" w:eastAsia="zh-CN"/>
          <w14:textFill>
            <w14:solidFill>
              <w14:schemeClr w14:val="tx1"/>
            </w14:solidFill>
          </w14:textFill>
        </w:rPr>
        <w:t>柒拾陆万柒仟玖佰</w:t>
      </w:r>
      <w:r>
        <w:rPr>
          <w:rFonts w:hint="eastAsia" w:ascii="仿宋_GB2312" w:hAnsi="仿宋_GB2312" w:eastAsia="仿宋_GB2312" w:cs="仿宋_GB2312"/>
          <w:b/>
          <w:bCs/>
          <w:color w:val="000000" w:themeColor="text1"/>
          <w:sz w:val="28"/>
          <w:szCs w:val="22"/>
          <w:highlight w:val="none"/>
          <w14:textFill>
            <w14:solidFill>
              <w14:schemeClr w14:val="tx1"/>
            </w14:solidFill>
          </w14:textFill>
        </w:rPr>
        <w:t>元整</w:t>
      </w:r>
      <w:r>
        <w:rPr>
          <w:rFonts w:hint="eastAsia" w:ascii="仿宋_GB2312" w:hAnsi="仿宋_GB2312" w:eastAsia="仿宋_GB2312" w:cs="仿宋_GB2312"/>
          <w:b/>
          <w:bCs w:val="0"/>
          <w:color w:val="000000" w:themeColor="text1"/>
          <w:sz w:val="28"/>
          <w:szCs w:val="28"/>
          <w:highlight w:val="none"/>
          <w:lang w:eastAsia="zh-CN"/>
          <w14:textFill>
            <w14:solidFill>
              <w14:schemeClr w14:val="tx1"/>
            </w14:solidFill>
          </w14:textFill>
        </w:rPr>
        <w:t>；</w:t>
      </w:r>
    </w:p>
    <w:p w14:paraId="1ECBAE32">
      <w:pPr>
        <w:keepNext w:val="0"/>
        <w:keepLines w:val="0"/>
        <w:pageBreakBefore w:val="0"/>
        <w:widowControl w:val="0"/>
        <w:kinsoku/>
        <w:wordWrap/>
        <w:overflowPunct/>
        <w:topLinePunct w:val="0"/>
        <w:autoSpaceDE/>
        <w:autoSpaceDN/>
        <w:bidi w:val="0"/>
        <w:adjustRightInd w:val="0"/>
        <w:snapToGrid w:val="0"/>
        <w:spacing w:line="460" w:lineRule="exact"/>
        <w:ind w:firstLine="562" w:firstLineChars="200"/>
        <w:textAlignment w:val="auto"/>
        <w:rPr>
          <w:rFonts w:hint="eastAsia" w:ascii="仿宋_GB2312" w:hAnsi="仿宋_GB2312" w:eastAsia="仿宋_GB2312" w:cs="仿宋_GB2312"/>
          <w:b/>
          <w:bCs w:val="0"/>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
          <w:bCs w:val="0"/>
          <w:color w:val="000000" w:themeColor="text1"/>
          <w:sz w:val="28"/>
          <w:szCs w:val="28"/>
          <w:highlight w:val="none"/>
          <w:lang w:eastAsia="zh-CN"/>
          <w14:textFill>
            <w14:solidFill>
              <w14:schemeClr w14:val="tx1"/>
            </w14:solidFill>
          </w14:textFill>
        </w:rPr>
        <w:t>详见《土地估价结果一览表》。</w:t>
      </w:r>
    </w:p>
    <w:p w14:paraId="0477BC23">
      <w:pPr>
        <w:keepNext w:val="0"/>
        <w:keepLines w:val="0"/>
        <w:pageBreakBefore w:val="0"/>
        <w:widowControl w:val="0"/>
        <w:kinsoku/>
        <w:wordWrap/>
        <w:overflowPunct/>
        <w:topLinePunct w:val="0"/>
        <w:autoSpaceDE/>
        <w:autoSpaceDN/>
        <w:bidi w:val="0"/>
        <w:spacing w:line="460" w:lineRule="exact"/>
        <w:ind w:firstLine="562" w:firstLineChars="200"/>
        <w:textAlignment w:val="auto"/>
        <w:rPr>
          <w:rFonts w:hint="eastAsia" w:ascii="仿宋_GB2312" w:eastAsia="仿宋_GB2312"/>
          <w:color w:val="000000" w:themeColor="text1"/>
          <w:sz w:val="28"/>
          <w:szCs w:val="30"/>
          <w:highlight w:val="none"/>
          <w14:textFill>
            <w14:solidFill>
              <w14:schemeClr w14:val="tx1"/>
            </w14:solidFill>
          </w14:textFill>
        </w:rPr>
      </w:pPr>
      <w:r>
        <w:rPr>
          <w:rFonts w:hint="eastAsia" w:ascii="仿宋_GB2312" w:hAnsi="仿宋_GB2312" w:eastAsia="仿宋_GB2312" w:cs="仿宋_GB2312"/>
          <w:b/>
          <w:bCs/>
          <w:color w:val="000000" w:themeColor="text1"/>
          <w:sz w:val="28"/>
          <w:szCs w:val="30"/>
          <w:highlight w:val="none"/>
          <w14:textFill>
            <w14:solidFill>
              <w14:schemeClr w14:val="tx1"/>
            </w14:solidFill>
          </w14:textFill>
        </w:rPr>
        <w:t>三、估价结果和估价报告的使用</w:t>
      </w:r>
    </w:p>
    <w:p w14:paraId="06B9478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（一）估价的前提条件和假设条件</w:t>
      </w:r>
    </w:p>
    <w:p w14:paraId="3D4A528B">
      <w:pPr>
        <w:keepNext w:val="0"/>
        <w:keepLines w:val="0"/>
        <w:pageBreakBefore w:val="0"/>
        <w:widowControl w:val="0"/>
        <w:kinsoku/>
        <w:wordWrap/>
        <w:overflowPunct/>
        <w:topLinePunct w:val="0"/>
        <w:autoSpaceDE/>
        <w:autoSpaceDN/>
        <w:bidi w:val="0"/>
        <w:adjustRightInd w:val="0"/>
        <w:snapToGrid w:val="0"/>
        <w:spacing w:line="460" w:lineRule="exact"/>
        <w:ind w:firstLine="42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t>1.本次估价中估价对象的土地权属、土地用途、使用权类型、土地面积、土地利用条件等以《关于通道县2002年第七批次建设用地农用地转用和土地征收的批复》（湘政地〔2002〕1205号，2002年9月5日）、《通道县房屋登记核发权证申请表》（2002年12月30日）为重要依据，并以以上资料合法、真实、有效为前提条件；</w:t>
      </w:r>
    </w:p>
    <w:p w14:paraId="403084A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2.估价对象所处区域的不动产市场在估价期日及之后可预期的一定时期内为公开、平等、自愿、平稳持续发展的客观交易市场；</w:t>
      </w:r>
    </w:p>
    <w:p w14:paraId="3D3A7A2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3.本次评估地价内涵为估价对象在满足地价定义及本次估价的前提和假设条件下，不包括红线范围内其他土地附着物、动产、债权债务、特许经营权等其他财产或权益在内的土地使用权客观市场价格；</w:t>
      </w:r>
    </w:p>
    <w:p w14:paraId="12E99D7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4.估价对象按照《关于国有建设用地的规划条件的函》（2025年9月11日）确定的规划指标开发利用，并能持续产生土地收益；</w:t>
      </w:r>
    </w:p>
    <w:p w14:paraId="06A56B9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color w:val="000000"/>
          <w:sz w:val="28"/>
        </w:rPr>
        <w:t>5.本次评估的价格是指估价对象在公开市场条件下，于估价期日2026年04月23日，评估设定开发程度为宗地红线内外“五通”（通路、通电、供水、排水、通讯）及红线内场地平整，按规划条件设定用途为住宅用地，容积率设定为4.23，设定土地使用年期为70年的国有建设用地使用权市场价格。本报告及估价结果基于以上“地价定义”,如果以上“地价定义”中的参数发生变化，则地价有可能改变；</w:t>
      </w:r>
    </w:p>
    <w:p w14:paraId="62FE459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color w:val="000000"/>
          <w:sz w:val="28"/>
        </w:rPr>
        <w:t>6.任何有关估价对象的运作方式及程序符合国家、湖南省、永州市和道县于估价期日2026年04月23日的有关法律法规规章和技术性规范。</w:t>
      </w:r>
    </w:p>
    <w:p w14:paraId="735B211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（二）估价结果与估价报告的使用</w:t>
      </w:r>
    </w:p>
    <w:p w14:paraId="4C2A99D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1.本估价报告和估价结果依据《中华人民共和国土地管理法》《中华人民共和国城市房地产管理法》、自然资源部《城镇土地估价规程》等法律、法规的规定发生法律效力；</w:t>
      </w:r>
    </w:p>
    <w:p w14:paraId="1ABAC3D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本估价报告为委托估价方通过集体决策确定估价对象挂牌出让底价提供国有出让建设用地使用权市场价格参考依据，不能用于除此以外的其他任何经济活动。违背规定或超越本报告特定目的及限制条件使用本估价报告和估价结果而产生的法律责任及经济损失，本估价机构概不负责；</w:t>
      </w:r>
    </w:p>
    <w:p w14:paraId="71D72AC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3.本估价报告和估价结果的有效使用期为一年，即2025年11月28日至2026年11月27日；</w:t>
      </w:r>
    </w:p>
    <w:p w14:paraId="4EF999A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本估价报告和估价结果的使用权归委托估价方所有，湖南兆财不动产规划评估有限公司对估价报告及估价结果拥有解释权。未经本公司书面同意，本估价报告书的全部或部分不得使用于公开的文件、通告或报告中，也不得以任何方式向第三者提供报告全文或其中内容；</w:t>
      </w:r>
    </w:p>
    <w:p w14:paraId="383752D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本报告估价结果，需经两名以上（含两名）土地估价师签名、土地估价机构盖章后方能生效。本报告必须完整使用（尤其是价格）方为有效，对仅使用本报告中的部分内容所导致的可能发生的损失，受托估价机构不承担任何责任。</w:t>
      </w:r>
    </w:p>
    <w:p w14:paraId="2056B6F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本报告及估价结果仅为本报告设定的估价目的服务，当用于其它目的，本报告估价结果无效。本报告必须完整使用，对仅使用报告中的部分内容所导致的有关损失，受托估价机构不承担责任。估价机构不承担违规使用本估价报告和估价结果的法律责任。</w:t>
      </w:r>
    </w:p>
    <w:p w14:paraId="46D825C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（三）需要特殊说明的事项</w:t>
      </w:r>
    </w:p>
    <w:p w14:paraId="69D84F5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1.评估依据资料来源情况说明</w:t>
      </w:r>
    </w:p>
    <w:p w14:paraId="54DD6DD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（1）本估价报告所依据的土地权属、土地用途、使用权类型、土地面积、土地利用条件成果等资料由委托估价双方提供。</w:t>
      </w:r>
    </w:p>
    <w:p w14:paraId="212713E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（2）土地区位条件、地产市场交易资料、土地利用现状照片等相关资料由估价师实地调查取得。</w:t>
      </w:r>
    </w:p>
    <w:p w14:paraId="4CF6803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（3）区域经济发展状况、统计数据、城市规划资料、基准地价资料、估价中的相关参数资料等由湖南兆财不动产规划评估有限公司土地估价师通过查阅政府部门相关文件及公开媒体资讯等途径获取。</w:t>
      </w:r>
    </w:p>
    <w:p w14:paraId="3DCBB9B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（4）湖南兆财不动产规划评估有限公司土地估价师结合执业经验，对上述相关评估资料的真实性、合法性、有效性、适用性进行了尽职核实和专业判断。</w:t>
      </w:r>
    </w:p>
    <w:p w14:paraId="2892C54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（5）委托方对所提供资料的真实性负责，估价机构对所收集资料的真实性、准确性负责。</w:t>
      </w:r>
    </w:p>
    <w:p w14:paraId="192EC35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2.对估价结果和估价工作可能影响的变化事项</w:t>
      </w:r>
    </w:p>
    <w:p w14:paraId="52B9CDC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（1）本次估价所引用的地价指数是根据当地土地管理部门公布的信息和估价对象所在区域土地市场的变化状况编制的；</w:t>
      </w:r>
    </w:p>
    <w:p w14:paraId="0FE626F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本报告结果是在满足地价定义所设定条件下的国有土地使用权价格，所在估价报告有效期内，估价对象的土地利用方式、估价期日、土地开发程度、土地使用年限、土地面积等影响地价的因素发生变化，该估价结果应作相应调整；</w:t>
      </w:r>
    </w:p>
    <w:p w14:paraId="7FAC5E8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（3）本估价报告中的项目开发方式是在满足最有效利用原则下，参照行业通行的做法及结合估价师自身的估价经验确定的，如与以后批准的建筑设计指标有出入而引起地价的变化，土地价格需重新评估。</w:t>
      </w:r>
    </w:p>
    <w:p w14:paraId="5222C71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3.估价对象的特殊性、估价中未考虑的因素及采取的特殊处理</w:t>
      </w:r>
    </w:p>
    <w:p w14:paraId="27A9B3F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（1）我们此次评估以估价对象已完成安置补偿为前提；</w:t>
      </w:r>
    </w:p>
    <w:p w14:paraId="54C8DAF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本报告中数据全部采用计算机连续运算得出，由于在技术报告中的计算方式数据均按四舍五入保留两位小数或取整，因此可能出现个别等式左右两边不完全相等的情况。此为正常情况，不影响计算结果及最终评估结论的准确性；</w:t>
      </w:r>
    </w:p>
    <w:p w14:paraId="7E3CCC8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（3）本报告所示货币种类为人民币。</w:t>
      </w:r>
    </w:p>
    <w:p w14:paraId="66045C6C">
      <w:pPr>
        <w:spacing w:line="460" w:lineRule="exact"/>
        <w:jc w:val="center"/>
        <w:outlineLvl w:val="9"/>
        <w:rPr>
          <w:rFonts w:ascii="宋体" w:hAnsi="宋体" w:cs="仿宋_GB2312"/>
          <w:b/>
          <w:color w:val="000000" w:themeColor="text1"/>
          <w:sz w:val="32"/>
          <w:szCs w:val="32"/>
          <w:highlight w:val="none"/>
          <w14:textFill>
            <w14:solidFill>
              <w14:schemeClr w14:val="tx1"/>
            </w14:solidFill>
          </w14:textFill>
        </w:rPr>
      </w:pPr>
      <w:r>
        <w:rPr>
          <w:rFonts w:hint="eastAsia" w:ascii="仿宋_GB2312" w:hAnsi="仿宋_GB2312" w:eastAsia="仿宋_GB2312" w:cs="仿宋_GB2312"/>
          <w:bCs/>
          <w:color w:val="000000" w:themeColor="text1"/>
          <w:sz w:val="28"/>
          <w:szCs w:val="28"/>
          <w:highlight w:val="none"/>
          <w14:textFill>
            <w14:solidFill>
              <w14:schemeClr w14:val="tx1"/>
            </w14:solidFill>
          </w14:textFill>
        </w:rPr>
        <w:br w:type="page"/>
      </w:r>
    </w:p>
    <w:p w14:paraId="2B74101E">
      <w:pPr>
        <w:tabs>
          <w:tab w:val="left" w:pos="-105"/>
          <w:tab w:val="left" w:pos="735"/>
          <w:tab w:val="left" w:pos="1785"/>
        </w:tabs>
        <w:adjustRightInd w:val="0"/>
        <w:snapToGrid w:val="0"/>
        <w:spacing w:line="400" w:lineRule="exact"/>
        <w:jc w:val="center"/>
        <w:outlineLvl w:val="1"/>
        <w:rPr>
          <w:rFonts w:ascii="宋体" w:hAnsi="宋体" w:cs="仿宋_GB2312"/>
          <w:b/>
          <w:color w:val="000000" w:themeColor="text1"/>
          <w:sz w:val="32"/>
          <w:szCs w:val="32"/>
          <w:highlight w:val="none"/>
          <w14:textFill>
            <w14:solidFill>
              <w14:schemeClr w14:val="tx1"/>
            </w14:solidFill>
          </w14:textFill>
        </w:rPr>
      </w:pPr>
      <w:r>
        <w:rPr>
          <w:rFonts w:hint="eastAsia" w:ascii="仿宋_GB2312" w:hAnsi="仿宋_GB2312" w:eastAsia="仿宋_GB2312" w:cs="仿宋_GB2312"/>
          <w:b/>
          <w:color w:val="000000" w:themeColor="text1"/>
          <w:sz w:val="32"/>
          <w:szCs w:val="32"/>
          <w:highlight w:val="none"/>
          <w14:textFill>
            <w14:solidFill>
              <w14:schemeClr w14:val="tx1"/>
            </w14:solidFill>
          </w14:textFill>
        </w:rPr>
        <w:t>第四部分    附   件</w:t>
      </w:r>
    </w:p>
    <w:p w14:paraId="033B851C">
      <w:pPr>
        <w:tabs>
          <w:tab w:val="left" w:pos="-105"/>
          <w:tab w:val="left" w:pos="735"/>
          <w:tab w:val="left" w:pos="1785"/>
        </w:tabs>
        <w:adjustRightInd w:val="0"/>
        <w:snapToGrid w:val="0"/>
        <w:spacing w:line="400" w:lineRule="exact"/>
        <w:rPr>
          <w:rFonts w:ascii="宋体" w:hAnsi="宋体" w:cs="仿宋_GB2312"/>
          <w:b/>
          <w:color w:val="000000" w:themeColor="text1"/>
          <w:sz w:val="32"/>
          <w:szCs w:val="32"/>
          <w:highlight w:val="none"/>
          <w14:textFill>
            <w14:solidFill>
              <w14:schemeClr w14:val="tx1"/>
            </w14:solidFill>
          </w14:textFill>
        </w:rPr>
      </w:pPr>
      <w:r>
        <w:rPr>
          <w:rFonts w:hint="eastAsia" w:ascii="仿宋_GB2312" w:hAnsi="仿宋_GB2312" w:eastAsia="仿宋_GB2312" w:cs="仿宋_GB2312"/>
          <w:b/>
          <w:color w:val="000000" w:themeColor="text1"/>
          <w:sz w:val="32"/>
          <w:szCs w:val="32"/>
          <w:highlight w:val="none"/>
          <w14:textFill>
            <w14:solidFill>
              <w14:schemeClr w14:val="tx1"/>
            </w14:solidFill>
          </w14:textFill>
        </w:rPr>
        <w:t xml:space="preserve"> </w:t>
      </w:r>
    </w:p>
    <w:p w14:paraId="156F5CA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1.《评估委托书》；</w:t>
      </w:r>
    </w:p>
    <w:p w14:paraId="461A8B9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2.委托方《统一社会信用代码证书》复印件；</w:t>
      </w:r>
    </w:p>
    <w:p w14:paraId="2322AFC6">
      <w:pPr>
        <w:keepNext w:val="0"/>
        <w:keepLines w:val="0"/>
        <w:pageBreakBefore w:val="0"/>
        <w:widowControl w:val="0"/>
        <w:kinsoku/>
        <w:wordWrap/>
        <w:overflowPunct/>
        <w:topLinePunct w:val="0"/>
        <w:autoSpaceDE/>
        <w:autoSpaceDN/>
        <w:bidi w:val="0"/>
        <w:adjustRightInd w:val="0"/>
        <w:snapToGrid w:val="0"/>
        <w:spacing w:line="460" w:lineRule="exact"/>
        <w:ind w:firstLine="42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t>3.《关于通道县2002年第七批次建设用地农用地转用和土地征收的批复》（湘政地〔2002〕1205号，2002年9月5日）、《通道县房屋登记核发权证申请表》（2002年12月30日）；</w:t>
      </w:r>
    </w:p>
    <w:p w14:paraId="2B50694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4.《关于国有建设用地的规划条件的函》（2025年9月11日）；</w:t>
      </w:r>
    </w:p>
    <w:p w14:paraId="0AFEE75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5.《通道县房屋登记核发权证申请表》；</w:t>
      </w:r>
    </w:p>
    <w:p w14:paraId="529FDBD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6.估价对象宗地区域位置示意图；</w:t>
      </w:r>
    </w:p>
    <w:p w14:paraId="6FD37B7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7.现场勘查照片；</w:t>
      </w:r>
    </w:p>
    <w:p w14:paraId="2136C5E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8.现场勘查记录表；</w:t>
      </w:r>
    </w:p>
    <w:p w14:paraId="4BB9C2F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9.土地评估中介机构企业营业执照；</w:t>
      </w:r>
    </w:p>
    <w:p w14:paraId="1A4502A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10.土地评估中介机构备案证明；</w:t>
      </w:r>
    </w:p>
    <w:p w14:paraId="4FDC97A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11.土地估价师资质证书。</w:t>
      </w:r>
    </w:p>
    <w:p w14:paraId="2AD428B8">
      <w:pPr>
        <w:pStyle w:val="2"/>
        <w:ind w:left="0" w:leftChars="0" w:firstLine="5320" w:firstLineChars="1900"/>
        <w:rPr>
          <w:color w:val="000000" w:themeColor="text1"/>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（以上资料均为复印件）</w:t>
      </w:r>
    </w:p>
    <w:p w14:paraId="52219999">
      <w:pPr>
        <w:spacing w:line="520" w:lineRule="exact"/>
        <w:jc w:val="center"/>
        <w:outlineLvl w:val="9"/>
        <w:rPr>
          <w:rFonts w:hint="eastAsia" w:ascii="宋体" w:hAnsi="宋体"/>
          <w:b/>
          <w:color w:val="000000" w:themeColor="text1"/>
          <w:sz w:val="44"/>
          <w:szCs w:val="44"/>
          <w:highlight w:val="none"/>
          <w14:textFill>
            <w14:solidFill>
              <w14:schemeClr w14:val="tx1"/>
            </w14:solidFill>
          </w14:textFill>
        </w:rPr>
        <w:sectPr>
          <w:headerReference r:id="rId17" w:type="default"/>
          <w:footerReference r:id="rId18" w:type="default"/>
          <w:endnotePr>
            <w:numFmt w:val="decimal"/>
          </w:endnotePr>
          <w:pgSz w:w="11906" w:h="16838"/>
          <w:pgMar w:top="1440" w:right="1803" w:bottom="1440" w:left="1803" w:header="851" w:footer="992" w:gutter="0"/>
          <w:pgNumType w:fmt="decimal"/>
          <w:cols w:space="720" w:num="1"/>
          <w:docGrid w:linePitch="312" w:charSpace="0"/>
        </w:sectPr>
      </w:pPr>
    </w:p>
    <w:p w14:paraId="06EECCE1">
      <w:pPr>
        <w:pStyle w:val="2"/>
        <w:rPr>
          <w:rFonts w:hint="eastAsia"/>
          <w:color w:val="000000" w:themeColor="text1"/>
          <w:highlight w:val="none"/>
          <w14:textFill>
            <w14:solidFill>
              <w14:schemeClr w14:val="tx1"/>
            </w14:solidFill>
          </w14:textFill>
        </w:rPr>
      </w:pPr>
    </w:p>
    <w:p w14:paraId="4972A347">
      <w:pPr>
        <w:spacing w:line="520" w:lineRule="exact"/>
        <w:jc w:val="center"/>
        <w:rPr>
          <w:rFonts w:ascii="宋体" w:hAnsi="宋体"/>
          <w:b/>
          <w:color w:val="000000" w:themeColor="text1"/>
          <w:sz w:val="44"/>
          <w:szCs w:val="44"/>
          <w:highlight w:val="none"/>
          <w14:textFill>
            <w14:solidFill>
              <w14:schemeClr w14:val="tx1"/>
            </w14:solidFill>
          </w14:textFill>
        </w:rPr>
      </w:pPr>
      <w:r>
        <w:rPr>
          <w:rFonts w:hint="eastAsia" w:ascii="仿宋_GB2312" w:hAnsi="仿宋_GB2312" w:eastAsia="仿宋_GB2312" w:cs="仿宋_GB2312"/>
          <w:b/>
          <w:color w:val="000000" w:themeColor="text1"/>
          <w:sz w:val="44"/>
          <w:szCs w:val="44"/>
          <w:highlight w:val="none"/>
          <w14:textFill>
            <w14:solidFill>
              <w14:schemeClr w14:val="tx1"/>
            </w14:solidFill>
          </w14:textFill>
        </w:rPr>
        <w:t>土地估价技术报告</w:t>
      </w:r>
    </w:p>
    <w:p w14:paraId="11F8E308">
      <w:pPr>
        <w:spacing w:line="520" w:lineRule="exact"/>
        <w:jc w:val="center"/>
        <w:rPr>
          <w:rFonts w:ascii="仿宋_GB2312" w:eastAsia="仿宋_GB2312"/>
          <w:color w:val="000000" w:themeColor="text1"/>
          <w:sz w:val="32"/>
          <w:highlight w:val="none"/>
          <w14:textFill>
            <w14:solidFill>
              <w14:schemeClr w14:val="tx1"/>
            </w14:solidFill>
          </w14:textFill>
        </w:rPr>
      </w:pPr>
      <w:r>
        <w:rPr>
          <w:rFonts w:hint="eastAsia" w:ascii="仿宋_GB2312" w:hAnsi="仿宋_GB2312" w:eastAsia="仿宋_GB2312" w:cs="仿宋_GB2312"/>
          <w:b/>
          <w:color w:val="000000" w:themeColor="text1"/>
          <w:sz w:val="44"/>
          <w:szCs w:val="44"/>
          <w:highlight w:val="none"/>
          <w14:textFill>
            <w14:solidFill>
              <w14:schemeClr w14:val="tx1"/>
            </w14:solidFill>
          </w14:textFill>
        </w:rPr>
        <w:t>（评估工作底稿）</w:t>
      </w:r>
    </w:p>
    <w:tbl>
      <w:tblPr>
        <w:tblStyle w:val="9"/>
        <w:tblW w:w="0" w:type="auto"/>
        <w:jc w:val="center"/>
        <w:tblLayout w:type="fixed"/>
        <w:tblCellMar>
          <w:top w:w="0" w:type="dxa"/>
          <w:left w:w="108" w:type="dxa"/>
          <w:bottom w:w="0" w:type="dxa"/>
          <w:right w:w="108" w:type="dxa"/>
        </w:tblCellMar>
      </w:tblPr>
      <w:tblGrid>
        <w:gridCol w:w="3686"/>
        <w:gridCol w:w="5729"/>
      </w:tblGrid>
      <w:tr w14:paraId="0EDE72EF">
        <w:tblPrEx>
          <w:tblCellMar>
            <w:top w:w="0" w:type="dxa"/>
            <w:left w:w="108" w:type="dxa"/>
            <w:bottom w:w="0" w:type="dxa"/>
            <w:right w:w="108" w:type="dxa"/>
          </w:tblCellMar>
        </w:tblPrEx>
        <w:trPr>
          <w:trHeight w:val="1134" w:hRule="atLeast"/>
          <w:jc w:val="center"/>
        </w:trPr>
        <w:tc>
          <w:tcPr>
            <w:tcW w:w="3686" w:type="dxa"/>
            <w:vAlign w:val="center"/>
          </w:tcPr>
          <w:p w14:paraId="7A890EB2">
            <w:pPr>
              <w:pStyle w:val="6"/>
              <w:keepNext w:val="0"/>
              <w:keepLines w:val="0"/>
              <w:suppressLineNumbers w:val="0"/>
              <w:tabs>
                <w:tab w:val="left" w:pos="468"/>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仿宋_GB2312" w:hAnsi="仿宋_GB2312" w:eastAsia="仿宋_GB2312" w:cs="仿宋_GB2312"/>
                <w:b/>
                <w:bCs/>
                <w:color w:val="000000" w:themeColor="text1"/>
                <w:spacing w:val="14"/>
                <w:sz w:val="32"/>
                <w:szCs w:val="32"/>
                <w:highlight w:val="none"/>
                <w14:textFill>
                  <w14:solidFill>
                    <w14:schemeClr w14:val="tx1"/>
                  </w14:solidFill>
                </w14:textFill>
              </w:rPr>
              <w:t>项</w:t>
            </w:r>
            <w:r>
              <w:rPr>
                <w:rFonts w:hint="eastAsia" w:ascii="仿宋_GB2312" w:hAnsi="仿宋_GB2312" w:eastAsia="仿宋_GB2312" w:cs="仿宋_GB2312"/>
                <w:b/>
                <w:bCs/>
                <w:color w:val="000000" w:themeColor="text1"/>
                <w:spacing w:val="14"/>
                <w:sz w:val="32"/>
                <w:szCs w:val="32"/>
                <w:highlight w:val="none"/>
                <w14:textFill>
                  <w14:solidFill>
                    <w14:schemeClr w14:val="tx1"/>
                  </w14:solidFill>
                </w14:textFill>
              </w:rPr>
              <w:t xml:space="preserve">    </w:t>
            </w:r>
            <w:r>
              <w:rPr>
                <w:rFonts w:ascii="仿宋_GB2312" w:hAnsi="仿宋_GB2312" w:eastAsia="仿宋_GB2312" w:cs="仿宋_GB2312"/>
                <w:b/>
                <w:bCs/>
                <w:color w:val="000000" w:themeColor="text1"/>
                <w:spacing w:val="14"/>
                <w:sz w:val="32"/>
                <w:szCs w:val="32"/>
                <w:highlight w:val="none"/>
                <w14:textFill>
                  <w14:solidFill>
                    <w14:schemeClr w14:val="tx1"/>
                  </w14:solidFill>
                </w14:textFill>
              </w:rPr>
              <w:t>目</w:t>
            </w:r>
            <w:r>
              <w:rPr>
                <w:rFonts w:hint="eastAsia" w:ascii="仿宋_GB2312" w:hAnsi="仿宋_GB2312" w:eastAsia="仿宋_GB2312" w:cs="仿宋_GB2312"/>
                <w:b/>
                <w:bCs/>
                <w:color w:val="000000" w:themeColor="text1"/>
                <w:spacing w:val="14"/>
                <w:sz w:val="32"/>
                <w:szCs w:val="32"/>
                <w:highlight w:val="none"/>
                <w14:textFill>
                  <w14:solidFill>
                    <w14:schemeClr w14:val="tx1"/>
                  </w14:solidFill>
                </w14:textFill>
              </w:rPr>
              <w:t xml:space="preserve">   </w:t>
            </w:r>
            <w:r>
              <w:rPr>
                <w:rFonts w:ascii="仿宋_GB2312" w:hAnsi="仿宋_GB2312" w:eastAsia="仿宋_GB2312" w:cs="仿宋_GB2312"/>
                <w:b/>
                <w:bCs/>
                <w:color w:val="000000" w:themeColor="text1"/>
                <w:spacing w:val="14"/>
                <w:sz w:val="32"/>
                <w:szCs w:val="32"/>
                <w:highlight w:val="none"/>
                <w14:textFill>
                  <w14:solidFill>
                    <w14:schemeClr w14:val="tx1"/>
                  </w14:solidFill>
                </w14:textFill>
              </w:rPr>
              <w:t>名</w:t>
            </w:r>
            <w:r>
              <w:rPr>
                <w:rFonts w:hint="eastAsia" w:ascii="仿宋_GB2312" w:hAnsi="仿宋_GB2312" w:eastAsia="仿宋_GB2312" w:cs="仿宋_GB2312"/>
                <w:b/>
                <w:bCs/>
                <w:color w:val="000000" w:themeColor="text1"/>
                <w:spacing w:val="14"/>
                <w:sz w:val="32"/>
                <w:szCs w:val="32"/>
                <w:highlight w:val="none"/>
                <w14:textFill>
                  <w14:solidFill>
                    <w14:schemeClr w14:val="tx1"/>
                  </w14:solidFill>
                </w14:textFill>
              </w:rPr>
              <w:t xml:space="preserve">   </w:t>
            </w:r>
            <w:r>
              <w:rPr>
                <w:rFonts w:ascii="仿宋_GB2312" w:hAnsi="仿宋_GB2312" w:eastAsia="仿宋_GB2312" w:cs="仿宋_GB2312"/>
                <w:b/>
                <w:bCs/>
                <w:color w:val="000000" w:themeColor="text1"/>
                <w:spacing w:val="14"/>
                <w:sz w:val="32"/>
                <w:szCs w:val="32"/>
                <w:highlight w:val="none"/>
                <w14:textFill>
                  <w14:solidFill>
                    <w14:schemeClr w14:val="tx1"/>
                  </w14:solidFill>
                </w14:textFill>
              </w:rPr>
              <w:t>称：</w:t>
            </w:r>
          </w:p>
        </w:tc>
        <w:tc>
          <w:tcPr>
            <w:tcW w:w="5729" w:type="dxa"/>
            <w:vAlign w:val="center"/>
          </w:tcPr>
          <w:p w14:paraId="2B726D3A">
            <w:pPr>
              <w:pStyle w:val="6"/>
              <w:keepNext w:val="0"/>
              <w:keepLines w:val="0"/>
              <w:suppressLineNumbers w:val="0"/>
              <w:tabs>
                <w:tab w:val="left" w:pos="0"/>
                <w:tab w:val="left" w:pos="2340"/>
                <w:tab w:val="left" w:pos="3360"/>
              </w:tabs>
              <w:adjustRightInd w:val="0"/>
              <w:snapToGrid w:val="0"/>
              <w:spacing w:before="0" w:beforeAutospacing="0" w:after="0" w:afterAutospacing="0" w:line="0" w:lineRule="atLeast"/>
              <w:ind w:left="2" w:right="0" w:hanging="2"/>
              <w:rPr>
                <w:rFonts w:ascii="楷体" w:hAnsi="楷体" w:eastAsia="楷体"/>
                <w:color w:val="000000" w:themeColor="text1"/>
                <w:spacing w:val="14"/>
                <w:sz w:val="32"/>
                <w:szCs w:val="32"/>
                <w:highlight w:val="none"/>
                <w14:textFill>
                  <w14:solidFill>
                    <w14:schemeClr w14:val="tx1"/>
                  </w14:solidFill>
                </w14:textFill>
              </w:rPr>
            </w:pPr>
            <w:r>
              <w:t>通道侗族自治县自然资源局拟挂牌出让涉及位于通道县双江镇城南街的一宗城镇住宅用地国有建设用地使用权 market 价格评估(永州市道县）</w:t>
            </w:r>
          </w:p>
        </w:tc>
      </w:tr>
      <w:tr w14:paraId="00AF4FCE">
        <w:tblPrEx>
          <w:tblCellMar>
            <w:top w:w="0" w:type="dxa"/>
            <w:left w:w="108" w:type="dxa"/>
            <w:bottom w:w="0" w:type="dxa"/>
            <w:right w:w="108" w:type="dxa"/>
          </w:tblCellMar>
        </w:tblPrEx>
        <w:trPr>
          <w:trHeight w:val="1134" w:hRule="atLeast"/>
          <w:jc w:val="center"/>
        </w:trPr>
        <w:tc>
          <w:tcPr>
            <w:tcW w:w="3686" w:type="dxa"/>
            <w:vAlign w:val="center"/>
          </w:tcPr>
          <w:p w14:paraId="23D5F873">
            <w:pPr>
              <w:pStyle w:val="6"/>
              <w:keepNext w:val="0"/>
              <w:keepLines w:val="0"/>
              <w:suppressLineNumbers w:val="0"/>
              <w:tabs>
                <w:tab w:val="left" w:pos="468"/>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仿宋_GB2312" w:hAnsi="仿宋_GB2312" w:eastAsia="仿宋_GB2312" w:cs="仿宋_GB2312"/>
                <w:b/>
                <w:bCs/>
                <w:color w:val="000000" w:themeColor="text1"/>
                <w:spacing w:val="14"/>
                <w:sz w:val="32"/>
                <w:szCs w:val="32"/>
                <w:highlight w:val="none"/>
                <w14:textFill>
                  <w14:solidFill>
                    <w14:schemeClr w14:val="tx1"/>
                  </w14:solidFill>
                </w14:textFill>
              </w:rPr>
              <w:t>受托估价单位：</w:t>
            </w:r>
          </w:p>
        </w:tc>
        <w:tc>
          <w:tcPr>
            <w:tcW w:w="5729" w:type="dxa"/>
            <w:vAlign w:val="center"/>
          </w:tcPr>
          <w:p w14:paraId="6BC75290">
            <w:pPr>
              <w:pStyle w:val="6"/>
              <w:keepNext w:val="0"/>
              <w:keepLines w:val="0"/>
              <w:suppressLineNumbers w:val="0"/>
              <w:tabs>
                <w:tab w:val="left" w:pos="0"/>
                <w:tab w:val="left" w:pos="2340"/>
              </w:tabs>
              <w:adjustRightInd w:val="0"/>
              <w:snapToGrid w:val="0"/>
              <w:spacing w:before="0" w:beforeAutospacing="0" w:after="0" w:afterAutospacing="0" w:line="0" w:lineRule="atLeast"/>
              <w:ind w:left="-10" w:leftChars="-5" w:right="0"/>
              <w:jc w:val="both"/>
              <w:rPr>
                <w:rFonts w:hint="eastAsia" w:ascii="楷体" w:hAnsi="楷体" w:eastAsia="楷体"/>
                <w:color w:val="000000" w:themeColor="text1"/>
                <w:spacing w:val="14"/>
                <w:sz w:val="32"/>
                <w:szCs w:val="32"/>
                <w:highlight w:val="none"/>
                <w:lang w:eastAsia="zh-CN"/>
                <w14:textFill>
                  <w14:solidFill>
                    <w14:schemeClr w14:val="tx1"/>
                  </w14:solidFill>
                </w14:textFill>
              </w:rPr>
            </w:pPr>
            <w:r>
              <w:rPr>
                <w:rFonts w:hint="eastAsia" w:ascii="仿宋_GB2312" w:hAnsi="仿宋_GB2312" w:eastAsia="仿宋_GB2312" w:cs="仿宋_GB2312"/>
                <w:color w:val="000000" w:themeColor="text1"/>
                <w:spacing w:val="14"/>
                <w:sz w:val="32"/>
                <w:szCs w:val="32"/>
                <w:highlight w:val="none"/>
                <w:lang w:eastAsia="zh-CN"/>
                <w14:textFill>
                  <w14:solidFill>
                    <w14:schemeClr w14:val="tx1"/>
                  </w14:solidFill>
                </w14:textFill>
              </w:rPr>
              <w:t>湖南兆财不动产规划评估有限公司</w:t>
            </w:r>
          </w:p>
        </w:tc>
      </w:tr>
      <w:tr w14:paraId="459EF903">
        <w:tblPrEx>
          <w:tblCellMar>
            <w:top w:w="0" w:type="dxa"/>
            <w:left w:w="108" w:type="dxa"/>
            <w:bottom w:w="0" w:type="dxa"/>
            <w:right w:w="108" w:type="dxa"/>
          </w:tblCellMar>
        </w:tblPrEx>
        <w:trPr>
          <w:trHeight w:val="1134" w:hRule="atLeast"/>
          <w:jc w:val="center"/>
        </w:trPr>
        <w:tc>
          <w:tcPr>
            <w:tcW w:w="3686" w:type="dxa"/>
            <w:vAlign w:val="center"/>
          </w:tcPr>
          <w:p w14:paraId="443674ED">
            <w:pPr>
              <w:pStyle w:val="6"/>
              <w:keepNext w:val="0"/>
              <w:keepLines w:val="0"/>
              <w:suppressLineNumbers w:val="0"/>
              <w:tabs>
                <w:tab w:val="left" w:pos="2235"/>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仿宋_GB2312" w:hAnsi="仿宋_GB2312" w:eastAsia="仿宋_GB2312" w:cs="仿宋_GB2312"/>
                <w:b/>
                <w:bCs/>
                <w:color w:val="000000" w:themeColor="text1"/>
                <w:spacing w:val="14"/>
                <w:sz w:val="32"/>
                <w:szCs w:val="32"/>
                <w:highlight w:val="none"/>
                <w14:textFill>
                  <w14:solidFill>
                    <w14:schemeClr w14:val="tx1"/>
                  </w14:solidFill>
                </w14:textFill>
              </w:rPr>
              <w:t>土地估价报告编号：</w:t>
            </w:r>
          </w:p>
        </w:tc>
        <w:tc>
          <w:tcPr>
            <w:tcW w:w="5729" w:type="dxa"/>
            <w:vAlign w:val="center"/>
          </w:tcPr>
          <w:p w14:paraId="093BD832">
            <w:pPr>
              <w:pStyle w:val="6"/>
              <w:keepNext w:val="0"/>
              <w:keepLines w:val="0"/>
              <w:suppressLineNumbers w:val="0"/>
              <w:tabs>
                <w:tab w:val="left" w:pos="0"/>
                <w:tab w:val="left" w:pos="2340"/>
              </w:tabs>
              <w:adjustRightInd w:val="0"/>
              <w:snapToGrid w:val="0"/>
              <w:spacing w:before="0" w:beforeAutospacing="0" w:after="0" w:afterAutospacing="0" w:line="0" w:lineRule="atLeast"/>
              <w:ind w:left="0" w:leftChars="0" w:right="0" w:firstLine="0" w:firstLineChars="0"/>
              <w:jc w:val="both"/>
              <w:rPr>
                <w:rFonts w:hint="eastAsia" w:ascii="楷体" w:hAnsi="楷体" w:eastAsia="楷体"/>
                <w:color w:val="000000" w:themeColor="text1"/>
                <w:spacing w:val="14"/>
                <w:sz w:val="32"/>
                <w:szCs w:val="32"/>
                <w:highlight w:val="none"/>
                <w:lang w:eastAsia="zh-CN"/>
                <w14:textFill>
                  <w14:solidFill>
                    <w14:schemeClr w14:val="tx1"/>
                  </w14:solidFill>
                </w14:textFill>
              </w:rPr>
            </w:pPr>
            <w:r>
              <w:rPr>
                <w:rFonts w:hint="eastAsia" w:ascii="仿宋_GB2312" w:hAnsi="仿宋_GB2312" w:eastAsia="仿宋_GB2312" w:cs="仿宋_GB2312"/>
                <w:color w:val="000000" w:themeColor="text1"/>
                <w:spacing w:val="14"/>
                <w:sz w:val="32"/>
                <w:szCs w:val="32"/>
                <w:highlight w:val="none"/>
                <w:lang w:eastAsia="zh-CN"/>
                <w14:textFill>
                  <w14:solidFill>
                    <w14:schemeClr w14:val="tx1"/>
                  </w14:solidFill>
                </w14:textFill>
              </w:rPr>
              <w:t>（湖南）湘兆财土地[2026]（估）字第ZC0005号</w:t>
            </w:r>
          </w:p>
        </w:tc>
      </w:tr>
      <w:tr w14:paraId="6493152D">
        <w:tblPrEx>
          <w:tblCellMar>
            <w:top w:w="0" w:type="dxa"/>
            <w:left w:w="108" w:type="dxa"/>
            <w:bottom w:w="0" w:type="dxa"/>
            <w:right w:w="108" w:type="dxa"/>
          </w:tblCellMar>
        </w:tblPrEx>
        <w:trPr>
          <w:trHeight w:val="1303" w:hRule="atLeast"/>
          <w:jc w:val="center"/>
        </w:trPr>
        <w:tc>
          <w:tcPr>
            <w:tcW w:w="3686" w:type="dxa"/>
            <w:vAlign w:val="center"/>
          </w:tcPr>
          <w:p w14:paraId="41C71B30">
            <w:pPr>
              <w:pStyle w:val="6"/>
              <w:keepNext w:val="0"/>
              <w:keepLines w:val="0"/>
              <w:suppressLineNumbers w:val="0"/>
              <w:tabs>
                <w:tab w:val="left" w:pos="2235"/>
                <w:tab w:val="left" w:pos="2340"/>
              </w:tabs>
              <w:adjustRightInd w:val="0"/>
              <w:snapToGrid w:val="0"/>
              <w:spacing w:before="0" w:beforeAutospacing="0" w:after="0" w:afterAutospacing="0" w:line="0" w:lineRule="atLeast"/>
              <w:ind w:left="0" w:right="-78" w:rightChars="-37"/>
              <w:jc w:val="distribute"/>
              <w:rPr>
                <w:rFonts w:ascii="楷体" w:hAnsi="楷体" w:eastAsia="楷体"/>
                <w:b/>
                <w:bCs/>
                <w:color w:val="000000" w:themeColor="text1"/>
                <w:spacing w:val="14"/>
                <w:sz w:val="32"/>
                <w:szCs w:val="32"/>
                <w:highlight w:val="none"/>
                <w14:textFill>
                  <w14:solidFill>
                    <w14:schemeClr w14:val="tx1"/>
                  </w14:solidFill>
                </w14:textFill>
              </w:rPr>
            </w:pPr>
            <w:r>
              <w:rPr>
                <w:rFonts w:hint="eastAsia" w:ascii="仿宋_GB2312" w:hAnsi="仿宋_GB2312" w:eastAsia="仿宋_GB2312" w:cs="仿宋_GB2312"/>
                <w:b/>
                <w:bCs/>
                <w:color w:val="000000" w:themeColor="text1"/>
                <w:spacing w:val="14"/>
                <w:sz w:val="32"/>
                <w:szCs w:val="32"/>
                <w:highlight w:val="none"/>
                <w14:textFill>
                  <w14:solidFill>
                    <w14:schemeClr w14:val="tx1"/>
                  </w14:solidFill>
                </w14:textFill>
              </w:rPr>
              <w:t>土地</w:t>
            </w:r>
            <w:r>
              <w:rPr>
                <w:rFonts w:ascii="仿宋_GB2312" w:hAnsi="仿宋_GB2312" w:eastAsia="仿宋_GB2312" w:cs="仿宋_GB2312"/>
                <w:b/>
                <w:bCs/>
                <w:color w:val="000000" w:themeColor="text1"/>
                <w:spacing w:val="14"/>
                <w:sz w:val="32"/>
                <w:szCs w:val="32"/>
                <w:highlight w:val="none"/>
                <w14:textFill>
                  <w14:solidFill>
                    <w14:schemeClr w14:val="tx1"/>
                  </w14:solidFill>
                </w14:textFill>
              </w:rPr>
              <w:t>估价技术报告</w:t>
            </w:r>
          </w:p>
          <w:p w14:paraId="02A01E41">
            <w:pPr>
              <w:pStyle w:val="6"/>
              <w:keepNext w:val="0"/>
              <w:keepLines w:val="0"/>
              <w:suppressLineNumbers w:val="0"/>
              <w:tabs>
                <w:tab w:val="left" w:pos="2235"/>
                <w:tab w:val="left" w:pos="2340"/>
              </w:tabs>
              <w:adjustRightInd w:val="0"/>
              <w:snapToGrid w:val="0"/>
              <w:spacing w:before="0" w:beforeAutospacing="0" w:after="0" w:afterAutospacing="0" w:line="0" w:lineRule="atLeast"/>
              <w:ind w:left="0" w:right="-78" w:rightChars="-37"/>
              <w:jc w:val="distribute"/>
              <w:rPr>
                <w:rFonts w:ascii="楷体" w:hAnsi="楷体" w:eastAsia="楷体"/>
                <w:b/>
                <w:bCs/>
                <w:color w:val="000000" w:themeColor="text1"/>
                <w:spacing w:val="14"/>
                <w:sz w:val="32"/>
                <w:szCs w:val="32"/>
                <w:highlight w:val="none"/>
                <w14:textFill>
                  <w14:solidFill>
                    <w14:schemeClr w14:val="tx1"/>
                  </w14:solidFill>
                </w14:textFill>
              </w:rPr>
            </w:pPr>
            <w:r>
              <w:rPr>
                <w:rFonts w:hint="eastAsia" w:ascii="仿宋_GB2312" w:hAnsi="仿宋_GB2312" w:eastAsia="仿宋_GB2312" w:cs="仿宋_GB2312"/>
                <w:b/>
                <w:bCs/>
                <w:color w:val="000000" w:themeColor="text1"/>
                <w:spacing w:val="14"/>
                <w:sz w:val="32"/>
                <w:szCs w:val="32"/>
                <w:highlight w:val="none"/>
                <w14:textFill>
                  <w14:solidFill>
                    <w14:schemeClr w14:val="tx1"/>
                  </w14:solidFill>
                </w14:textFill>
              </w:rPr>
              <w:t>（评估工作</w:t>
            </w:r>
            <w:r>
              <w:rPr>
                <w:rFonts w:ascii="仿宋_GB2312" w:hAnsi="仿宋_GB2312" w:eastAsia="仿宋_GB2312" w:cs="仿宋_GB2312"/>
                <w:b/>
                <w:bCs/>
                <w:color w:val="000000" w:themeColor="text1"/>
                <w:spacing w:val="14"/>
                <w:sz w:val="32"/>
                <w:szCs w:val="32"/>
                <w:highlight w:val="none"/>
                <w14:textFill>
                  <w14:solidFill>
                    <w14:schemeClr w14:val="tx1"/>
                  </w14:solidFill>
                </w14:textFill>
              </w:rPr>
              <w:t>底稿）编号：</w:t>
            </w:r>
          </w:p>
        </w:tc>
        <w:tc>
          <w:tcPr>
            <w:tcW w:w="5729" w:type="dxa"/>
            <w:vAlign w:val="center"/>
          </w:tcPr>
          <w:p w14:paraId="7443F6D1">
            <w:pPr>
              <w:pStyle w:val="6"/>
              <w:keepNext w:val="0"/>
              <w:keepLines w:val="0"/>
              <w:suppressLineNumbers w:val="0"/>
              <w:tabs>
                <w:tab w:val="left" w:pos="0"/>
                <w:tab w:val="left" w:pos="2235"/>
                <w:tab w:val="left" w:pos="2340"/>
              </w:tabs>
              <w:adjustRightInd w:val="0"/>
              <w:snapToGrid w:val="0"/>
              <w:spacing w:before="0" w:beforeAutospacing="0" w:after="0" w:afterAutospacing="0" w:line="0" w:lineRule="atLeast"/>
              <w:ind w:left="0" w:right="-78" w:rightChars="-37"/>
              <w:jc w:val="both"/>
              <w:rPr>
                <w:rFonts w:hint="eastAsia" w:ascii="楷体" w:hAnsi="楷体" w:eastAsia="楷体"/>
                <w:color w:val="000000" w:themeColor="text1"/>
                <w:spacing w:val="14"/>
                <w:sz w:val="32"/>
                <w:szCs w:val="32"/>
                <w:highlight w:val="none"/>
                <w:lang w:eastAsia="zh-CN"/>
                <w14:textFill>
                  <w14:solidFill>
                    <w14:schemeClr w14:val="tx1"/>
                  </w14:solidFill>
                </w14:textFill>
              </w:rPr>
            </w:pPr>
            <w:r>
              <w:rPr>
                <w:rFonts w:hint="eastAsia" w:ascii="仿宋_GB2312" w:hAnsi="仿宋_GB2312" w:eastAsia="仿宋_GB2312" w:cs="仿宋_GB2312"/>
                <w:color w:val="000000" w:themeColor="text1"/>
                <w:spacing w:val="14"/>
                <w:sz w:val="32"/>
                <w:szCs w:val="32"/>
                <w:highlight w:val="none"/>
                <w:lang w:eastAsia="zh-CN"/>
                <w14:textFill>
                  <w14:solidFill>
                    <w14:schemeClr w14:val="tx1"/>
                  </w14:solidFill>
                </w14:textFill>
              </w:rPr>
              <w:t>（湖南）湘兆财土地[2026]（技）字第ZC0005号</w:t>
            </w:r>
          </w:p>
        </w:tc>
      </w:tr>
      <w:tr w14:paraId="273DE4B2">
        <w:tblPrEx>
          <w:tblCellMar>
            <w:top w:w="0" w:type="dxa"/>
            <w:left w:w="108" w:type="dxa"/>
            <w:bottom w:w="0" w:type="dxa"/>
            <w:right w:w="108" w:type="dxa"/>
          </w:tblCellMar>
        </w:tblPrEx>
        <w:trPr>
          <w:trHeight w:val="1303" w:hRule="atLeast"/>
          <w:jc w:val="center"/>
        </w:trPr>
        <w:tc>
          <w:tcPr>
            <w:tcW w:w="3686" w:type="dxa"/>
            <w:vAlign w:val="center"/>
          </w:tcPr>
          <w:p w14:paraId="417DE6E6">
            <w:pPr>
              <w:pStyle w:val="6"/>
              <w:keepNext w:val="0"/>
              <w:keepLines w:val="0"/>
              <w:suppressLineNumbers w:val="0"/>
              <w:tabs>
                <w:tab w:val="left" w:pos="2235"/>
                <w:tab w:val="left" w:pos="2340"/>
              </w:tabs>
              <w:adjustRightInd w:val="0"/>
              <w:snapToGrid w:val="0"/>
              <w:spacing w:before="0" w:beforeAutospacing="0" w:after="0" w:afterAutospacing="0" w:line="0" w:lineRule="atLeast"/>
              <w:ind w:left="0" w:right="-78" w:rightChars="-37"/>
              <w:jc w:val="left"/>
              <w:rPr>
                <w:rFonts w:hint="eastAsia" w:ascii="楷体" w:hAnsi="楷体" w:eastAsia="楷体"/>
                <w:b/>
                <w:bCs/>
                <w:color w:val="000000" w:themeColor="text1"/>
                <w:spacing w:val="14"/>
                <w:sz w:val="32"/>
                <w:szCs w:val="32"/>
                <w:highlight w:val="none"/>
                <w14:textFill>
                  <w14:solidFill>
                    <w14:schemeClr w14:val="tx1"/>
                  </w14:solidFill>
                </w14:textFill>
              </w:rPr>
            </w:pPr>
            <w:r>
              <w:rPr>
                <w:rFonts w:hint="eastAsia" w:ascii="仿宋_GB2312" w:hAnsi="仿宋_GB2312" w:eastAsia="仿宋_GB2312" w:cs="仿宋_GB2312"/>
                <w:b/>
                <w:bCs/>
                <w:color w:val="000000" w:themeColor="text1"/>
                <w:spacing w:val="14"/>
                <w:sz w:val="32"/>
                <w:szCs w:val="32"/>
                <w:highlight w:val="none"/>
                <w14:textFill>
                  <w14:solidFill>
                    <w14:schemeClr w14:val="tx1"/>
                  </w14:solidFill>
                </w14:textFill>
              </w:rPr>
              <w:t>电 子 备 案 编 号：</w:t>
            </w:r>
          </w:p>
        </w:tc>
        <w:tc>
          <w:tcPr>
            <w:tcW w:w="5729" w:type="dxa"/>
            <w:vAlign w:val="center"/>
          </w:tcPr>
          <w:p w14:paraId="2568F5A9">
            <w:pPr>
              <w:pStyle w:val="6"/>
              <w:keepNext w:val="0"/>
              <w:keepLines w:val="0"/>
              <w:suppressLineNumbers w:val="0"/>
              <w:tabs>
                <w:tab w:val="left" w:pos="0"/>
                <w:tab w:val="left" w:pos="2340"/>
                <w:tab w:val="left" w:pos="2745"/>
                <w:tab w:val="left" w:pos="3030"/>
                <w:tab w:val="left" w:pos="3180"/>
              </w:tabs>
              <w:adjustRightInd w:val="0"/>
              <w:snapToGrid w:val="0"/>
              <w:spacing w:before="0" w:beforeAutospacing="0" w:after="0" w:afterAutospacing="0" w:line="0" w:lineRule="atLeast"/>
              <w:ind w:left="0" w:right="0"/>
              <w:jc w:val="left"/>
              <w:rPr>
                <w:rFonts w:hint="default" w:ascii="楷体" w:hAnsi="楷体" w:eastAsia="楷体"/>
                <w:color w:val="000000" w:themeColor="text1"/>
                <w:spacing w:val="-11"/>
                <w:sz w:val="32"/>
                <w:szCs w:val="32"/>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11"/>
                <w:sz w:val="32"/>
                <w:szCs w:val="32"/>
                <w:highlight w:val="none"/>
                <w:lang w:val="en-US" w:eastAsia="zh-CN"/>
                <w14:textFill>
                  <w14:solidFill>
                    <w14:schemeClr w14:val="tx1"/>
                  </w14:solidFill>
                </w14:textFill>
              </w:rPr>
              <w:t>详见备案页</w:t>
            </w:r>
          </w:p>
        </w:tc>
      </w:tr>
      <w:tr w14:paraId="631CAA27">
        <w:tblPrEx>
          <w:tblCellMar>
            <w:top w:w="0" w:type="dxa"/>
            <w:left w:w="108" w:type="dxa"/>
            <w:bottom w:w="0" w:type="dxa"/>
            <w:right w:w="108" w:type="dxa"/>
          </w:tblCellMar>
        </w:tblPrEx>
        <w:trPr>
          <w:trHeight w:val="1134" w:hRule="atLeast"/>
          <w:jc w:val="center"/>
        </w:trPr>
        <w:tc>
          <w:tcPr>
            <w:tcW w:w="3686" w:type="dxa"/>
            <w:vAlign w:val="center"/>
          </w:tcPr>
          <w:p w14:paraId="2606B662">
            <w:pPr>
              <w:pStyle w:val="6"/>
              <w:keepNext w:val="0"/>
              <w:keepLines w:val="0"/>
              <w:suppressLineNumbers w:val="0"/>
              <w:tabs>
                <w:tab w:val="left" w:pos="2235"/>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仿宋_GB2312" w:hAnsi="仿宋_GB2312" w:eastAsia="仿宋_GB2312" w:cs="仿宋_GB2312"/>
                <w:b/>
                <w:bCs/>
                <w:color w:val="000000" w:themeColor="text1"/>
                <w:spacing w:val="14"/>
                <w:sz w:val="32"/>
                <w:szCs w:val="32"/>
                <w:highlight w:val="none"/>
                <w14:textFill>
                  <w14:solidFill>
                    <w14:schemeClr w14:val="tx1"/>
                  </w14:solidFill>
                </w14:textFill>
              </w:rPr>
              <w:t>提交估价报告日期：</w:t>
            </w:r>
          </w:p>
        </w:tc>
        <w:tc>
          <w:tcPr>
            <w:tcW w:w="5729" w:type="dxa"/>
            <w:vAlign w:val="center"/>
          </w:tcPr>
          <w:p w14:paraId="0ECF64B3">
            <w:pPr>
              <w:pStyle w:val="6"/>
              <w:keepNext w:val="0"/>
              <w:keepLines w:val="0"/>
              <w:suppressLineNumbers w:val="0"/>
              <w:tabs>
                <w:tab w:val="left" w:pos="0"/>
                <w:tab w:val="left" w:pos="2340"/>
                <w:tab w:val="left" w:pos="2745"/>
                <w:tab w:val="left" w:pos="3030"/>
                <w:tab w:val="left" w:pos="3180"/>
              </w:tabs>
              <w:adjustRightInd w:val="0"/>
              <w:snapToGrid w:val="0"/>
              <w:spacing w:before="0" w:beforeAutospacing="0" w:after="0" w:afterAutospacing="0" w:line="0" w:lineRule="atLeast"/>
              <w:ind w:left="0" w:right="0"/>
              <w:jc w:val="left"/>
              <w:rPr>
                <w:rFonts w:hint="eastAsia" w:ascii="楷体" w:hAnsi="楷体" w:eastAsia="楷体"/>
                <w:color w:val="000000" w:themeColor="text1"/>
                <w:spacing w:val="14"/>
                <w:sz w:val="32"/>
                <w:szCs w:val="32"/>
                <w:highlight w:val="none"/>
                <w:lang w:eastAsia="zh-CN"/>
                <w14:textFill>
                  <w14:solidFill>
                    <w14:schemeClr w14:val="tx1"/>
                  </w14:solidFill>
                </w14:textFill>
              </w:rPr>
            </w:pPr>
            <w:r>
              <w:rPr>
                <w:rFonts w:ascii="仿宋_GB2312" w:hAnsi="仿宋_GB2312" w:eastAsia="仿宋_GB2312" w:cs="仿宋_GB2312"/>
                <w:color w:val="000000"/>
                <w:sz w:val="32"/>
              </w:rPr>
              <w:t>2026年05月08日</w:t>
            </w:r>
          </w:p>
        </w:tc>
      </w:tr>
      <w:tr w14:paraId="322DFC10">
        <w:tblPrEx>
          <w:tblCellMar>
            <w:top w:w="0" w:type="dxa"/>
            <w:left w:w="108" w:type="dxa"/>
            <w:bottom w:w="0" w:type="dxa"/>
            <w:right w:w="108" w:type="dxa"/>
          </w:tblCellMar>
        </w:tblPrEx>
        <w:trPr>
          <w:trHeight w:val="609" w:hRule="atLeast"/>
          <w:jc w:val="center"/>
        </w:trPr>
        <w:tc>
          <w:tcPr>
            <w:tcW w:w="3686" w:type="dxa"/>
            <w:vAlign w:val="center"/>
          </w:tcPr>
          <w:p w14:paraId="0A37E88A">
            <w:pPr>
              <w:pStyle w:val="6"/>
              <w:keepNext w:val="0"/>
              <w:keepLines w:val="0"/>
              <w:suppressLineNumbers w:val="0"/>
              <w:tabs>
                <w:tab w:val="left" w:pos="2235"/>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p>
        </w:tc>
        <w:tc>
          <w:tcPr>
            <w:tcW w:w="5729" w:type="dxa"/>
            <w:vAlign w:val="center"/>
          </w:tcPr>
          <w:p w14:paraId="633DAF45">
            <w:pPr>
              <w:pStyle w:val="6"/>
              <w:keepNext w:val="0"/>
              <w:keepLines w:val="0"/>
              <w:suppressLineNumbers w:val="0"/>
              <w:tabs>
                <w:tab w:val="left" w:pos="0"/>
                <w:tab w:val="left" w:pos="2340"/>
                <w:tab w:val="left" w:pos="2745"/>
                <w:tab w:val="left" w:pos="3030"/>
                <w:tab w:val="left" w:pos="3180"/>
              </w:tabs>
              <w:adjustRightInd w:val="0"/>
              <w:snapToGrid w:val="0"/>
              <w:spacing w:before="0" w:beforeAutospacing="0" w:after="0" w:afterAutospacing="0" w:line="0" w:lineRule="atLeast"/>
              <w:ind w:left="0" w:right="0"/>
              <w:jc w:val="left"/>
              <w:rPr>
                <w:rFonts w:hint="eastAsia" w:ascii="楷体" w:hAnsi="楷体" w:eastAsia="楷体" w:cs="楷体"/>
                <w:color w:val="000000" w:themeColor="text1"/>
                <w:spacing w:val="-20"/>
                <w:sz w:val="32"/>
                <w:szCs w:val="32"/>
                <w:highlight w:val="none"/>
                <w:lang w:eastAsia="zh-CN"/>
                <w14:textFill>
                  <w14:solidFill>
                    <w14:schemeClr w14:val="tx1"/>
                  </w14:solidFill>
                </w14:textFill>
              </w:rPr>
            </w:pPr>
          </w:p>
        </w:tc>
      </w:tr>
    </w:tbl>
    <w:tbl>
      <w:tblPr>
        <w:tblStyle w:val="10"/>
        <w:tblpPr w:leftFromText="180" w:rightFromText="180" w:vertAnchor="text" w:horzAnchor="page" w:tblpX="1355" w:tblpY="831"/>
        <w:tblOverlap w:val="never"/>
        <w:tblW w:w="94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92"/>
        <w:gridCol w:w="7523"/>
      </w:tblGrid>
      <w:tr w14:paraId="3CF058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8" w:hRule="atLeast"/>
        </w:trPr>
        <w:tc>
          <w:tcPr>
            <w:tcW w:w="1892" w:type="dxa"/>
            <w:vAlign w:val="center"/>
          </w:tcPr>
          <w:p w14:paraId="54F89A7C">
            <w:pPr>
              <w:keepNext w:val="0"/>
              <w:keepLines w:val="0"/>
              <w:suppressLineNumbers w:val="0"/>
              <w:spacing w:before="0" w:beforeAutospacing="0" w:after="0" w:afterAutospacing="0" w:line="360" w:lineRule="auto"/>
              <w:ind w:left="0" w:right="0"/>
              <w:jc w:val="distribute"/>
              <w:rPr>
                <w:rFonts w:ascii="楷体" w:hAnsi="楷体" w:eastAsia="楷体"/>
                <w:b/>
                <w:color w:val="000000" w:themeColor="text1"/>
                <w:spacing w:val="14"/>
                <w:sz w:val="32"/>
                <w:szCs w:val="32"/>
                <w:highlight w:val="none"/>
                <w14:textFill>
                  <w14:solidFill>
                    <w14:schemeClr w14:val="tx1"/>
                  </w14:solidFill>
                </w14:textFill>
              </w:rPr>
            </w:pPr>
            <w:r>
              <w:rPr>
                <w:rFonts w:hint="eastAsia" w:ascii="仿宋_GB2312" w:hAnsi="仿宋_GB2312" w:eastAsia="仿宋_GB2312" w:cs="仿宋_GB2312"/>
                <w:color w:val="000000" w:themeColor="text1"/>
                <w:spacing w:val="14"/>
                <w:sz w:val="32"/>
                <w:szCs w:val="32"/>
                <w:highlight w:val="none"/>
                <w14:textFill>
                  <w14:solidFill>
                    <w14:schemeClr w14:val="tx1"/>
                  </w14:solidFill>
                </w14:textFill>
              </w:rPr>
              <w:t>关键词：</w:t>
            </w:r>
          </w:p>
        </w:tc>
        <w:tc>
          <w:tcPr>
            <w:tcW w:w="7523" w:type="dxa"/>
            <w:vAlign w:val="center"/>
          </w:tcPr>
          <w:p w14:paraId="2E8B3852">
            <w:pPr>
              <w:keepNext w:val="0"/>
              <w:keepLines w:val="0"/>
              <w:suppressLineNumbers w:val="0"/>
              <w:spacing w:before="0" w:beforeAutospacing="0" w:after="0" w:afterAutospacing="0" w:line="360" w:lineRule="auto"/>
              <w:ind w:left="0" w:right="0"/>
              <w:rPr>
                <w:rFonts w:hint="eastAsia" w:ascii="楷体" w:hAnsi="楷体" w:eastAsia="楷体"/>
                <w:b/>
                <w:color w:val="000000" w:themeColor="text1"/>
                <w:spacing w:val="14"/>
                <w:sz w:val="32"/>
                <w:szCs w:val="32"/>
                <w:highlight w:val="none"/>
                <w:lang w:eastAsia="zh-CN"/>
                <w14:textFill>
                  <w14:solidFill>
                    <w14:schemeClr w14:val="tx1"/>
                  </w14:solidFill>
                </w14:textFill>
              </w:rPr>
            </w:pP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永州</w:t>
            </w:r>
            <w:r>
              <w:rPr>
                <w:rFonts w:hint="eastAsia" w:ascii="仿宋_GB2312" w:hAnsi="仿宋_GB2312" w:eastAsia="仿宋_GB2312" w:cs="仿宋_GB2312"/>
                <w:color w:val="000000" w:themeColor="text1"/>
                <w:sz w:val="32"/>
                <w:szCs w:val="32"/>
                <w:highlight w:val="none"/>
                <w14:textFill>
                  <w14:solidFill>
                    <w14:schemeClr w14:val="tx1"/>
                  </w14:solidFill>
                </w14:textFill>
              </w:rPr>
              <w:t>市</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道县</w:t>
            </w:r>
          </w:p>
        </w:tc>
      </w:tr>
      <w:tr w14:paraId="427288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6" w:hRule="atLeast"/>
        </w:trPr>
        <w:tc>
          <w:tcPr>
            <w:tcW w:w="1892" w:type="dxa"/>
            <w:vAlign w:val="center"/>
          </w:tcPr>
          <w:p w14:paraId="75853364">
            <w:pPr>
              <w:keepNext w:val="0"/>
              <w:keepLines w:val="0"/>
              <w:suppressLineNumbers w:val="0"/>
              <w:spacing w:before="0" w:beforeAutospacing="0" w:after="0" w:afterAutospacing="0" w:line="360" w:lineRule="auto"/>
              <w:ind w:left="0" w:right="0"/>
              <w:rPr>
                <w:rFonts w:ascii="楷体" w:hAnsi="楷体" w:eastAsia="楷体"/>
                <w:b/>
                <w:color w:val="000000" w:themeColor="text1"/>
                <w:spacing w:val="14"/>
                <w:sz w:val="32"/>
                <w:szCs w:val="32"/>
                <w:highlight w:val="none"/>
                <w14:textFill>
                  <w14:solidFill>
                    <w14:schemeClr w14:val="tx1"/>
                  </w14:solidFill>
                </w14:textFill>
              </w:rPr>
            </w:pPr>
          </w:p>
        </w:tc>
        <w:tc>
          <w:tcPr>
            <w:tcW w:w="7523" w:type="dxa"/>
            <w:vAlign w:val="center"/>
          </w:tcPr>
          <w:p w14:paraId="7AC77F87">
            <w:pPr>
              <w:keepNext w:val="0"/>
              <w:keepLines w:val="0"/>
              <w:suppressLineNumbers w:val="0"/>
              <w:spacing w:before="0" w:beforeAutospacing="0" w:after="0" w:afterAutospacing="0" w:line="360" w:lineRule="auto"/>
              <w:ind w:left="0" w:right="0"/>
              <w:rPr>
                <w:rFonts w:hint="default" w:ascii="楷体" w:hAnsi="楷体" w:eastAsia="楷体"/>
                <w:b/>
                <w:color w:val="000000" w:themeColor="text1"/>
                <w:spacing w:val="14"/>
                <w:sz w:val="32"/>
                <w:szCs w:val="32"/>
                <w:highlight w:val="none"/>
                <w:lang w:val="en-US" w:eastAsia="zh-CN"/>
                <w14:textFill>
                  <w14:solidFill>
                    <w14:schemeClr w14:val="tx1"/>
                  </w14:solidFill>
                </w14:textFill>
              </w:rPr>
            </w:pPr>
            <w:r>
              <w:rPr>
                <w:rFonts w:hint="eastAsia" w:ascii="仿宋_GB2312" w:hAnsi="仿宋_GB2312" w:eastAsia="仿宋_GB2312" w:cs="仿宋_GB2312"/>
                <w:b w:val="0"/>
                <w:bCs/>
                <w:color w:val="000000" w:themeColor="text1"/>
                <w:spacing w:val="14"/>
                <w:sz w:val="32"/>
                <w:szCs w:val="32"/>
                <w:highlight w:val="none"/>
                <w:lang w:val="en-US" w:eastAsia="zh-CN"/>
                <w14:textFill>
                  <w14:solidFill>
                    <w14:schemeClr w14:val="tx1"/>
                  </w14:solidFill>
                </w14:textFill>
              </w:rPr>
              <w:t>出让</w:t>
            </w:r>
          </w:p>
        </w:tc>
      </w:tr>
      <w:tr w14:paraId="769176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1892" w:type="dxa"/>
            <w:vAlign w:val="center"/>
          </w:tcPr>
          <w:p w14:paraId="51DB07B7">
            <w:pPr>
              <w:keepNext w:val="0"/>
              <w:keepLines w:val="0"/>
              <w:suppressLineNumbers w:val="0"/>
              <w:spacing w:before="0" w:beforeAutospacing="0" w:after="0" w:afterAutospacing="0" w:line="360" w:lineRule="auto"/>
              <w:ind w:left="0" w:right="0"/>
              <w:rPr>
                <w:rFonts w:ascii="楷体" w:hAnsi="楷体" w:eastAsia="楷体"/>
                <w:b/>
                <w:color w:val="000000" w:themeColor="text1"/>
                <w:spacing w:val="14"/>
                <w:sz w:val="32"/>
                <w:szCs w:val="32"/>
                <w:highlight w:val="none"/>
                <w14:textFill>
                  <w14:solidFill>
                    <w14:schemeClr w14:val="tx1"/>
                  </w14:solidFill>
                </w14:textFill>
              </w:rPr>
            </w:pPr>
          </w:p>
        </w:tc>
        <w:tc>
          <w:tcPr>
            <w:tcW w:w="7523" w:type="dxa"/>
            <w:vAlign w:val="center"/>
          </w:tcPr>
          <w:p w14:paraId="53899026">
            <w:pPr>
              <w:keepNext w:val="0"/>
              <w:keepLines w:val="0"/>
              <w:suppressLineNumbers w:val="0"/>
              <w:spacing w:before="0" w:beforeAutospacing="0" w:after="0" w:afterAutospacing="0" w:line="360" w:lineRule="auto"/>
              <w:ind w:left="0" w:right="0"/>
              <w:rPr>
                <w:rFonts w:hint="eastAsia" w:ascii="楷体" w:hAnsi="楷体" w:eastAsia="楷体"/>
                <w:b/>
                <w:color w:val="000000" w:themeColor="text1"/>
                <w:spacing w:val="14"/>
                <w:sz w:val="32"/>
                <w:szCs w:val="32"/>
                <w:highlight w:val="none"/>
                <w:lang w:eastAsia="zh-CN"/>
                <w14:textFill>
                  <w14:solidFill>
                    <w14:schemeClr w14:val="tx1"/>
                  </w14:solidFill>
                </w14:textFill>
              </w:rPr>
            </w:pPr>
            <w:r>
              <w:rPr>
                <w:rFonts w:hint="eastAsia" w:ascii="仿宋_GB2312" w:hAnsi="仿宋_GB2312" w:eastAsia="仿宋_GB2312" w:cs="仿宋_GB2312"/>
                <w:color w:val="000000" w:themeColor="text1"/>
                <w:spacing w:val="14"/>
                <w:sz w:val="32"/>
                <w:szCs w:val="32"/>
                <w:highlight w:val="none"/>
                <w:lang w:eastAsia="zh-CN"/>
                <w14:textFill>
                  <w14:solidFill>
                    <w14:schemeClr w14:val="tx1"/>
                  </w14:solidFill>
                </w14:textFill>
              </w:rPr>
              <w:t>湖南兆财不动产规划评估有限公司</w:t>
            </w:r>
          </w:p>
        </w:tc>
      </w:tr>
      <w:tr w14:paraId="63D08A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6" w:hRule="atLeast"/>
        </w:trPr>
        <w:tc>
          <w:tcPr>
            <w:tcW w:w="1892" w:type="dxa"/>
            <w:vAlign w:val="center"/>
          </w:tcPr>
          <w:p w14:paraId="05B3D7B4">
            <w:pPr>
              <w:keepNext w:val="0"/>
              <w:keepLines w:val="0"/>
              <w:suppressLineNumbers w:val="0"/>
              <w:spacing w:before="0" w:beforeAutospacing="0" w:after="0" w:afterAutospacing="0" w:line="360" w:lineRule="auto"/>
              <w:ind w:left="0" w:right="0"/>
              <w:rPr>
                <w:rFonts w:ascii="楷体" w:hAnsi="楷体" w:eastAsia="楷体"/>
                <w:b/>
                <w:color w:val="000000" w:themeColor="text1"/>
                <w:spacing w:val="14"/>
                <w:sz w:val="32"/>
                <w:szCs w:val="32"/>
                <w:highlight w:val="none"/>
                <w14:textFill>
                  <w14:solidFill>
                    <w14:schemeClr w14:val="tx1"/>
                  </w14:solidFill>
                </w14:textFill>
              </w:rPr>
            </w:pPr>
          </w:p>
        </w:tc>
        <w:tc>
          <w:tcPr>
            <w:tcW w:w="7523" w:type="dxa"/>
            <w:vAlign w:val="center"/>
          </w:tcPr>
          <w:p w14:paraId="1D85D4CF">
            <w:pPr>
              <w:keepNext w:val="0"/>
              <w:keepLines w:val="0"/>
              <w:suppressLineNumbers w:val="0"/>
              <w:spacing w:before="0" w:beforeAutospacing="0" w:after="0" w:afterAutospacing="0" w:line="360" w:lineRule="auto"/>
              <w:ind w:left="0" w:right="0"/>
              <w:rPr>
                <w:rFonts w:hint="eastAsia" w:ascii="楷体" w:hAnsi="楷体" w:eastAsia="楷体"/>
                <w:b/>
                <w:color w:val="000000" w:themeColor="text1"/>
                <w:spacing w:val="14"/>
                <w:sz w:val="32"/>
                <w:szCs w:val="32"/>
                <w:highlight w:val="none"/>
                <w:lang w:eastAsia="zh-CN"/>
                <w14:textFill>
                  <w14:solidFill>
                    <w14:schemeClr w14:val="tx1"/>
                  </w14:solidFill>
                </w14:textFill>
              </w:rPr>
            </w:pPr>
            <w:r>
              <w:rPr>
                <w:rFonts w:hint="eastAsia" w:ascii="仿宋_GB2312" w:hAnsi="仿宋_GB2312" w:eastAsia="仿宋_GB2312" w:cs="仿宋_GB2312"/>
                <w:color w:val="000000" w:themeColor="text1"/>
                <w:spacing w:val="-20"/>
                <w:sz w:val="32"/>
                <w:szCs w:val="32"/>
                <w:highlight w:val="none"/>
                <w:lang w:eastAsia="zh-CN"/>
                <w14:textFill>
                  <w14:solidFill>
                    <w14:schemeClr w14:val="tx1"/>
                  </w14:solidFill>
                </w14:textFill>
              </w:rPr>
              <w:t>二〇二</w:t>
            </w:r>
            <w:r>
              <w:rPr>
                <w:rFonts w:hint="eastAsia" w:ascii="仿宋_GB2312" w:hAnsi="仿宋_GB2312" w:eastAsia="仿宋_GB2312" w:cs="仿宋_GB2312"/>
                <w:color w:val="000000" w:themeColor="text1"/>
                <w:spacing w:val="-20"/>
                <w:sz w:val="32"/>
                <w:szCs w:val="32"/>
                <w:highlight w:val="none"/>
                <w:lang w:val="en-US" w:eastAsia="zh-CN"/>
                <w14:textFill>
                  <w14:solidFill>
                    <w14:schemeClr w14:val="tx1"/>
                  </w14:solidFill>
                </w14:textFill>
              </w:rPr>
              <w:t>五</w:t>
            </w:r>
            <w:r>
              <w:rPr>
                <w:rFonts w:hint="eastAsia" w:ascii="仿宋_GB2312" w:hAnsi="仿宋_GB2312" w:eastAsia="仿宋_GB2312" w:cs="仿宋_GB2312"/>
                <w:color w:val="000000" w:themeColor="text1"/>
                <w:spacing w:val="-20"/>
                <w:sz w:val="32"/>
                <w:szCs w:val="32"/>
                <w:highlight w:val="none"/>
                <w:lang w:eastAsia="zh-CN"/>
                <w14:textFill>
                  <w14:solidFill>
                    <w14:schemeClr w14:val="tx1"/>
                  </w14:solidFill>
                </w14:textFill>
              </w:rPr>
              <w:t>年</w:t>
            </w:r>
          </w:p>
        </w:tc>
      </w:tr>
    </w:tbl>
    <w:p w14:paraId="18F7A8E1">
      <w:pPr>
        <w:spacing w:line="360" w:lineRule="auto"/>
        <w:ind w:left="643" w:firstLine="688" w:firstLineChars="197"/>
        <w:rPr>
          <w:rFonts w:ascii="楷体" w:hAnsi="楷体" w:eastAsia="楷体"/>
          <w:b/>
          <w:color w:val="000000" w:themeColor="text1"/>
          <w:spacing w:val="14"/>
          <w:sz w:val="32"/>
          <w:szCs w:val="32"/>
          <w:highlight w:val="none"/>
          <w14:textFill>
            <w14:solidFill>
              <w14:schemeClr w14:val="tx1"/>
            </w14:solidFill>
          </w14:textFill>
        </w:rPr>
      </w:pPr>
    </w:p>
    <w:p w14:paraId="78F28FD3">
      <w:pPr>
        <w:spacing w:line="360" w:lineRule="auto"/>
        <w:ind w:left="643" w:firstLine="688" w:firstLineChars="197"/>
        <w:rPr>
          <w:rFonts w:ascii="楷体" w:hAnsi="楷体" w:eastAsia="楷体"/>
          <w:b/>
          <w:color w:val="000000" w:themeColor="text1"/>
          <w:spacing w:val="14"/>
          <w:sz w:val="32"/>
          <w:szCs w:val="32"/>
          <w:highlight w:val="none"/>
          <w14:textFill>
            <w14:solidFill>
              <w14:schemeClr w14:val="tx1"/>
            </w14:solidFill>
          </w14:textFill>
        </w:rPr>
        <w:sectPr>
          <w:headerReference r:id="rId19" w:type="default"/>
          <w:footerReference r:id="rId20" w:type="default"/>
          <w:endnotePr>
            <w:numFmt w:val="decimal"/>
          </w:endnotePr>
          <w:pgSz w:w="11906" w:h="16838"/>
          <w:pgMar w:top="1440" w:right="1803" w:bottom="1440" w:left="1803" w:header="851" w:footer="850" w:gutter="0"/>
          <w:pgNumType w:fmt="decimal"/>
          <w:cols w:space="720" w:num="1"/>
          <w:docGrid w:linePitch="312" w:charSpace="0"/>
        </w:sectPr>
      </w:pPr>
    </w:p>
    <w:p w14:paraId="5B1DDF0A">
      <w:pPr>
        <w:pStyle w:val="13"/>
        <w:keepNext w:val="0"/>
        <w:keepLines w:val="0"/>
        <w:pageBreakBefore w:val="0"/>
        <w:widowControl w:val="0"/>
        <w:kinsoku/>
        <w:wordWrap/>
        <w:overflowPunct/>
        <w:topLinePunct w:val="0"/>
        <w:autoSpaceDE/>
        <w:autoSpaceDN/>
        <w:bidi w:val="0"/>
        <w:adjustRightInd w:val="0"/>
        <w:snapToGrid w:val="0"/>
        <w:spacing w:before="120" w:beforeLines="50" w:after="240" w:afterLines="100" w:line="440" w:lineRule="exact"/>
        <w:ind w:firstLine="643"/>
        <w:jc w:val="center"/>
        <w:textAlignment w:val="auto"/>
        <w:outlineLvl w:val="2"/>
        <w:rPr>
          <w:rFonts w:ascii="宋体" w:hAnsi="宋体" w:eastAsia="宋体" w:cs="仿宋_GB2312"/>
          <w:b/>
          <w:color w:val="000000" w:themeColor="text1"/>
          <w:sz w:val="32"/>
          <w:szCs w:val="32"/>
          <w:highlight w:val="none"/>
          <w14:textFill>
            <w14:solidFill>
              <w14:schemeClr w14:val="tx1"/>
            </w14:solidFill>
          </w14:textFill>
        </w:rPr>
      </w:pPr>
      <w:r>
        <w:rPr>
          <w:rFonts w:hint="eastAsia" w:ascii="仿宋_GB2312" w:hAnsi="仿宋_GB2312" w:eastAsia="仿宋_GB2312" w:cs="仿宋_GB2312"/>
          <w:b/>
          <w:color w:val="000000" w:themeColor="text1"/>
          <w:sz w:val="32"/>
          <w:szCs w:val="32"/>
          <w:highlight w:val="none"/>
          <w14:textFill>
            <w14:solidFill>
              <w14:schemeClr w14:val="tx1"/>
            </w14:solidFill>
          </w14:textFill>
        </w:rPr>
        <w:t>土地估价技术报告（评估工作底稿）</w:t>
      </w:r>
    </w:p>
    <w:p w14:paraId="4B26D5AC">
      <w:pPr>
        <w:pStyle w:val="13"/>
        <w:keepNext w:val="0"/>
        <w:keepLines w:val="0"/>
        <w:pageBreakBefore w:val="0"/>
        <w:widowControl w:val="0"/>
        <w:kinsoku/>
        <w:wordWrap/>
        <w:overflowPunct/>
        <w:topLinePunct w:val="0"/>
        <w:autoSpaceDE/>
        <w:autoSpaceDN/>
        <w:bidi w:val="0"/>
        <w:adjustRightInd w:val="0"/>
        <w:snapToGrid w:val="0"/>
        <w:spacing w:before="120" w:beforeLines="50" w:after="240" w:afterLines="100" w:line="440" w:lineRule="exact"/>
        <w:ind w:firstLine="643"/>
        <w:jc w:val="center"/>
        <w:textAlignment w:val="auto"/>
        <w:outlineLvl w:val="1"/>
        <w:rPr>
          <w:rFonts w:ascii="宋体" w:hAnsi="宋体" w:eastAsia="宋体" w:cs="仿宋_GB2312"/>
          <w:b/>
          <w:color w:val="000000" w:themeColor="text1"/>
          <w:sz w:val="32"/>
          <w:szCs w:val="32"/>
          <w:highlight w:val="none"/>
          <w14:textFill>
            <w14:solidFill>
              <w14:schemeClr w14:val="tx1"/>
            </w14:solidFill>
          </w14:textFill>
        </w:rPr>
      </w:pPr>
      <w:r>
        <w:rPr>
          <w:rFonts w:hint="eastAsia" w:ascii="仿宋_GB2312" w:hAnsi="仿宋_GB2312" w:eastAsia="仿宋_GB2312" w:cs="仿宋_GB2312"/>
          <w:b/>
          <w:color w:val="000000" w:themeColor="text1"/>
          <w:sz w:val="32"/>
          <w:szCs w:val="32"/>
          <w:highlight w:val="none"/>
          <w14:textFill>
            <w14:solidFill>
              <w14:schemeClr w14:val="tx1"/>
            </w14:solidFill>
          </w14:textFill>
        </w:rPr>
        <w:t>第一部分  总  述</w:t>
      </w:r>
    </w:p>
    <w:p w14:paraId="72376AF3">
      <w:pPr>
        <w:keepNext w:val="0"/>
        <w:keepLines w:val="0"/>
        <w:pageBreakBefore w:val="0"/>
        <w:widowControl w:val="0"/>
        <w:kinsoku/>
        <w:wordWrap/>
        <w:overflowPunct/>
        <w:topLinePunct w:val="0"/>
        <w:autoSpaceDE/>
        <w:autoSpaceDN/>
        <w:bidi w:val="0"/>
        <w:spacing w:line="460" w:lineRule="exact"/>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仿宋_GB2312" w:hAnsi="仿宋_GB2312" w:eastAsia="仿宋_GB2312" w:cs="仿宋_GB2312"/>
          <w:b/>
          <w:color w:val="000000" w:themeColor="text1"/>
          <w:sz w:val="28"/>
          <w:szCs w:val="28"/>
          <w:highlight w:val="none"/>
          <w14:textFill>
            <w14:solidFill>
              <w14:schemeClr w14:val="tx1"/>
            </w14:solidFill>
          </w14:textFill>
        </w:rPr>
        <w:t>一、估价项目名称</w:t>
      </w:r>
    </w:p>
    <w:p w14:paraId="01DE218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color w:val="000000"/>
          <w:sz w:val="28"/>
        </w:rPr>
        <w:t>通道侗族自治县自然资源局拟挂牌出让涉及位于通道县双江镇城南街的一宗城镇住宅用地国有建设用地使用权 market 价格评估</w:t>
      </w:r>
    </w:p>
    <w:p w14:paraId="5CC112C1">
      <w:pPr>
        <w:keepNext w:val="0"/>
        <w:keepLines w:val="0"/>
        <w:pageBreakBefore w:val="0"/>
        <w:widowControl w:val="0"/>
        <w:kinsoku/>
        <w:wordWrap/>
        <w:overflowPunct/>
        <w:topLinePunct w:val="0"/>
        <w:autoSpaceDE/>
        <w:autoSpaceDN/>
        <w:bidi w:val="0"/>
        <w:spacing w:line="460" w:lineRule="exact"/>
        <w:ind w:firstLine="562" w:firstLineChars="200"/>
        <w:textAlignment w:val="auto"/>
        <w:outlineLvl w:val="2"/>
        <w:rPr>
          <w:rFonts w:ascii="仿宋_GB2312" w:eastAsia="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b/>
          <w:color w:val="000000" w:themeColor="text1"/>
          <w:sz w:val="28"/>
          <w:szCs w:val="28"/>
          <w:highlight w:val="none"/>
          <w14:textFill>
            <w14:solidFill>
              <w14:schemeClr w14:val="tx1"/>
            </w14:solidFill>
          </w14:textFill>
        </w:rPr>
        <w:t>二、委托估价方</w:t>
      </w:r>
    </w:p>
    <w:p w14:paraId="54EFEF6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color w:val="000000"/>
          <w:sz w:val="28"/>
        </w:rPr>
        <w:t>委托估价方：通道侗族自治县自然资源局</w:t>
      </w:r>
    </w:p>
    <w:p w14:paraId="5A32024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社会统一信用代码：11431230MB16183635</w:t>
      </w:r>
    </w:p>
    <w:p w14:paraId="37FE95B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负责人：杨理雄</w:t>
      </w:r>
    </w:p>
    <w:p w14:paraId="061C797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机构性质：机关</w:t>
      </w:r>
    </w:p>
    <w:p w14:paraId="257F81F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机构地址：湖南省怀化市通道侗族自治县双江镇友谊街3号</w:t>
      </w:r>
    </w:p>
    <w:p w14:paraId="1F86021C">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hAnsi="仿宋_GB2312" w:eastAsia="仿宋_GB2312" w:cs="仿宋_GB2312"/>
          <w:color w:val="000000" w:themeColor="text1"/>
          <w:sz w:val="28"/>
          <w:szCs w:val="30"/>
          <w:highlight w:val="none"/>
          <w14:textFill>
            <w14:solidFill>
              <w14:schemeClr w14:val="tx1"/>
            </w14:solidFill>
          </w14:textFill>
        </w:rPr>
        <w:t>联 系 人：袁先生</w:t>
      </w:r>
    </w:p>
    <w:p w14:paraId="17536035">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ascii="仿宋_GB2312" w:eastAsia="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联系电话：13974595151</w:t>
      </w:r>
    </w:p>
    <w:p w14:paraId="24D255A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邮    编：418500</w:t>
      </w:r>
    </w:p>
    <w:p w14:paraId="0ACFDDA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与估价对象土地使用者之间的关系：</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委托方为土地挂牌出让实施单位，土地使用者拟通过挂牌出让确定。</w:t>
      </w:r>
    </w:p>
    <w:p w14:paraId="030F9BDE">
      <w:pPr>
        <w:keepNext w:val="0"/>
        <w:keepLines w:val="0"/>
        <w:pageBreakBefore w:val="0"/>
        <w:widowControl w:val="0"/>
        <w:kinsoku/>
        <w:wordWrap/>
        <w:overflowPunct/>
        <w:topLinePunct w:val="0"/>
        <w:autoSpaceDE/>
        <w:autoSpaceDN/>
        <w:bidi w:val="0"/>
        <w:spacing w:line="460" w:lineRule="exact"/>
        <w:ind w:firstLine="562" w:firstLineChars="200"/>
        <w:textAlignment w:val="auto"/>
        <w:outlineLvl w:val="2"/>
        <w:rPr>
          <w:rFonts w:ascii="仿宋" w:hAnsi="仿宋" w:eastAsia="仿宋"/>
          <w:b/>
          <w:color w:val="000000" w:themeColor="text1"/>
          <w:sz w:val="28"/>
          <w:szCs w:val="28"/>
          <w:highlight w:val="none"/>
          <w14:textFill>
            <w14:solidFill>
              <w14:schemeClr w14:val="tx1"/>
            </w14:solidFill>
          </w14:textFill>
        </w:rPr>
      </w:pPr>
      <w:r>
        <w:rPr>
          <w:rFonts w:hint="eastAsia" w:ascii="仿宋_GB2312" w:hAnsi="仿宋_GB2312" w:eastAsia="仿宋_GB2312" w:cs="仿宋_GB2312"/>
          <w:b/>
          <w:color w:val="000000" w:themeColor="text1"/>
          <w:sz w:val="28"/>
          <w:szCs w:val="28"/>
          <w:highlight w:val="none"/>
          <w14:textFill>
            <w14:solidFill>
              <w14:schemeClr w14:val="tx1"/>
            </w14:solidFill>
          </w14:textFill>
        </w:rPr>
        <w:t>三、受托估价方</w:t>
      </w:r>
    </w:p>
    <w:p w14:paraId="28EC2EC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名    称：湖南兆财不动产规划评估有限公司</w:t>
      </w:r>
    </w:p>
    <w:p w14:paraId="5C5120B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类    型：有限责任公司（自然人投资或控股）</w:t>
      </w:r>
    </w:p>
    <w:p w14:paraId="4047D00D">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住所：湖南省长沙市芙蓉区荷花园街道远大一路348号东方摩卡二楼201房-584号</w:t>
      </w:r>
    </w:p>
    <w:p w14:paraId="2DB71AA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法定代表人：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彭翀</w:t>
      </w:r>
    </w:p>
    <w:p w14:paraId="066E5E29">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注册资本：贰佰万元整</w:t>
      </w:r>
    </w:p>
    <w:p w14:paraId="2ADB8091">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成立日期：20</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22</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w:t>
      </w:r>
    </w:p>
    <w:p w14:paraId="66536C0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经营范围：经营范围包括许可项目：国土空间规划编制；测绘服务（依法须经批准的项目，经相关部门批准后方可开展经营活动，具体经营项目以相关部门批准文件或许可证件为准）一般项目：土地调查评估服务；土地整治服务；不动产登记代理服务；土地使用权租赁；农业专业及辅助性活动；规划设计管理；环保咨询服务；数据处理和存储支持服务；工程技术服务（规划管理、勘察、设计、监理除外）；信息技术咨询服务；卫星遥感应用系统集成；工业设计服务；水土流失防治服务；工程造价咨询业务；水利相关咨询服务；信息咨询服务（不含许可类信息咨询服务）；房地产评估；房地产咨询；地理遥感信息服务；社会稳定风险评估；基础地质勘查；地质勘查技术服务；资产评估；矿产资源储量估算和报告编制服务（须在中国矿业权评估师协会完成登记备案后方可从事经营活动）；矿业权评估服务；矿产资源储量评估服务（须在中国矿业权评估师协会完成登记备案后方可从事经营活动）（除依法须经批准的项目外，凭营业执照依法自主开展经营活动）。</w:t>
      </w:r>
    </w:p>
    <w:p w14:paraId="3C2664D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机构</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备案编号</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2022430010</w:t>
      </w:r>
    </w:p>
    <w:p w14:paraId="6235E5A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联 系 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彭翀</w:t>
      </w:r>
    </w:p>
    <w:p w14:paraId="523DD7C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联系电话：</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15388005188</w:t>
      </w:r>
    </w:p>
    <w:p w14:paraId="270CB9A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邮    编：4100</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00</w:t>
      </w:r>
    </w:p>
    <w:p w14:paraId="28F87BE8">
      <w:pPr>
        <w:keepNext w:val="0"/>
        <w:keepLines w:val="0"/>
        <w:pageBreakBefore w:val="0"/>
        <w:widowControl w:val="0"/>
        <w:kinsoku/>
        <w:wordWrap/>
        <w:overflowPunct/>
        <w:topLinePunct w:val="0"/>
        <w:autoSpaceDE/>
        <w:autoSpaceDN/>
        <w:bidi w:val="0"/>
        <w:spacing w:line="460" w:lineRule="exact"/>
        <w:ind w:firstLine="562" w:firstLineChars="200"/>
        <w:textAlignment w:val="auto"/>
        <w:outlineLvl w:val="2"/>
        <w:rPr>
          <w:rFonts w:ascii="仿宋" w:hAnsi="仿宋" w:eastAsia="仿宋"/>
          <w:b/>
          <w:color w:val="000000" w:themeColor="text1"/>
          <w:sz w:val="28"/>
          <w:szCs w:val="28"/>
          <w:highlight w:val="none"/>
          <w14:textFill>
            <w14:solidFill>
              <w14:schemeClr w14:val="tx1"/>
            </w14:solidFill>
          </w14:textFill>
        </w:rPr>
      </w:pPr>
      <w:r>
        <w:rPr>
          <w:rFonts w:hint="eastAsia" w:ascii="仿宋_GB2312" w:hAnsi="仿宋_GB2312" w:eastAsia="仿宋_GB2312" w:cs="仿宋_GB2312"/>
          <w:b/>
          <w:color w:val="000000" w:themeColor="text1"/>
          <w:sz w:val="28"/>
          <w:szCs w:val="28"/>
          <w:highlight w:val="none"/>
          <w14:textFill>
            <w14:solidFill>
              <w14:schemeClr w14:val="tx1"/>
            </w14:solidFill>
          </w14:textFill>
        </w:rPr>
        <w:t>四、估价目的</w:t>
      </w:r>
    </w:p>
    <w:p w14:paraId="44A7FACD">
      <w:pPr>
        <w:keepNext w:val="0"/>
        <w:keepLines w:val="0"/>
        <w:pageBreakBefore w:val="0"/>
        <w:widowControl w:val="0"/>
        <w:kinsoku/>
        <w:wordWrap/>
        <w:overflowPunct/>
        <w:topLinePunct w:val="0"/>
        <w:autoSpaceDE/>
        <w:autoSpaceDN/>
        <w:bidi w:val="0"/>
        <w:spacing w:line="480" w:lineRule="exact"/>
        <w:ind w:firstLine="42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t>通道侗族自治县自然资源局拟按《关于通道县2002年第七批次建设用地农用地转用和土地征收的批复》（湘政地〔2002〕1205号，2002年9月5日）、《通道县房屋登记核发权证申请表》（2002年12月30日）确定的规划条件对位于通道县双江镇城南街处一宗住宅用地国有建设用地使用权实施挂牌供应。</w:t>
      </w:r>
    </w:p>
    <w:p w14:paraId="71359E7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eastAsia="仿宋_GB2312"/>
          <w:color w:val="000000" w:themeColor="text1"/>
          <w:sz w:val="28"/>
          <w:szCs w:val="30"/>
          <w:highlight w:val="none"/>
          <w:lang w:eastAsia="zh-CN"/>
          <w14:textFill>
            <w14:solidFill>
              <w14:schemeClr w14:val="tx1"/>
            </w14:solidFill>
          </w14:textFill>
        </w:rPr>
      </w:pPr>
      <w:r>
        <w:rPr>
          <w:rFonts w:ascii="仿宋_GB2312" w:hAnsi="仿宋_GB2312" w:eastAsia="仿宋_GB2312" w:cs="仿宋_GB2312"/>
          <w:color w:val="000000"/>
          <w:sz w:val="28"/>
        </w:rPr>
        <w:t>根据《中华人民共和国资产评估法》《中华人民共和国土地管理法》《中华人民共和国民法典》和《招标拍卖挂牌出让国有建设用地使用权规定》（自然资源部第39号令，2007年9月28日）、《招标拍卖挂牌出让国有土地使用权规范》（试行）（国土资发[2006]114号，2006年5月31日）、《关于印发&lt;国有建设用地使用权出让地价评估技术规范&gt;的通知》（国土资厅发（2018）4号，2018年3月9日）等有关规定及委托方提供的《评估委托书》，本次评估受通道侗族自治县自然资源局委托，为出让方通过集体决策确定估价对象挂牌出让底价提供国有出让建设用地使用权正常市场价格参考依据。</w:t>
      </w:r>
    </w:p>
    <w:p w14:paraId="26074F7F">
      <w:pPr>
        <w:keepNext w:val="0"/>
        <w:keepLines w:val="0"/>
        <w:pageBreakBefore w:val="0"/>
        <w:widowControl w:val="0"/>
        <w:kinsoku/>
        <w:wordWrap/>
        <w:topLinePunct w:val="0"/>
        <w:bidi w:val="0"/>
        <w:spacing w:line="460" w:lineRule="exact"/>
        <w:ind w:firstLine="562" w:firstLineChars="200"/>
        <w:textAlignment w:val="auto"/>
        <w:outlineLvl w:val="2"/>
        <w:rPr>
          <w:rFonts w:hint="default"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b/>
          <w:color w:val="000000" w:themeColor="text1"/>
          <w:sz w:val="28"/>
          <w:szCs w:val="28"/>
          <w:highlight w:val="none"/>
          <w:lang w:val="en-US" w:eastAsia="zh-CN"/>
          <w14:textFill>
            <w14:solidFill>
              <w14:schemeClr w14:val="tx1"/>
            </w14:solidFill>
          </w14:textFill>
        </w:rPr>
        <w:t>五、估价依据</w:t>
      </w:r>
    </w:p>
    <w:p w14:paraId="5E2DAC3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（一）国家相关法律、法规及行政规章</w:t>
      </w:r>
    </w:p>
    <w:p w14:paraId="18140FD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1.《中华人民共和国资产评估法》（中华人民共和国主席令第46号，2016年12月1日起实施）；</w:t>
      </w:r>
    </w:p>
    <w:p w14:paraId="340EE58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2.《中华人民共和国民法典》（2020年5月28日中华人民共和国主席令第45号公布，自2021年1月1日起施行）；</w:t>
      </w:r>
    </w:p>
    <w:p w14:paraId="3210C975">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中华人民共和国土地管理法》（中华人民共和国主席令第28号，自1999年1月1日起施行，根据2019年8月26日第十三届全国人民代表大会常务委员会第十二次会议《关于修改〈中华人民共和国土地管理法〉〈中华人民共和国城市房地产管理法〉的决定》第三次修正，2020年1月1日起施行）；</w:t>
      </w:r>
    </w:p>
    <w:p w14:paraId="46301B3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中华人民共和国城市房地产管理法》（中华人民共和国主席令第72号，自1995年1月1日起施行，根据2019年8月26日第十三届全国人民代表大会常务委员会第十二次会议《关于修改〈中华人民共和国土地管理法〉、〈中华人民共和国城市房地产管理法〉的决定》第三次修正）；</w:t>
      </w:r>
    </w:p>
    <w:p w14:paraId="06D3F9A3">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中华人民共和国城乡规划法》（2007年10月28日，第十届全国人民代表大会常务委员会第三十次会通过，自2008年1月1日起施行。根据2019年4月23日第十三届全国人民代表大会常务委员会第十次会议《关于修改〈中华人民共和国建筑法〉等八部法律的决定》第二次修正）；</w:t>
      </w:r>
    </w:p>
    <w:p w14:paraId="32306CD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6.《中华人民共和国土地管理法实施条例》（1998年12月27日中华人民共和国国务院令第256号发布，根据2021年7月2日中华人民共和国国务院令第743号第三次修订）；</w:t>
      </w:r>
    </w:p>
    <w:p w14:paraId="42EE733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7.《中华人民共和国城镇国有土地使用权出让和转让暂行条例》（1990年5月19日国务院令第55号发布，根据2020年11月29日《国务院关于修改和废止部分行政法规的决定》修订,自发布之日起施行）；</w:t>
      </w:r>
    </w:p>
    <w:p w14:paraId="7DC546E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8.国土资源部办公厅《国有土地使用权出让地价评估技术规范》（国土资厅发〔2018〕4号，2018年3月9日）；</w:t>
      </w:r>
    </w:p>
    <w:p w14:paraId="01713F0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9.国土资源部《招标拍卖挂牌出让国有建设用地使用权规定》（国土资源部部令第 39 号，2007年9月28日）；</w:t>
      </w:r>
    </w:p>
    <w:p w14:paraId="248868F1">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10.《国土资源部办公厅关于实施《城镇土地分等定级规程》和《城镇土地估价规程》有关问题的通知》（国土资厅发〔2015〕12号，2015年3月18日）；</w:t>
      </w:r>
    </w:p>
    <w:p w14:paraId="6DF3CDE4">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11.《国务院关于深化改革严格土地管理的决定》（国发[2004]28号，2004年10月21日）；</w:t>
      </w:r>
    </w:p>
    <w:p w14:paraId="5082358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12.《国务院关于加强国有土地资产管理的通知》（国发[2001]15号，2001年4月30日）；</w:t>
      </w:r>
    </w:p>
    <w:p w14:paraId="4139C23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13.《国务院关于加强土地调控有关问题的通知》（国发[2006]31号，2006年8月31日）；</w:t>
      </w:r>
    </w:p>
    <w:p w14:paraId="737EAA8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14.《节约集约利用土地规定》（2014年5月22日国土资源部令第61号公布，根据2019年7月16日自然资源部第2次部务会议《自然资源部关于第一批废止和修改的部门规章的决定》修正）；</w:t>
      </w:r>
    </w:p>
    <w:p w14:paraId="165F431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15.《国土资源部办公厅关于实行电子化备案完善土地估价报告备案制度的通知》（国土资厅发[2012]35号，2012年6月24日）；</w:t>
      </w:r>
    </w:p>
    <w:p w14:paraId="700CFD5A">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16.《国土资源部关于进一步加强城市地价动态监测工作的通知》（国土资发[2008]51号）；</w:t>
      </w:r>
    </w:p>
    <w:p w14:paraId="59DADC85">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17.《国土资源部关于贯彻实施&lt;中华人民共和国资产评估法&gt;的通知》（国土资发〔2016〕181号，2016年11月25日）；</w:t>
      </w:r>
    </w:p>
    <w:p w14:paraId="4AE259F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18.《中华人民共和国增值税暂行条例》（1993年12月13日中华人民共和国国务院令第134号公布，根据2017年11月19日《国务院关于废止〈中华人民共和国营业税暂行条例〉和修改〈中华人民共和国增值税暂行条例〉的决定》第二次修订）；</w:t>
      </w:r>
    </w:p>
    <w:p w14:paraId="56AF31C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19.《营业税改征增值税试点实施办法》（财税〔2016〕36号，2016年3月24日）；</w:t>
      </w:r>
    </w:p>
    <w:p w14:paraId="11F1BC41">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20.财政部、国家税务总局《关于调整增值税税率的通知》（财税[2018]32号，2018年4月4日）；</w:t>
      </w:r>
    </w:p>
    <w:p w14:paraId="30688E5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21.《关于深化增值税改革有关政策的公告》（财政部、税务总局、海关总署公告2019年第39号，2019年3月20日）；</w:t>
      </w:r>
    </w:p>
    <w:p w14:paraId="1CEACAA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22.《中华人民共和国契税法》（中华人民共和国第十三届全国人民代表大会常务委员会第二十一次会议于2020年8月11日通过，自2021年9月1日起施行）；</w:t>
      </w:r>
    </w:p>
    <w:p w14:paraId="70C7589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23.《中华人民共和国城市维护建设税法》（中华人民共和国主席令（第五十一号），中华人民共和国第十三届全国人民代表大会常务委员会第二十一次会议于2020年8月11日通过，自2021年9月1日起施行）；</w:t>
      </w:r>
    </w:p>
    <w:p w14:paraId="5670CE9A">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24.《国务院关于统一内外资企业和个人城市维护建设税和教育费附加制度的通知》（国发[2010]35号，2010年12月1日）；</w:t>
      </w:r>
    </w:p>
    <w:p w14:paraId="382CAC6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25.《关于贯彻落实&lt;自然资源部办公厅关于做好2021年度自然资源评价评估有关工作的通知&gt;加强业务能力建设规范执业行为的通知》（中估协发〔2021〕16号，2021年5月15日）；</w:t>
      </w:r>
    </w:p>
    <w:p w14:paraId="49445EE9">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26.其他有关的国家相关法律、法规及行政规章。</w:t>
      </w:r>
    </w:p>
    <w:p w14:paraId="70C8A835">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（二）地方政府及有关部门颁发的法规规章及相关文件</w:t>
      </w:r>
    </w:p>
    <w:p w14:paraId="581F7FA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1.湖南省实施《中华人民共和国土地管理法》办法（湖南省第十三届人民代表大会常务委员会第五次会议通过，2022年3月1日施行）；</w:t>
      </w:r>
    </w:p>
    <w:p w14:paraId="1A32ECB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2.《湖南省城镇国有土地使用权出让和转让实施办法》(1994年11月19日湖南省人民政府令第38号公布，2002年3月7日湖南省人民政府令152号第二次修改，自1994年11月19日起施行)；</w:t>
      </w:r>
    </w:p>
    <w:p w14:paraId="4F9AE64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3.湖南省人民政府《湖南省土地市场管理办法》（2005年1月20日湖南省人民政府令第195号公布，2011年1月30日湖南省人民政府令第251号修改，自2005年3月1日起施行）；</w:t>
      </w:r>
    </w:p>
    <w:p w14:paraId="0EECA29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4.湖南省人民政府办公厅关于印发《湖南省国有土地使用权出让收支管理办法》的通知（湘政办发[2015]1号，2015年3月12日）；</w:t>
      </w:r>
    </w:p>
    <w:p w14:paraId="1A69C74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5.湖南省人民政府《湖南省教育费附加和地方教育附加征收管理办法》（2007年12月31日湖南省人民政府令第218号公布，2022年10月8日湖南省人民政府令第310号修改，自2008年1月1日起施行）；</w:t>
      </w:r>
    </w:p>
    <w:p w14:paraId="183652C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6.湖南省财政厅、湖南省地方税务局《关于调整地方教育附加征收标准的通知》（湘财综〔2018〕35号，2018年10月 24日）；</w:t>
      </w:r>
    </w:p>
    <w:p w14:paraId="7CE384D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7.《湖南省人民代表大会常务委员会关于契税具体适用税率等事项的决定》（2021年5月27日湖南省第十三届人民代表大会常务委员会第二十四次会议通过，自2021年9月1日起施行）；</w:t>
      </w:r>
    </w:p>
    <w:p w14:paraId="1872692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8.湖南省发改委、省财政厅《关于我省公共资源交易服务费有关问题的通知》（湘发改价服〔2016〕147号，2016年3月9日）；</w:t>
      </w:r>
    </w:p>
    <w:p w14:paraId="19CCC16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9.湖南省地方税务局《关于加强土地增值税管理的公告》（湖南省地方税务局公告2015年第4号，2015年6月18日）；</w:t>
      </w:r>
    </w:p>
    <w:p w14:paraId="678B79B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湖南省人民政府关于调整湖南省征地补偿标准的通知</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》（湘政发〔2024〕1号，2024年1月31日）；</w:t>
      </w:r>
    </w:p>
    <w:p w14:paraId="404D3DF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《湖南省自然资源厅关于调整征收农用地补偿区片空间范围的通知》（湘自资发〔2024〕7号，</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2024年2月1日</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p>
    <w:p w14:paraId="6DB786C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12.</w:t>
      </w:r>
      <w:r>
        <w:rPr>
          <w:rFonts w:hint="eastAsia" w:ascii="仿宋_GB2312" w:hAnsi="仿宋_GB2312" w:eastAsia="仿宋_GB2312" w:cs="仿宋_GB2312"/>
          <w:color w:val="000000" w:themeColor="text1"/>
          <w:sz w:val="28"/>
          <w:szCs w:val="28"/>
          <w:highlight w:val="none"/>
          <w14:textFill>
            <w14:solidFill>
              <w14:schemeClr w14:val="tx1"/>
            </w14:solidFill>
          </w14:textFill>
        </w:rPr>
        <w:t>湖南省人民政府关于印发《湖南省水利建设基金筹集和使用管理办法》的通知（湘政发[2011]27号）</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p>
    <w:p w14:paraId="72F6DB2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13.</w:t>
      </w:r>
      <w:r>
        <w:rPr>
          <w:rFonts w:hint="eastAsia" w:ascii="仿宋_GB2312" w:hAnsi="仿宋_GB2312" w:eastAsia="仿宋_GB2312" w:cs="仿宋_GB2312"/>
          <w:color w:val="000000" w:themeColor="text1"/>
          <w:sz w:val="28"/>
          <w:highlight w:val="none"/>
          <w14:textFill>
            <w14:solidFill>
              <w14:schemeClr w14:val="tx1"/>
            </w14:solidFill>
          </w14:textFill>
        </w:rPr>
        <w:t>《湖南省人民政府办公厅&lt;湖南省耕地开垦费征收使用管理办法&gt;的通知》（湘政办〔2019〕38号）</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5689C64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14.</w:t>
      </w:r>
      <w:r>
        <w:rPr>
          <w:rFonts w:hint="eastAsia" w:ascii="仿宋_GB2312" w:hAnsi="仿宋_GB2312" w:eastAsia="仿宋_GB2312" w:cs="仿宋_GB2312"/>
          <w:color w:val="000000" w:themeColor="text1"/>
          <w:sz w:val="28"/>
          <w:highlight w:val="none"/>
          <w14:textFill>
            <w14:solidFill>
              <w14:schemeClr w14:val="tx1"/>
            </w14:solidFill>
          </w14:textFill>
        </w:rPr>
        <w:t>湖南省人力资源社会保障厅《关于进一步做好被征地农民社会保障工作的通知》（湘人社规〔2023〕1号，2023年4月28日）</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13FAAD0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15.《湖南省财政厅 国家税务总局湖南省税务局 湖南省林业局 中国人民银行湖南省分行关于印发&lt;湖南省森林植被恢复费征收使用管理实施办法&gt;的通知》（湘财税〔2024〕10号）；</w:t>
      </w:r>
    </w:p>
    <w:p w14:paraId="57F9CE0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16.</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《道县国土空间总体规划（2021-2035年）》；</w:t>
      </w:r>
    </w:p>
    <w:p w14:paraId="2BD5F20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17.《道县2024年国民经济和社会发展统计公报》；</w:t>
      </w:r>
    </w:p>
    <w:p w14:paraId="4B289DD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18.</w:t>
      </w:r>
      <w:r>
        <w:rPr>
          <w:rFonts w:hint="eastAsia" w:ascii="仿宋_GB2312" w:hAnsi="仿宋_GB2312" w:eastAsia="仿宋_GB2312" w:cs="仿宋_GB2312"/>
          <w:color w:val="000000" w:themeColor="text1"/>
          <w:sz w:val="28"/>
          <w:highlight w:val="none"/>
          <w14:textFill>
            <w14:solidFill>
              <w14:schemeClr w14:val="tx1"/>
            </w14:solidFill>
          </w14:textFill>
        </w:rPr>
        <w:t>《永州市集体土地与房屋征收补偿安置办法》的通知（永政发〔2024〕4号，2024年5月11日）</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3E7A514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19</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.湖南省人民政府、永州市人民政府、道县人民政府及有关部门颁布的其他有关政策、规定、实施办法、通知等法规文件。</w:t>
      </w:r>
    </w:p>
    <w:p w14:paraId="1A7026C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（三）采用的技术规程及标准</w:t>
      </w:r>
    </w:p>
    <w:p w14:paraId="10DF8084">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1.中华人民共和国国家标准《城镇土地估价规程》（GB/T18508-2014）；</w:t>
      </w:r>
    </w:p>
    <w:p w14:paraId="3F70022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2.中华人民共和国国家标准《城镇土地分等定级规程》（GB/T18507-2014）；</w:t>
      </w:r>
    </w:p>
    <w:p w14:paraId="48CF03FD">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3.中华人民共和国国家标准《土地利用现状分类》（GB/T21010-2017）；</w:t>
      </w:r>
    </w:p>
    <w:p w14:paraId="1B260975">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4.中华人民共和国国家标准《城市用地分类与规划建设用地标准》（GB50136.73-2011）；</w:t>
      </w:r>
    </w:p>
    <w:p w14:paraId="06AC2D3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5.中华人民共和国土地管理行业标准《城市地价动态监测技术规范》（TD/T1009-2007）；</w:t>
      </w:r>
    </w:p>
    <w:p w14:paraId="6EE8931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6.中华人民共和国自然资源管理行业标准《自然资源分等定级通则》（TD/T1060-2021）；</w:t>
      </w:r>
    </w:p>
    <w:p w14:paraId="4C67D83D">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7.中华人民共和国自然资源管理行业标准《自然资源价格评估通则》（TD/T1061-2021）;</w:t>
      </w:r>
    </w:p>
    <w:p w14:paraId="616631D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8.《国有建设用地使用权出让地价评估技术规范》；</w:t>
      </w:r>
    </w:p>
    <w:p w14:paraId="14EAC42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9.中国地价信息服务平台地价动态监测网数据。</w:t>
      </w:r>
    </w:p>
    <w:p w14:paraId="2001F8C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（四）委托估价方提供的资料</w:t>
      </w:r>
    </w:p>
    <w:p w14:paraId="7FAE255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1.《评估委托书》；</w:t>
      </w:r>
    </w:p>
    <w:p w14:paraId="44120CE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2.委托方《统一社会信用代码证书》复印件；</w:t>
      </w:r>
    </w:p>
    <w:p w14:paraId="6385A10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3.《关于国有建设用地的规划条件的函》（2025年9月11日）；</w:t>
      </w:r>
    </w:p>
    <w:p w14:paraId="0A09C35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4.《通道县房屋登记核发权证申请表》；</w:t>
      </w:r>
    </w:p>
    <w:p w14:paraId="442BA5B6">
      <w:pPr>
        <w:keepNext w:val="0"/>
        <w:keepLines w:val="0"/>
        <w:pageBreakBefore w:val="0"/>
        <w:widowControl w:val="0"/>
        <w:kinsoku/>
        <w:wordWrap/>
        <w:overflowPunct/>
        <w:topLinePunct w:val="0"/>
        <w:autoSpaceDE/>
        <w:autoSpaceDN/>
        <w:bidi w:val="0"/>
        <w:adjustRightInd w:val="0"/>
        <w:snapToGrid w:val="0"/>
        <w:spacing w:line="460" w:lineRule="exact"/>
        <w:ind w:firstLine="42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t>5、《关于通道县2002年第七批次建设用地农用地转用和土地征收的批复》（湘政地〔2002〕1205号，2002年9月5日）、《通道县房屋登记核发权证申请表》（2002年12月30日）；</w:t>
      </w:r>
    </w:p>
    <w:p w14:paraId="1F366D0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6.委托估价方提供的其它与土地估价相关的资料。</w:t>
      </w:r>
    </w:p>
    <w:p w14:paraId="09283F7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（五）受托估价方掌握的有关资料及土地估价师实地勘查、调查所获取的资料。</w:t>
      </w:r>
    </w:p>
    <w:p w14:paraId="4E0ABC4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1.估价对象宗地现场查勘表;</w:t>
      </w:r>
    </w:p>
    <w:p w14:paraId="14ABC0D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2.估价对象现状利用资料（宗地照片、位置示意图）;</w:t>
      </w:r>
    </w:p>
    <w:p w14:paraId="2D91417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3.宗地内外基础设施调查收集的资料;</w:t>
      </w:r>
    </w:p>
    <w:p w14:paraId="7F70FDF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4.市场比较法比较实例所处位置、照片等资料；</w:t>
      </w:r>
    </w:p>
    <w:p w14:paraId="3003321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5.宗地所在区域土地利用现状、基础设施、环境状况等资料;</w:t>
      </w:r>
    </w:p>
    <w:p w14:paraId="4437674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6.宗地所在区域房地产市场情况；</w:t>
      </w:r>
    </w:p>
    <w:p w14:paraId="1A6FE54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7.宗地所在区域土地市场交易情况；</w:t>
      </w:r>
    </w:p>
    <w:p w14:paraId="7D9DA36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8.估价人员现场调查收集的其它相关资料。</w:t>
      </w:r>
    </w:p>
    <w:p w14:paraId="7DDABD01">
      <w:pPr>
        <w:keepNext w:val="0"/>
        <w:keepLines w:val="0"/>
        <w:pageBreakBefore w:val="0"/>
        <w:widowControl w:val="0"/>
        <w:kinsoku/>
        <w:wordWrap/>
        <w:overflowPunct/>
        <w:topLinePunct w:val="0"/>
        <w:autoSpaceDE/>
        <w:autoSpaceDN/>
        <w:bidi w:val="0"/>
        <w:spacing w:line="460" w:lineRule="exact"/>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仿宋_GB2312" w:hAnsi="仿宋_GB2312" w:eastAsia="仿宋_GB2312" w:cs="仿宋_GB2312"/>
          <w:b/>
          <w:color w:val="000000" w:themeColor="text1"/>
          <w:sz w:val="28"/>
          <w:szCs w:val="28"/>
          <w:highlight w:val="none"/>
          <w14:textFill>
            <w14:solidFill>
              <w14:schemeClr w14:val="tx1"/>
            </w14:solidFill>
          </w14:textFill>
        </w:rPr>
        <w:t>六、估价期日</w:t>
      </w:r>
    </w:p>
    <w:p w14:paraId="123C69C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color w:val="000000"/>
          <w:sz w:val="28"/>
        </w:rPr>
        <w:t>本次土地估价师现场勘查日期为2026年4月23日至2026年4月27日，结合本次估价目的和委托估价方提供的《评估委托书》，本次估价设定估价期日为2026年04月23日。</w:t>
      </w:r>
    </w:p>
    <w:p w14:paraId="74BE4A5E">
      <w:pPr>
        <w:keepNext w:val="0"/>
        <w:keepLines w:val="0"/>
        <w:pageBreakBefore w:val="0"/>
        <w:widowControl w:val="0"/>
        <w:kinsoku/>
        <w:wordWrap/>
        <w:overflowPunct/>
        <w:topLinePunct w:val="0"/>
        <w:autoSpaceDE/>
        <w:autoSpaceDN/>
        <w:bidi w:val="0"/>
        <w:spacing w:line="480" w:lineRule="exact"/>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仿宋_GB2312" w:hAnsi="仿宋_GB2312" w:eastAsia="仿宋_GB2312" w:cs="仿宋_GB2312"/>
          <w:b/>
          <w:color w:val="000000" w:themeColor="text1"/>
          <w:sz w:val="28"/>
          <w:szCs w:val="28"/>
          <w:highlight w:val="none"/>
          <w:lang w:val="en-US" w:eastAsia="zh-CN"/>
          <w14:textFill>
            <w14:solidFill>
              <w14:schemeClr w14:val="tx1"/>
            </w14:solidFill>
          </w14:textFill>
        </w:rPr>
        <w:t>七</w:t>
      </w:r>
      <w:r>
        <w:rPr>
          <w:rFonts w:hint="eastAsia" w:ascii="仿宋_GB2312" w:hAnsi="仿宋_GB2312" w:eastAsia="仿宋_GB2312" w:cs="仿宋_GB2312"/>
          <w:b/>
          <w:color w:val="000000" w:themeColor="text1"/>
          <w:sz w:val="28"/>
          <w:szCs w:val="28"/>
          <w:highlight w:val="none"/>
          <w14:textFill>
            <w14:solidFill>
              <w14:schemeClr w14:val="tx1"/>
            </w14:solidFill>
          </w14:textFill>
        </w:rPr>
        <w:t>、估价日期</w:t>
      </w:r>
    </w:p>
    <w:p w14:paraId="08CFC2B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ascii="仿宋_GB2312" w:eastAsia="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2025年11月</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26</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日至202</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5</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年</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月</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28</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日</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p>
    <w:p w14:paraId="6A96C307">
      <w:pPr>
        <w:keepNext w:val="0"/>
        <w:keepLines w:val="0"/>
        <w:pageBreakBefore w:val="0"/>
        <w:widowControl w:val="0"/>
        <w:kinsoku/>
        <w:wordWrap/>
        <w:overflowPunct/>
        <w:topLinePunct w:val="0"/>
        <w:autoSpaceDE/>
        <w:autoSpaceDN/>
        <w:bidi w:val="0"/>
        <w:spacing w:line="460" w:lineRule="exact"/>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仿宋_GB2312" w:hAnsi="仿宋_GB2312" w:eastAsia="仿宋_GB2312" w:cs="仿宋_GB2312"/>
          <w:b/>
          <w:color w:val="000000" w:themeColor="text1"/>
          <w:sz w:val="28"/>
          <w:szCs w:val="28"/>
          <w:highlight w:val="none"/>
          <w:lang w:val="en-US" w:eastAsia="zh-CN"/>
          <w14:textFill>
            <w14:solidFill>
              <w14:schemeClr w14:val="tx1"/>
            </w14:solidFill>
          </w14:textFill>
        </w:rPr>
        <w:t>八、</w:t>
      </w:r>
      <w:r>
        <w:rPr>
          <w:rFonts w:hint="eastAsia" w:ascii="仿宋_GB2312" w:hAnsi="仿宋_GB2312" w:eastAsia="仿宋_GB2312" w:cs="仿宋_GB2312"/>
          <w:b/>
          <w:color w:val="000000" w:themeColor="text1"/>
          <w:sz w:val="28"/>
          <w:szCs w:val="28"/>
          <w:highlight w:val="none"/>
          <w14:textFill>
            <w14:solidFill>
              <w14:schemeClr w14:val="tx1"/>
            </w14:solidFill>
          </w14:textFill>
        </w:rPr>
        <w:t>地价定义</w:t>
      </w:r>
    </w:p>
    <w:p w14:paraId="4B8FF7C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color w:val="000000"/>
          <w:sz w:val="28"/>
        </w:rPr>
        <w:t>根据委托方出具的《关于国有建设用地的规划条件的函》（2025年9月11日）及现场勘查状况，估价对象总土地面积为25.32平方米，估价对象规划用途为住宅用地，至估价期日，估价对象现状为待开发建设用地，土地开发程度为宗地红线内外“五通”（通路、通电、供水、排水、通讯）及红线内场地平整。</w:t>
      </w:r>
    </w:p>
    <w:p w14:paraId="0DE086C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根据《城镇土地估价规程》（GB/T18508—2014）及</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此项目估价目的、土地的权属性质和用途特点，对</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地价定义</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中有关事项作以下设定</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p>
    <w:p w14:paraId="5D07852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1.估价期日的设定</w:t>
      </w:r>
    </w:p>
    <w:p w14:paraId="5840598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color w:val="000000"/>
          <w:sz w:val="28"/>
        </w:rPr>
        <w:t>本次土地估价师现场勘查日期为2026年4月23日至2026年4月27日，本次估价设定估价期日为2026年04月23日。</w:t>
      </w:r>
    </w:p>
    <w:p w14:paraId="5CCE34A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2.土地用途的设定</w:t>
      </w:r>
    </w:p>
    <w:p w14:paraId="45D0486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color w:val="000000"/>
          <w:sz w:val="28"/>
        </w:rPr>
        <w:t>根据土地估价师现场勘查，估价对象现状为待开发用地。根据《关于国有建设用地的规划条件的函》（2025年9月11日），估价对象规划用途为住宅用地，根据《土地利用现状分类》(GB/T21010-2017，2017年11月01日)和估价目的，本次评估设定土地用途为工业用地。</w:t>
      </w:r>
    </w:p>
    <w:p w14:paraId="2DAAE98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3.土地使用权类型</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设定</w:t>
      </w:r>
    </w:p>
    <w:p w14:paraId="4FBADCF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至估价期日止，估价对象土地使用权类型为国有储备用地，结合本次估价目的，本次评估设定土地使用权类型为国有出让建设用地使用权。</w:t>
      </w:r>
    </w:p>
    <w:p w14:paraId="5291152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4.土地使用年期的设定</w:t>
      </w:r>
    </w:p>
    <w:p w14:paraId="7E4026D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中华人民共和国城镇国有土地使用权出让和转让暂行条例》（1990年5月19日国务院令第55号）规定，土地使用权出让最高年限为工矿仓储用地50年。本次评估根据《评估委托书》约定和估价目的，估价对象土地使用权出让年限为30年，此次评估设定土地使用权年限为30年</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p>
    <w:p w14:paraId="7CF62B3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5.土地开发程度的设定</w:t>
      </w:r>
    </w:p>
    <w:p w14:paraId="3E39277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color w:val="000000"/>
          <w:sz w:val="28"/>
        </w:rPr>
        <w:t>根据土地估价师实地勘查，估价对象于估价期日2026年04月23日实际开发程度为宗地红线内外“五通”（通路、通电、供水、排水、通讯）及红线内场地平整。结合估价目的及实际情况，本次评估设定土地开发程度为宗地红线内外“五通”（通路、通电、供水、排水、通讯）及红线内场地平整。</w:t>
      </w:r>
    </w:p>
    <w:p w14:paraId="744985D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6.用地利用条件的设定</w:t>
      </w:r>
    </w:p>
    <w:p w14:paraId="5C69489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color w:val="000000"/>
          <w:sz w:val="28"/>
        </w:rPr>
        <w:t>根据实地勘查和《关于国有建设用地的规划条件的函》（2025年9月11日），估价对象规划建筑密度35%-55%，容积率0.7-4.23，绿地率≤15%，建筑限高24米，估价对象在估价期日土地利用现状为待开发建设用地，地上无建筑物，根据土地最有效利用原则，本次评估设定容积率为4.23。</w:t>
      </w:r>
    </w:p>
    <w:p w14:paraId="409DBE5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7.价格类型的设定</w:t>
      </w:r>
    </w:p>
    <w:p w14:paraId="7D0A0D3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委托方提供的资料及估价人员调查所获取的资料，估价对象为拟出让国有建设用地使用权，未设立抵押权、租赁权、地役权、地上权等附加权利。本次评估设定估价对象为未设立抵押权、租赁权、地役权、地上权等附加权利下的国有建设用地使用权。</w:t>
      </w:r>
    </w:p>
    <w:p w14:paraId="03436F6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color w:val="000000"/>
          <w:sz w:val="28"/>
        </w:rPr>
        <w:t>综上所述，此次评估的地价内涵是指：估价对象在公开市场条件下，于估价期日2026年04月23日，土地使用权面积25.32平方米，土地用途设定为城镇住宅用地，容积率设定为4.23，土地使用权类型设定为国有出让建设用地使用权，出让年期为70年，土地开发程度设定为宗地红线内外“五通”（通路、通电、供水、排水、通讯）及红线内场地平整下的土地使用权市场价格。</w:t>
      </w:r>
    </w:p>
    <w:p w14:paraId="2075FDA7">
      <w:pPr>
        <w:keepNext w:val="0"/>
        <w:keepLines w:val="0"/>
        <w:pageBreakBefore w:val="0"/>
        <w:widowControl w:val="0"/>
        <w:kinsoku/>
        <w:wordWrap/>
        <w:overflowPunct/>
        <w:topLinePunct w:val="0"/>
        <w:autoSpaceDE/>
        <w:autoSpaceDN/>
        <w:bidi w:val="0"/>
        <w:spacing w:line="460" w:lineRule="exact"/>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仿宋_GB2312" w:hAnsi="仿宋_GB2312" w:eastAsia="仿宋_GB2312" w:cs="仿宋_GB2312"/>
          <w:b/>
          <w:color w:val="000000" w:themeColor="text1"/>
          <w:sz w:val="28"/>
          <w:szCs w:val="28"/>
          <w:highlight w:val="none"/>
          <w14:textFill>
            <w14:solidFill>
              <w14:schemeClr w14:val="tx1"/>
            </w14:solidFill>
          </w14:textFill>
        </w:rPr>
        <w:t xml:space="preserve">九、估价结果 </w:t>
      </w:r>
    </w:p>
    <w:p w14:paraId="31924DA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一</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估价结论</w:t>
      </w:r>
    </w:p>
    <w:p w14:paraId="787CD8D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color w:val="000000"/>
          <w:sz w:val="28"/>
        </w:rPr>
        <w:t>通道侗族自治县自然资源局委托评估的，位于通道县双江镇城南街的一宗国有土地，土地面积25.32平方米，于估价期日2026年04月23日，在评估设定土地用途为城镇住宅用地，设定土地使用年期为70年，设定容积率为4.23，设定土地开发程度为宗地红线外“五通”（即通路、通电、通讯、供水、排水）及红线内场地平整，规划利用条件下的土地使用权出让价格如下（币种：人民币）：</w:t>
      </w:r>
    </w:p>
    <w:p w14:paraId="3A48D2BA">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t>宗地数量：共一宗</w:t>
      </w:r>
    </w:p>
    <w:p w14:paraId="450FFF43">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t>估价对象</w:t>
      </w:r>
      <w:r>
        <w:rPr>
          <w:rFonts w:hint="eastAsia" w:ascii="仿宋_GB2312" w:hAnsi="仿宋_GB2312" w:eastAsia="仿宋_GB2312" w:cs="仿宋_GB2312"/>
          <w:b/>
          <w:bCs w:val="0"/>
          <w:color w:val="000000" w:themeColor="text1"/>
          <w:sz w:val="28"/>
          <w:szCs w:val="28"/>
          <w:highlight w:val="none"/>
          <w14:textFill>
            <w14:solidFill>
              <w14:schemeClr w14:val="tx1"/>
            </w14:solidFill>
          </w14:textFill>
        </w:rPr>
        <w:t>土地</w:t>
      </w:r>
      <w:r>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t>总</w:t>
      </w:r>
      <w:r>
        <w:rPr>
          <w:rFonts w:hint="eastAsia" w:ascii="仿宋_GB2312" w:hAnsi="仿宋_GB2312" w:eastAsia="仿宋_GB2312" w:cs="仿宋_GB2312"/>
          <w:b/>
          <w:bCs w:val="0"/>
          <w:color w:val="000000" w:themeColor="text1"/>
          <w:sz w:val="28"/>
          <w:szCs w:val="28"/>
          <w:highlight w:val="none"/>
          <w14:textFill>
            <w14:solidFill>
              <w14:schemeClr w14:val="tx1"/>
            </w14:solidFill>
          </w14:textFill>
        </w:rPr>
        <w:t>面积：25.32平方米</w:t>
      </w:r>
    </w:p>
    <w:p w14:paraId="2AC72CFB">
      <w:pPr>
        <w:adjustRightInd w:val="0"/>
        <w:snapToGrid w:val="0"/>
        <w:spacing w:line="480" w:lineRule="exact"/>
        <w:ind w:firstLine="562" w:firstLineChars="200"/>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t>估价对象</w:t>
      </w:r>
      <w:r>
        <w:rPr>
          <w:rFonts w:hint="eastAsia" w:ascii="仿宋_GB2312" w:hAnsi="仿宋_GB2312" w:eastAsia="仿宋_GB2312" w:cs="仿宋_GB2312"/>
          <w:b/>
          <w:bCs w:val="0"/>
          <w:color w:val="000000" w:themeColor="text1"/>
          <w:sz w:val="28"/>
          <w:szCs w:val="28"/>
          <w:highlight w:val="none"/>
          <w14:textFill>
            <w14:solidFill>
              <w14:schemeClr w14:val="tx1"/>
            </w14:solidFill>
          </w14:textFill>
        </w:rPr>
        <w:t>土地</w:t>
      </w:r>
      <w:r>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t>单价：159元/平方米</w:t>
      </w:r>
    </w:p>
    <w:p w14:paraId="417F433D">
      <w:pPr>
        <w:keepNext w:val="0"/>
        <w:keepLines w:val="0"/>
        <w:pageBreakBefore w:val="0"/>
        <w:widowControl w:val="0"/>
        <w:kinsoku/>
        <w:wordWrap/>
        <w:overflowPunct/>
        <w:topLinePunct w:val="0"/>
        <w:autoSpaceDE/>
        <w:autoSpaceDN/>
        <w:bidi w:val="0"/>
        <w:adjustRightInd w:val="0"/>
        <w:snapToGrid w:val="0"/>
        <w:spacing w:line="480" w:lineRule="exact"/>
        <w:ind w:left="0" w:leftChars="0" w:firstLine="562" w:firstLineChars="200"/>
        <w:textAlignment w:val="auto"/>
        <w:rPr>
          <w:rFonts w:hint="eastAsia" w:ascii="仿宋_GB2312" w:hAnsi="仿宋_GB2312" w:eastAsia="仿宋_GB2312" w:cs="仿宋_GB2312"/>
          <w:b/>
          <w:bCs w:val="0"/>
          <w:color w:val="000000" w:themeColor="text1"/>
          <w:sz w:val="28"/>
          <w:szCs w:val="28"/>
          <w:highlight w:val="none"/>
          <w14:textFill>
            <w14:solidFill>
              <w14:schemeClr w14:val="tx1"/>
            </w14:solidFill>
          </w14:textFill>
        </w:rPr>
      </w:pPr>
      <w:r>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t>估计对象土地</w:t>
      </w:r>
      <w:r>
        <w:rPr>
          <w:rFonts w:hint="eastAsia" w:ascii="仿宋_GB2312" w:hAnsi="仿宋_GB2312" w:eastAsia="仿宋_GB2312" w:cs="仿宋_GB2312"/>
          <w:b/>
          <w:bCs w:val="0"/>
          <w:color w:val="000000" w:themeColor="text1"/>
          <w:sz w:val="28"/>
          <w:szCs w:val="28"/>
          <w:highlight w:val="none"/>
          <w14:textFill>
            <w14:solidFill>
              <w14:schemeClr w14:val="tx1"/>
            </w14:solidFill>
          </w14:textFill>
        </w:rPr>
        <w:t>总价：</w:t>
      </w:r>
      <w:r>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t>76.79</w:t>
      </w:r>
      <w:r>
        <w:rPr>
          <w:rFonts w:hint="eastAsia" w:ascii="仿宋_GB2312" w:hAnsi="仿宋_GB2312" w:eastAsia="仿宋_GB2312" w:cs="仿宋_GB2312"/>
          <w:b/>
          <w:bCs w:val="0"/>
          <w:color w:val="000000" w:themeColor="text1"/>
          <w:sz w:val="28"/>
          <w:szCs w:val="28"/>
          <w:highlight w:val="none"/>
          <w14:textFill>
            <w14:solidFill>
              <w14:schemeClr w14:val="tx1"/>
            </w14:solidFill>
          </w14:textFill>
        </w:rPr>
        <w:t>万元</w:t>
      </w:r>
    </w:p>
    <w:p w14:paraId="67F55FA2">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bCs w:val="0"/>
          <w:color w:val="000000" w:themeColor="text1"/>
          <w:sz w:val="28"/>
          <w:szCs w:val="28"/>
          <w:highlight w:val="none"/>
          <w14:textFill>
            <w14:solidFill>
              <w14:schemeClr w14:val="tx1"/>
            </w14:solidFill>
          </w14:textFill>
        </w:rPr>
        <w:t>大写：</w:t>
      </w:r>
      <w:r>
        <w:rPr>
          <w:rFonts w:hint="eastAsia" w:ascii="仿宋_GB2312" w:hAnsi="仿宋_GB2312" w:eastAsia="仿宋_GB2312" w:cs="仿宋_GB2312"/>
          <w:b/>
          <w:bCs/>
          <w:color w:val="000000" w:themeColor="text1"/>
          <w:sz w:val="28"/>
          <w:szCs w:val="22"/>
          <w:highlight w:val="none"/>
          <w14:textFill>
            <w14:solidFill>
              <w14:schemeClr w14:val="tx1"/>
            </w14:solidFill>
          </w14:textFill>
        </w:rPr>
        <w:t>人民币</w:t>
      </w:r>
      <w:r>
        <w:rPr>
          <w:rFonts w:hint="eastAsia" w:ascii="仿宋_GB2312" w:hAnsi="仿宋_GB2312" w:eastAsia="仿宋_GB2312" w:cs="仿宋_GB2312"/>
          <w:b/>
          <w:bCs/>
          <w:color w:val="000000" w:themeColor="text1"/>
          <w:sz w:val="28"/>
          <w:szCs w:val="22"/>
          <w:highlight w:val="none"/>
          <w:lang w:val="en-US" w:eastAsia="zh-CN"/>
          <w14:textFill>
            <w14:solidFill>
              <w14:schemeClr w14:val="tx1"/>
            </w14:solidFill>
          </w14:textFill>
        </w:rPr>
        <w:t>柒拾陆万柒仟玖佰</w:t>
      </w:r>
      <w:r>
        <w:rPr>
          <w:rFonts w:hint="eastAsia" w:ascii="仿宋_GB2312" w:hAnsi="仿宋_GB2312" w:eastAsia="仿宋_GB2312" w:cs="仿宋_GB2312"/>
          <w:b/>
          <w:bCs/>
          <w:color w:val="000000" w:themeColor="text1"/>
          <w:sz w:val="28"/>
          <w:szCs w:val="22"/>
          <w:highlight w:val="none"/>
          <w14:textFill>
            <w14:solidFill>
              <w14:schemeClr w14:val="tx1"/>
            </w14:solidFill>
          </w14:textFill>
        </w:rPr>
        <w:t>元整</w:t>
      </w:r>
      <w:r>
        <w:rPr>
          <w:rFonts w:hint="eastAsia" w:ascii="仿宋_GB2312" w:hAnsi="仿宋_GB2312" w:eastAsia="仿宋_GB2312" w:cs="仿宋_GB2312"/>
          <w:b/>
          <w:bCs w:val="0"/>
          <w:color w:val="000000" w:themeColor="text1"/>
          <w:sz w:val="28"/>
          <w:szCs w:val="28"/>
          <w:highlight w:val="none"/>
          <w14:textFill>
            <w14:solidFill>
              <w14:schemeClr w14:val="tx1"/>
            </w14:solidFill>
          </w14:textFill>
        </w:rPr>
        <w:t>；</w:t>
      </w:r>
    </w:p>
    <w:p w14:paraId="6477F0DF">
      <w:pPr>
        <w:keepNext w:val="0"/>
        <w:keepLines w:val="0"/>
        <w:pageBreakBefore w:val="0"/>
        <w:widowControl w:val="0"/>
        <w:kinsoku/>
        <w:wordWrap/>
        <w:overflowPunct/>
        <w:topLinePunct w:val="0"/>
        <w:autoSpaceDE/>
        <w:autoSpaceDN/>
        <w:bidi w:val="0"/>
        <w:adjustRightInd w:val="0"/>
        <w:snapToGrid w:val="0"/>
        <w:spacing w:line="480" w:lineRule="exact"/>
        <w:ind w:left="0" w:leftChars="0" w:firstLine="562" w:firstLineChars="200"/>
        <w:textAlignment w:val="auto"/>
        <w:outlineLvl w:val="9"/>
        <w:rPr>
          <w:rFonts w:hint="eastAsia" w:ascii="仿宋_GB2312" w:hAnsi="仿宋_GB2312" w:eastAsia="仿宋_GB2312" w:cs="仿宋_GB2312"/>
          <w:b/>
          <w:bCs w:val="0"/>
          <w:color w:val="000000" w:themeColor="text1"/>
          <w:sz w:val="28"/>
          <w:szCs w:val="28"/>
          <w:highlight w:val="none"/>
          <w14:textFill>
            <w14:solidFill>
              <w14:schemeClr w14:val="tx1"/>
            </w14:solidFill>
          </w14:textFill>
        </w:rPr>
      </w:pPr>
      <w:r>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t>详见《土地估价结果一览表》</w:t>
      </w:r>
      <w:r>
        <w:rPr>
          <w:rFonts w:hint="eastAsia" w:ascii="仿宋_GB2312" w:hAnsi="仿宋_GB2312" w:eastAsia="仿宋_GB2312" w:cs="仿宋_GB2312"/>
          <w:b/>
          <w:bCs w:val="0"/>
          <w:color w:val="000000" w:themeColor="text1"/>
          <w:sz w:val="28"/>
          <w:szCs w:val="28"/>
          <w:highlight w:val="none"/>
          <w14:textFill>
            <w14:solidFill>
              <w14:schemeClr w14:val="tx1"/>
            </w14:solidFill>
          </w14:textFill>
        </w:rPr>
        <w:t>。</w:t>
      </w:r>
    </w:p>
    <w:p w14:paraId="52CF380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（二）出让底价建议</w:t>
      </w:r>
    </w:p>
    <w:p w14:paraId="4B4D1AE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土地市场情况及有关法律法规和政策规定，该地区土地出让底价由选定的估价机构的估价结果及具体宗地的实际情况综合确定。建议估价对象出让底价与本次估价结果相一致，具体由出让方根据出让土地的实际情况综合确定。</w:t>
      </w:r>
    </w:p>
    <w:p w14:paraId="1C791D2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建议出让地价的理由：1.评估操作过程技术合理，本次评估技术操作方面严格参照《城镇土地估价规程》(GB／T18508-2014)及《关于印发&lt;国有建设用地使用权出让地价评估技术规范&gt;的通知》（国土资厅发〔2018〕4号，2018年3月9日）要求，采用成本逼近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市场比较法分别进行测算，取</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成本逼近法和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市场比较法估价结果</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的简单算数平均数作</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为最终结果。</w:t>
      </w:r>
    </w:p>
    <w:p w14:paraId="0B358532">
      <w:pPr>
        <w:keepNext w:val="0"/>
        <w:keepLines w:val="0"/>
        <w:pageBreakBefore w:val="0"/>
        <w:widowControl w:val="0"/>
        <w:kinsoku/>
        <w:wordWrap/>
        <w:overflowPunct/>
        <w:topLinePunct w:val="0"/>
        <w:autoSpaceDE/>
        <w:autoSpaceDN/>
        <w:bidi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评估操作过程技术合理，本次评估技术操作方面严格参照《城镇土地估价规程》(GB／T18508-2014)及《关于印发&lt;国有建设用地使用权出让地价评估技术规范&gt;的通知》（国土资厅发〔2018〕4号，2018年3月9日）要求，本次评估采用成本逼近法和市场比较法分别进行测算，</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取成本逼近法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市场比较法估价结果</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的简单算数平均数作</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为最终结果。</w:t>
      </w:r>
    </w:p>
    <w:p w14:paraId="55B93CD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2</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.通过湖南省国土资源网上交易系统、中国土地交易市场网查询，</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近期通过“招拍挂”途径出让的估价对象周边土地单位面积地价与估价结果较为接近，估价结果符合该区域规划发展的趋势。</w:t>
      </w:r>
    </w:p>
    <w:p w14:paraId="6F12FB1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依据财政部、自然资源部、中国人民银行《关于加强土地成交价款管理规范资金缴库行为的通知》（财综[2009]89号，2009年12月31日），与土地出让有关的评估费、交易服务费等经营服务性成本费用应纳入土地出让底价。前述建议底价未包含契税、评估费及交易服务费等价外税费及经营服务性费用。</w:t>
      </w:r>
    </w:p>
    <w:p w14:paraId="31F1C200">
      <w:pPr>
        <w:keepNext w:val="0"/>
        <w:keepLines w:val="0"/>
        <w:pageBreakBefore w:val="0"/>
        <w:widowControl w:val="0"/>
        <w:kinsoku/>
        <w:wordWrap/>
        <w:overflowPunct/>
        <w:topLinePunct w:val="0"/>
        <w:autoSpaceDE/>
        <w:autoSpaceDN/>
        <w:bidi w:val="0"/>
        <w:spacing w:line="460" w:lineRule="exact"/>
        <w:ind w:firstLine="562" w:firstLineChars="200"/>
        <w:textAlignment w:val="auto"/>
        <w:outlineLvl w:val="2"/>
        <w:rPr>
          <w:b/>
          <w:color w:val="000000" w:themeColor="text1"/>
          <w:szCs w:val="28"/>
          <w:highlight w:val="none"/>
          <w14:textFill>
            <w14:solidFill>
              <w14:schemeClr w14:val="tx1"/>
            </w14:solidFill>
          </w14:textFill>
        </w:rPr>
      </w:pPr>
      <w:r>
        <w:rPr>
          <w:rFonts w:hint="eastAsia" w:ascii="仿宋_GB2312" w:hAnsi="仿宋_GB2312" w:eastAsia="仿宋_GB2312" w:cs="仿宋_GB2312"/>
          <w:b/>
          <w:color w:val="000000" w:themeColor="text1"/>
          <w:sz w:val="28"/>
          <w:szCs w:val="28"/>
          <w:highlight w:val="none"/>
          <w14:textFill>
            <w14:solidFill>
              <w14:schemeClr w14:val="tx1"/>
            </w14:solidFill>
          </w14:textFill>
        </w:rPr>
        <w:t>十、需要特殊说明的事项</w:t>
      </w:r>
    </w:p>
    <w:p w14:paraId="1C659CC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(一)评估依据资料来源情况说明</w:t>
      </w:r>
    </w:p>
    <w:p w14:paraId="13FBE7F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1.本估价报告所依据的土地权属、土地用途、使用权类型、土地面积、土地利用条件成果等资料由委托估价双方提供。</w:t>
      </w:r>
    </w:p>
    <w:p w14:paraId="384BE3F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2.土地区位条件、地产市场交易资料、土地利用现状照片等相关资料由估价师实地调查取得。</w:t>
      </w:r>
    </w:p>
    <w:p w14:paraId="02045F7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3.区域经济发展状况、统计数据、城市规划资料、基准地价资料、估价中的相关参数资料等由湖南兆财不动产规划评估有限公司土地估价师通过查阅政府部门相关文件及公开媒体资讯等途径获取。</w:t>
      </w:r>
    </w:p>
    <w:p w14:paraId="0B9D473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4.湖南兆财不动产规划评估有限公司土地估价师结合执业经验，对上述相关评估资料的真实性、合法性、有效性、适用性进行了尽职核实和专业判断。</w:t>
      </w:r>
    </w:p>
    <w:p w14:paraId="413C68F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5.委托方对所提供资料的真实性负责，估价机构对所收集资料的真实性、准确性负责。</w:t>
      </w:r>
    </w:p>
    <w:p w14:paraId="10511C7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（二）对估价结果和估价工作可能影响的变化事项</w:t>
      </w:r>
    </w:p>
    <w:p w14:paraId="7FE3879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1.本次估价所引用的地价指数是根据当地土地管理部门公布的信息和估价对象所在区域土地市场的变化状况编制的；</w:t>
      </w:r>
    </w:p>
    <w:p w14:paraId="3903F42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本报告结果是在满足地价定义所设定条件下的国有土地使用权价格，所在估价报告有效期内，估价对象的土地利用方式、估价期日、土地开发程度、土地使用年限、土地面积等影响地价的因素发生变化，该估价结果应作相应调整；</w:t>
      </w:r>
    </w:p>
    <w:p w14:paraId="77F44C0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3.本估价报告中的项目开发方式是在满足最有效利用原则下，参照行业通行的做法及结合估价师自身的估价经验确定的，如与以后批准的建筑设计指标有出入而引起地价的变化，土地价格需重新评估。</w:t>
      </w:r>
    </w:p>
    <w:p w14:paraId="44AACDD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（三）估价对象的特殊性、估价中未考虑的因素及采取的特殊处理</w:t>
      </w:r>
    </w:p>
    <w:p w14:paraId="39BB669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1.我们此次评估以估价对象已完成安置补偿为前提；</w:t>
      </w:r>
    </w:p>
    <w:p w14:paraId="2B6BA92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本报告中数据全部采用计算机连续运算得出，由于在技术报告中的计算方式数据均按四舍五入保留两位小数或取整，因此可能出现个别等式左右两边不完全相等的情况。此为正常情况，不影响计算结果及最终评估结论的准确性；</w:t>
      </w:r>
    </w:p>
    <w:p w14:paraId="6839BD7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3.本报告所示货币种类为人民币。</w:t>
      </w:r>
    </w:p>
    <w:p w14:paraId="6C3FF39D">
      <w:pPr>
        <w:rPr>
          <w:rFonts w:hint="eastAsia" w:ascii="仿宋_GB2312" w:eastAsia="仿宋_GB2312"/>
          <w:b/>
          <w:color w:val="000000" w:themeColor="text1"/>
          <w:sz w:val="28"/>
          <w:szCs w:val="28"/>
          <w:highlight w:val="none"/>
          <w14:textFill>
            <w14:solidFill>
              <w14:schemeClr w14:val="tx1"/>
            </w14:solidFill>
          </w14:textFill>
        </w:rPr>
      </w:pPr>
      <w:r>
        <w:rPr>
          <w:rFonts w:hint="eastAsia" w:ascii="仿宋_GB2312" w:hAnsi="仿宋_GB2312" w:eastAsia="仿宋_GB2312" w:cs="仿宋_GB2312"/>
          <w:b/>
          <w:color w:val="000000" w:themeColor="text1"/>
          <w:sz w:val="28"/>
          <w:szCs w:val="28"/>
          <w:highlight w:val="none"/>
          <w14:textFill>
            <w14:solidFill>
              <w14:schemeClr w14:val="tx1"/>
            </w14:solidFill>
          </w14:textFill>
        </w:rPr>
        <w:br w:type="page"/>
      </w:r>
    </w:p>
    <w:p w14:paraId="36168FE4">
      <w:pPr>
        <w:keepNext w:val="0"/>
        <w:keepLines w:val="0"/>
        <w:pageBreakBefore w:val="0"/>
        <w:widowControl w:val="0"/>
        <w:kinsoku/>
        <w:wordWrap/>
        <w:overflowPunct/>
        <w:topLinePunct w:val="0"/>
        <w:autoSpaceDE/>
        <w:autoSpaceDN/>
        <w:bidi w:val="0"/>
        <w:spacing w:line="480" w:lineRule="exact"/>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仿宋_GB2312" w:hAnsi="仿宋_GB2312" w:eastAsia="仿宋_GB2312" w:cs="仿宋_GB2312"/>
          <w:b/>
          <w:color w:val="000000" w:themeColor="text1"/>
          <w:sz w:val="28"/>
          <w:szCs w:val="28"/>
          <w:highlight w:val="none"/>
          <w14:textFill>
            <w14:solidFill>
              <w14:schemeClr w14:val="tx1"/>
            </w14:solidFill>
          </w14:textFill>
        </w:rPr>
        <w:t>十一、土地估价师签字</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98"/>
        <w:gridCol w:w="2925"/>
        <w:gridCol w:w="2799"/>
      </w:tblGrid>
      <w:tr w14:paraId="57F893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17" w:hRule="atLeast"/>
        </w:trPr>
        <w:tc>
          <w:tcPr>
            <w:tcW w:w="3093" w:type="dxa"/>
            <w:tcBorders>
              <w:tl2br w:val="nil"/>
              <w:tr2bl w:val="nil"/>
            </w:tcBorders>
            <w:vAlign w:val="center"/>
          </w:tcPr>
          <w:p w14:paraId="4C1055E2">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估价师姓名</w:t>
            </w:r>
          </w:p>
        </w:tc>
        <w:tc>
          <w:tcPr>
            <w:tcW w:w="3093" w:type="dxa"/>
            <w:tcBorders>
              <w:tl2br w:val="nil"/>
              <w:tr2bl w:val="nil"/>
            </w:tcBorders>
            <w:vAlign w:val="center"/>
          </w:tcPr>
          <w:p w14:paraId="27853007">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土地估价师资格证号</w:t>
            </w:r>
          </w:p>
        </w:tc>
        <w:tc>
          <w:tcPr>
            <w:tcW w:w="3093" w:type="dxa"/>
            <w:tcBorders>
              <w:tl2br w:val="nil"/>
              <w:tr2bl w:val="nil"/>
            </w:tcBorders>
            <w:vAlign w:val="center"/>
          </w:tcPr>
          <w:p w14:paraId="3EA5FC2B">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签    字</w:t>
            </w:r>
          </w:p>
        </w:tc>
      </w:tr>
      <w:tr w14:paraId="698057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20" w:hRule="atLeast"/>
        </w:trPr>
        <w:tc>
          <w:tcPr>
            <w:tcW w:w="3093" w:type="dxa"/>
            <w:tcBorders>
              <w:tl2br w:val="nil"/>
              <w:tr2bl w:val="nil"/>
            </w:tcBorders>
            <w:vAlign w:val="center"/>
          </w:tcPr>
          <w:p w14:paraId="1D448017">
            <w:pPr>
              <w:keepNext w:val="0"/>
              <w:keepLines w:val="0"/>
              <w:suppressLineNumbers w:val="0"/>
              <w:spacing w:before="120" w:beforeLines="50" w:beforeAutospacing="0" w:after="240" w:afterLines="100" w:afterAutospacing="0" w:line="440" w:lineRule="exact"/>
              <w:ind w:left="0" w:leftChars="0" w:right="0" w:rightChars="0"/>
              <w:jc w:val="cente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谢良元</w:t>
            </w:r>
          </w:p>
        </w:tc>
        <w:tc>
          <w:tcPr>
            <w:tcW w:w="3093" w:type="dxa"/>
            <w:tcBorders>
              <w:tl2br w:val="nil"/>
              <w:tr2bl w:val="nil"/>
            </w:tcBorders>
            <w:vAlign w:val="center"/>
          </w:tcPr>
          <w:p w14:paraId="65796B58">
            <w:pPr>
              <w:keepNext w:val="0"/>
              <w:keepLines w:val="0"/>
              <w:suppressLineNumbers w:val="0"/>
              <w:spacing w:before="0" w:beforeAutospacing="0" w:after="0" w:afterAutospacing="0" w:line="460" w:lineRule="exact"/>
              <w:ind w:left="0" w:leftChars="0" w:right="0" w:rightChars="0" w:firstLine="0" w:firstLineChars="0"/>
              <w:jc w:val="center"/>
              <w:rPr>
                <w:rFonts w:hint="eastAsia" w:ascii="仿宋_GB2312" w:hAnsi="仿宋_GB2312" w:eastAsia="仿宋_GB2312" w:cs="仿宋_GB2312"/>
                <w:color w:val="000000" w:themeColor="text1"/>
                <w:sz w:val="28"/>
                <w:szCs w:val="1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2019430003</w:t>
            </w:r>
          </w:p>
        </w:tc>
        <w:tc>
          <w:tcPr>
            <w:tcW w:w="3093" w:type="dxa"/>
            <w:tcBorders>
              <w:tl2br w:val="nil"/>
              <w:tr2bl w:val="nil"/>
            </w:tcBorders>
          </w:tcPr>
          <w:p w14:paraId="1DC309EB">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p>
        </w:tc>
      </w:tr>
      <w:tr w14:paraId="0B53B2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66" w:hRule="atLeast"/>
        </w:trPr>
        <w:tc>
          <w:tcPr>
            <w:tcW w:w="3093" w:type="dxa"/>
            <w:tcBorders>
              <w:tl2br w:val="nil"/>
              <w:tr2bl w:val="nil"/>
            </w:tcBorders>
            <w:vAlign w:val="center"/>
          </w:tcPr>
          <w:p w14:paraId="1C17DE07">
            <w:pPr>
              <w:keepNext w:val="0"/>
              <w:keepLines w:val="0"/>
              <w:suppressLineNumbers w:val="0"/>
              <w:spacing w:before="120" w:beforeLines="50" w:beforeAutospacing="0" w:after="240" w:afterLines="100" w:afterAutospacing="0" w:line="440" w:lineRule="exact"/>
              <w:ind w:left="0" w:leftChars="0" w:right="0" w:rightChars="0"/>
              <w:jc w:val="center"/>
              <w:rPr>
                <w:rFonts w:hint="default" w:ascii="仿宋_GB2312" w:hAnsi="仿宋_GB2312" w:eastAsia="仿宋_GB2312" w:cs="仿宋_GB2312"/>
                <w:color w:val="000000" w:themeColor="text1"/>
                <w:sz w:val="28"/>
                <w:szCs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彭翀</w:t>
            </w:r>
          </w:p>
        </w:tc>
        <w:tc>
          <w:tcPr>
            <w:tcW w:w="3093" w:type="dxa"/>
            <w:tcBorders>
              <w:tl2br w:val="nil"/>
              <w:tr2bl w:val="nil"/>
            </w:tcBorders>
            <w:vAlign w:val="center"/>
          </w:tcPr>
          <w:p w14:paraId="3CD3FA03">
            <w:pPr>
              <w:keepNext w:val="0"/>
              <w:keepLines w:val="0"/>
              <w:suppressLineNumbers w:val="0"/>
              <w:spacing w:before="0" w:beforeAutospacing="0" w:after="0" w:afterAutospacing="0" w:line="480" w:lineRule="exact"/>
              <w:ind w:left="0" w:leftChars="0" w:right="0" w:rightChars="0" w:firstLine="0" w:firstLineChars="0"/>
              <w:jc w:val="center"/>
              <w:rPr>
                <w:rFonts w:hint="eastAsia" w:ascii="仿宋_GB2312" w:hAnsi="仿宋_GB2312" w:eastAsia="仿宋_GB2312" w:cs="仿宋_GB2312"/>
                <w:color w:val="000000" w:themeColor="text1"/>
                <w:sz w:val="28"/>
                <w:szCs w:val="1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2004450008</w:t>
            </w:r>
          </w:p>
        </w:tc>
        <w:tc>
          <w:tcPr>
            <w:tcW w:w="3093" w:type="dxa"/>
            <w:tcBorders>
              <w:tl2br w:val="nil"/>
              <w:tr2bl w:val="nil"/>
            </w:tcBorders>
          </w:tcPr>
          <w:p w14:paraId="12382CDA">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p>
        </w:tc>
      </w:tr>
    </w:tbl>
    <w:p w14:paraId="1541E1CE">
      <w:pPr>
        <w:spacing w:line="440" w:lineRule="exact"/>
        <w:ind w:firstLine="562" w:firstLineChars="200"/>
        <w:outlineLvl w:val="2"/>
        <w:rPr>
          <w:rFonts w:ascii="仿宋_GB2312" w:eastAsia="仿宋_GB2312"/>
          <w:b/>
          <w:color w:val="000000" w:themeColor="text1"/>
          <w:sz w:val="28"/>
          <w:szCs w:val="28"/>
          <w:highlight w:val="none"/>
          <w14:textFill>
            <w14:solidFill>
              <w14:schemeClr w14:val="tx1"/>
            </w14:solidFill>
          </w14:textFill>
        </w:rPr>
      </w:pPr>
      <w:r>
        <w:rPr>
          <w:rFonts w:hint="eastAsia" w:ascii="仿宋_GB2312" w:hAnsi="仿宋_GB2312" w:eastAsia="仿宋_GB2312" w:cs="仿宋_GB2312"/>
          <w:b/>
          <w:color w:val="000000" w:themeColor="text1"/>
          <w:sz w:val="28"/>
          <w:szCs w:val="28"/>
          <w:highlight w:val="none"/>
          <w:lang w:val="en-US" w:eastAsia="zh-CN"/>
          <w14:textFill>
            <w14:solidFill>
              <w14:schemeClr w14:val="tx1"/>
            </w14:solidFill>
          </w14:textFill>
        </w:rPr>
        <w:t>十二</w:t>
      </w:r>
      <w:r>
        <w:rPr>
          <w:rFonts w:hint="eastAsia" w:ascii="仿宋_GB2312" w:hAnsi="仿宋_GB2312" w:eastAsia="仿宋_GB2312" w:cs="仿宋_GB2312"/>
          <w:b/>
          <w:color w:val="000000" w:themeColor="text1"/>
          <w:sz w:val="28"/>
          <w:szCs w:val="28"/>
          <w:highlight w:val="none"/>
          <w14:textFill>
            <w14:solidFill>
              <w14:schemeClr w14:val="tx1"/>
            </w14:solidFill>
          </w14:textFill>
        </w:rPr>
        <w:t>、土地估价机构</w:t>
      </w:r>
    </w:p>
    <w:p w14:paraId="29C8241E">
      <w:pPr>
        <w:tabs>
          <w:tab w:val="left" w:pos="3780"/>
        </w:tabs>
        <w:spacing w:before="240" w:beforeLines="100" w:line="440" w:lineRule="exact"/>
        <w:jc w:val="left"/>
        <w:rPr>
          <w:rFonts w:hint="eastAsia" w:ascii="仿宋_GB2312" w:eastAsia="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 xml:space="preserve">   估价机构法定代表人签字：</w:t>
      </w:r>
    </w:p>
    <w:p w14:paraId="26F7102B">
      <w:pPr>
        <w:pStyle w:val="2"/>
        <w:rPr>
          <w:color w:val="000000" w:themeColor="text1"/>
          <w:highlight w:val="none"/>
          <w14:textFill>
            <w14:solidFill>
              <w14:schemeClr w14:val="tx1"/>
            </w14:solidFill>
          </w14:textFill>
        </w:rPr>
      </w:pPr>
    </w:p>
    <w:p w14:paraId="74287A11">
      <w:pPr>
        <w:keepNext w:val="0"/>
        <w:keepLines w:val="0"/>
        <w:pageBreakBefore w:val="0"/>
        <w:widowControl w:val="0"/>
        <w:kinsoku/>
        <w:wordWrap/>
        <w:overflowPunct/>
        <w:topLinePunct w:val="0"/>
        <w:autoSpaceDE/>
        <w:autoSpaceDN/>
        <w:bidi w:val="0"/>
        <w:spacing w:line="480" w:lineRule="exact"/>
        <w:ind w:right="140"/>
        <w:jc w:val="right"/>
        <w:textAlignment w:val="auto"/>
        <w:rPr>
          <w:rFonts w:ascii="仿宋_GB2312" w:eastAsia="仿宋_GB2312"/>
          <w:color w:val="000000" w:themeColor="text1"/>
          <w:sz w:val="28"/>
          <w:highlight w:val="none"/>
          <w14:textFill>
            <w14:solidFill>
              <w14:schemeClr w14:val="tx1"/>
            </w14:solidFill>
          </w14:textFill>
        </w:rPr>
      </w:pPr>
    </w:p>
    <w:p w14:paraId="3253D565">
      <w:pPr>
        <w:keepNext w:val="0"/>
        <w:keepLines w:val="0"/>
        <w:pageBreakBefore w:val="0"/>
        <w:widowControl w:val="0"/>
        <w:kinsoku/>
        <w:wordWrap/>
        <w:overflowPunct/>
        <w:topLinePunct w:val="0"/>
        <w:autoSpaceDE/>
        <w:autoSpaceDN/>
        <w:bidi w:val="0"/>
        <w:spacing w:line="480" w:lineRule="exact"/>
        <w:ind w:right="140"/>
        <w:jc w:val="right"/>
        <w:textAlignment w:val="auto"/>
        <w:outlineLvl w:val="9"/>
        <w:rPr>
          <w:rFonts w:ascii="仿宋_GB2312" w:eastAsia="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湖南兆财不动产规划评估有限公司</w:t>
      </w:r>
    </w:p>
    <w:p w14:paraId="49E3943B">
      <w:pPr>
        <w:pStyle w:val="13"/>
        <w:keepNext w:val="0"/>
        <w:keepLines w:val="0"/>
        <w:pageBreakBefore w:val="0"/>
        <w:widowControl w:val="0"/>
        <w:kinsoku/>
        <w:wordWrap/>
        <w:overflowPunct/>
        <w:topLinePunct w:val="0"/>
        <w:autoSpaceDE/>
        <w:autoSpaceDN/>
        <w:bidi w:val="0"/>
        <w:adjustRightInd/>
        <w:snapToGrid/>
        <w:spacing w:line="480" w:lineRule="exact"/>
        <w:ind w:firstLine="560"/>
        <w:textAlignment w:val="auto"/>
        <w:rPr>
          <w:rFonts w:hint="eastAsia" w:eastAsia="仿宋_GB2312"/>
          <w:color w:val="000000" w:themeColor="text1"/>
          <w:highlight w:val="none"/>
          <w:lang w:eastAsia="zh-CN"/>
          <w14:textFill>
            <w14:solidFill>
              <w14:schemeClr w14:val="tx1"/>
            </w14:solidFill>
          </w14:textFill>
        </w:rPr>
      </w:pPr>
      <w:r>
        <w:rPr>
          <w:rFonts w:hint="eastAsia" w:ascii="仿宋_GB2312" w:hAnsi="仿宋_GB2312" w:eastAsia="仿宋_GB2312" w:cs="仿宋_GB2312"/>
          <w:color w:val="000000" w:themeColor="text1"/>
          <w:highlight w:val="none"/>
          <w14:textFill>
            <w14:solidFill>
              <w14:schemeClr w14:val="tx1"/>
            </w14:solidFill>
          </w14:textFill>
        </w:rPr>
        <w:t xml:space="preserve">                            </w:t>
      </w:r>
      <w:r>
        <w:rPr>
          <w:rFonts w:hint="eastAsia" w:ascii="仿宋_GB2312" w:hAnsi="仿宋_GB2312" w:eastAsia="仿宋_GB2312" w:cs="仿宋_GB2312"/>
          <w:color w:val="000000" w:themeColor="text1"/>
          <w:highlight w:val="non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highlight w:val="none"/>
          <w:lang w:eastAsia="zh-CN"/>
          <w14:textFill>
            <w14:solidFill>
              <w14:schemeClr w14:val="tx1"/>
            </w14:solidFill>
          </w14:textFill>
        </w:rPr>
        <w:t>202</w:t>
      </w:r>
      <w:r>
        <w:rPr>
          <w:rFonts w:hint="eastAsia" w:ascii="仿宋_GB2312" w:hAnsi="仿宋_GB2312" w:eastAsia="仿宋_GB2312" w:cs="仿宋_GB2312"/>
          <w:color w:val="000000" w:themeColor="text1"/>
          <w:highlight w:val="none"/>
          <w:lang w:val="en-US" w:eastAsia="zh-CN"/>
          <w14:textFill>
            <w14:solidFill>
              <w14:schemeClr w14:val="tx1"/>
            </w14:solidFill>
          </w14:textFill>
        </w:rPr>
        <w:t>5</w:t>
      </w:r>
      <w:r>
        <w:rPr>
          <w:rFonts w:hint="eastAsia" w:ascii="仿宋_GB2312" w:hAnsi="仿宋_GB2312" w:eastAsia="仿宋_GB2312" w:cs="仿宋_GB2312"/>
          <w:color w:val="000000" w:themeColor="text1"/>
          <w:highlight w:val="none"/>
          <w:lang w:eastAsia="zh-CN"/>
          <w14:textFill>
            <w14:solidFill>
              <w14:schemeClr w14:val="tx1"/>
            </w14:solidFill>
          </w14:textFill>
        </w:rPr>
        <w:t>年</w:t>
      </w:r>
      <w:r>
        <w:rPr>
          <w:rFonts w:hint="eastAsia" w:ascii="仿宋_GB2312" w:hAnsi="仿宋_GB2312" w:eastAsia="仿宋_GB2312" w:cs="仿宋_GB2312"/>
          <w:color w:val="000000" w:themeColor="text1"/>
          <w:highlight w:val="none"/>
          <w:lang w:val="en-US" w:eastAsia="zh-CN"/>
          <w14:textFill>
            <w14:solidFill>
              <w14:schemeClr w14:val="tx1"/>
            </w14:solidFill>
          </w14:textFill>
        </w:rPr>
        <w:t>11</w:t>
      </w:r>
      <w:r>
        <w:rPr>
          <w:rFonts w:hint="eastAsia" w:ascii="仿宋_GB2312" w:hAnsi="仿宋_GB2312" w:eastAsia="仿宋_GB2312" w:cs="仿宋_GB2312"/>
          <w:color w:val="000000" w:themeColor="text1"/>
          <w:highlight w:val="none"/>
          <w:lang w:eastAsia="zh-CN"/>
          <w14:textFill>
            <w14:solidFill>
              <w14:schemeClr w14:val="tx1"/>
            </w14:solidFill>
          </w14:textFill>
        </w:rPr>
        <w:t>月</w:t>
      </w:r>
      <w:r>
        <w:rPr>
          <w:rFonts w:hint="eastAsia" w:ascii="仿宋_GB2312" w:hAnsi="仿宋_GB2312" w:eastAsia="仿宋_GB2312" w:cs="仿宋_GB2312"/>
          <w:color w:val="000000" w:themeColor="text1"/>
          <w:highlight w:val="none"/>
          <w:lang w:val="en-US" w:eastAsia="zh-CN"/>
          <w14:textFill>
            <w14:solidFill>
              <w14:schemeClr w14:val="tx1"/>
            </w14:solidFill>
          </w14:textFill>
        </w:rPr>
        <w:t>28</w:t>
      </w:r>
      <w:r>
        <w:rPr>
          <w:rFonts w:hint="eastAsia" w:ascii="仿宋_GB2312" w:hAnsi="仿宋_GB2312" w:eastAsia="仿宋_GB2312" w:cs="仿宋_GB2312"/>
          <w:color w:val="000000" w:themeColor="text1"/>
          <w:highlight w:val="none"/>
          <w:lang w:eastAsia="zh-CN"/>
          <w14:textFill>
            <w14:solidFill>
              <w14:schemeClr w14:val="tx1"/>
            </w14:solidFill>
          </w14:textFill>
        </w:rPr>
        <w:t>日</w:t>
      </w:r>
    </w:p>
    <w:p w14:paraId="4400C43F">
      <w:pPr>
        <w:keepNext w:val="0"/>
        <w:keepLines w:val="0"/>
        <w:pageBreakBefore w:val="0"/>
        <w:widowControl w:val="0"/>
        <w:kinsoku/>
        <w:wordWrap/>
        <w:overflowPunct/>
        <w:topLinePunct w:val="0"/>
        <w:autoSpaceDE/>
        <w:autoSpaceDN/>
        <w:bidi w:val="0"/>
        <w:adjustRightInd/>
        <w:snapToGrid/>
        <w:spacing w:line="480" w:lineRule="exact"/>
        <w:textAlignment w:val="auto"/>
        <w:rPr>
          <w:rFonts w:ascii="仿宋_GB2312" w:eastAsia="仿宋_GB2312"/>
          <w:color w:val="000000" w:themeColor="text1"/>
          <w:sz w:val="28"/>
          <w:highlight w:val="none"/>
          <w14:textFill>
            <w14:solidFill>
              <w14:schemeClr w14:val="tx1"/>
            </w14:solidFill>
          </w14:textFill>
        </w:rPr>
        <w:sectPr>
          <w:footerReference r:id="rId21" w:type="default"/>
          <w:endnotePr>
            <w:numFmt w:val="decimal"/>
          </w:endnotePr>
          <w:pgSz w:w="11906" w:h="16838"/>
          <w:pgMar w:top="1440" w:right="1800" w:bottom="1440" w:left="1800" w:header="851" w:footer="850" w:gutter="0"/>
          <w:pgNumType w:fmt="decimal"/>
          <w:cols w:space="720" w:num="1"/>
          <w:docGrid w:linePitch="312" w:charSpace="0"/>
        </w:sectPr>
      </w:pPr>
    </w:p>
    <w:p w14:paraId="0AC74737">
      <w:pPr>
        <w:spacing w:line="520" w:lineRule="exact"/>
        <w:ind w:left="538" w:hanging="537" w:hangingChars="192"/>
        <w:jc w:val="center"/>
        <w:outlineLvl w:val="3"/>
        <w:rPr>
          <w:rFonts w:hint="eastAsia" w:ascii="仿宋_GB2312" w:eastAsia="仿宋_GB2312"/>
          <w:b/>
          <w:bCs/>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 xml:space="preserve"> </w:t>
      </w:r>
      <w:r>
        <w:rPr>
          <w:rFonts w:hint="eastAsia" w:ascii="仿宋_GB2312" w:hAnsi="仿宋_GB2312" w:eastAsia="仿宋_GB2312" w:cs="仿宋_GB2312"/>
          <w:b/>
          <w:bCs/>
          <w:color w:val="000000" w:themeColor="text1"/>
          <w:sz w:val="28"/>
          <w:highlight w:val="none"/>
          <w14:textFill>
            <w14:solidFill>
              <w14:schemeClr w14:val="tx1"/>
            </w14:solidFill>
          </w14:textFill>
        </w:rPr>
        <w:t xml:space="preserve">  土地估价结果一览表</w:t>
      </w:r>
      <w:r>
        <w:rPr>
          <w:rFonts w:hint="eastAsia" w:ascii="仿宋_GB2312" w:hAnsi="仿宋_GB2312" w:eastAsia="仿宋_GB2312" w:cs="仿宋_GB2312"/>
          <w:b/>
          <w:bCs/>
          <w:color w:val="000000" w:themeColor="text1"/>
          <w:sz w:val="28"/>
          <w:highlight w:val="none"/>
          <w:lang w:val="en-US" w:eastAsia="zh-CN"/>
          <w14:textFill>
            <w14:solidFill>
              <w14:schemeClr w14:val="tx1"/>
            </w14:solidFill>
          </w14:textFill>
        </w:rPr>
        <w:t xml:space="preserve"> </w:t>
      </w:r>
    </w:p>
    <w:p w14:paraId="2D9E7F20">
      <w:pPr>
        <w:spacing w:line="240" w:lineRule="exact"/>
        <w:ind w:left="-2478" w:leftChars="-1180" w:right="-227" w:firstLine="2625" w:firstLineChars="1250"/>
        <w:rPr>
          <w:rFonts w:hint="eastAsia" w:ascii="仿宋_GB2312" w:hAnsi="仿宋_GB2312" w:eastAsia="仿宋_GB2312" w:cs="仿宋_GB2312"/>
          <w:color w:val="000000" w:themeColor="text1"/>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 xml:space="preserve">估价机构：湖南兆财不动产规划评估有限公司                                                          </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Cs w:val="21"/>
          <w:highlight w:val="none"/>
          <w14:textFill>
            <w14:solidFill>
              <w14:schemeClr w14:val="tx1"/>
            </w14:solidFill>
          </w14:textFill>
        </w:rPr>
        <w:t>估价期日：</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2025年11月26日</w:t>
      </w:r>
    </w:p>
    <w:p w14:paraId="3F6401EE">
      <w:pPr>
        <w:spacing w:line="240" w:lineRule="exact"/>
        <w:ind w:right="-227" w:firstLine="105" w:firstLineChars="50"/>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 xml:space="preserve">估价报告编号：（湖南）湘兆财土地[2026]（技）字第ZC0005号        </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Cs w:val="21"/>
          <w:highlight w:val="none"/>
          <w14:textFill>
            <w14:solidFill>
              <w14:schemeClr w14:val="tx1"/>
            </w14:solidFill>
          </w14:textFill>
        </w:rPr>
        <w:t xml:space="preserve">   </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Cs w:val="21"/>
          <w:highlight w:val="none"/>
          <w14:textFill>
            <w14:solidFill>
              <w14:schemeClr w14:val="tx1"/>
            </w14:solidFill>
          </w14:textFill>
        </w:rPr>
        <w:t>估价目的：</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出让</w:t>
      </w:r>
      <w:r>
        <w:rPr>
          <w:rFonts w:hint="eastAsia" w:ascii="仿宋_GB2312" w:hAnsi="仿宋_GB2312" w:eastAsia="仿宋_GB2312" w:cs="仿宋_GB2312"/>
          <w:color w:val="000000" w:themeColor="text1"/>
          <w:szCs w:val="21"/>
          <w:highlight w:val="none"/>
          <w14:textFill>
            <w14:solidFill>
              <w14:schemeClr w14:val="tx1"/>
            </w14:solidFill>
          </w14:textFill>
        </w:rPr>
        <w:t xml:space="preserve">                </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Cs w:val="21"/>
          <w:highlight w:val="none"/>
          <w14:textFill>
            <w14:solidFill>
              <w14:schemeClr w14:val="tx1"/>
            </w14:solidFill>
          </w14:textFill>
        </w:rPr>
        <w:t xml:space="preserve">    估价期日的土地使用权性质：拟出让</w:t>
      </w:r>
    </w:p>
    <w:tbl>
      <w:tblPr>
        <w:tblStyle w:val="9"/>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7"/>
        <w:gridCol w:w="944"/>
        <w:gridCol w:w="1096"/>
        <w:gridCol w:w="794"/>
        <w:gridCol w:w="778"/>
        <w:gridCol w:w="520"/>
        <w:gridCol w:w="580"/>
        <w:gridCol w:w="1336"/>
        <w:gridCol w:w="432"/>
        <w:gridCol w:w="919"/>
        <w:gridCol w:w="1325"/>
        <w:gridCol w:w="1583"/>
        <w:gridCol w:w="809"/>
        <w:gridCol w:w="976"/>
        <w:gridCol w:w="658"/>
        <w:gridCol w:w="690"/>
        <w:gridCol w:w="860"/>
        <w:gridCol w:w="652"/>
      </w:tblGrid>
      <w:tr w14:paraId="020E2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tblHeader/>
          <w:jc w:val="center"/>
        </w:trPr>
        <w:tc>
          <w:tcPr>
            <w:tcW w:w="254" w:type="pct"/>
            <w:vMerge w:val="restart"/>
            <w:vAlign w:val="center"/>
          </w:tcPr>
          <w:p w14:paraId="2E45760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估价期日土地使用者</w:t>
            </w:r>
          </w:p>
        </w:tc>
        <w:tc>
          <w:tcPr>
            <w:tcW w:w="310" w:type="pct"/>
            <w:vMerge w:val="restart"/>
            <w:vAlign w:val="center"/>
          </w:tcPr>
          <w:p w14:paraId="3F14AFC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宗地</w:t>
            </w:r>
          </w:p>
          <w:p w14:paraId="0C83D99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编号</w:t>
            </w:r>
          </w:p>
        </w:tc>
        <w:tc>
          <w:tcPr>
            <w:tcW w:w="358" w:type="pct"/>
            <w:vMerge w:val="restart"/>
            <w:vAlign w:val="center"/>
          </w:tcPr>
          <w:p w14:paraId="4AE433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宗地名称</w:t>
            </w:r>
          </w:p>
        </w:tc>
        <w:tc>
          <w:tcPr>
            <w:tcW w:w="262" w:type="pct"/>
            <w:vMerge w:val="restart"/>
            <w:vAlign w:val="center"/>
          </w:tcPr>
          <w:p w14:paraId="59B9192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土地使用证编号</w:t>
            </w:r>
          </w:p>
        </w:tc>
        <w:tc>
          <w:tcPr>
            <w:tcW w:w="626" w:type="pct"/>
            <w:gridSpan w:val="3"/>
            <w:vAlign w:val="center"/>
          </w:tcPr>
          <w:p w14:paraId="1BF04AD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估价期日的用途</w:t>
            </w:r>
          </w:p>
        </w:tc>
        <w:tc>
          <w:tcPr>
            <w:tcW w:w="706" w:type="pct"/>
            <w:gridSpan w:val="3"/>
            <w:vAlign w:val="center"/>
          </w:tcPr>
          <w:p w14:paraId="3E1472C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容积率</w:t>
            </w:r>
          </w:p>
        </w:tc>
        <w:tc>
          <w:tcPr>
            <w:tcW w:w="431" w:type="pct"/>
            <w:vMerge w:val="restart"/>
            <w:vAlign w:val="center"/>
          </w:tcPr>
          <w:p w14:paraId="2C34BB8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估价期日实际土地开发程度</w:t>
            </w:r>
          </w:p>
        </w:tc>
        <w:tc>
          <w:tcPr>
            <w:tcW w:w="513" w:type="pct"/>
            <w:vMerge w:val="restart"/>
            <w:vAlign w:val="center"/>
          </w:tcPr>
          <w:p w14:paraId="68D4D39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估价设定土地开发程度</w:t>
            </w:r>
          </w:p>
        </w:tc>
        <w:tc>
          <w:tcPr>
            <w:tcW w:w="267" w:type="pct"/>
            <w:vMerge w:val="restart"/>
            <w:vAlign w:val="center"/>
          </w:tcPr>
          <w:p w14:paraId="69605D8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剩余土地使用权年期（年）</w:t>
            </w:r>
          </w:p>
        </w:tc>
        <w:tc>
          <w:tcPr>
            <w:tcW w:w="320" w:type="pct"/>
            <w:vMerge w:val="restart"/>
            <w:vAlign w:val="center"/>
          </w:tcPr>
          <w:p w14:paraId="5789F92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面积(㎡)</w:t>
            </w:r>
          </w:p>
        </w:tc>
        <w:tc>
          <w:tcPr>
            <w:tcW w:w="219" w:type="pct"/>
            <w:vMerge w:val="restart"/>
            <w:vAlign w:val="center"/>
          </w:tcPr>
          <w:p w14:paraId="771137E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地面地价(元/㎡)</w:t>
            </w:r>
          </w:p>
        </w:tc>
        <w:tc>
          <w:tcPr>
            <w:tcW w:w="229" w:type="pct"/>
            <w:vMerge w:val="restart"/>
            <w:vAlign w:val="center"/>
          </w:tcPr>
          <w:p w14:paraId="7A2444B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楼面地价(元/㎡)</w:t>
            </w:r>
          </w:p>
        </w:tc>
        <w:tc>
          <w:tcPr>
            <w:tcW w:w="283" w:type="pct"/>
            <w:vMerge w:val="restart"/>
            <w:vAlign w:val="center"/>
          </w:tcPr>
          <w:p w14:paraId="24CBC0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总价</w:t>
            </w:r>
          </w:p>
          <w:p w14:paraId="5527E3B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(万元)</w:t>
            </w:r>
          </w:p>
        </w:tc>
        <w:tc>
          <w:tcPr>
            <w:tcW w:w="217" w:type="pct"/>
            <w:vMerge w:val="restart"/>
            <w:vAlign w:val="center"/>
          </w:tcPr>
          <w:p w14:paraId="5447EB2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备注</w:t>
            </w:r>
          </w:p>
        </w:tc>
      </w:tr>
      <w:tr w14:paraId="60C09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0" w:hRule="atLeast"/>
          <w:tblHeader/>
          <w:jc w:val="center"/>
        </w:trPr>
        <w:tc>
          <w:tcPr>
            <w:tcW w:w="254" w:type="pct"/>
            <w:vMerge w:val="continue"/>
            <w:vAlign w:val="center"/>
          </w:tcPr>
          <w:p w14:paraId="240571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10" w:type="pct"/>
            <w:vMerge w:val="continue"/>
            <w:vAlign w:val="center"/>
          </w:tcPr>
          <w:p w14:paraId="56CE40B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58" w:type="pct"/>
            <w:vMerge w:val="continue"/>
            <w:vAlign w:val="center"/>
          </w:tcPr>
          <w:p w14:paraId="3E0A7C0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62" w:type="pct"/>
            <w:vMerge w:val="continue"/>
            <w:vAlign w:val="center"/>
          </w:tcPr>
          <w:p w14:paraId="71F2FAA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57" w:type="pct"/>
            <w:vAlign w:val="center"/>
          </w:tcPr>
          <w:p w14:paraId="2D357C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证载（或批准）</w:t>
            </w:r>
          </w:p>
        </w:tc>
        <w:tc>
          <w:tcPr>
            <w:tcW w:w="175" w:type="pct"/>
            <w:vAlign w:val="center"/>
          </w:tcPr>
          <w:p w14:paraId="0517EBD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实际</w:t>
            </w:r>
          </w:p>
        </w:tc>
        <w:tc>
          <w:tcPr>
            <w:tcW w:w="194" w:type="pct"/>
            <w:vAlign w:val="center"/>
          </w:tcPr>
          <w:p w14:paraId="1EF5DD4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设定</w:t>
            </w:r>
          </w:p>
        </w:tc>
        <w:tc>
          <w:tcPr>
            <w:tcW w:w="257" w:type="pct"/>
            <w:vAlign w:val="center"/>
          </w:tcPr>
          <w:p w14:paraId="5E90F40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规划</w:t>
            </w:r>
          </w:p>
        </w:tc>
        <w:tc>
          <w:tcPr>
            <w:tcW w:w="147" w:type="pct"/>
            <w:vAlign w:val="center"/>
          </w:tcPr>
          <w:p w14:paraId="1D6701F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实际</w:t>
            </w:r>
          </w:p>
        </w:tc>
        <w:tc>
          <w:tcPr>
            <w:tcW w:w="300" w:type="pct"/>
            <w:vAlign w:val="center"/>
          </w:tcPr>
          <w:p w14:paraId="7940331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设定</w:t>
            </w:r>
          </w:p>
        </w:tc>
        <w:tc>
          <w:tcPr>
            <w:tcW w:w="431" w:type="pct"/>
            <w:vMerge w:val="continue"/>
            <w:vAlign w:val="center"/>
          </w:tcPr>
          <w:p w14:paraId="2F7C8B0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513" w:type="pct"/>
            <w:vMerge w:val="continue"/>
            <w:vAlign w:val="center"/>
          </w:tcPr>
          <w:p w14:paraId="2A8B7E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67" w:type="pct"/>
            <w:vMerge w:val="continue"/>
            <w:vAlign w:val="center"/>
          </w:tcPr>
          <w:p w14:paraId="02C5C48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20" w:type="pct"/>
            <w:vMerge w:val="continue"/>
            <w:vAlign w:val="center"/>
          </w:tcPr>
          <w:p w14:paraId="642B483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19" w:type="pct"/>
            <w:vMerge w:val="continue"/>
            <w:vAlign w:val="center"/>
          </w:tcPr>
          <w:p w14:paraId="1F8372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29" w:type="pct"/>
            <w:vMerge w:val="continue"/>
            <w:vAlign w:val="center"/>
          </w:tcPr>
          <w:p w14:paraId="4A4E5E4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83" w:type="pct"/>
            <w:vMerge w:val="continue"/>
            <w:vAlign w:val="center"/>
          </w:tcPr>
          <w:p w14:paraId="0B303F7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17" w:type="pct"/>
            <w:vMerge w:val="continue"/>
            <w:vAlign w:val="center"/>
          </w:tcPr>
          <w:p w14:paraId="717D6F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r>
      <w:tr w14:paraId="320F0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atLeast"/>
          <w:jc w:val="center"/>
        </w:trPr>
        <w:tc>
          <w:tcPr>
            <w:tcW w:w="254" w:type="pct"/>
            <w:vAlign w:val="center"/>
          </w:tcPr>
          <w:p w14:paraId="128F3F24">
            <w:r>
              <w:t>黄璞</w:t>
            </w:r>
          </w:p>
        </w:tc>
        <w:tc>
          <w:tcPr>
            <w:tcW w:w="310" w:type="pct"/>
            <w:vAlign w:val="center"/>
          </w:tcPr>
          <w:p w14:paraId="38125FC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2025018</w:t>
            </w:r>
          </w:p>
        </w:tc>
        <w:tc>
          <w:tcPr>
            <w:tcW w:w="358" w:type="pct"/>
            <w:vAlign w:val="center"/>
          </w:tcPr>
          <w:p w14:paraId="565E584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t>通道县双江镇城南街</w:t>
            </w:r>
          </w:p>
        </w:tc>
        <w:tc>
          <w:tcPr>
            <w:tcW w:w="262" w:type="pct"/>
            <w:vAlign w:val="center"/>
          </w:tcPr>
          <w:p w14:paraId="05E391A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待办</w:t>
            </w:r>
          </w:p>
        </w:tc>
        <w:tc>
          <w:tcPr>
            <w:tcW w:w="257" w:type="pct"/>
            <w:vAlign w:val="center"/>
          </w:tcPr>
          <w:p w14:paraId="1CD9E72F">
            <w:r>
              <w:t>住宅用地</w:t>
            </w:r>
          </w:p>
        </w:tc>
        <w:tc>
          <w:tcPr>
            <w:tcW w:w="175" w:type="pct"/>
            <w:vAlign w:val="center"/>
          </w:tcPr>
          <w:p w14:paraId="4AEB17C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t>/</w:t>
            </w:r>
          </w:p>
        </w:tc>
        <w:tc>
          <w:tcPr>
            <w:tcW w:w="194" w:type="pct"/>
            <w:vAlign w:val="center"/>
          </w:tcPr>
          <w:p w14:paraId="74D69348">
            <w:r>
              <w:t>住宅用地</w:t>
            </w:r>
          </w:p>
        </w:tc>
        <w:tc>
          <w:tcPr>
            <w:tcW w:w="257" w:type="pct"/>
            <w:vAlign w:val="center"/>
          </w:tcPr>
          <w:p w14:paraId="152F363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ascii="仿宋_GB2312" w:hAnsi="仿宋_GB2312" w:eastAsia="仿宋_GB2312" w:cs="仿宋_GB2312"/>
                <w:color w:val="000000"/>
                <w:sz w:val="28"/>
              </w:rPr>
              <w:t>0.7-4.23</w:t>
            </w:r>
          </w:p>
        </w:tc>
        <w:tc>
          <w:tcPr>
            <w:tcW w:w="147" w:type="pct"/>
            <w:vAlign w:val="center"/>
          </w:tcPr>
          <w:p w14:paraId="5EB5BF3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t>/</w:t>
            </w:r>
          </w:p>
        </w:tc>
        <w:tc>
          <w:tcPr>
            <w:tcW w:w="300" w:type="pct"/>
            <w:vAlign w:val="center"/>
          </w:tcPr>
          <w:p w14:paraId="6EABBF8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ascii="仿宋_GB2312" w:hAnsi="仿宋_GB2312" w:eastAsia="仿宋_GB2312" w:cs="仿宋_GB2312"/>
                <w:color w:val="000000"/>
                <w:sz w:val="28"/>
              </w:rPr>
              <w:t>4.23</w:t>
            </w:r>
          </w:p>
        </w:tc>
        <w:tc>
          <w:tcPr>
            <w:tcW w:w="431" w:type="pct"/>
            <w:vAlign w:val="center"/>
          </w:tcPr>
          <w:p w14:paraId="786C2F4C">
            <w:r>
              <w:t>宗地红线内外“五通”（通路、通电、供水、排水、通讯）及红线内场地平整</w:t>
            </w:r>
          </w:p>
        </w:tc>
        <w:tc>
          <w:tcPr>
            <w:tcW w:w="513" w:type="pct"/>
            <w:vAlign w:val="center"/>
          </w:tcPr>
          <w:p w14:paraId="191E96F9">
            <w:r>
              <w:t>宗地红线内外“五通”（通路、通电、供水、排水、通讯）及红线内场地平整</w:t>
            </w:r>
          </w:p>
        </w:tc>
        <w:tc>
          <w:tcPr>
            <w:tcW w:w="267" w:type="pct"/>
            <w:vAlign w:val="center"/>
          </w:tcPr>
          <w:p w14:paraId="228B6D16">
            <w:r>
              <w:t>70</w:t>
            </w:r>
          </w:p>
        </w:tc>
        <w:tc>
          <w:tcPr>
            <w:tcW w:w="320" w:type="pct"/>
            <w:vAlign w:val="center"/>
          </w:tcPr>
          <w:p w14:paraId="1F7F662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25.32</w:t>
            </w:r>
          </w:p>
        </w:tc>
        <w:tc>
          <w:tcPr>
            <w:tcW w:w="219" w:type="pct"/>
            <w:vAlign w:val="center"/>
          </w:tcPr>
          <w:p w14:paraId="0FFD06A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159</w:t>
            </w:r>
          </w:p>
        </w:tc>
        <w:tc>
          <w:tcPr>
            <w:tcW w:w="229" w:type="pct"/>
            <w:vAlign w:val="center"/>
          </w:tcPr>
          <w:p w14:paraId="46A3BE6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w:t>
            </w:r>
          </w:p>
        </w:tc>
        <w:tc>
          <w:tcPr>
            <w:tcW w:w="283" w:type="pct"/>
            <w:shd w:val="clear" w:color="auto" w:fill="auto"/>
            <w:vAlign w:val="center"/>
          </w:tcPr>
          <w:p w14:paraId="113C291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default" w:ascii="等线" w:hAnsi="等线" w:eastAsia="等线" w:cs="等线"/>
                <w:i w:val="0"/>
                <w:iCs w:val="0"/>
                <w:color w:val="000000" w:themeColor="text1"/>
                <w:kern w:val="2"/>
                <w:sz w:val="22"/>
                <w:szCs w:val="22"/>
                <w:highlight w:val="none"/>
                <w:u w:val="none"/>
                <w:lang w:val="en-US" w:eastAsia="zh-CN" w:bidi="ar-SA"/>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76.79</w:t>
            </w:r>
          </w:p>
        </w:tc>
        <w:tc>
          <w:tcPr>
            <w:tcW w:w="217" w:type="pct"/>
            <w:vAlign w:val="center"/>
          </w:tcPr>
          <w:p w14:paraId="564A63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合</w:t>
            </w:r>
            <w:r>
              <w:rPr>
                <w:rFonts w:hint="eastAsia" w:ascii="仿宋_GB2312" w:hAnsi="仿宋_GB2312" w:eastAsia="仿宋_GB2312" w:cs="仿宋_GB2312"/>
                <w:color w:val="000000" w:themeColor="text1"/>
                <w:spacing w:val="0"/>
                <w:sz w:val="21"/>
                <w:szCs w:val="21"/>
                <w:highlight w:val="none"/>
                <w:lang w:val="en-US" w:eastAsia="zh-CN"/>
                <w14:textFill>
                  <w14:solidFill>
                    <w14:schemeClr w14:val="tx1"/>
                  </w14:solidFill>
                </w14:textFill>
              </w:rPr>
              <w:t>10.7</w:t>
            </w: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万元/亩</w:t>
            </w:r>
          </w:p>
        </w:tc>
      </w:tr>
    </w:tbl>
    <w:p w14:paraId="5EA0BA2B">
      <w:pPr>
        <w:keepNext w:val="0"/>
        <w:keepLines w:val="0"/>
        <w:pageBreakBefore w:val="0"/>
        <w:widowControl w:val="0"/>
        <w:kinsoku/>
        <w:wordWrap/>
        <w:overflowPunct/>
        <w:topLinePunct w:val="0"/>
        <w:autoSpaceDE/>
        <w:autoSpaceDN/>
        <w:bidi w:val="0"/>
        <w:adjustRightInd/>
        <w:snapToGrid/>
        <w:spacing w:line="22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注：上表中“</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五通</w:t>
      </w:r>
      <w:r>
        <w:rPr>
          <w:rFonts w:hint="eastAsia" w:ascii="仿宋_GB2312" w:hAnsi="仿宋_GB2312" w:eastAsia="仿宋_GB2312" w:cs="仿宋_GB2312"/>
          <w:color w:val="000000" w:themeColor="text1"/>
          <w:szCs w:val="21"/>
          <w:highlight w:val="none"/>
          <w14:textFill>
            <w14:solidFill>
              <w14:schemeClr w14:val="tx1"/>
            </w14:solidFill>
          </w14:textFill>
        </w:rPr>
        <w:t>”指宗地红外围通路、通电、通讯</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供水、排水</w:t>
      </w:r>
      <w:r>
        <w:rPr>
          <w:rFonts w:hint="eastAsia" w:ascii="仿宋_GB2312" w:hAnsi="仿宋_GB2312" w:eastAsia="仿宋_GB2312" w:cs="仿宋_GB2312"/>
          <w:color w:val="000000" w:themeColor="text1"/>
          <w:szCs w:val="21"/>
          <w:highlight w:val="none"/>
          <w14:textFill>
            <w14:solidFill>
              <w14:schemeClr w14:val="tx1"/>
            </w14:solidFill>
          </w14:textFill>
        </w:rPr>
        <w:t>。</w:t>
      </w:r>
    </w:p>
    <w:p w14:paraId="70A56C7C">
      <w:pPr>
        <w:keepNext w:val="0"/>
        <w:keepLines w:val="0"/>
        <w:pageBreakBefore w:val="0"/>
        <w:widowControl w:val="0"/>
        <w:tabs>
          <w:tab w:val="left" w:pos="560"/>
        </w:tabs>
        <w:kinsoku/>
        <w:wordWrap/>
        <w:overflowPunct/>
        <w:topLinePunct w:val="0"/>
        <w:autoSpaceDE/>
        <w:autoSpaceDN/>
        <w:bidi w:val="0"/>
        <w:adjustRightInd/>
        <w:snapToGrid/>
        <w:spacing w:line="22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一、上述土地估价结果的限定条件</w:t>
      </w:r>
    </w:p>
    <w:p w14:paraId="11A3E73B">
      <w:pPr>
        <w:keepNext w:val="0"/>
        <w:keepLines w:val="0"/>
        <w:pageBreakBefore w:val="0"/>
        <w:widowControl w:val="0"/>
        <w:tabs>
          <w:tab w:val="left" w:pos="560"/>
        </w:tabs>
        <w:kinsoku/>
        <w:wordWrap/>
        <w:overflowPunct/>
        <w:topLinePunct w:val="0"/>
        <w:autoSpaceDE/>
        <w:autoSpaceDN/>
        <w:bidi w:val="0"/>
        <w:adjustRightInd/>
        <w:snapToGrid/>
        <w:spacing w:line="220" w:lineRule="exact"/>
        <w:ind w:left="-283" w:leftChars="-135" w:firstLine="943" w:firstLineChars="337"/>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color w:val="000000"/>
          <w:sz w:val="28"/>
        </w:rPr>
        <w:t>1.根据《关于国有建设用地的规划条件的函》（2025年9月11日），估价对象位于通道县双江镇城南街，估价对象土地所有权为国有，土地使用权性质为拟出让，土地使用者拟通过挂牌出让确定。根据委托方提供相关资料和估价人员调查结果，截至估价期日估价对象未有抵押权、地役权、租赁权等他项权利登记，本次评估设定估价对象地上无抵押权、地役权、租赁权等他项权利登记；</w:t>
      </w:r>
    </w:p>
    <w:p w14:paraId="764C00F5">
      <w:pPr>
        <w:keepNext w:val="0"/>
        <w:keepLines w:val="0"/>
        <w:pageBreakBefore w:val="0"/>
        <w:widowControl w:val="0"/>
        <w:tabs>
          <w:tab w:val="left" w:pos="560"/>
        </w:tabs>
        <w:kinsoku/>
        <w:wordWrap/>
        <w:overflowPunct/>
        <w:topLinePunct w:val="0"/>
        <w:autoSpaceDE/>
        <w:autoSpaceDN/>
        <w:bidi w:val="0"/>
        <w:adjustRightInd/>
        <w:snapToGrid/>
        <w:spacing w:line="220" w:lineRule="exact"/>
        <w:ind w:left="-283" w:leftChars="-135" w:firstLine="943" w:firstLineChars="337"/>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color w:val="000000"/>
          <w:sz w:val="28"/>
        </w:rPr>
        <w:t>2.宗地红线外“五通”（即通路、通电、供水、排水、通讯），宗地红线内场地平整。</w:t>
      </w:r>
    </w:p>
    <w:tbl>
      <w:tblPr>
        <w:tblStyle w:val="9"/>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6"/>
        <w:gridCol w:w="2322"/>
        <w:gridCol w:w="3011"/>
        <w:gridCol w:w="2672"/>
        <w:gridCol w:w="2672"/>
        <w:gridCol w:w="3342"/>
      </w:tblGrid>
      <w:tr w14:paraId="050C4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93" w:hRule="atLeast"/>
          <w:jc w:val="center"/>
        </w:trPr>
        <w:tc>
          <w:tcPr>
            <w:tcW w:w="542" w:type="pct"/>
            <w:noWrap w:val="0"/>
            <w:vAlign w:val="center"/>
          </w:tcPr>
          <w:p w14:paraId="21D2CBE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 w:hAnsi="仿宋" w:eastAsia="仿宋" w:cs="仿宋"/>
                <w:b/>
                <w:snapToGrid w:val="0"/>
                <w:color w:val="auto"/>
                <w:sz w:val="18"/>
                <w:szCs w:val="18"/>
                <w:highlight w:val="none"/>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地面平整状况</w:t>
            </w:r>
          </w:p>
        </w:tc>
        <w:tc>
          <w:tcPr>
            <w:tcW w:w="738" w:type="pct"/>
            <w:noWrap w:val="0"/>
            <w:vAlign w:val="center"/>
          </w:tcPr>
          <w:p w14:paraId="1514222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周围道路状况</w:t>
            </w:r>
          </w:p>
        </w:tc>
        <w:tc>
          <w:tcPr>
            <w:tcW w:w="957" w:type="pct"/>
            <w:noWrap w:val="0"/>
            <w:vAlign w:val="center"/>
          </w:tcPr>
          <w:p w14:paraId="619A401E">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供电状况</w:t>
            </w:r>
          </w:p>
        </w:tc>
        <w:tc>
          <w:tcPr>
            <w:tcW w:w="849" w:type="pct"/>
            <w:noWrap w:val="0"/>
            <w:vAlign w:val="center"/>
          </w:tcPr>
          <w:p w14:paraId="7754268C">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供水状况</w:t>
            </w:r>
          </w:p>
        </w:tc>
        <w:tc>
          <w:tcPr>
            <w:tcW w:w="849" w:type="pct"/>
            <w:noWrap w:val="0"/>
            <w:vAlign w:val="center"/>
          </w:tcPr>
          <w:p w14:paraId="011F24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排水状况</w:t>
            </w:r>
          </w:p>
        </w:tc>
        <w:tc>
          <w:tcPr>
            <w:tcW w:w="1062" w:type="pct"/>
            <w:noWrap w:val="0"/>
            <w:vAlign w:val="center"/>
          </w:tcPr>
          <w:p w14:paraId="0A181C4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通</w:t>
            </w:r>
            <w:r>
              <w:rPr>
                <w:rFonts w:hint="eastAsia" w:ascii="仿宋_GB2312" w:hAnsi="仿宋_GB2312" w:eastAsia="仿宋_GB2312" w:cs="仿宋_GB2312"/>
                <w:b/>
                <w:bCs/>
                <w:snapToGrid/>
                <w:color w:val="000000" w:themeColor="text1"/>
                <w:spacing w:val="-10"/>
                <w:sz w:val="21"/>
                <w:szCs w:val="21"/>
                <w:highlight w:val="none"/>
                <w:lang w:eastAsia="zh-CN"/>
                <w14:textFill>
                  <w14:solidFill>
                    <w14:schemeClr w14:val="tx1"/>
                  </w14:solidFill>
                </w14:textFill>
              </w:rPr>
              <w:t>讯</w:t>
            </w: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状况</w:t>
            </w:r>
          </w:p>
        </w:tc>
      </w:tr>
      <w:tr w14:paraId="0F845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33" w:hRule="atLeast"/>
          <w:jc w:val="center"/>
        </w:trPr>
        <w:tc>
          <w:tcPr>
            <w:tcW w:w="542" w:type="pct"/>
            <w:noWrap w:val="0"/>
            <w:vAlign w:val="center"/>
          </w:tcPr>
          <w:p w14:paraId="14E7BCF4">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 w:hAnsi="仿宋" w:eastAsia="仿宋" w:cs="仿宋"/>
                <w:snapToGrid w:val="0"/>
                <w:color w:val="auto"/>
                <w:sz w:val="18"/>
                <w:szCs w:val="18"/>
                <w:highlight w:val="none"/>
                <w:lang w:val="en-US" w:eastAsia="zh-CN"/>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宗地红线外“五通”宗地红线内场地平整</w:t>
            </w:r>
          </w:p>
        </w:tc>
        <w:tc>
          <w:tcPr>
            <w:tcW w:w="738" w:type="pct"/>
            <w:noWrap w:val="0"/>
            <w:vAlign w:val="center"/>
          </w:tcPr>
          <w:p w14:paraId="0D257ED3">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场内道路为山皮石路面，路面宽4.5m</w:t>
            </w:r>
          </w:p>
          <w:p w14:paraId="14914478">
            <w:pPr>
              <w:spacing w:line="220" w:lineRule="exact"/>
              <w:jc w:val="center"/>
              <w:outlineLvl w:val="9"/>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p>
        </w:tc>
        <w:tc>
          <w:tcPr>
            <w:tcW w:w="957" w:type="pct"/>
            <w:noWrap w:val="0"/>
            <w:vAlign w:val="center"/>
          </w:tcPr>
          <w:p w14:paraId="3268153C">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区域内接市政双回路110KV供电管网，供电保证率一般</w:t>
            </w:r>
          </w:p>
        </w:tc>
        <w:tc>
          <w:tcPr>
            <w:tcW w:w="849" w:type="pct"/>
            <w:noWrap w:val="0"/>
            <w:vAlign w:val="center"/>
          </w:tcPr>
          <w:p w14:paraId="6BBADA87">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区域内供水主要来自区内的市政供水</w:t>
            </w:r>
          </w:p>
        </w:tc>
        <w:tc>
          <w:tcPr>
            <w:tcW w:w="849" w:type="pct"/>
            <w:noWrap w:val="0"/>
            <w:vAlign w:val="center"/>
          </w:tcPr>
          <w:p w14:paraId="4F3EE01A">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宗地外接排水设施，在雨水大的情况下无洪涝和积水</w:t>
            </w:r>
          </w:p>
        </w:tc>
        <w:tc>
          <w:tcPr>
            <w:tcW w:w="1062" w:type="pct"/>
            <w:noWrap w:val="0"/>
            <w:vAlign w:val="center"/>
          </w:tcPr>
          <w:p w14:paraId="65083410">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宗地接市政通讯设施，有中国电信光缆、移动、联通综合网络覆盖该区域，区域通讯直接与市政通信网络相联，线路畅通，现有通讯能力保障率为100%。</w:t>
            </w:r>
          </w:p>
        </w:tc>
      </w:tr>
    </w:tbl>
    <w:p w14:paraId="694D251B">
      <w:pPr>
        <w:keepNext w:val="0"/>
        <w:keepLines w:val="0"/>
        <w:pageBreakBefore w:val="0"/>
        <w:widowControl w:val="0"/>
        <w:kinsoku/>
        <w:wordWrap/>
        <w:overflowPunct/>
        <w:topLinePunct w:val="0"/>
        <w:autoSpaceDE/>
        <w:autoSpaceDN/>
        <w:bidi w:val="0"/>
        <w:adjustRightInd/>
        <w:snapToGrid/>
        <w:spacing w:line="240" w:lineRule="exact"/>
        <w:ind w:firstLine="56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color w:val="000000"/>
          <w:sz w:val="28"/>
        </w:rPr>
        <w:t>3.规划限制条件：根据《关于国有建设用地的规划条件的函》（2025年9月11日），估价对象为位于通道县双江镇城南街，用地面积25.32平方米。</w:t>
      </w:r>
    </w:p>
    <w:p w14:paraId="09B67B4D">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4.影响土地价值的其他限定条件：无。</w:t>
      </w:r>
    </w:p>
    <w:p w14:paraId="37668B38">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 xml:space="preserve">二、其他需要说明的事项 </w:t>
      </w:r>
    </w:p>
    <w:p w14:paraId="693969C3">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1.本次估价目的为土地出让方通过集体决策确定估价对象挂牌出让底价提供国有建设用地使用权市场价格参考依据。</w:t>
      </w:r>
    </w:p>
    <w:p w14:paraId="4C809085">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2.本估价报告有效期自提交估价报告日</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202</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5年11月28</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日</w:t>
      </w:r>
      <w:r>
        <w:rPr>
          <w:rFonts w:hint="eastAsia" w:ascii="仿宋_GB2312" w:hAnsi="仿宋_GB2312" w:eastAsia="仿宋_GB2312" w:cs="仿宋_GB2312"/>
          <w:color w:val="000000" w:themeColor="text1"/>
          <w:szCs w:val="21"/>
          <w:highlight w:val="none"/>
          <w14:textFill>
            <w14:solidFill>
              <w14:schemeClr w14:val="tx1"/>
            </w14:solidFill>
          </w14:textFill>
        </w:rPr>
        <w:t>至</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202</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6</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年</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11</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月</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27</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日</w:t>
      </w:r>
      <w:r>
        <w:rPr>
          <w:rFonts w:hint="eastAsia" w:ascii="仿宋_GB2312" w:hAnsi="仿宋_GB2312" w:eastAsia="仿宋_GB2312" w:cs="仿宋_GB2312"/>
          <w:color w:val="000000" w:themeColor="text1"/>
          <w:szCs w:val="21"/>
          <w:highlight w:val="none"/>
          <w14:textFill>
            <w14:solidFill>
              <w14:schemeClr w14:val="tx1"/>
            </w14:solidFill>
          </w14:textFill>
        </w:rPr>
        <w:t>一年内有效。</w:t>
      </w:r>
    </w:p>
    <w:p w14:paraId="0F35ED77">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3.估价结果按规定须报请自然资源主管部门备案。</w:t>
      </w:r>
    </w:p>
    <w:p w14:paraId="40C5D862">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t>4.本评估报告中涉及的土地面积、土地权属、土地用途、规划利用指标以委托方提供的《关于通道县2002年第七批次建设用地农用地转用和土地征收的批复》（湘政地〔2002〕1205号，2002年9月5日）、《通道县房屋登记核发权证申请表》（2002年12月30日）为依据，本报告估价结果是在满足地价定义所设定条件下的使用权价格，若估价期日、土地利用方式、土地开发状况、土地面积等影响地价的任一因素发生变化，则该估价结果应作相应调整。</w:t>
      </w:r>
    </w:p>
    <w:p w14:paraId="3B160255">
      <w:pPr>
        <w:keepNext w:val="0"/>
        <w:keepLines w:val="0"/>
        <w:pageBreakBefore w:val="0"/>
        <w:widowControl w:val="0"/>
        <w:kinsoku/>
        <w:wordWrap/>
        <w:overflowPunct/>
        <w:topLinePunct w:val="0"/>
        <w:autoSpaceDE/>
        <w:autoSpaceDN/>
        <w:bidi w:val="0"/>
        <w:adjustRightInd/>
        <w:snapToGrid/>
        <w:spacing w:line="240" w:lineRule="exact"/>
        <w:ind w:firstLine="56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color w:val="000000"/>
          <w:sz w:val="28"/>
        </w:rPr>
        <w:t>5.依据通道县自然资源局《关于国有建设用地的规划条件的函》（2025年9月11日），用地面积25.32平方米，本次评估面积以拟出让地块红线图的供应面积为准。</w:t>
      </w:r>
    </w:p>
    <w:p w14:paraId="0A4925A6">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6</w:t>
      </w:r>
      <w:r>
        <w:rPr>
          <w:rFonts w:hint="eastAsia" w:ascii="仿宋_GB2312" w:hAnsi="仿宋_GB2312" w:eastAsia="仿宋_GB2312" w:cs="仿宋_GB2312"/>
          <w:color w:val="000000" w:themeColor="text1"/>
          <w:szCs w:val="21"/>
          <w:highlight w:val="none"/>
          <w14:textFill>
            <w14:solidFill>
              <w14:schemeClr w14:val="tx1"/>
            </w14:solidFill>
          </w14:textFill>
        </w:rPr>
        <w:t>.本估价结果仅作为委托估价方在本次估价目的下使用，不得用做验资证明、征收补偿、司法、房地产交易等除本次目的之外的其他用途。未经本估价机构和土地估价师的同意，该结果不得向委托估价方及报告审查部门以外的单位及个人提供，凡因委托人使用估价报告不当而引起的后果，估价机构和土地估价师不承担相应的责任。</w:t>
      </w:r>
    </w:p>
    <w:p w14:paraId="1834D88E">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right"/>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 xml:space="preserve"> </w:t>
      </w:r>
    </w:p>
    <w:p w14:paraId="505FC6D9">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right"/>
        <w:textAlignment w:val="auto"/>
        <w:outlineLvl w:val="9"/>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湖南兆财不动产规划评估有限公司</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 xml:space="preserve">                                                                                                                                                                                                                    </w:t>
      </w:r>
    </w:p>
    <w:p w14:paraId="68903E91">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center"/>
        <w:textAlignment w:val="auto"/>
        <w:outlineLvl w:val="9"/>
        <w:rPr>
          <w:rFonts w:hint="eastAsia" w:ascii="仿宋_GB2312" w:hAnsi="仿宋_GB2312" w:eastAsia="仿宋_GB2312" w:cs="仿宋_GB2312"/>
          <w:color w:val="000000" w:themeColor="text1"/>
          <w:highlight w:val="none"/>
          <w:lang w:eastAsia="zh-CN"/>
          <w14:textFill>
            <w14:solidFill>
              <w14:schemeClr w14:val="tx1"/>
            </w14:solidFill>
          </w14:textFill>
        </w:rPr>
      </w:pP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202</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5</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年</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11</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月</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28</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日</w:t>
      </w:r>
    </w:p>
    <w:p w14:paraId="6E9FCE23">
      <w:pPr>
        <w:pStyle w:val="14"/>
        <w:rPr>
          <w:rFonts w:hint="eastAsia" w:ascii="仿宋_GB2312" w:hAnsi="仿宋_GB2312" w:eastAsia="仿宋_GB2312" w:cs="仿宋_GB2312"/>
          <w:color w:val="000000" w:themeColor="text1"/>
          <w:highlight w:val="none"/>
          <w14:textFill>
            <w14:solidFill>
              <w14:schemeClr w14:val="tx1"/>
            </w14:solidFill>
          </w14:textFill>
        </w:rPr>
        <w:sectPr>
          <w:endnotePr>
            <w:numFmt w:val="decimal"/>
          </w:endnotePr>
          <w:pgSz w:w="16838" w:h="11906" w:orient="landscape"/>
          <w:pgMar w:top="720" w:right="663" w:bottom="720" w:left="663" w:header="624" w:footer="624" w:gutter="0"/>
          <w:pgNumType w:fmt="decimal"/>
          <w:cols w:space="720" w:num="1"/>
          <w:docGrid w:linePitch="312" w:charSpace="0"/>
        </w:sectPr>
      </w:pPr>
    </w:p>
    <w:p w14:paraId="21F5523A">
      <w:pPr>
        <w:pStyle w:val="13"/>
        <w:spacing w:before="120" w:beforeLines="50" w:after="240" w:afterLines="100" w:line="440" w:lineRule="exact"/>
        <w:ind w:firstLine="643"/>
        <w:jc w:val="center"/>
        <w:outlineLvl w:val="1"/>
        <w:rPr>
          <w:rFonts w:ascii="宋体" w:cs="宋体"/>
          <w:b/>
          <w:color w:val="000000" w:themeColor="text1"/>
          <w:sz w:val="32"/>
          <w:highlight w:val="none"/>
          <w14:textFill>
            <w14:solidFill>
              <w14:schemeClr w14:val="tx1"/>
            </w14:solidFill>
          </w14:textFill>
        </w:rPr>
      </w:pPr>
      <w:r>
        <w:rPr>
          <w:rFonts w:hint="eastAsia" w:ascii="仿宋_GB2312" w:hAnsi="仿宋_GB2312" w:eastAsia="仿宋_GB2312" w:cs="仿宋_GB2312"/>
          <w:b/>
          <w:color w:val="000000" w:themeColor="text1"/>
          <w:sz w:val="32"/>
          <w:szCs w:val="32"/>
          <w:highlight w:val="none"/>
          <w14:textFill>
            <w14:solidFill>
              <w14:schemeClr w14:val="tx1"/>
            </w14:solidFill>
          </w14:textFill>
        </w:rPr>
        <w:t>第二部分  估价对象描述及地价影响因素分析</w:t>
      </w:r>
    </w:p>
    <w:p w14:paraId="557DF9F1">
      <w:pPr>
        <w:keepNext w:val="0"/>
        <w:keepLines w:val="0"/>
        <w:pageBreakBefore w:val="0"/>
        <w:widowControl w:val="0"/>
        <w:kinsoku/>
        <w:wordWrap/>
        <w:overflowPunct/>
        <w:topLinePunct w:val="0"/>
        <w:autoSpaceDE/>
        <w:autoSpaceDN/>
        <w:bidi w:val="0"/>
        <w:spacing w:line="460" w:lineRule="exact"/>
        <w:ind w:firstLine="562" w:firstLineChars="200"/>
        <w:textAlignment w:val="auto"/>
        <w:outlineLvl w:val="2"/>
        <w:rPr>
          <w:rFonts w:ascii="仿宋" w:hAnsi="仿宋" w:eastAsia="仿宋"/>
          <w:b/>
          <w:color w:val="000000" w:themeColor="text1"/>
          <w:sz w:val="28"/>
          <w:szCs w:val="28"/>
          <w:highlight w:val="none"/>
          <w14:textFill>
            <w14:solidFill>
              <w14:schemeClr w14:val="tx1"/>
            </w14:solidFill>
          </w14:textFill>
        </w:rPr>
      </w:pPr>
      <w:r>
        <w:rPr>
          <w:rFonts w:hint="eastAsia" w:ascii="仿宋_GB2312" w:hAnsi="仿宋_GB2312" w:eastAsia="仿宋_GB2312" w:cs="仿宋_GB2312"/>
          <w:b/>
          <w:color w:val="000000" w:themeColor="text1"/>
          <w:sz w:val="28"/>
          <w:szCs w:val="28"/>
          <w:highlight w:val="none"/>
          <w14:textFill>
            <w14:solidFill>
              <w14:schemeClr w14:val="tx1"/>
            </w14:solidFill>
          </w14:textFill>
        </w:rPr>
        <w:t>一、估价对象描述</w:t>
      </w:r>
    </w:p>
    <w:p w14:paraId="50C194C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（一）土地登记状况</w:t>
      </w:r>
    </w:p>
    <w:p w14:paraId="0ACA3436">
      <w:pPr>
        <w:keepNext w:val="0"/>
        <w:keepLines w:val="0"/>
        <w:pageBreakBefore w:val="0"/>
        <w:widowControl w:val="0"/>
        <w:kinsoku/>
        <w:wordWrap/>
        <w:overflowPunct/>
        <w:topLinePunct w:val="0"/>
        <w:autoSpaceDE/>
        <w:autoSpaceDN/>
        <w:bidi w:val="0"/>
        <w:adjustRightInd w:val="0"/>
        <w:snapToGrid w:val="0"/>
        <w:spacing w:line="460" w:lineRule="exact"/>
        <w:ind w:firstLine="42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t>根据《关于通道县2002年第七批次建设用地农用地转用和土地征收的批复》（湘政地〔2002〕1205号，2002年9月5日）、《通道县房屋登记核发权证申请表》（2002年12月30日），估价对象位于通道县双江镇城南街，土地面积25.32平方米，土地用途为城镇住宅用地，拟作为住宅用途国有建设用地供应。至估价期日，估价对象尚未办理土地使用权登记，土地使用者待依法供应后确定。</w:t>
      </w:r>
    </w:p>
    <w:p w14:paraId="647664D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（二）土地权利状况</w:t>
      </w:r>
    </w:p>
    <w:p w14:paraId="537ADF14">
      <w:pPr>
        <w:keepNext w:val="0"/>
        <w:keepLines w:val="0"/>
        <w:pageBreakBefore w:val="0"/>
        <w:widowControl w:val="0"/>
        <w:kinsoku/>
        <w:wordWrap/>
        <w:overflowPunct/>
        <w:topLinePunct w:val="0"/>
        <w:autoSpaceDE/>
        <w:autoSpaceDN/>
        <w:bidi w:val="0"/>
        <w:adjustRightInd w:val="0"/>
        <w:snapToGrid w:val="0"/>
        <w:spacing w:line="460" w:lineRule="exact"/>
        <w:ind w:firstLine="42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t>于估价期日，估价对象土地所有权属国家所有，土地使用权人待依法供应后确定。根据委托方提供资料及现场勘查，估价对象未发现已登记抵押权、地役权、租赁权等他项权利限制；本次评估在无他项权利的完全权利条件下进行。</w:t>
      </w:r>
    </w:p>
    <w:p w14:paraId="4A6C838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（三）土地利用状况</w:t>
      </w:r>
    </w:p>
    <w:p w14:paraId="1936EEDB">
      <w:pPr>
        <w:keepNext w:val="0"/>
        <w:keepLines w:val="0"/>
        <w:pageBreakBefore w:val="0"/>
        <w:widowControl w:val="0"/>
        <w:kinsoku/>
        <w:wordWrap/>
        <w:overflowPunct/>
        <w:topLinePunct w:val="0"/>
        <w:autoSpaceDE/>
        <w:autoSpaceDN/>
        <w:bidi w:val="0"/>
        <w:adjustRightInd w:val="0"/>
        <w:snapToGrid w:val="0"/>
        <w:spacing w:line="460" w:lineRule="exact"/>
        <w:ind w:firstLine="42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t>根据委托方提供资料及估价人员现场勘查，估价对象现状与住宅用地及其配套使用相关，地上建筑物建筑面积107平方米，分摊土地使用权面积25.32平方米。宗地实际开发程度为宗地红线内外“五通”（通路、通电、供水、排水、通讯）及红线内场地平整；本次评估按现状利用条件，设定用途为住宅用地，设定开发程度为宗地红线内外“五通”（通路、通电、供水、排水、通讯）及红线内场地平整。</w:t>
      </w:r>
    </w:p>
    <w:p w14:paraId="1CAD1E6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估价对象利用现状如下：</w:t>
      </w:r>
    </w:p>
    <w:tbl>
      <w:tblPr>
        <w:tblStyle w:val="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18"/>
        <w:gridCol w:w="4204"/>
      </w:tblGrid>
      <w:tr w14:paraId="137B46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92" w:hRule="atLeast"/>
          <w:jc w:val="center"/>
        </w:trPr>
        <w:tc>
          <w:tcPr>
            <w:tcW w:w="2533" w:type="pct"/>
          </w:tcPr>
          <w:p w14:paraId="0FBA63E5">
            <w:pPr>
              <w:pStyle w:val="14"/>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lang w:eastAsia="zh-CN"/>
                <w14:textFill>
                  <w14:solidFill>
                    <w14:schemeClr w14:val="tx1"/>
                  </w14:solidFill>
                </w14:textFill>
              </w:rPr>
              <w:drawing>
                <wp:inline distT="0" distB="0" distL="114300" distR="114300">
                  <wp:extent cx="2519680" cy="1889760"/>
                  <wp:effectExtent l="0" t="0" r="13970" b="15240"/>
                  <wp:docPr id="1008" name="图片 21" descr="0d1c4769464c08c55cd7d263fc47bf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图片 21" descr="0d1c4769464c08c55cd7d263fc47bf45"/>
                          <pic:cNvPicPr>
                            <a:picLocks noChangeAspect="1"/>
                          </pic:cNvPicPr>
                        </pic:nvPicPr>
                        <pic:blipFill>
                          <a:blip r:embed="rId30"/>
                          <a:stretch>
                            <a:fillRect/>
                          </a:stretch>
                        </pic:blipFill>
                        <pic:spPr>
                          <a:xfrm>
                            <a:off x="0" y="0"/>
                            <a:ext cx="2519680" cy="1889760"/>
                          </a:xfrm>
                          <a:prstGeom prst="rect">
                            <a:avLst/>
                          </a:prstGeom>
                        </pic:spPr>
                      </pic:pic>
                    </a:graphicData>
                  </a:graphic>
                </wp:inline>
              </w:drawing>
            </w:r>
          </w:p>
        </w:tc>
        <w:tc>
          <w:tcPr>
            <w:tcW w:w="2466" w:type="pct"/>
          </w:tcPr>
          <w:p w14:paraId="3A23E3E8">
            <w:pPr>
              <w:pStyle w:val="14"/>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lang w:eastAsia="zh-CN"/>
                <w14:textFill>
                  <w14:solidFill>
                    <w14:schemeClr w14:val="tx1"/>
                  </w14:solidFill>
                </w14:textFill>
              </w:rPr>
              <w:drawing>
                <wp:inline distT="0" distB="0" distL="114300" distR="114300">
                  <wp:extent cx="2522220" cy="1891030"/>
                  <wp:effectExtent l="0" t="0" r="7620" b="13970"/>
                  <wp:docPr id="1009" name="图片 2" descr="b9ee6a2c6791617f1697764a5113a0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图片 2" descr="b9ee6a2c6791617f1697764a5113a0eb"/>
                          <pic:cNvPicPr>
                            <a:picLocks noChangeAspect="1"/>
                          </pic:cNvPicPr>
                        </pic:nvPicPr>
                        <pic:blipFill>
                          <a:blip r:embed="rId31"/>
                          <a:stretch>
                            <a:fillRect/>
                          </a:stretch>
                        </pic:blipFill>
                        <pic:spPr>
                          <a:xfrm>
                            <a:off x="0" y="0"/>
                            <a:ext cx="2522220" cy="1891030"/>
                          </a:xfrm>
                          <a:prstGeom prst="rect">
                            <a:avLst/>
                          </a:prstGeom>
                        </pic:spPr>
                      </pic:pic>
                    </a:graphicData>
                  </a:graphic>
                </wp:inline>
              </w:drawing>
            </w:r>
          </w:p>
        </w:tc>
      </w:tr>
    </w:tbl>
    <w:p w14:paraId="5DBDB51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2.规划利用条件</w:t>
      </w:r>
    </w:p>
    <w:p w14:paraId="70F1366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（1）规划利用状况</w:t>
      </w:r>
    </w:p>
    <w:p w14:paraId="5C6105B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color w:val="000000"/>
          <w:sz w:val="28"/>
        </w:rPr>
        <w:t>根据《关于国有建设用地的规划条件的函》（2025年9月11日）及现场勘查状况，估价对象土地面积为25.32平方米，规划建筑密度35%-55%，容积率0.7-4.23，绿地率≤15%，建筑限高24米，规划指标批准机关为通道县自然资源局，批准日期为2025年9月11日。</w:t>
      </w:r>
    </w:p>
    <w:p w14:paraId="3A8FFFC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（2）最佳利用</w:t>
      </w:r>
    </w:p>
    <w:p w14:paraId="34563E3C">
      <w:pPr>
        <w:keepNext w:val="0"/>
        <w:keepLines w:val="0"/>
        <w:pageBreakBefore w:val="0"/>
        <w:widowControl w:val="0"/>
        <w:kinsoku/>
        <w:wordWrap/>
        <w:overflowPunct/>
        <w:topLinePunct w:val="0"/>
        <w:autoSpaceDE/>
        <w:autoSpaceDN/>
        <w:bidi w:val="0"/>
        <w:adjustRightInd w:val="0"/>
        <w:snapToGrid w:val="0"/>
        <w:spacing w:line="460" w:lineRule="exact"/>
        <w:ind w:firstLine="42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t>本次评估根据最有效利用原则，估价对象在规划利用下价值利用状况为最有效利用。故设定估价对象为住宅用地，设定容积率为0.7-4.23，其余指标均取规划值为最佳利用方式。</w:t>
      </w:r>
    </w:p>
    <w:p w14:paraId="53D7141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规划</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利用限制和缺陷情况</w:t>
      </w:r>
    </w:p>
    <w:p w14:paraId="00FF7F8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根据委托方提供的资料及估价人员了解，宗地无明显利用限制和缺陷。</w:t>
      </w:r>
    </w:p>
    <w:p w14:paraId="574D5991">
      <w:pPr>
        <w:keepNext w:val="0"/>
        <w:keepLines w:val="0"/>
        <w:pageBreakBefore w:val="0"/>
        <w:widowControl w:val="0"/>
        <w:kinsoku/>
        <w:wordWrap/>
        <w:overflowPunct/>
        <w:topLinePunct w:val="0"/>
        <w:autoSpaceDE/>
        <w:autoSpaceDN/>
        <w:bidi w:val="0"/>
        <w:spacing w:line="460" w:lineRule="exact"/>
        <w:ind w:firstLine="562" w:firstLineChars="200"/>
        <w:textAlignment w:val="auto"/>
        <w:outlineLvl w:val="2"/>
        <w:rPr>
          <w:rFonts w:ascii="仿宋_GB2312" w:eastAsia="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b/>
          <w:color w:val="000000" w:themeColor="text1"/>
          <w:sz w:val="28"/>
          <w:szCs w:val="28"/>
          <w:highlight w:val="none"/>
          <w14:textFill>
            <w14:solidFill>
              <w14:schemeClr w14:val="tx1"/>
            </w14:solidFill>
          </w14:textFill>
        </w:rPr>
        <w:t>二、地价影响因素分析</w:t>
      </w:r>
    </w:p>
    <w:p w14:paraId="643CF53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(一)一般因素</w:t>
      </w:r>
    </w:p>
    <w:p w14:paraId="3EBE37B6">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一般因素是指影响土地价格的一般、普遍、共同的因素，主要是指社会经济、政策和自然因素等诸方面的综合。其包括城市资源状况、不动产制度与不动产市场状况、产业政策、城市规划与发展目标、城市社会经济发展状况等，通过土地供求两方面的不同作用，从而影响城市总体地价水平的变化。</w:t>
      </w:r>
    </w:p>
    <w:p w14:paraId="5B12B97F">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1.城市资源状况</w:t>
      </w:r>
    </w:p>
    <w:p w14:paraId="08B8F3A5">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（1）地理位置</w:t>
      </w:r>
    </w:p>
    <w:p w14:paraId="587C0A3F">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道县位于湖南省南部、永州市中部。介于东经111°17′-111°56′，北纬25°09′-25°50′之间。东邻宁远县，南界江华瑶族自治县、江永县，西接灌阳县、全州县，北连双牌县，总面积2441.78平方千米。</w:t>
      </w:r>
    </w:p>
    <w:p w14:paraId="642F9C5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（2）地形地貌</w:t>
      </w:r>
    </w:p>
    <w:p w14:paraId="48852025">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属南岭地区，四周高山环绕，中部岗丘起伏，平川交错。整个地势从四周向中间倾斜，呈盆状结构。山地占总面积的44.7%，丘陵占11.4%，岗地占24.6%，平原占14.9%。大致分为东南山地、西北山地、中部岗平三个一级地貌区，岩溶地貌发育较好。东南有九嶷山，南有铜山岭，西有都庞岭，北有紫金山。海拔千米以上的山峰150多个，且多与邻近山脉连成整体，最高峰韭菜岭，海拔2009米。</w:t>
      </w:r>
    </w:p>
    <w:p w14:paraId="56D66B14">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（3）气候</w:t>
      </w:r>
    </w:p>
    <w:p w14:paraId="0CCF5676">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属亚热带湿润季风气候区，热量丰富，雨量充沛，光能潜力大，无霜期长达309天。年平均温度18.6℃。年平均太阳总辐射量105.3千卡/平方厘米，年日照时间为1569.9小时，日照百分率35%，年蒸发量1634.6毫米。全县雨量充沛，年平均降雨量为1506.7毫米，是全省有名的多雨中心之一，但分布不均匀。降雨集中在春季和初夏，与光、热基本同季，有效性好，对农业生产极为有利；春末夏初常有暴雨，造成洪涝；夏秋时节，降雨偏少，常出现干旱。</w:t>
      </w:r>
    </w:p>
    <w:p w14:paraId="00E6F606">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（4）水文</w:t>
      </w:r>
    </w:p>
    <w:p w14:paraId="76E0DEE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内河流稠密，塘库面积广阔，水量丰盈。全县有长度在5千米以上的河流63条，总长1019千米。泡水河、洑水河、永明河、九嶷河、濂溪河等连结大小支流，顺着地势，汇入县内的潇水，流进湘江，形成叶脉状的完整水系。县内还有中型水库4座，小一型水库15座，小二型水库82座，山塘4400口。全县多年平均径流深917.9毫米，径流量22.41亿立方米。年产水量由东南向西北递减，东南部最多的地区年产水量104.5万立方米/平方公里，中部丘平区年产水量90万立方米/平方公里，西北部为78万立方米/平方公里。地表水总量达89.50亿立方米，其中，客水67.09亿立方米。不计客水和地下水，全县人平均拥有水量3069.86立方米，为全省人均水资源的1.15倍。加上客水，全县人平均拥有水量12260立方米，大大高于全国、长江流域和湖南省平均水平。目前已利用水量仅占9%。</w:t>
      </w:r>
    </w:p>
    <w:p w14:paraId="0AE3F86C">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人口</w:t>
      </w:r>
    </w:p>
    <w:p w14:paraId="222041E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第七次人口普查数据，道县常住人口62.1275万人，其中城镇人口29.8236万人，农村人口32.3039万人，常住人口城镇化率48.00%，与湖南省城镇化率平均水平基本持平。道县人口密度253.79人/平方公里，高于永州市人口密度237.65人/平方公里，低于湖南省及长沙市人口密度。</w:t>
      </w:r>
    </w:p>
    <w:p w14:paraId="2231D99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（6）交通运输</w:t>
      </w:r>
    </w:p>
    <w:p w14:paraId="76EF749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道县处于湘粤桂三省交汇区，与长沙、南宁均相距400公里，距离广州360公里，历史上是兵家必争之地、商贾云集之处，</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是</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三省通衢要塞。洛湛铁路，厦蓉、道贺高速公路，207国道纵横县域。县城距离桂林国际机场、京广高铁、湘桂高铁、贵广高铁均不到两小时车程，是全省以至中部地区对接东盟，融入泛珠三角经济圈、泛北部湾经济圈的重要节点城市。</w:t>
      </w:r>
    </w:p>
    <w:p w14:paraId="145ED87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土地概况</w:t>
      </w:r>
    </w:p>
    <w:p w14:paraId="0DD9A82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color w:val="000000"/>
          <w:sz w:val="28"/>
        </w:rPr>
        <w:t>2022年2月8日，道县第三次国土调查结果经县政府、永州市“三调”办审议并原则同意后，道县第三次国土调查领导小组办公室、通道侗族自治县自然资源局、道县统计局印发了《道县第三次国土调查主要数据公报》，道县主要地类数据如下：</w:t>
      </w:r>
    </w:p>
    <w:p w14:paraId="2F97057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耕地664793.55亩(44319.57公顷)。其中，水田482092.50亩(32139.50公顷),占比72.52%;旱地182701.05亩(12180.07公顷),占比27.48%。另外，还有6060.45亩(404.03公顷)现状耕地位于城镇村庄范围内尚未建设的土地中，其中水田3225.90亩(215.06公顷),旱地2834.55亩(188.97公顷)。总体来看，耕地主要分布在清塘镇、寿雁镇、祥霖铺镇、白芒铺镇、柑子园镇、蚣坝镇等。耕地整体位于国家划定的一年两熟制区域，均位于年降水量1000mm以上地区。位于2度以下坡度(含2度)的耕地 402443.40亩(26829.56公顷),占比60.54%;位于2-6度坡度(含6度)的耕地193651.65亩(12910.11公顷),占比29.13%;位于6-15度坡度(含15度)的耕地59623.05亩(3974.87公顷),占比8.97%;位于15-25度坡度(含25度)的耕地6413.85亩(427.59公顷),占比0.96%;位于25度以上坡度的耕地2661.60亩(177.44公顷),占比0.40%。</w:t>
      </w:r>
    </w:p>
    <w:p w14:paraId="6F6E3943">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2）园地337559.10亩(22503.94公顷)。其中，果园166497.00亩(11099.80公顷),占比49.32%;茶园209.55 亩(13.97公顷),占比0.06%;其他园地170852.55亩(11390.17公顷),占比50.62%。总体来看，园地主要分布在祥霖铺镇、审章塘瑶族乡、白芒铺镇、柑子园镇、蚣坝镇、白马渡镇、东门街道和上关街道等。</w:t>
      </w:r>
    </w:p>
    <w:p w14:paraId="3F79FBF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3）林地2182564.20亩(145504.28公顷)。其中，乔木林地1606323.75亩(107088.25公顷),占比73.60%; 竹林地37044.75亩(2469.65公顷),占比1.70%;灌木林地276271.80亩(18418.12公顷),占比12.66%;其他林地262923.90亩(17528.26公顷),占比12.04%。总体来看，林地主要分布在桥头镇、乐福堂乡、仙子脚镇、清塘镇、四马桥镇、横岭瑶族乡、洪塘营瑶族乡、寿雁镇等。</w:t>
      </w:r>
    </w:p>
    <w:p w14:paraId="2F89D777">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4）草地49423.20亩(3294.88公顷)。其中，其他草地49423.20亩(3294.88公顷),占比100%。总体来看，草地主要分布在白芒铺镇、蚣坝镇、祥霖铺镇、清塘镇等。</w:t>
      </w:r>
    </w:p>
    <w:p w14:paraId="341DB13C">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5）湿地11854.05亩(790.27公顷)。湿地是“三调” 新增的一级地类，包括8个二级地类，道县涉及4个二级地类。其中，森林沼泽5075.10亩(338.34公顷),占比42.81%;灌丛沼泽555.00亩(37.00公顷),占比4.68%;沼泽草地118.95亩(7.93公顷),占比1.01%;内陆滩涂6105.00亩(407.00公顷),占比51.50%。总体来看，湿地主要分布在白马渡镇、祥霖铺镇和四马桥镇等。</w:t>
      </w:r>
    </w:p>
    <w:p w14:paraId="25EE97D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6）城镇村及工矿用地190153.80亩(12676.92公顷)。</w:t>
      </w:r>
    </w:p>
    <w:p w14:paraId="3E8FDE61">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其中，建制镇用地36675.75亩(2445.05公顷),占比19.29%; 村庄用地142302.45亩(9486.83公顷),占比74.83%;工业用地8931.15亩(595.41公顷),占比4.70%;风景名胜及特殊用地2244.45亩(149.63公顷),占比1.18%。总体来看，城镇村及工矿用地主要分布在濂溪街道、西洲街道、东门街道等。</w:t>
      </w:r>
    </w:p>
    <w:p w14:paraId="4931F814">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交通运输用地51000.90亩(3400.06公顷)。其中，铁路用地2208.90亩(147.26公顷),占比4.33%;公路用地13619.70亩(907.98公顷),占比26.71%;农村道路35163.75亩(2344.25公顷),占比68.95%;机场用地7.35亩(0.49公顷),占比0.01%;港口码头用地1.20亩(0.08公顷)。总体来看，交通运输用地中面积占比最大的地类是农村道路。</w:t>
      </w:r>
    </w:p>
    <w:p w14:paraId="23427B8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8）水域及水利设施用地145174.35亩(9678.29公顷)。</w:t>
      </w:r>
    </w:p>
    <w:p w14:paraId="5B9E0DF5">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其中，河流水面52697.40亩(3513.16公顷),占比36.30%; 水库水面15825.00亩(1055.00公顷),占比10.90%;坑 塘水面61042.65亩(4069.51公顷),占比42.05%;沟渠 14012.25亩(934.15公顷),占比9.65%;水工建筑用地 1597.05亩(106.47公顷),占比1.10%。总体来看，祥霖 铺镇、清塘镇、白马渡镇、寿雁镇、东门街道等乡镇街道的水域及水利设施用地面积较大。</w:t>
      </w:r>
    </w:p>
    <w:p w14:paraId="1CB98AB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2.不动产制度与不动产市场状况</w:t>
      </w:r>
    </w:p>
    <w:p w14:paraId="7DBF67E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（1）土地制度</w:t>
      </w:r>
    </w:p>
    <w:p w14:paraId="65B5549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根据《中华人民共和国宪法》《中华人民共和国土地管理法》和《中华人民共和国民法典》等规定，按照国家现行的土地政策进行土地施政。</w:t>
      </w:r>
    </w:p>
    <w:p w14:paraId="74266FC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1）土地所有制</w:t>
      </w:r>
    </w:p>
    <w:p w14:paraId="22F01A93">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《土地管理法》第二条规定：“中华人民共和国实行土地的社会主义公有制，即全民所有制和劳动群众集体所有制。”</w:t>
      </w:r>
    </w:p>
    <w:p w14:paraId="0A31F27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①国有土地</w:t>
      </w:r>
    </w:p>
    <w:p w14:paraId="146E455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全民所有制的土地被称为国家所有土地，简称国有土地，其所有权由国务院代表国家行使。《土地管理法》第二条规定：“全民所有，即国家所有土地的所有权由国务院代表国家行驶。”</w:t>
      </w:r>
    </w:p>
    <w:p w14:paraId="45A1A9C3">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城市市区的土地属于国家所有。《宪法》《民法典》都明确规定，城市的土地属于国家所有。《土地管理法》第八条更明确规定：“城市市区的土地属于国家所有。”这里所说的城市是指国家设立市建制的城市，不同于某些法律、法规中的城市含义。建制镇不属于《宪法》《土地管理法》所说的城市范畴，也不属于其所说的农村和城市郊区的范畴。《土地管理法实施条例》第二条进一步明确了国有土地的范畴，其规定如下：①城市市区的土地；②农村和城市郊区中已经依法没收、征收、征购为国有的土地；③国家依法征收的土地； ④依法不属于集体所有的林地、草地、荒地、滩涂及其他土地；⑤农村集体经济组织全部成员转为城镇居民的，原属于其成员集体所有的土地；⑥因国家组织移民、自然灾害等原因，农民成建制地集体迁移后不再使用的原属于迁移农民集体所有的土地。</w:t>
      </w:r>
    </w:p>
    <w:p w14:paraId="443CB0A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②集体土地</w:t>
      </w:r>
    </w:p>
    <w:p w14:paraId="206EDABB">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劳动群众集体所有制的土地采取的是农民集体所有的形式，该种所有制的土地被称为农民集体所有土地，简称集体土地。农民集体的范围有下列三种：①村农民集体；②村内两个以上农村集体经济组织的农民集体；③乡（镇）农民集体。《土地管理法》第十条规定：“农民集体所有的土地依法属于农民集体所有的，由村集体经济组织或者村民委员会经营、管理；已经分别属于村内两个以上农村集体经济组织的农民集体所有的，由村内给该农村集体经济组织或者村民小组经营、管理；已经属于乡（镇）农民集体所有的，由乡（镇）农村集体经济组织经营、管理。”</w:t>
      </w:r>
    </w:p>
    <w:p w14:paraId="2D28514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2）土地管理的基本制度</w:t>
      </w:r>
    </w:p>
    <w:p w14:paraId="5206E4B1">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①实行土地登记制度</w:t>
      </w:r>
    </w:p>
    <w:p w14:paraId="46B61DC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土地管理法》和《土地登记规则》，国家依法对国有土地使用权、集体土地所有权、集体土地使用权和土地他项权利进行登记。土地登记由县级以上人民政府登记造册，确认有关土地权利。属于国有土地的，核发相应的《不动产权证书》，确认国有建设用地使用权；属于农民集体所有土地的，核发相应的《不动产权证书》，确认集体土地所有权；使用集体土地的，核发《集体建设用地使用证》，确认集体土地使用权；属于土地他项权利的，核发土地他项权利证明书，确认土地他相权。他项权利包括抵押权、承租权以及法律、行政法规规定需要登记的他项权利。</w:t>
      </w:r>
    </w:p>
    <w:p w14:paraId="599559F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②实行土地有偿有限期使用制度</w:t>
      </w:r>
    </w:p>
    <w:p w14:paraId="047774F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除国家核准的划拨用地以外，凡新增土地和原使用的土地改变用途或使用条件、进行市场交易等，均实行有偿有限期使用。</w:t>
      </w:r>
    </w:p>
    <w:p w14:paraId="1B91AF1C">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管理法》第二条规定：“国家依法实行国有土地有偿使用制度。但是，国家在法律规定的范围内划拨国有土地使用权的除外。”《中华人民共和国城镇国有土地使用权出让和转让暂行条例》第八条也明确规定：“土地使用权出让是指国家以土地所有者的身份将土地使用权在一定年限内让与土地使用者，并由土地使用者向国家支付土地使用权出让金的行为。”</w:t>
      </w:r>
    </w:p>
    <w:p w14:paraId="029F129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③实行土地用途管制制度</w:t>
      </w:r>
    </w:p>
    <w:p w14:paraId="3611448B">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土地利用总体规划，将土地用途分为农用地、建设用地和未利用地。土地用途管制的核心是不能随意改变农用地的用途。农用地转用须经有批准权的人民政府核准。控制建设用地总量，严格限制农用地转为建设用地。</w:t>
      </w:r>
    </w:p>
    <w:p w14:paraId="22C2EF3C">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④实行耕地保护制度</w:t>
      </w:r>
    </w:p>
    <w:p w14:paraId="4BB124C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十分珍惜、合理利用土地和切实保护耕地是我国的基本国策。《民法典》规定，国家对耕地实行特殊保护，严格限制农用地转为建设用地，控制建设用地总规模。耕地主要是指种植农作物的土地，包括新开垦荒地、轮歇地、草田轮作地；以种植农作物为主间有零星果树、桑树或其他树木的土地；耕种3年以上的滩地和滩涂等。</w:t>
      </w:r>
    </w:p>
    <w:p w14:paraId="606D5543">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（2）住房制度</w:t>
      </w:r>
    </w:p>
    <w:p w14:paraId="33EA554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目前</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实行“市场型、商品性、工资化分配、社会化管理”的住房制度，其基本特点是：主要通过市场机制调节住房的生产、分配、交换、消费，决定住房资源的配置、分配和使用。住房投资建设由开发商自主进行。住房消费包含在职工工资之中。住房分配通过市场交换进行，职工以其收入自由选择购买或租房入住。住房管理与政府和单位分离，由物业公司进行社会化、专业化管理。政府的作用主要体现在调控市场和对低收入者提供基本的住房社会保障方面。</w:t>
      </w:r>
    </w:p>
    <w:p w14:paraId="0AF285BC">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2020年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8月18</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人民政府发布了《道县农村宅基地管理办法》（道政发〔2020〕5号），强调农村村（居）民住房建设应当遵循规划先行、先批后建、一户一宅、适度集中的原则，鼓励乡镇（街道）、村集体经济组织对废旧宅基地进行复垦并落实耕种，对复垦项目经验收确认的新增建设用地指标和耕地占补指标，按县人民政府规定的奖励标准予以补偿。节余的新增建设用地指标和耕地占补指标由县人民政府统筹安排，用于全县范围内的项目建设。复垦后的农用地由当地集体经济组织进行承包经营和分配。</w:t>
      </w:r>
    </w:p>
    <w:p w14:paraId="1BDE3A03">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2022年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月，湖南省发展和改革委员会 湖南省住房和城乡建设厅 印发</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了</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湖南省公共租赁住房租金管理办法》的通知，“实行政府定价的公共租赁住房的租金标准在制定和调整时，属省直单位投资筹集的由省直有关单位提出建议方案，属市、县投资筹集的由市、县住房和城乡建设部门负责提出建议方案，同级发展改革部门在履行相关定价程序后作出价格决定，并向社会公布；实行政府指导价管理的公共租赁住房租金标准在制定和调整时可按照不超过同地段或同区域、同类型住房市场租金水平的70％确定，具体标准由公共租赁住房的所有权人或其委托的运营管理机构确定，并报送同级发展改革部门和住房和城乡建设部门审查同意后向社会公布实施。”。</w:t>
      </w:r>
    </w:p>
    <w:p w14:paraId="7D3C7B9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（3）地价政策</w:t>
      </w:r>
    </w:p>
    <w:p w14:paraId="7BC7AB2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现行土地征收补偿标准是根据《湖南省人民政府关于调整湖南省征地补偿标准的通知》（湘政发〔2024〕1号，202</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日）文件执行，相较于上一轮，现行土地征收补偿标准有</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%的上调，各等级片区划分有一定微调。</w:t>
      </w:r>
    </w:p>
    <w:p w14:paraId="0640B7B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现行的农村集体土地地上附着物及青苗补偿标准按照《关于印发</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&lt;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永州市集体土地与房屋征收补偿安置办法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&gt;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的通知》（永政发〔2024〕4号，20</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日）文件执行。</w:t>
      </w:r>
    </w:p>
    <w:p w14:paraId="0294BE6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（4）不动产市场状况</w:t>
      </w:r>
    </w:p>
    <w:p w14:paraId="400CAFB3">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1）土地市场状况</w:t>
      </w:r>
    </w:p>
    <w:p w14:paraId="3634BD16">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①土地供应总量 </w:t>
      </w:r>
    </w:p>
    <w:p w14:paraId="54D9608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土地动态监测监管系统数据显示，2020年以来，道县土地供应情况总体呈下降的特征。其中2020年供应土地面积最大，达256.4公顷。2022年供应土地最少，仅为161.63公顷。近5年共供应土地总面积达到972.42公顷，其中出让土地415.14公顷，占供应总量的42.69%，划拨土地557.28公顷，占供应总量的57.31%，总体年均供地194.49公顷，其中出让年均供应83.03公顷，划拨年均供地111.46公顷，详见下表。</w:t>
      </w:r>
    </w:p>
    <w:p w14:paraId="7725B682">
      <w:pPr>
        <w:keepNext w:val="0"/>
        <w:keepLines w:val="0"/>
        <w:pageBreakBefore w:val="0"/>
        <w:widowControl w:val="0"/>
        <w:kinsoku/>
        <w:wordWrap/>
        <w:overflowPunct/>
        <w:topLinePunct w:val="0"/>
        <w:autoSpaceDE/>
        <w:autoSpaceDN/>
        <w:bidi w:val="0"/>
        <w:spacing w:line="460" w:lineRule="exact"/>
        <w:ind w:firstLine="560" w:firstLineChars="200"/>
        <w:jc w:val="center"/>
        <w:textAlignment w:val="auto"/>
        <w:outlineLvl w:val="9"/>
        <w:rPr>
          <w:rFonts w:hint="eastAsia" w:ascii="仿宋_GB2312" w:eastAsia="仿宋_GB2312"/>
          <w:color w:val="000000" w:themeColor="text1"/>
          <w:sz w:val="28"/>
          <w:szCs w:val="30"/>
          <w:highlight w:val="none"/>
          <w14:textFill>
            <w14:solidFill>
              <w14:schemeClr w14:val="tx1"/>
            </w14:solidFill>
          </w14:textFill>
        </w:rPr>
      </w:pPr>
      <w:r>
        <w:rPr>
          <w:rFonts w:hint="eastAsia" w:ascii="仿宋_GB2312" w:hAnsi="仿宋_GB2312" w:eastAsia="仿宋_GB2312" w:cs="仿宋_GB2312"/>
          <w:color w:val="000000" w:themeColor="text1"/>
          <w:kern w:val="0"/>
          <w:sz w:val="28"/>
          <w:szCs w:val="28"/>
          <w:highlight w:val="none"/>
          <w:lang w:val="en-US" w:eastAsia="zh-CN" w:bidi="ar"/>
          <w14:textFill>
            <w14:solidFill>
              <w14:schemeClr w14:val="tx1"/>
            </w14:solidFill>
          </w14:textFill>
        </w:rPr>
        <w:t>道县 2020—2024年土地供应情况一览表</w:t>
      </w:r>
    </w:p>
    <w:tbl>
      <w:tblPr>
        <w:tblStyle w:val="9"/>
        <w:tblW w:w="4962"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60"/>
        <w:gridCol w:w="2591"/>
        <w:gridCol w:w="2298"/>
        <w:gridCol w:w="2408"/>
      </w:tblGrid>
      <w:tr w14:paraId="6C1BE9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E36B9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年份</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FC30F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出让土地（公顷）</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995AB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划拨土地（公顷）</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F2A60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总面积（公顷）</w:t>
            </w:r>
          </w:p>
        </w:tc>
      </w:tr>
      <w:tr w14:paraId="1C3243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83809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default"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2020</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78D57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91.77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C564A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164.63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EC312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256.40 </w:t>
            </w:r>
          </w:p>
        </w:tc>
      </w:tr>
      <w:tr w14:paraId="3F18E6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95E1D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2021</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3973F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100.84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10729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83.89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0C475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184.73 </w:t>
            </w:r>
          </w:p>
        </w:tc>
      </w:tr>
      <w:tr w14:paraId="459652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D63C1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2022</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A895D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67.23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956B4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94.40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A9CF0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161.63 </w:t>
            </w:r>
          </w:p>
        </w:tc>
      </w:tr>
      <w:tr w14:paraId="6D3845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BE413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2023</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4B53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20.42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AE20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ascii="仿宋_GB2312" w:hAnsi="仿宋_GB2312" w:eastAsia="仿宋_GB2312" w:cs="仿宋_GB2312"/>
                <w:color w:val="000000"/>
                <w:sz w:val="21"/>
              </w:rPr>
              <w:t xml:space="preserve">181.51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7BA89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201.93 </w:t>
            </w:r>
          </w:p>
        </w:tc>
      </w:tr>
      <w:tr w14:paraId="5E12B8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F868B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2024</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C6E76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134.88</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CE6F4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32.85</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569A3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167.73 </w:t>
            </w:r>
          </w:p>
        </w:tc>
      </w:tr>
      <w:tr w14:paraId="788338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BC6C2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合计</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115D1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415.14</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40064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557.28</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BD81C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972.42</w:t>
            </w:r>
          </w:p>
        </w:tc>
      </w:tr>
      <w:tr w14:paraId="07FEAC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F99B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年均</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06A06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83.03</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6A441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111.46</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B9B4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194.49</w:t>
            </w:r>
          </w:p>
        </w:tc>
      </w:tr>
      <w:tr w14:paraId="7A79E7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8"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59A3C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占比</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EDE5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42.69%</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27D88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57.31%</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BCC86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100.00%</w:t>
            </w:r>
          </w:p>
        </w:tc>
      </w:tr>
    </w:tbl>
    <w:p w14:paraId="744A3F63">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0" w:firstLineChars="0"/>
        <w:jc w:val="center"/>
        <w:textAlignment w:val="auto"/>
        <w:outlineLvl w:val="9"/>
        <w:rPr>
          <w:rFonts w:hint="eastAsia" w:eastAsia="仿宋_GB2312"/>
          <w:color w:val="000000" w:themeColor="text1"/>
          <w:highlight w:val="none"/>
          <w:lang w:eastAsia="zh-CN"/>
          <w14:textFill>
            <w14:solidFill>
              <w14:schemeClr w14:val="tx1"/>
            </w14:solidFill>
          </w14:textFill>
        </w:rPr>
      </w:pPr>
    </w:p>
    <w:p w14:paraId="320C8676">
      <w:pPr>
        <w:keepNext w:val="0"/>
        <w:keepLines w:val="0"/>
        <w:pageBreakBefore w:val="0"/>
        <w:widowControl w:val="0"/>
        <w:kinsoku/>
        <w:wordWrap/>
        <w:overflowPunct/>
        <w:topLinePunct w:val="0"/>
        <w:autoSpaceDE/>
        <w:autoSpaceDN/>
        <w:bidi w:val="0"/>
        <w:adjustRightInd/>
        <w:snapToGrid/>
        <w:spacing w:line="460" w:lineRule="exact"/>
        <w:ind w:left="0" w:leftChars="0" w:firstLine="0" w:firstLineChars="0"/>
        <w:jc w:val="center"/>
        <w:textAlignment w:val="auto"/>
        <w:outlineLvl w:val="9"/>
        <w:rPr>
          <w:rFonts w:hint="eastAsia" w:ascii="仿宋_GB2312" w:eastAsia="仿宋_GB2312"/>
          <w:color w:val="000000" w:themeColor="text1"/>
          <w:sz w:val="28"/>
          <w:szCs w:val="30"/>
          <w:highlight w:val="none"/>
          <w:lang w:eastAsia="zh-CN"/>
          <w14:textFill>
            <w14:solidFill>
              <w14:schemeClr w14:val="tx1"/>
            </w14:solidFill>
          </w14:textFill>
        </w:rPr>
      </w:pPr>
      <w:r>
        <w:rPr>
          <w:rFonts w:ascii="仿宋_GB2312" w:hAnsi="仿宋_GB2312" w:eastAsia="仿宋_GB2312" w:cs="仿宋_GB2312"/>
          <w:color w:val="000000" w:themeColor="text1"/>
          <w:highlight w:val="none"/>
          <w14:textFill>
            <w14:solidFill>
              <w14:schemeClr w14:val="tx1"/>
            </w14:solidFill>
          </w14:textFill>
        </w:rPr>
        <w:drawing>
          <wp:anchor distT="0" distB="0" distL="114300" distR="114300" simplePos="0" relativeHeight="251659264" behindDoc="0" locked="0" layoutInCell="1" allowOverlap="1">
            <wp:simplePos x="0" y="0"/>
            <wp:positionH relativeFrom="column">
              <wp:posOffset>385445</wp:posOffset>
            </wp:positionH>
            <wp:positionV relativeFrom="paragraph">
              <wp:posOffset>33020</wp:posOffset>
            </wp:positionV>
            <wp:extent cx="4654550" cy="2590800"/>
            <wp:effectExtent l="4445" t="4445" r="19685" b="10795"/>
            <wp:wrapTopAndBottom/>
            <wp:docPr id="1010"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anchor>
        </w:drawing>
      </w:r>
    </w:p>
    <w:p w14:paraId="6293E6B3">
      <w:pPr>
        <w:keepNext w:val="0"/>
        <w:keepLines w:val="0"/>
        <w:pageBreakBefore w:val="0"/>
        <w:widowControl w:val="0"/>
        <w:kinsoku/>
        <w:wordWrap/>
        <w:overflowPunct/>
        <w:topLinePunct w:val="0"/>
        <w:autoSpaceDE/>
        <w:autoSpaceDN/>
        <w:bidi w:val="0"/>
        <w:spacing w:line="460" w:lineRule="exact"/>
        <w:ind w:left="0" w:leftChars="0" w:firstLine="0" w:firstLineChars="0"/>
        <w:jc w:val="center"/>
        <w:textAlignment w:val="auto"/>
        <w:outlineLvl w:val="9"/>
        <w:rPr>
          <w:rFonts w:hint="eastAsia" w:ascii="仿宋" w:hAnsi="仿宋" w:eastAsia="仿宋" w:cs="仿宋"/>
          <w:color w:val="000000" w:themeColor="text1"/>
          <w:kern w:val="0"/>
          <w:sz w:val="28"/>
          <w:szCs w:val="28"/>
          <w:highlight w:val="none"/>
          <w:lang w:val="en-US" w:eastAsia="zh-CN" w:bidi="ar"/>
          <w14:textFill>
            <w14:solidFill>
              <w14:schemeClr w14:val="tx1"/>
            </w14:solidFill>
          </w14:textFill>
        </w:rPr>
      </w:pPr>
      <w:r>
        <w:rPr>
          <w:rFonts w:hint="eastAsia" w:ascii="仿宋_GB2312" w:hAnsi="仿宋_GB2312" w:eastAsia="仿宋_GB2312" w:cs="仿宋_GB2312"/>
          <w:color w:val="000000" w:themeColor="text1"/>
          <w:kern w:val="0"/>
          <w:sz w:val="28"/>
          <w:szCs w:val="28"/>
          <w:highlight w:val="none"/>
          <w:lang w:val="en-US" w:eastAsia="zh-CN" w:bidi="ar"/>
          <w14:textFill>
            <w14:solidFill>
              <w14:schemeClr w14:val="tx1"/>
            </w14:solidFill>
          </w14:textFill>
        </w:rPr>
        <w:t>道县2020-2024年土地供应总量图</w:t>
      </w:r>
    </w:p>
    <w:p w14:paraId="08EBD63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②土地供应结构 </w:t>
      </w:r>
    </w:p>
    <w:p w14:paraId="35C0BF5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近几年发展形势来看，宏观经济进入新常态发展时期，经济增速逐步趋缓，2020-2024年土地市场供应有所起伏，2020年土地市场趋于活跃。从道县近5年的房地产开发用地商服、住宅及工矿仓储用地供应情况来看，三类用地占土地供应总量的34.5%，其中住宅用地供应量最大，占土地供应总量的19.01%，其次是工矿仓储用地，占土地供应总量的12.24%，商服用地最小，仅占土地供应总量的3.25%。从其他用地的供应情况来看，其他土地占总供应量的65.5%。其中公共管理与公共服务用地、交通运输用地的供应面积比例较大，占土地供应总面积的比例分别为29.5%、35.1%，另外还有少量特殊用地的供应，占土地供应总面积的0.9%，详见下表。</w:t>
      </w:r>
    </w:p>
    <w:p w14:paraId="069582CC">
      <w:pPr>
        <w:keepNext w:val="0"/>
        <w:keepLines w:val="0"/>
        <w:pageBreakBefore w:val="0"/>
        <w:widowControl w:val="0"/>
        <w:kinsoku/>
        <w:wordWrap/>
        <w:overflowPunct/>
        <w:topLinePunct w:val="0"/>
        <w:autoSpaceDE/>
        <w:autoSpaceDN/>
        <w:bidi w:val="0"/>
        <w:spacing w:line="460" w:lineRule="exact"/>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道县2020-2024年土地供应情况表</w:t>
      </w:r>
    </w:p>
    <w:p w14:paraId="586B4914">
      <w:pPr>
        <w:pStyle w:val="14"/>
        <w:keepNext w:val="0"/>
        <w:keepLines w:val="0"/>
        <w:pageBreakBefore w:val="0"/>
        <w:widowControl w:val="0"/>
        <w:kinsoku/>
        <w:wordWrap/>
        <w:overflowPunct/>
        <w:topLinePunct w:val="0"/>
        <w:autoSpaceDE/>
        <w:autoSpaceDN/>
        <w:bidi w:val="0"/>
        <w:spacing w:line="460" w:lineRule="exact"/>
        <w:jc w:val="right"/>
        <w:textAlignment w:val="auto"/>
        <w:rPr>
          <w:rFonts w:hint="default"/>
          <w:color w:val="000000" w:themeColor="text1"/>
          <w:highlight w:val="none"/>
          <w:lang w:val="en-US" w:eastAsia="zh-CN"/>
          <w14:textFill>
            <w14:solidFill>
              <w14:schemeClr w14:val="tx1"/>
            </w14:solidFill>
          </w14:textFill>
        </w:rPr>
      </w:pPr>
      <w:r>
        <w:rPr>
          <w:rFonts w:ascii="仿宋_GB2312" w:hAnsi="仿宋_GB2312" w:eastAsia="仿宋_GB2312" w:cs="仿宋_GB2312"/>
          <w:color w:val="000000" w:themeColor="text1"/>
          <w:highlight w:val="none"/>
          <w14:textFill>
            <w14:solidFill>
              <w14:schemeClr w14:val="tx1"/>
            </w14:solidFill>
          </w14:textFill>
        </w:rPr>
        <w:drawing>
          <wp:anchor distT="0" distB="0" distL="114300" distR="114300" simplePos="0" relativeHeight="251660288" behindDoc="0" locked="0" layoutInCell="1" allowOverlap="1">
            <wp:simplePos x="0" y="0"/>
            <wp:positionH relativeFrom="column">
              <wp:posOffset>-167005</wp:posOffset>
            </wp:positionH>
            <wp:positionV relativeFrom="paragraph">
              <wp:posOffset>125095</wp:posOffset>
            </wp:positionV>
            <wp:extent cx="5757545" cy="2015490"/>
            <wp:effectExtent l="0" t="0" r="3175" b="11430"/>
            <wp:wrapTopAndBottom/>
            <wp:docPr id="10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图片 2"/>
                    <pic:cNvPicPr>
                      <a:picLocks noChangeAspect="1"/>
                    </pic:cNvPicPr>
                  </pic:nvPicPr>
                  <pic:blipFill>
                    <a:blip r:embed="rId33"/>
                    <a:stretch>
                      <a:fillRect/>
                    </a:stretch>
                  </pic:blipFill>
                  <pic:spPr>
                    <a:xfrm>
                      <a:off x="0" y="0"/>
                      <a:ext cx="5757545" cy="2015490"/>
                    </a:xfrm>
                    <a:prstGeom prst="rect">
                      <a:avLst/>
                    </a:prstGeom>
                    <a:noFill/>
                    <a:ln>
                      <a:noFill/>
                    </a:ln>
                  </pic:spPr>
                </pic:pic>
              </a:graphicData>
            </a:graphic>
          </wp:anchor>
        </w:drawing>
      </w: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单位：公顷</w:t>
      </w:r>
    </w:p>
    <w:p w14:paraId="1CC80A22">
      <w:pPr>
        <w:keepNext w:val="0"/>
        <w:keepLines w:val="0"/>
        <w:pageBreakBefore w:val="0"/>
        <w:widowControl w:val="0"/>
        <w:kinsoku/>
        <w:wordWrap/>
        <w:overflowPunct/>
        <w:topLinePunct w:val="0"/>
        <w:autoSpaceDE/>
        <w:autoSpaceDN/>
        <w:bidi w:val="0"/>
        <w:adjustRightInd/>
        <w:snapToGrid/>
        <w:spacing w:line="460" w:lineRule="exact"/>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ascii="仿宋_GB2312" w:hAnsi="仿宋_GB2312" w:eastAsia="仿宋_GB2312" w:cs="仿宋_GB2312"/>
          <w:color w:val="000000" w:themeColor="text1"/>
          <w:highlight w:val="none"/>
          <w14:textFill>
            <w14:solidFill>
              <w14:schemeClr w14:val="tx1"/>
            </w14:solidFill>
          </w14:textFill>
        </w:rPr>
        <w:drawing>
          <wp:anchor distT="0" distB="0" distL="114300" distR="114300" simplePos="0" relativeHeight="251661312" behindDoc="0" locked="0" layoutInCell="1" allowOverlap="1">
            <wp:simplePos x="0" y="0"/>
            <wp:positionH relativeFrom="column">
              <wp:posOffset>692150</wp:posOffset>
            </wp:positionH>
            <wp:positionV relativeFrom="paragraph">
              <wp:posOffset>285115</wp:posOffset>
            </wp:positionV>
            <wp:extent cx="3742055" cy="2219960"/>
            <wp:effectExtent l="4445" t="4445" r="17780" b="15875"/>
            <wp:wrapTopAndBottom/>
            <wp:docPr id="1012" name="图表 2" descr="7b0a202020202263686172745265734964223a202234353338343530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anchor>
        </w:drawing>
      </w:r>
    </w:p>
    <w:p w14:paraId="68E8A7B7">
      <w:pPr>
        <w:keepNext w:val="0"/>
        <w:keepLines w:val="0"/>
        <w:pageBreakBefore w:val="0"/>
        <w:widowControl w:val="0"/>
        <w:kinsoku/>
        <w:wordWrap/>
        <w:overflowPunct/>
        <w:topLinePunct w:val="0"/>
        <w:autoSpaceDE/>
        <w:autoSpaceDN/>
        <w:bidi w:val="0"/>
        <w:adjustRightInd/>
        <w:snapToGrid/>
        <w:spacing w:line="460" w:lineRule="exact"/>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道县2020-2024年土地供应结构图</w:t>
      </w:r>
    </w:p>
    <w:p w14:paraId="1C8CA7E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③土地供应方式 </w:t>
      </w:r>
    </w:p>
    <w:p w14:paraId="04E5434B">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从供应方式来看，主要包括划拨和出让两种方式，从近5年的累计数据来看，道县以划拨方式供应土地557.28公顷，占供应土地总量的57.31%，出让土地面积415.14公顷，占42.69%，出让方式均为招拍挂出让。</w:t>
      </w:r>
    </w:p>
    <w:p w14:paraId="12E476A0">
      <w:pPr>
        <w:keepNext w:val="0"/>
        <w:keepLines w:val="0"/>
        <w:pageBreakBefore w:val="0"/>
        <w:widowControl w:val="0"/>
        <w:kinsoku/>
        <w:wordWrap/>
        <w:overflowPunct/>
        <w:topLinePunct w:val="0"/>
        <w:autoSpaceDE/>
        <w:autoSpaceDN/>
        <w:bidi w:val="0"/>
        <w:spacing w:line="460" w:lineRule="exact"/>
        <w:ind w:firstLine="560" w:firstLineChars="20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道县2020-2024年土地供应方式情况表</w:t>
      </w:r>
    </w:p>
    <w:p w14:paraId="2F822F26">
      <w:pPr>
        <w:pStyle w:val="14"/>
        <w:keepNext w:val="0"/>
        <w:keepLines w:val="0"/>
        <w:pageBreakBefore w:val="0"/>
        <w:widowControl w:val="0"/>
        <w:kinsoku/>
        <w:wordWrap/>
        <w:overflowPunct/>
        <w:topLinePunct w:val="0"/>
        <w:autoSpaceDE/>
        <w:autoSpaceDN/>
        <w:bidi w:val="0"/>
        <w:spacing w:line="460" w:lineRule="exact"/>
        <w:jc w:val="right"/>
        <w:textAlignment w:val="auto"/>
        <w:rPr>
          <w:rFonts w:hint="default"/>
          <w:color w:val="000000" w:themeColor="text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单位：公顷</w:t>
      </w:r>
    </w:p>
    <w:tbl>
      <w:tblPr>
        <w:tblStyle w:val="9"/>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130"/>
        <w:gridCol w:w="2130"/>
        <w:gridCol w:w="2130"/>
        <w:gridCol w:w="2132"/>
      </w:tblGrid>
      <w:tr w14:paraId="491D6D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D6413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年份</w:t>
            </w:r>
          </w:p>
        </w:tc>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CFDC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出让面积</w:t>
            </w:r>
          </w:p>
        </w:tc>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15ADB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划拨面积</w:t>
            </w:r>
          </w:p>
        </w:tc>
        <w:tc>
          <w:tcPr>
            <w:tcW w:w="12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7CF03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供应总量</w:t>
            </w:r>
          </w:p>
        </w:tc>
      </w:tr>
      <w:tr w14:paraId="58A247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87683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2020</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4F8AB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91.77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E3832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164.63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6A97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256.40 </w:t>
            </w:r>
          </w:p>
        </w:tc>
      </w:tr>
      <w:tr w14:paraId="286B7D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F4BF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2021</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398F8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100.84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84FA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83.89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FE5FF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184.73 </w:t>
            </w:r>
          </w:p>
        </w:tc>
      </w:tr>
      <w:tr w14:paraId="7D641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DEE55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2022</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F3A62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67.23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B2333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94.40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F036E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161.63 </w:t>
            </w:r>
          </w:p>
        </w:tc>
      </w:tr>
      <w:tr w14:paraId="0B107F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E0AD4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2023</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9515E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20.42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D3029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ascii="仿宋_GB2312" w:hAnsi="仿宋_GB2312" w:eastAsia="仿宋_GB2312" w:cs="仿宋_GB2312"/>
                <w:color w:val="000000"/>
                <w:sz w:val="21"/>
              </w:rPr>
              <w:t xml:space="preserve">181.51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78348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201.93 </w:t>
            </w:r>
          </w:p>
        </w:tc>
      </w:tr>
      <w:tr w14:paraId="38CCAD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287B8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2024</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AA9E6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134.88</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9BFF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32.85</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966E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167.73 </w:t>
            </w:r>
          </w:p>
        </w:tc>
      </w:tr>
      <w:tr w14:paraId="0E7DED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E533E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合计</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52CAE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415.14</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60F04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557.28</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C9567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972.42</w:t>
            </w:r>
          </w:p>
        </w:tc>
      </w:tr>
    </w:tbl>
    <w:p w14:paraId="528D1F42">
      <w:pPr>
        <w:keepNext w:val="0"/>
        <w:keepLines w:val="0"/>
        <w:pageBreakBefore w:val="0"/>
        <w:widowControl w:val="0"/>
        <w:kinsoku/>
        <w:wordWrap/>
        <w:overflowPunct/>
        <w:topLinePunct w:val="0"/>
        <w:autoSpaceDE/>
        <w:autoSpaceDN/>
        <w:bidi w:val="0"/>
        <w:adjustRightInd/>
        <w:snapToGrid/>
        <w:spacing w:line="460" w:lineRule="exact"/>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p>
    <w:p w14:paraId="33B96FA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④土地供应分布 </w:t>
      </w:r>
    </w:p>
    <w:p w14:paraId="58E1EEB3">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土地供应分布情况来看，根据对道县往年出让台账统计数据显示，近5年道县城区商服用地土地出让主要分布在富元路、振兴路等城北区域，住宅用地主要分布在城北路、道州北路、道州南路、道州中路、环城西路、潇水沿线等区域，工矿仓储用地主要分布在道县高新技术产业开发区区域；公共管理与公共服务用地主要分布在各乡镇和道县高新技术产业开发区等区域。另外各用途出让地块在清塘镇、审章塘瑶族乡有少量分布。</w:t>
      </w:r>
    </w:p>
    <w:p w14:paraId="63EE23F6">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2）房地产市场状况</w:t>
      </w:r>
    </w:p>
    <w:p w14:paraId="49F59621">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近几年来，道县房地产业在宏观调控中不断发展壮大，总体上呈现持续、稳定、快速发展的格局，已成为推动全县国民经济和社会发展的有力支撑点。</w:t>
      </w:r>
    </w:p>
    <w:p w14:paraId="4172201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房地产业作为关系国计民生的重要产业，对于推进道县城市建设、改善民生、拉动投资增长、增加财政收入都具有十分重要意义。 </w:t>
      </w:r>
    </w:p>
    <w:p w14:paraId="278547C6">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当前道县很多开发商重视市场调查和分析，开发建设地段选择、环境配套、套型设计、房屋档次各方面与市场需求较适应。推出了一批具有一定档次的小区式住宅，连片式开发已成势头。出现了一批有规模、有实力、有信誉的大型房地产开发经营企业，这些房地产开发企业的规模、资金实力、技术力量、经营水平等都有了大幅度提高，推动了我县房地产开发业持续、稳定、健康发展。</w:t>
      </w:r>
    </w:p>
    <w:p w14:paraId="3FC66016">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道县实现建筑业增加值177396万元，比上年增长9.8%。具有资质等级的总承包和专业承包建筑企业完成产值586174.6万元，增长19.05%；房屋建筑施工面积174.88万平方米,比上年增长16.22%；房屋建筑竣工面积124.28万平方米,比上年上升15.39%。实现房地产业（k门类）增加值39342万元,下降15.5%。完成房地产开发投资41337万元,下降44.16%。房屋施工面积74.73万平方米,下降14.56%；竣工面积32.78万平方米，下降6.76%。商品房销售面积33.79万平方米,下降19.89%；商品房销售额14.05亿元,下降28.84%。</w:t>
      </w:r>
    </w:p>
    <w:p w14:paraId="59697171">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为了解决中低收入城镇居民的住房问题，道县实施解困房工程建设，向社会提供价格低廉的商品房，建立以商品房住宅供应为主体，安居工程住宅供应为补充的住宅供应体系。 </w:t>
      </w:r>
    </w:p>
    <w:p w14:paraId="01926F54">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3.产业政策</w:t>
      </w:r>
    </w:p>
    <w:p w14:paraId="16327F0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（1）相关产业政策</w:t>
      </w:r>
    </w:p>
    <w:p w14:paraId="63E738DC">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2022年1月，湖南省发改委发布关于对《湖南省物业服务收费管理办法》（征求意见稿）（以下简称《办法》）公开征求意见的公告。</w:t>
      </w:r>
    </w:p>
    <w:p w14:paraId="77B63B36">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《办法》明确，物业应当于每年第一季度公示上一年度物业服务合同履行情况、物业服务项目收支情况、利用公共部位公共设施设备进行经营等收入情况，本年度收支预算。</w:t>
      </w:r>
    </w:p>
    <w:p w14:paraId="0E065C0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同时，鼓励物业对未入住或未使用的空置房业主，实行适当费用优惠。</w:t>
      </w:r>
    </w:p>
    <w:p w14:paraId="1B25431C">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2022年6月，永州市住房和城乡建设局印发《永州市中心城区进一步促进房地产市场平稳发展的若干措施》，在引导住房合理消费需求方面有七条措施：</w:t>
      </w:r>
    </w:p>
    <w:p w14:paraId="15DFB29F">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1）实行购房契税补贴。在本措施有效期内购买中心城区新建商品房（含住宅、非住宅）均可享受其所缴纳契税总额80％的财政补贴。</w:t>
      </w:r>
    </w:p>
    <w:p w14:paraId="4F9A7D0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2）实行人才购房补贴。对全日制本科生、全日制研究生和副高级职称人才、全日制博士研究生和正高级职称人才购房，分别补贴2万元、3万元、5万元。</w:t>
      </w:r>
    </w:p>
    <w:p w14:paraId="4F087214">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3）切实解决业主子女入学问题。购房业主子女凭房屋不动产权证或购房合同并契税缴纳凭证，享受房屋所在地义务教育阶段学校学位。</w:t>
      </w:r>
    </w:p>
    <w:p w14:paraId="2328BFC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4）加大房地产信贷支持力度。实施差别化住房信贷政策，鼓励金融机构支持个人购房贷款，支持房地产企业贷款。</w:t>
      </w:r>
    </w:p>
    <w:p w14:paraId="7B1F590C">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5）提高住房公积金贷款额度。全面放开异地贷款业务，先进模范人物和高层次人才最高贷款额度提高至100万元，生育二孩、三孩的家庭最高贷款额度可上浮10万元和20万元。</w:t>
      </w:r>
    </w:p>
    <w:p w14:paraId="6BBCCCF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6）停止新建安置房和自建安置房。采用以货币化为主的安置方式，鼓励征收户选择已建成的安置房或商品房进行产权调换。</w:t>
      </w:r>
    </w:p>
    <w:p w14:paraId="0B083B63">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7）下调二手房评税价格。将住房类、商业类、其他非住宅存量房分别按当前系统评估价格下调20%、40%、30%。</w:t>
      </w:r>
    </w:p>
    <w:p w14:paraId="57E51ED2">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在帮助企业纾困解难方面有六条措施：</w:t>
      </w:r>
    </w:p>
    <w:p w14:paraId="28026745">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1）加大税收支持力度。房地产开发企业可以依法办理延期缴纳税款，确保税收优惠应享尽享。</w:t>
      </w:r>
    </w:p>
    <w:p w14:paraId="03888DB3">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2）优化预售资金监管政策。对信用等级良好的房地产开发企业适当放宽预售资金解控比例，支持启动应急用款方式支付项目工程建设费用。</w:t>
      </w:r>
    </w:p>
    <w:p w14:paraId="2CC1414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分期缴纳土地价款，调整延缓缴纳相关费用。土地出让金1亿元以上的项目，在中标后缴纳50%土地出让金，余款可以分次交清。全市土地挂牌出让交易服务费按现行标准下浮40%。延缓城市基础设施配套费缴纳时间至在取得预售许可证后3个月内缴清。</w:t>
      </w:r>
    </w:p>
    <w:p w14:paraId="68F08B4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4）实行“商改住”。采取“商改住”、“商改租”、降低商住配比、降低公寓业主使用成本、加大购买非住宅金融支持等方式加快非住宅库存去化。</w:t>
      </w:r>
    </w:p>
    <w:p w14:paraId="2CBB9D44">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5）加速公共服务配套。破解“大开发、小配套”问题，鼓励房企引入优质医疗、教育等公共资源，引导社会资本投资配建公共服务和市政基础设施。</w:t>
      </w:r>
    </w:p>
    <w:p w14:paraId="248952F7">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6）实行新建商品房“交房即交证”。缩短房地产开发建设项目从竣工验收到办理不动产首次登记及转移登记的全过程时限，推动地下车位、车库出售、出租、办理不动产权证。</w:t>
      </w:r>
    </w:p>
    <w:p w14:paraId="3366B831">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2023年5月，道县人民政府关于印发《道县进一步促进房地产市场平稳健康发展的十条措施》的通知，结合道县实际，制定十条措施保障房地产市场健康发展：</w:t>
      </w:r>
    </w:p>
    <w:p w14:paraId="1F63E761">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1）实行购房契税补贴。本措施有效期内在道县城区购买新建商 品房（不含商业门面和二手房），签订商品房网签合同、备案并缴纳契税的，由县财政按其所缴纳契税金额的100%对购房人予以补贴。</w:t>
      </w:r>
    </w:p>
    <w:p w14:paraId="37FA40E7">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2）实行人才购房补贴。对企事业单位全职引进的35周岁以下全日制硕士研究生或副高级专业技术职称人才和“双一流”建设高校全日制本科生、其他高校全日制本科生分别给予5万元、2万元购房补贴。</w:t>
      </w:r>
    </w:p>
    <w:p w14:paraId="3083CBC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3）切实解决业主子女入学问题。在义务教育学段，根据招生政 策及学位情况，购房人凭商品房买卖合同备案证明或不动产证可申请子女就近入学。教育部门根据辖区的人口分布等情况，按道路和住宅小区的边界等调整义务教育招生辖区。学校学位不足时，由教育部门统筹安排入学。</w:t>
      </w:r>
    </w:p>
    <w:p w14:paraId="20501B07">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4）鼓励房企团购让利销售。支持机关、企事业单位、村（社区）、社会团体等组团购买商品住房，鼓励房地产企业对团购合理合 规让利销售，团购价格可按商品住房备案价格优惠2%—10%。</w:t>
      </w:r>
    </w:p>
    <w:p w14:paraId="333C48C6">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完善公共配套和基础设施。根据道县国土空间总体规划完善房地产项目周边的交通、教育、医疗、公园等公共配套和基础设施建设,为楼盘开发销售创造优良环境，确保房地产开发项目配套完善、功能齐全，满足业主的入住条件。</w:t>
      </w:r>
    </w:p>
    <w:p w14:paraId="09E4CF2F">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容缺办理相关审批手续。房地产开发企业购置国有建设用地使用权的，在签订土地出让合同并缴纳不低于50%土地出让金后，相关职能部门可容缺办理建设用地规划许可证、规划设计方案审查、建设工程规划许可证、施工许可证等行政审批手续；在完成规划条件核实、竣工验收并缴清相关费用后，给予办理不动产登记手续。</w:t>
      </w:r>
    </w:p>
    <w:p w14:paraId="7CBD3F77">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加大金融支持力度。落实个人住房贷款首付比例、利率等优惠政策，争取首套房首付比例不高于永州全辖金融机构最低规定比例，首套房贷款年利率不高于4.3%。实施差别化住房信贷政策，个人按揭贷款放款周期缩短到3个月内，对拥有1套住房并已结清购房贷款的家庭，为改善居住条件再次申请贷款购买商品住房的，金融机构贷 款执行首套房贷款政策。鼓励金融机构对符合条件的小微企业主、个体工商户，购买商铺、公寓等非住宅商品房按房地产贷款政策给予利率优惠。住房公积金全面放开异地贷款业务，支持全国住房公积金缴存职工到道县购房，不受缴存地、户籍地的限制。</w:t>
      </w:r>
    </w:p>
    <w:p w14:paraId="3A64351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加大税收支持力度。房地产开发企业可以按规定申请延期纳税申报。对有特殊困难而不能按期缴纳税款的，由企业申请，依法办理延期缴纳税款，最长不超过3个月。对房地产企业销售未完工产品计税毛利率统一下调至10%。对纳税信用等级好、管理规范的房地产企业，税务部门依法受理审批增值税期末留抵退税，确保税收优惠应享尽享。</w:t>
      </w:r>
    </w:p>
    <w:p w14:paraId="6FF72BA7">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实行新建商品房“交房即交证”。通过部门协同、整合平台、强化监管、再造流程、信息共享等方式，缩短房地产开发建设项目从竣工验收到办理不动产首次登记及转移登记的全过程时限，努力构建行之有效、可复制的新建商品房“交房即交证”工作模式。</w:t>
      </w:r>
    </w:p>
    <w:p w14:paraId="5E2466C1">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切实维护房地产市场秩序。加强房地产政策宣传，适时举办住博会；加大违法建设查处力度，禁止任何单位和个人建设和销售小产权房；加大对未批先售、未经竣工验收即交付使用、虚假违法宣传、未明码标价、价格欺诈、相互串通、操纵市场价格、低于成本价格倾销、以及哄抬价格等违法违规行为的查处力度，持续有效地促进房地产市场平稳健康发展。</w:t>
      </w:r>
    </w:p>
    <w:p w14:paraId="331E1A7F">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（2）税收政策</w:t>
      </w:r>
    </w:p>
    <w:p w14:paraId="2F28F38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根据国家有关税法文件规定，房地产开发企业主要涉及的税费包括：</w:t>
      </w:r>
    </w:p>
    <w:p w14:paraId="7731C55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1）契税</w:t>
      </w:r>
    </w:p>
    <w:p w14:paraId="3114C8C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纳税人：转移土地、房屋权属，承受的单位和个人；</w:t>
      </w:r>
    </w:p>
    <w:p w14:paraId="6FBD5A1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计税依据：市场价格或差额，计征契税的成交价格不含增值税；</w:t>
      </w:r>
    </w:p>
    <w:p w14:paraId="5A11D062">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税率：3%—5%</w:t>
      </w:r>
    </w:p>
    <w:p w14:paraId="72FFE30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w:t>
      </w:r>
    </w:p>
    <w:p w14:paraId="66284A4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2）城镇土地使用税</w:t>
      </w:r>
    </w:p>
    <w:p w14:paraId="16D42924">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纳税人：在城市、县城、建制镇、工矿区范围内拥有土地使用权的单位和个人；</w:t>
      </w:r>
    </w:p>
    <w:p w14:paraId="5556E14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计税依据：实际占用土地面积；</w:t>
      </w:r>
    </w:p>
    <w:p w14:paraId="63231B2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适用税额：大城市1.5-30元，中等城市1.2-24元，小城市0.9-18元，县城、建制镇、工矿区0.6-12元；</w:t>
      </w:r>
    </w:p>
    <w:p w14:paraId="07E59F37">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纳税义务发生时间：取得土地后次月；</w:t>
      </w:r>
    </w:p>
    <w:p w14:paraId="370C26D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涉税阶段：前期准备阶段、建设施工阶段、预售阶段。</w:t>
      </w:r>
    </w:p>
    <w:p w14:paraId="432DB6A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3）耕地占用税</w:t>
      </w:r>
    </w:p>
    <w:p w14:paraId="6BF2DC2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纳税人：占用耕地建房或者从事非农业建设的单位或者个人；</w:t>
      </w:r>
    </w:p>
    <w:p w14:paraId="09E42EE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计税依据：占用的耕地面积</w:t>
      </w:r>
    </w:p>
    <w:p w14:paraId="28A6C6D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适用税额：人均耕地不超过1亩的地区，每平方米为10~50元；人均耕地占用超过1亩但不超过2亩的地区，每平方米为8~40元；人均耕地占用超过2亩但不超过3亩的地区，每平方米为6~30元；人均耕地超过3亩的地区，每平方米为5~25元；</w:t>
      </w:r>
    </w:p>
    <w:p w14:paraId="7E0F6726">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涉税阶段：土地获取阶段、前期准备阶段。</w:t>
      </w:r>
    </w:p>
    <w:p w14:paraId="1F973F35">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4）印花税</w:t>
      </w:r>
    </w:p>
    <w:p w14:paraId="20982594">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纳税人：经济活动和经济交往中书立、领受应税凭证的单位和个人；</w:t>
      </w:r>
    </w:p>
    <w:p w14:paraId="75E9E0FB">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应税对象：经济合同、产权转移数据、营业账簿、权利许可证照等；</w:t>
      </w:r>
    </w:p>
    <w:p w14:paraId="08C0B55C">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房地产涉及的印花税：取得土地和销售阶段签订的房屋销售合同；建设工程合同、借款合同、财产保险合同、注册资本等；</w:t>
      </w:r>
    </w:p>
    <w:p w14:paraId="6D6D68E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涉税阶段：土地获取阶段、建设施工阶段、预售阶段；</w:t>
      </w:r>
    </w:p>
    <w:p w14:paraId="2573B4E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5）增值税</w:t>
      </w:r>
    </w:p>
    <w:p w14:paraId="6CB92717">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纳税人：在中华人民共和国境内销售货物或者加工、修理修配劳务，销售服务、无形资产、不动产以及进口货物的单位和个人；</w:t>
      </w:r>
    </w:p>
    <w:p w14:paraId="635DB786">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计税方法：一般计税和简易计税；</w:t>
      </w:r>
    </w:p>
    <w:p w14:paraId="567AC34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预缴增值税：在取得预收款的次月纳税申报期预缴税款</w:t>
      </w:r>
    </w:p>
    <w:p w14:paraId="0D3D997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房地产开发企业纳税义务发生时间：</w:t>
      </w:r>
    </w:p>
    <w:p w14:paraId="51916D9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发生应税行为并收讫销售款项或者取得索取销售款项凭据的当天；先开具发票的，为开具发票的当天。收讫销售款项，是指纳税人销售服务、无形资产、不动产过程中或者完成后收到款项。取得索取销售款项凭据的当天，是指书面合同确定的付款日期；未签订书面合同或者书面合同未确定付款日期的，为服务、无形资产转让完成的当天或者不动产权属变更的当天。</w:t>
      </w:r>
    </w:p>
    <w:p w14:paraId="6B322D7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08558DCF">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6）城市维护建设税</w:t>
      </w:r>
    </w:p>
    <w:p w14:paraId="3DF1BCF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纳税人：缴纳增值税、消费税的单位和个人；</w:t>
      </w:r>
    </w:p>
    <w:p w14:paraId="15413E7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计税依据：纳税人实际缴纳的增值税、消费税税额；</w:t>
      </w:r>
    </w:p>
    <w:p w14:paraId="170C673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计税税率：1.纳税人所在地在市区，税率为7%；2.纳税人所在地在县城、镇的，税率为 5%；3.纳税人不在上述地区的，税率为1%；</w:t>
      </w:r>
    </w:p>
    <w:p w14:paraId="6F0EF603">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房地产开发企业纳税义务：跨地区提供建筑服务、销售和出租不动产的，按预缴所在地城建税税率计算缴纳。与增值税的纳税期限一致，与增值税同时缴纳。</w:t>
      </w:r>
    </w:p>
    <w:p w14:paraId="5CC75A42">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41E2CABB">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7）教育费附加</w:t>
      </w:r>
    </w:p>
    <w:p w14:paraId="445B93A7">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纳税人：凡缴纳增值税、消费税的单位和个人，按3%计征；</w:t>
      </w:r>
    </w:p>
    <w:p w14:paraId="2F005444">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计税依据：实际缴纳的增值税、消费税税额；</w:t>
      </w:r>
    </w:p>
    <w:p w14:paraId="26B2F2C1">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4E112F6B">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8）地方教育附加</w:t>
      </w:r>
    </w:p>
    <w:p w14:paraId="0FC2197F">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纳税人：缴纳增值税、消费税的单位和个人，按 2%计征；</w:t>
      </w:r>
    </w:p>
    <w:p w14:paraId="544497C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计税依据：实际缴纳的增值税、消费税税额；</w:t>
      </w:r>
    </w:p>
    <w:p w14:paraId="34B1A0D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涉税阶段：销售阶段</w:t>
      </w:r>
    </w:p>
    <w:p w14:paraId="1CBA6ED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9）房产税</w:t>
      </w:r>
    </w:p>
    <w:p w14:paraId="5D683A0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纳税人：房屋产权所有人；</w:t>
      </w:r>
    </w:p>
    <w:p w14:paraId="3E5640F1">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计税依据：房屋的计税余值或租金收入，房屋出租的，计征租金收入不含增值税；</w:t>
      </w:r>
    </w:p>
    <w:p w14:paraId="1C4633E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房地产开发企业纳税义务：自用房屋，房产税依照房产原值一次减除10%-30% 后的余值计算缴纳，具体减除幅度由省、自治区、直辖市人民政府规定，适用税率 1.2%；房屋出租的，以房产租金收入和税率 12%计算缴纳。对于个人按市场价格出租的居民住房，房产税暂减按 4%税率征收。</w:t>
      </w:r>
    </w:p>
    <w:p w14:paraId="11DDC3A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涉税阶段：前期准备阶段、建设施工阶段、销售阶段</w:t>
      </w:r>
    </w:p>
    <w:p w14:paraId="10873F7C">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10）土地增值税</w:t>
      </w:r>
    </w:p>
    <w:p w14:paraId="135CDC6C">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纳税人：有偿转让国有土地使用权及地上建筑物和其他附着物产权，取得增值收入的单位和个人；</w:t>
      </w:r>
    </w:p>
    <w:p w14:paraId="4AC62BC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房地产开发企业纳税义务：房地产开发企业转让土地时，要按照其转让房地产时取得的收入减去允许扣除的项目金额后的余额，依照规定的税率缴纳土地增值税；</w:t>
      </w:r>
    </w:p>
    <w:p w14:paraId="0938E00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计税依据：对增值额征税，增值额计算要素如下：</w:t>
      </w:r>
    </w:p>
    <w:p w14:paraId="410B444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①计税收入为房地产企业转让房地产取得的收入，土地增值税应税收入=营改增之前转让房地产取得的收入+营改增后转让房地产取得的不含税收入</w:t>
      </w:r>
    </w:p>
    <w:p w14:paraId="09392232">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允许扣除项目包括取得土地使用权所支付的金额、开发土地和新建房及配套设施的成本、开发土地和新建房及配套设施的费用以及前述两项20%加计扣除，还有与转让房地产有关的税金。与转让房地产有关的税金=营改 增前实际缴纳的营业税、城市维护建设税、教育费附加+营改增后允许扣除的城市维护建设税、教育费附加。</w:t>
      </w:r>
    </w:p>
    <w:p w14:paraId="73FBF406">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③建造普通住宅出售，增值额未超过扣除项目金额20%的，免征土地增值税。</w:t>
      </w:r>
    </w:p>
    <w:p w14:paraId="2730BB07">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④征收方式：采取按期预征、项目完工清算的方法。也就是按照当期取得的售房收入，依照预征率计算征收，项目完工后清算，多退少补。对于无法查账征收土地增值税的企业，可以核定征收。</w:t>
      </w:r>
    </w:p>
    <w:p w14:paraId="033540DB">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⑤涉税阶段：销售阶段、土增税清算阶段。</w:t>
      </w:r>
    </w:p>
    <w:p w14:paraId="0EC2330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11）企业所得税</w:t>
      </w:r>
    </w:p>
    <w:p w14:paraId="19CD9041">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征收方式：查账征收和核定征收。房地产企业一般采用查账征收，适用 25%税率。企业所得税是按年计算，分月或者分季预缴，年终汇算清缴，多退少补。自年度终了之日起5个月内，向税务机关报送年度企业所得税纳税申报表，并汇算清缴，结清应缴应退税款；</w:t>
      </w:r>
    </w:p>
    <w:p w14:paraId="2CA2D8DB">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2021.1.1～2022.12.31，对小型微利企业年应纳税所得额不超过100万元的部分，减按12.5%计入应纳税所得额，按20%的税率缴纳企业所得税（税负2.5％）；对年应纳税所得额超过100万元但不超过300万元的部分，减按50%计入应纳税所得额，按20%的税率缴纳企业所得税（税负10％）。</w:t>
      </w:r>
    </w:p>
    <w:p w14:paraId="5B4D7C33">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小型微利企业是指从事国家非限制和禁止行业，且同时符合年度应纳税所得额不超过300万元、从业人数不超过300人、资产总额不超过5000万元等三个条件的企业。</w:t>
      </w:r>
    </w:p>
    <w:p w14:paraId="14F54F4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所得税预缴：房地产开发企业销售未完工产品取得的收入，应先按预计毛利率分季（或月）计算出预计毛利额，计入当期应纳税所得额。</w:t>
      </w:r>
    </w:p>
    <w:p w14:paraId="0F40DD67">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涉税阶段：项目全周期</w:t>
      </w:r>
    </w:p>
    <w:p w14:paraId="1133516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12）个人所得税</w:t>
      </w:r>
    </w:p>
    <w:p w14:paraId="0363CCCF">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征税对象：工资、薪金所得；劳务报酬所得；稿酬所得；特许权使用费所得；利息、股息、红利所得；财产租赁所得；财产转让所得；偶然所得。</w:t>
      </w:r>
    </w:p>
    <w:p w14:paraId="544DEC1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房地产开发企业纳税义务：代扣代缴个人所得税；</w:t>
      </w:r>
    </w:p>
    <w:p w14:paraId="596C5E91">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涉税阶段：项目全周期</w:t>
      </w:r>
    </w:p>
    <w:p w14:paraId="1F0242C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目前道县房地产税收政策与国家政策保持完全一致。</w:t>
      </w:r>
    </w:p>
    <w:p w14:paraId="1519BA25">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4.城市规划与发展目标</w:t>
      </w:r>
    </w:p>
    <w:p w14:paraId="676E3A1F">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（1）城市规划</w:t>
      </w:r>
    </w:p>
    <w:p w14:paraId="2DBDEAB5">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根据道县国土空间总体规划征求意见稿，道县县域规划产业发展形成“一核、一轴、三区、多基地 ”空间布局。一核：县城，以道县工业集中区为基础，打造县域产业发展极核。一轴：沿国道G357产业发展主轴。三区：国道G357以北的北部特色农业发展区、南部瑶族乡为主南部生态保护 和旅游发展区，中部乡镇形成城郊型产业发展区。多基地：分布于县域产业发展基地，主要有工业发展基地、旅游基地、烟草 基地、脐橙基地等。</w:t>
      </w:r>
    </w:p>
    <w:p w14:paraId="361A6FD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结合产业发展现状，根据工业园内的现状路网和总体规划路网、自然地形及规划用地性质，规划以城区为依托，以工业大道与东环二路为工业园发展主轴，按照工业向北向东拓展的用地布局设想，形成清晰的规划结构。整个工业园区为“一心、两轴、多板块”的规划结构。“一心”是指：以工业大道与东环二路相交区域为依托规划形成的片区园区综合服务核心；该中心将集中园区主要的商业金融、商务办公及行政办公等设施，设置绿化、广场，以林荫步道与周围镇区道路相连，把生态和市民活动引入内部，形成真正集聚人们各种公共活动的园区中心。“两轴”是指：工业园内的产业发展轴。即工业大道两厢的以工业为主，以生活服务、综合居住为辅的产业发展主轴线。以东环二路两厢的工业为主、生活服务为辅的产业发展次要轴线。“多板块”是指：工业板块、综合办公板块、综合居住板块、生活服务板块四大板块。</w:t>
      </w:r>
    </w:p>
    <w:p w14:paraId="06679104">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通过对自然地貌的分析梳理和城市空间构思设想，规划构建县城“一带双心、二廊四轴、七组团”的县城整体空间结构。一带：即沿潇水的县城核心景观带，由南至北，串联县城各核心组团；双心：即县城中心的商业服务中心和历史文化核心城区。二廊：指濂溪河生态廊道和板坝河生态廊道；四轴：南北向即以道洲路为依托的县城综合发展轴、营阳大道综合发展发展轴；东西向以月岩路为依托的综合发展轴、工业大道发展轴；七组团：即县城七大核心组团，分别为工业园组团、城北组团、历史城区组团、火车站站前城西现代商贸组团、中部综合服务组团、城南物流园组团、城东文旅康养组团。</w:t>
      </w:r>
    </w:p>
    <w:p w14:paraId="07C9CC1F">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（2）发展目标</w:t>
      </w:r>
    </w:p>
    <w:p w14:paraId="06C26BDD">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2025年目标</w:t>
      </w:r>
    </w:p>
    <w:p w14:paraId="2145BA0F">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生态保护红线和永久基本农田保护红线得到严格落实，国土空间开发保护格 局得到优化；潇水及其支流水系、森林、山体等生态功能得到大幅提升，资源利 用水平显著提高；重点环境问题得到有效整治，城乡污水处理、生活垃圾分类无 害化处理实现全覆盖，生态环境持续改善，生态安全屏障更加牢固，城乡人居环 境明显改善；“江湾映城、山水相融 ”的城市空间格局基本形成，民生设施建设 取得显著成效，乡村地区基本实现集约发展，传统历史文化得到保护、传承和弘 扬；现代化产业体系初具规模，科技创新能力显著增强，对外开放与区域协同水 平全面提升，成为湘粤桂交汇区经济发展的核心引擎。</w:t>
      </w:r>
    </w:p>
    <w:p w14:paraId="6382785F">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2035年目标</w:t>
      </w:r>
    </w:p>
    <w:p w14:paraId="22173121">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国土空间治理体系和治理能力现代化基本实现，优良的生态格局全面稳固；城市功能完善，人居环境品质优良，文化吸引力突出；创新驱动的开放型现代产业体系基本建立，发展形成全省内陆开放前沿阵地；绿色生产生活方式广泛形成、蔚然成风，生态优势持续放大，人与自然和谐共生；理学文化、红色文化持续发扬光大；全面建成湘粤桂交汇区山水城园和谐共生、城乡深度融合、创新开放品质活力的中心城市。</w:t>
      </w:r>
    </w:p>
    <w:p w14:paraId="2633AE54">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远景展望目标</w:t>
      </w:r>
    </w:p>
    <w:p w14:paraId="1CBCCFFE">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到本世纪中叶，县域各项经济社会发展指标达到区域领先水平，国土空间治理体系和治理能力实现现代化；城乡互补、区域互通、三生互动、山水林田湖有 机融合的国土空间“生命共同体”格局全面形成，生态环境进入自然良性循环；传统文化与现代文化交相呼应、繁荣发展；对外开放水平和国际影响力不断提高，科技创新和高端高新产业引领发展；城市功能趋于完善，交通网络便捷高效，现代化基础设施系统完备；全面建成经济繁荣、社会和谐、生态宜居的现代化样板 区和质量变革、效率变革、动力变革的领先发展区。</w:t>
      </w:r>
    </w:p>
    <w:p w14:paraId="4B2A29B5">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5.城市社会经济发展状况</w:t>
      </w:r>
    </w:p>
    <w:p w14:paraId="49400646">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（1）城市经济布局</w:t>
      </w:r>
    </w:p>
    <w:p w14:paraId="733CAFAE">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根据道县人民政府网发布的消息，道县目前城市经济布局主要突出以下几个方面：</w:t>
      </w:r>
    </w:p>
    <w:p w14:paraId="42EBDC77">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优化城镇空间布局。立足道县资源禀赋，落实国家、省市主体功能区战略，科学构建“一核两轴六带”县域发展新格局。一核：以县城为核心，加快中心城区扩容提质，提升城市首位度。两轴：统筹推动沿G207和G357构成的“大十字架”经济发展轴，串联县域高速和国、省、县交通干线，注重推动资源、项目、产业、人口沿着两轴聚集发展，精心打造沿线特色小镇、特色农业 集群发展轴；六带：以县域潇水、濂溪、洑水、泡水、淹水、九嶷河六大水系为纽带，形成六大国土空间开发保护格局。重点加强沿河两岸国土空间开发保护，统筹山水林田湖草系统治理，推进沿河岸线治岸治污治渔，落实好长江十年禁渔，优化村庄规划布局，开展乡村建设行动，提升建房质量，建设美丽道县。</w:t>
      </w:r>
    </w:p>
    <w:p w14:paraId="67FEC096">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优化城区空间布局。按照“六纵十八横”的空间架构进行布局， 以千年州府为底色，打造 “一水两岸、双星闪耀”的城市新景观，加快构建“一心两河四岸三新城”的城市空间布局，努力把道县建成现代智慧新城、生态山水洲城、历史文化名城。一心：以县城老城区为核心，突出城区提质扩容、老旧小区改造。两河四岸：以潇水河、濂溪河为纽带，注重以水活城、以洲载城、以文润城，统筹推进城市濂溪河两岸提质、潇水河两岸扩容，推动 城市由“沿线发展”向“沿河发展”转变。三新城：以道县高新区调规扩区为契机，重点发展电子信息、智能智造两大百亿产业，积极培育新材料、新能源两大战略型新兴产业，打造北部工业新城，带动玉潭片区、树湘片区开发发展。 以湘粤桂综合物流园为依托，建设以一个综合物流园、多个专业物流园（汽贸物流园、 家居建材物流园、钢贸物流园、陶瓷建材物流园、 日化物流园和 冷链物流园等）、一个电商综合配送中心为主体的立足湘南、辐射桂东粤西北的区域性综合物流集散基地，加快建设城西路，推 动火车站片区、物流园片区组团滚动发展，打造南部现代物流新 城。以潇水为发展纵轴，以营阳大道（G207 道县绕城公路）、树湘大道为环线，突出上关片区开发建设，加快路网成型，产业导入，打造东部文化生态新城。</w:t>
      </w:r>
    </w:p>
    <w:p w14:paraId="24BC7BEA">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构建新型城镇化体系。打造现代智慧新城。加快城市片区开发， 以濂溪为发展横轴，南面城区突出沿潇水东西拓展，建设东部文化生态新城、南部现代物流新城；北面城区突出提质，改造古城历史文化街区，提升工业新城。以潇水为发展纵轴，以营阳大道（G207 道县绕城公路）、树湘大道为环线，突出上关片区开 发建设，加快路网成型，产业导入，打造东部文化生态新城；以湘粤桂综合物流园为依托，加快建设城西路，推进物流园片区与火车站片区组团滚动发展，打造南部现代物流新城，形成“ 一水两岸、双星闪耀”的城市新景观。以园区调规扩区为契机，健全功能，完善配套，壮大电子信息、智能制造、轻纺制鞋等产业，打造现代工业新城，带动玉潭片区、树湘片区开发发展。提升城市路网建设。加快完成营阳大道（G207道县绕城公路）、东环二路、树湘大道、城西路等城区主干道建设，拆除重建潇水大桥，拓宽建设西关桥，拉通状元路、城北路、振兴路、滨河路等城区“断头路”，形成“六纵十八横”城市路网框架。完善城市功能。持续推进城市更新，实施城中村提质改造，加快老旧小区改造，加强社区建设，支持智慧社区应用和平台建设，完善储能设施、新能源汽车充电桩、换电站及车路协同设施，推进智慧城市建设。创建国家文明城市，强化市容市貌管理整治，规范城市综合执法，推动城市治理方式向全周期管理转变。打造生态山水洲城。依托城市自然生态和山水脉络，建好东洲河坝、濂溪河坝，精心打造东洲生态湿地公园和潇水、濂溪沿岸滨河生态风光带，加强濂溪河生态廊道和板坝河生态廊道建设，完善城市防洪保护圈，加快城市绿地公园建设，创建省级园林、森林城市，打造生态宜居山水洲城。打造历史文化名城。注重将地域特色文化融入城市建设全过程，精心建设城市文化地标，改造寇公街、次山街、湾里街等历史街区，启动绍基故里保护开发，修缮保护古城墙，建好“道州府衙”，建设国家历史文化名城。同时，完善城镇发展体系。</w:t>
      </w:r>
    </w:p>
    <w:p w14:paraId="575C7705">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新型城镇化提质扩能。推进环境卫生设施提级扩能。完善垃圾无害化资源化处理设施。全面推进生活垃圾分类，逐步建立分类投放、分类收集、分类运输、分类无害化资源化处理的生活垃圾处理系统。完善道县城区、寿雁和祥霖铺特大镇生活垃圾收运体系，配备分类清运、密封性好、压缩式收运车辆，改造垃圾房和转运站。加快建设道县生活垃圾焚烧终端处理设施，逐步减少原生垃圾直接填埋。建设餐厨垃圾处理中心，建立餐厨垃圾等回收及再生利用体系。加快医疗废物、污水集中处理设施，完善收转运体系，因地制宜建设危险废物处理设施。建设规范的回收网点和分拣中心，对大件垃圾、园林垃圾、装修垃圾等生活垃圾进行回收利用，实现城区生活垃圾分类全覆盖。健全污水集中处理设施。以“共抓长江大保护”试点为契机，按照“厂网配套、泥水并重”要求，建设城区污水集中处理设施，提升管网收集能力，积极推进“雨污分流”，加强混错接、漏接、老化和破损管网更 新修复。加快建设污泥无害化资源化处理设施，推进濂溪河、潇 水河等片区治理。改善县城公共厕所。在旧城区、人流密集区和主次干路等区域，配建、补建2类以上土建厕所、2类装配式移 动厕所，利用节能环保技术配置除臭设施。改造老旧公共厕所，分批进行拆除或改建。新区建设和商业开发要严格按标准配建公共厕所。合理增加无障碍厕位和第三卫生间。推进市政公用设施提档升级。优化市政交通设施。重点推进东二环、营阳大道（G207道县绕城公路）、站前大道、城西路等两条环城路建设；推进东西横线建设，实施金都路、滨河路三段、万家庄路、公园东路、红星西路、文化西路、长征西路、状元路、城北路（东段）、湘源西路、荷叶塘东路、振兴西路、乌家山路等道路建设，完善高新技术产业开发区、物流园区路网建设。完善市政管网设施。全面完善地下给水、雨水、污水、电力、电讯、燃气等工程管线，推进地下综合管廊建设，试点推进海绵城市建设。重点建设一批城市消防站和地下人防工程，推进水系整治、防洪堤和防洪排涝设施建设。发展配送投递设施。建设道县统一分拨中转的公共配送中心，鼓励发展共同配送等新模式，满足小微企业和群众日常物流分拨配送需要。支持社会力量面向家庭用户和单位职工等受众群体，布设不同类型智能快件箱及末端网点设施，升级配套系统管理软硬件等，提供便捷安全的“最后一百米”服务。推进县城智慧化改造。实施道县5G网络建设工程，建设5G基站1200个。推行县城智慧化改造，实现政务服务“一网通办”，部署智 慧交通、智慧电网、智慧水务等感知终端，推进市政公用设施智慧化。建设政务信息数据共享交换平台、智慧安防城市项目，推行智慧教育、智慧医疗、智慧文旅、智慧城管、智慧环卫推进社会治理精细化、公共服务供给便捷化。更新改造老旧小区。推进道县老旧小区改造及基础设施配套，重点实施地下管网改造、强弱电下地、燃气管道铺设、道路提质、房屋修缮加固、安装电梯等项目。鼓励探索以社区乃至街区为单元进行改造的商业模式，吸引社会资本参与有一定盈利的改造项目。推进产业培育设施提 质增效。完善产业平台配套设施。培育城区内生增长动力和 “造 血”能力，引导乡间、夜间、网间经济蓬勃发展和服务业集聚发展，促进农业转移人口就近城镇化。完善文化产业园、特色小镇等产业集聚区配套设施，建设道县检测认证园区；优化技术研发转化中心，提供厚朴等共性技术公用研发设备；在有条件的地区建设智能标准厂房，提供共用生产空间，降低企业成本、提高生产效率；完善便企政务服务中心，优化“最多跑一次”的一站式 服务；完善道县农村资源产权交易平台，盘活农村闲置资源资产。加大高新区产业转型升级力度，争取建设一批产业转型升级示范园区。健全冷链物流设施。建设湘粤桂综合物流园、中农批冷链粤港澳大湾区湖南农副产品配送中心冷链物流产业园等冷链配送设施，保障农副产品全程冷鲜冷冻保存和运输。建设面向城市消费 的生鲜食品低温加工处理中心，推广“生鲜电商+冷链宅配”“中央厨房+食材冷链配送”等新模式。引导社会力量在大中型商场超市建设冷链物流前置仓，解决冷链物流“最后一公里”问题。提升农贸市场水平。新建畜禽批发市场、提质农贸市场、集贸市 场，合理扩大规模和服务半径，改善交易棚厅等经营条件。在批发型农贸市场配置检测检疫设备，确保进场农副产品质量安全。完善零售型农贸市场和社区菜市场环保设施，解决卫生“脏乱差”问题。支持社会力量改造建设畜禽定点屠宰加工厂。</w:t>
      </w:r>
    </w:p>
    <w:p w14:paraId="6E551611">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（2）城市发展水平</w:t>
      </w:r>
    </w:p>
    <w:p w14:paraId="24A2469A">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实现地区生产总值2938136万元，比上年增长7.0%。其中，第一产业增加值548917万元，增长3.3%；第二产业增加值1002533万元,增长11.3%；第三产业增加值1386686万元，增长5.5%。按常住人口计算，2024年人均地区生产总值为51483元，比上年增长8.3%。</w:t>
      </w:r>
    </w:p>
    <w:p w14:paraId="416E09D0">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三次产业结构为18.68:34.12:47.2。工业增加值占地区生产总值的比重为28.08%，比上年提高4.58个百分点；高新技术产业增加值占地区生产总值的比重为10.2%，比上年下降1.6个百分点。第一、二、三产业对经济增长的贡献率分别为9.7%、54.2%和36.1%，分别拉动GDP增长0.68个、3.8个、2.52个百分点。2024年非公有制经济增加值189.73亿元，比上年增长7.3%，占地区生产总值的比重为64.58%，比上年提高1.18个百分点。</w:t>
      </w:r>
    </w:p>
    <w:p w14:paraId="0372FD1D">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实现工业增加值82.51亿元，增长11.6%，其中：规模工业总产值198.71亿元，增长15.81%，规模工业增加值52.97亿元，增长14.0%。2024年新增规模以上工业企业20家，规模以上工业企业达到154家。规模工业企业实现主营业务收入159.9亿元，增长3.8%；实现利税总额7.55亿元,下降38.96%，其中利润总额5.92亿元,下降48.75%。实现建筑业增加值177396万元，比上年增长9.8%。具有资质等级的总承包和专业承包建筑企业完成产值586174.6万元，增长19.05%；房屋建筑施工面积174.88万平方米,比上年增长16.22%；房屋建筑竣工面积124.28万平方米,比上年上升15.39%。</w:t>
      </w:r>
    </w:p>
    <w:p w14:paraId="2FCEBB0B">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（3）综合实力</w:t>
      </w:r>
    </w:p>
    <w:p w14:paraId="1CA725A1">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是湖南省历史文化名城、全国糖料作物生产基地、全国秸秆养牛示范基地、全国粮食生产先进县、全国蔬菜产业重点县、全国厚朴生产基地县、全国生猪生产调出大县、全国能繁母牛养殖示范县、全国出口食品农产品质量安全示范县、全国100个柑橘生产基地、中国脐橙之乡。</w:t>
      </w:r>
    </w:p>
    <w:p w14:paraId="3D1DAC3F">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（4）社会储蓄与投资</w:t>
      </w:r>
    </w:p>
    <w:p w14:paraId="153A9402">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2024年道县完成财政总收入172805万元，下降0.94%,其中一般预算收入146235万元，下降6.7%。全县一般公共预算支出539101万元，增长0.8%。</w:t>
      </w:r>
    </w:p>
    <w:p w14:paraId="6FF7BB40">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金融机构各项存款余额350.9万元，比上年增长13.59%，比年初净增41.99万元。其中城乡居民储蓄存款余额296.88万元，增长11.03%，比年初净增29.5万元；年末全县金融机构各项贷款余额223.57万元，比上年增长11.16%，比年初净增22.44万元。其中中长期贷款余额170.18万元，比上年增长10.09%，比年初净增15.77万元。</w:t>
      </w:r>
    </w:p>
    <w:p w14:paraId="144B83AF">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（5）物价变动</w:t>
      </w:r>
    </w:p>
    <w:p w14:paraId="36D886DC">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居民消费价格总指数(CPI)比上年上涨0.4%，其中消费品价格指数比上年上涨0.5%。居民消费八大类指标中：食品烟酒类上涨0.3%，衣着类上涨0.1%，居住类上涨0.3%，生活用品及服务上涨0.9%，交通和通信类下跌0.2%，教育文化和娱乐类上涨0.3%，医疗保健类上涨1.4%，其他用品和服务上涨3.7%。</w:t>
      </w:r>
    </w:p>
    <w:p w14:paraId="60FB60D6">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 综合考虑以上影响地价的一般因素，评估分析：道县地理位置优越，对外交通便利，城市规划前景良好，随着道县社会经济的不断发展，对于土地的需求将逐渐增加；受全国房地产市场形势的影响，近两年道县的房地产市场趋于平稳，整体市场保持稳健。在宏观调控的综合作用下，道县房地产市场将保持健康平稳态势发展。</w:t>
      </w:r>
    </w:p>
    <w:p w14:paraId="3CC6E7E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(二)区域因素</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ab/>
      </w:r>
    </w:p>
    <w:p w14:paraId="0A6009D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区域因素指估价对象对地价有影响的内部区域条件，即影响内部区域之间地价水平的商服繁华程度及区域在城镇中的位置、交通条件、公用设施及基础设施水平、区域环境条件、土地使用限制和自然条件等。</w:t>
      </w:r>
    </w:p>
    <w:p w14:paraId="57B46E1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1.区域概况</w:t>
      </w:r>
    </w:p>
    <w:p w14:paraId="184446B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（1）区域位置</w:t>
      </w:r>
    </w:p>
    <w:p w14:paraId="75ECDD4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估价对象位于道县四马桥镇。</w:t>
      </w:r>
    </w:p>
    <w:p w14:paraId="540109C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四马桥镇位于道县东南部，东界宁远县水市镇，南接洪塘营瑶族乡，西临横岭瑶族乡、蚣坝镇，北与白芒铺镇、宁远县天堂镇毗邻。县城至湘源温泉风景区公路、湘江二级支流泡水河横贯南北。</w:t>
      </w:r>
    </w:p>
    <w:p w14:paraId="1DA8826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（2）人口</w:t>
      </w:r>
    </w:p>
    <w:p w14:paraId="71D124C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户籍人口3.86万人，集镇人口9800余人，共10,792户。</w:t>
      </w:r>
    </w:p>
    <w:p w14:paraId="7643CD2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（3）土地级别</w:t>
      </w:r>
    </w:p>
    <w:p w14:paraId="2993737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道县城镇</w:t>
      </w:r>
      <w:r>
        <w:rPr>
          <w:rFonts w:hint="eastAsia" w:ascii="仿宋_GB2312" w:hAnsi="仿宋_GB2312" w:eastAsia="仿宋_GB2312" w:cs="仿宋_GB2312"/>
          <w:color w:val="000000" w:themeColor="text1"/>
          <w:sz w:val="28"/>
          <w:highlight w:val="none"/>
          <w14:textFill>
            <w14:solidFill>
              <w14:schemeClr w14:val="tx1"/>
            </w14:solidFill>
          </w14:textFill>
        </w:rPr>
        <w:t>基准地价的颁布实施时间为2019年11月22日，批准文号为道政函〔2019〕85号,文件名称为《关于更新城区基准地价和制订11个建制镇基准地价的通告》（道政函〔2019〕85号，2019年11月22日），批准机关为道县人民政府，估价期日为2019年5月1日，距估价期日超过六年</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故暂无土地级别信息</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p>
    <w:p w14:paraId="4EFEB1A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（4）经济发展</w:t>
      </w:r>
    </w:p>
    <w:p w14:paraId="7FA8F6B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eastAsia="仿宋_GB2312"/>
          <w:color w:val="0000FF"/>
          <w:sz w:val="28"/>
          <w:szCs w:val="30"/>
          <w:highlight w:val="none"/>
          <w:lang w:val="en-US" w:eastAsia="zh-CN"/>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四马桥镇是道县重要的产粮区和烤烟生产主产区。2024年，大豆、玉米种植4400亩，油菜5000亩，水稻种植面积达18,600余亩，蔬菜产业对接粤港澳大湾区，华山村等地绿色蔬菜产业基地扩展至2000亩以上。</w:t>
      </w:r>
    </w:p>
    <w:p w14:paraId="57F9C3D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2.交通条件</w:t>
      </w:r>
    </w:p>
    <w:p w14:paraId="36EE100F">
      <w:pPr>
        <w:spacing w:line="460" w:lineRule="exact"/>
        <w:ind w:firstLine="560" w:firstLineChars="200"/>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（1）对内交通条件</w:t>
      </w:r>
    </w:p>
    <w:p w14:paraId="22A6A9A8">
      <w:pPr>
        <w:spacing w:line="460" w:lineRule="exact"/>
        <w:ind w:firstLine="560" w:firstLineChars="200"/>
        <w:outlineLvl w:val="9"/>
        <w:rPr>
          <w:rFonts w:hint="eastAsia" w:ascii="仿宋_GB2312" w:eastAsia="仿宋_GB2312"/>
          <w:color w:val="000000" w:themeColor="text1"/>
          <w:sz w:val="28"/>
          <w:szCs w:val="30"/>
          <w:highlight w:val="none"/>
          <w14:textFill>
            <w14:solidFill>
              <w14:schemeClr w14:val="tx1"/>
            </w14:solidFill>
          </w14:textFill>
        </w:rPr>
      </w:pPr>
      <w:r>
        <w:rPr>
          <w:rFonts w:hint="default" w:ascii="仿宋_GB2312" w:hAnsi="仿宋_GB2312" w:eastAsia="仿宋_GB2312" w:cs="仿宋_GB2312"/>
          <w:color w:val="000000" w:themeColor="text1"/>
          <w:sz w:val="28"/>
          <w:szCs w:val="30"/>
          <w:highlight w:val="none"/>
          <w14:textFill>
            <w14:solidFill>
              <w14:schemeClr w14:val="tx1"/>
            </w14:solidFill>
          </w14:textFill>
        </w:rPr>
        <w:t>四马桥镇</w:t>
      </w:r>
      <w:r>
        <w:rPr>
          <w:rFonts w:hint="eastAsia" w:ascii="仿宋_GB2312" w:hAnsi="仿宋_GB2312" w:eastAsia="仿宋_GB2312" w:cs="仿宋_GB2312"/>
          <w:color w:val="000000" w:themeColor="text1"/>
          <w:sz w:val="28"/>
          <w:szCs w:val="30"/>
          <w:highlight w:val="none"/>
          <w14:textFill>
            <w14:solidFill>
              <w14:schemeClr w14:val="tx1"/>
            </w14:solidFill>
          </w14:textFill>
        </w:rPr>
        <w:t>境内有县城到</w:t>
      </w: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四马桥镇</w:t>
      </w:r>
      <w:r>
        <w:rPr>
          <w:rFonts w:hint="eastAsia" w:ascii="仿宋_GB2312" w:hAnsi="仿宋_GB2312" w:eastAsia="仿宋_GB2312" w:cs="仿宋_GB2312"/>
          <w:color w:val="000000" w:themeColor="text1"/>
          <w:sz w:val="28"/>
          <w:szCs w:val="30"/>
          <w:highlight w:val="none"/>
          <w14:textFill>
            <w14:solidFill>
              <w14:schemeClr w14:val="tx1"/>
            </w14:solidFill>
          </w14:textFill>
        </w:rPr>
        <w:t>、县城到大洞田的客运汽车，6个村通了客运班车，日均客容量140余人次。</w:t>
      </w:r>
    </w:p>
    <w:p w14:paraId="140C29A0">
      <w:pPr>
        <w:spacing w:line="460" w:lineRule="exact"/>
        <w:ind w:firstLine="560" w:firstLineChars="200"/>
        <w:outlineLvl w:val="9"/>
        <w:rPr>
          <w:rFonts w:hint="default"/>
          <w:color w:val="000000" w:themeColor="text1"/>
          <w:lang w:eastAsia="zh-CN"/>
          <w14:textFill>
            <w14:solidFill>
              <w14:schemeClr w14:val="tx1"/>
            </w14:solidFill>
          </w14:textFill>
        </w:rPr>
      </w:pPr>
      <w:r>
        <w:rPr>
          <w:rFonts w:hint="default" w:ascii="仿宋_GB2312" w:hAnsi="仿宋_GB2312" w:eastAsia="仿宋_GB2312" w:cs="仿宋_GB2312"/>
          <w:color w:val="000000" w:themeColor="text1"/>
          <w:sz w:val="28"/>
          <w:szCs w:val="30"/>
          <w:highlight w:val="none"/>
          <w14:textFill>
            <w14:solidFill>
              <w14:schemeClr w14:val="tx1"/>
            </w14:solidFill>
          </w14:textFill>
        </w:rPr>
        <w:t>估价对象距四马桥镇客运站12km。</w:t>
      </w:r>
    </w:p>
    <w:p w14:paraId="3012DFBF">
      <w:pPr>
        <w:spacing w:line="460" w:lineRule="exact"/>
        <w:ind w:firstLine="560" w:firstLineChars="200"/>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（2）对外交通条件</w:t>
      </w:r>
    </w:p>
    <w:p w14:paraId="62BFA1D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①公路：</w:t>
      </w:r>
      <w:r>
        <w:rPr>
          <w:rFonts w:hint="eastAsia" w:ascii="仿宋_GB2312" w:hAnsi="仿宋_GB2312" w:eastAsia="仿宋_GB2312" w:cs="仿宋_GB2312"/>
          <w:color w:val="000000" w:themeColor="text1"/>
          <w:sz w:val="28"/>
          <w:szCs w:val="30"/>
          <w:highlight w:val="none"/>
          <w14:textFill>
            <w14:solidFill>
              <w14:schemeClr w14:val="tx1"/>
            </w14:solidFill>
          </w14:textFill>
        </w:rPr>
        <w:t>区域的外联道路主要</w:t>
      </w:r>
      <w:r>
        <w:rPr>
          <w:rFonts w:hint="default" w:ascii="仿宋_GB2312" w:hAnsi="仿宋_GB2312" w:eastAsia="仿宋_GB2312" w:cs="仿宋_GB2312"/>
          <w:color w:val="000000" w:themeColor="text1"/>
          <w:sz w:val="28"/>
          <w:szCs w:val="30"/>
          <w:highlight w:val="none"/>
          <w14:textFill>
            <w14:solidFill>
              <w14:schemeClr w14:val="tx1"/>
            </w14:solidFill>
          </w14:textFill>
        </w:rPr>
        <w:t>有县道X089、县道X069、县道X090、XA43等</w:t>
      </w: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等。</w:t>
      </w:r>
    </w:p>
    <w:p w14:paraId="48E14F8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②铁路：江华火车站主要线路为益湛铁路，估价对象所在区域中心距离该火车站约15km。</w:t>
      </w:r>
    </w:p>
    <w:p w14:paraId="624E0EC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③高铁：估价对象区域距东安高铁站约127km。</w:t>
      </w:r>
    </w:p>
    <w:p w14:paraId="31DF683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④航空：估价对象区域距离最近的机场为永州零陵机场约117km。</w:t>
      </w:r>
    </w:p>
    <w:p w14:paraId="7EF3BAB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⑤水运：四马桥镇境内有</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begin"/>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instrText xml:space="preserve"> HYPERLINK "https://m.baike.so.com/"/doc/5408752-5646740.html/"" \t "/home/hsl/Documents\\x/\\"_blank\\"" </w:instrTex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separate"/>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湘江</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end"/>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水系二级支流</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begin"/>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instrText xml:space="preserve"> HYPERLINK "https://m.baike.so.com/"/doc/304737-322616.html/"" \t "/home/hsl/Documents\\x/\\"_blank\\"" </w:instrTex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separate"/>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泡水</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end"/>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河穿境而过，境内河道长15.5千米</w:t>
      </w:r>
      <w:r>
        <w:rPr>
          <w:rFonts w:hint="default" w:ascii="仿宋_GB2312" w:hAnsi="仿宋_GB2312" w:eastAsia="仿宋_GB2312" w:cs="仿宋_GB2312"/>
          <w:bCs/>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水位较浅，未形成水运条件，水运主要依托长沙湘江流域。</w:t>
      </w:r>
    </w:p>
    <w:p w14:paraId="0FF65E2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3.基础设施和市政公用设施</w:t>
      </w:r>
    </w:p>
    <w:p w14:paraId="5AC4A59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（1）供电：区域内接市政双回路110KV供电管网，供电保证率一般。</w:t>
      </w:r>
    </w:p>
    <w:p w14:paraId="6DA4A31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（2）通讯：区域内通讯与市政通讯网相联，通讯线路以地下管道为主，辅以架空线路，通讯线路畅通，区内已实现移动电话全国漫游，区内全面铺设了高速宽带通讯光缆。</w:t>
      </w:r>
    </w:p>
    <w:p w14:paraId="4ABE210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（3）给水：区域内供水主要来自区内的市政供水。自来水供应管道标准φ1000mm、φ800mm、φ600mm，供水保证率高。</w:t>
      </w:r>
    </w:p>
    <w:p w14:paraId="1DA6CA4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（4）排水：区内排水为雨污分流方式，排污管沿主要道路铺设，以污水处理厂为终结，市政排水体系完备。</w:t>
      </w:r>
    </w:p>
    <w:p w14:paraId="73DB429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（5）通气：/。</w:t>
      </w:r>
    </w:p>
    <w:p w14:paraId="4D04D99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（6）供暖：/。</w:t>
      </w:r>
    </w:p>
    <w:p w14:paraId="7E74A24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4.环境条件</w:t>
      </w:r>
    </w:p>
    <w:p w14:paraId="7E564168">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hAnsi="仿宋_GB2312" w:eastAsia="仿宋_GB2312" w:cs="仿宋_GB2312"/>
          <w:color w:val="000000" w:themeColor="text1"/>
          <w:sz w:val="28"/>
          <w:szCs w:val="30"/>
          <w:highlight w:val="none"/>
          <w14:textFill>
            <w14:solidFill>
              <w14:schemeClr w14:val="tx1"/>
            </w14:solidFill>
          </w14:textFill>
        </w:rPr>
        <w:t>（1）人文环境</w:t>
      </w:r>
    </w:p>
    <w:p w14:paraId="209AB62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w:t>
      </w:r>
      <w:r>
        <w:rPr>
          <w:rFonts w:hint="eastAsia" w:ascii="仿宋_GB2312" w:hAnsi="仿宋_GB2312" w:eastAsia="仿宋_GB2312" w:cs="仿宋_GB2312"/>
          <w:bCs/>
          <w:color w:val="000000" w:themeColor="text1"/>
          <w:sz w:val="28"/>
          <w:szCs w:val="28"/>
          <w:highlight w:val="none"/>
          <w14:textFill>
            <w14:solidFill>
              <w14:schemeClr w14:val="tx1"/>
            </w14:solidFill>
          </w14:textFill>
        </w:rPr>
        <w:t>居民整体文化素质一般，周边治安稳定，文人环境一般。</w:t>
      </w:r>
    </w:p>
    <w:p w14:paraId="0F85F2CA">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hAnsi="仿宋_GB2312" w:eastAsia="仿宋_GB2312" w:cs="仿宋_GB2312"/>
          <w:color w:val="000000" w:themeColor="text1"/>
          <w:sz w:val="28"/>
          <w:szCs w:val="30"/>
          <w:highlight w:val="none"/>
          <w14:textFill>
            <w14:solidFill>
              <w14:schemeClr w14:val="tx1"/>
            </w14:solidFill>
          </w14:textFill>
        </w:rPr>
        <w:t>（2）自然环境</w:t>
      </w:r>
    </w:p>
    <w:p w14:paraId="301FE25B">
      <w:pPr>
        <w:spacing w:line="460" w:lineRule="exact"/>
        <w:ind w:firstLine="560" w:firstLineChars="200"/>
        <w:outlineLvl w:val="9"/>
        <w:rPr>
          <w:rFonts w:hint="default" w:ascii="仿宋_GB2312" w:eastAsia="仿宋_GB2312"/>
          <w:color w:val="auto"/>
          <w:sz w:val="28"/>
          <w:szCs w:val="30"/>
          <w:highlight w:val="none"/>
        </w:rPr>
      </w:pPr>
      <w:r>
        <w:rPr>
          <w:rFonts w:hint="default" w:ascii="仿宋_GB2312" w:hAnsi="仿宋_GB2312" w:eastAsia="仿宋_GB2312" w:cs="仿宋_GB2312"/>
          <w:color w:val="auto"/>
          <w:sz w:val="28"/>
          <w:szCs w:val="30"/>
          <w:highlight w:val="none"/>
        </w:rPr>
        <w:t>四马桥镇境内麻子寨、分水凹等山矗立南部，地势东高西低，南高北低。泡水流注其间，沿河两岸为较大面积的溪谷平原，地势平坦。地面高度一般在海拔350米，最高点牛鸾心海拔1037米，最低点泡水河海拔200米。</w:t>
      </w:r>
    </w:p>
    <w:p w14:paraId="1278DDA5">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hAnsi="仿宋_GB2312" w:eastAsia="仿宋_GB2312" w:cs="仿宋_GB2312"/>
          <w:color w:val="auto"/>
          <w:sz w:val="28"/>
          <w:szCs w:val="30"/>
          <w:highlight w:val="none"/>
        </w:rPr>
        <w:t>宗地所在区域，地质条</w:t>
      </w:r>
      <w:r>
        <w:rPr>
          <w:rFonts w:hint="eastAsia" w:ascii="仿宋_GB2312" w:hAnsi="仿宋_GB2312" w:eastAsia="仿宋_GB2312" w:cs="仿宋_GB2312"/>
          <w:color w:val="000000" w:themeColor="text1"/>
          <w:sz w:val="28"/>
          <w:szCs w:val="30"/>
          <w:highlight w:val="none"/>
          <w14:textFill>
            <w14:solidFill>
              <w14:schemeClr w14:val="tx1"/>
            </w14:solidFill>
          </w14:textFill>
        </w:rPr>
        <w:t>件较好，宗地无异常地质现象，地基承载力</w:t>
      </w: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大于25</w:t>
      </w:r>
      <w:r>
        <w:rPr>
          <w:rFonts w:hint="eastAsia" w:ascii="仿宋_GB2312" w:hAnsi="仿宋_GB2312" w:eastAsia="仿宋_GB2312" w:cs="仿宋_GB2312"/>
          <w:color w:val="000000" w:themeColor="text1"/>
          <w:sz w:val="28"/>
          <w:szCs w:val="30"/>
          <w:highlight w:val="none"/>
          <w14:textFill>
            <w14:solidFill>
              <w14:schemeClr w14:val="tx1"/>
            </w14:solidFill>
          </w14:textFill>
        </w:rPr>
        <w:t>吨/平方米，地势平坦。区域内无大型污染性企业，区域内自然灾害率大于100年一遇。</w:t>
      </w:r>
    </w:p>
    <w:p w14:paraId="501D6C7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5.产业集聚度</w:t>
      </w:r>
    </w:p>
    <w:p w14:paraId="019BF5E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估价对象位于产业独立分布区，产业集聚度劣。</w:t>
      </w:r>
    </w:p>
    <w:p w14:paraId="7C2755C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6.规划限制</w:t>
      </w:r>
    </w:p>
    <w:p w14:paraId="69D91AD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目前城市规划对估价对象所在区域无特殊限制，具体的开发建设必须符合规划管理部门的控制性详细规划。</w:t>
      </w:r>
    </w:p>
    <w:p w14:paraId="35C0DC3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7.微观区位因素</w:t>
      </w:r>
    </w:p>
    <w:p w14:paraId="32E03FD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color w:val="000000"/>
          <w:sz w:val="28"/>
        </w:rPr>
        <w:t>估价对象位于通道县双江镇城南街，估价对价对象交通由支路构成，区域交通条件差。距离最近火车站（江华火车站）约12km，距火车站距离差；区域基础设施状况一般，区域内产业集聚度差。</w:t>
      </w:r>
    </w:p>
    <w:p w14:paraId="01D169C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综合考虑以上影响地价区域因素，评估分析：估价对象所在区域交通条件差，基础设施齐全，产业集聚度差，地质条件好，区域无特殊规划限制。</w:t>
      </w:r>
    </w:p>
    <w:p w14:paraId="4F3A20D2">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(三)个别因素</w:t>
      </w:r>
    </w:p>
    <w:p w14:paraId="41488DB6">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影响宗地的个别因素主要指与土地利用直接有关的宗地自身条件，包括估价对象位置、面积、用途、土地利用现状、宗地形状、地质条件、地势、基础设施条件等。</w:t>
      </w:r>
    </w:p>
    <w:p w14:paraId="39BBC5DD">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1.土地位置</w:t>
      </w:r>
    </w:p>
    <w:p w14:paraId="21CE7312">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估价对象位于道县湖南紫金新材料聚集区。</w:t>
      </w:r>
    </w:p>
    <w:p w14:paraId="08A6E39F">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2.土地面积</w:t>
      </w:r>
    </w:p>
    <w:p w14:paraId="320D6C64">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color w:val="000000"/>
          <w:sz w:val="28"/>
        </w:rPr>
        <w:t>根据委托估价方提供的《关于国有建设用地的规划条件的函》（2025年9月11日），估价对象土地面积为25.32平方米，面积适中，对土地利用有利。</w:t>
      </w:r>
    </w:p>
    <w:p w14:paraId="282E8E15">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3.宗地四至：东临建筑物，南临建筑物，西临长征南路，北临建筑物</w:t>
      </w:r>
    </w:p>
    <w:p w14:paraId="0474EA8B">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4.土地用途</w:t>
      </w:r>
    </w:p>
    <w:p w14:paraId="50EED013">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color w:val="000000"/>
          <w:sz w:val="28"/>
        </w:rPr>
        <w:t>根据《关于国有建设用地的规划条件的函》（2025年9月11日），土地用途为城镇住宅用地。</w:t>
      </w:r>
    </w:p>
    <w:p w14:paraId="1D28F272">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5.土地形状</w:t>
      </w:r>
    </w:p>
    <w:p w14:paraId="763F5C9F">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根据委托估价方提供的《通道县房屋登记核发权证申请表》，宗地形状基本规则，对利用无影响。</w:t>
      </w:r>
    </w:p>
    <w:p w14:paraId="295C5803">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6.地质条件</w:t>
      </w:r>
    </w:p>
    <w:p w14:paraId="15B2C1D3">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估价对象地基承载大于25吨/平方米，地质条件优。</w:t>
      </w:r>
    </w:p>
    <w:p w14:paraId="70EB7FF3">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7.地势条件</w:t>
      </w:r>
    </w:p>
    <w:p w14:paraId="1A7A143D">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根据估价师现场勘查，宗地地势较平坦。</w:t>
      </w:r>
    </w:p>
    <w:p w14:paraId="541CD05F">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8.土地利用条件</w:t>
      </w:r>
    </w:p>
    <w:p w14:paraId="6F31C964">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（1）土地利用现状</w:t>
      </w:r>
    </w:p>
    <w:p w14:paraId="0D342094">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根据委托估价方提供的资料和土地估价师现场勘查结果，宗地现状开发程度为宗地红线内外“五通”（通路、通电、供水、排水、通讯）及红线内场地平整，利用现状为待开发建设用地。</w:t>
      </w:r>
    </w:p>
    <w:p w14:paraId="14177A72">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估价对象利用现状如下：</w:t>
      </w:r>
    </w:p>
    <w:tbl>
      <w:tblPr>
        <w:tblStyle w:val="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18"/>
        <w:gridCol w:w="4204"/>
      </w:tblGrid>
      <w:tr w14:paraId="1066EC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92" w:hRule="atLeast"/>
          <w:jc w:val="center"/>
        </w:trPr>
        <w:tc>
          <w:tcPr>
            <w:tcW w:w="2533" w:type="pct"/>
          </w:tcPr>
          <w:p w14:paraId="463D352E">
            <w:pPr>
              <w:pStyle w:val="14"/>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lang w:eastAsia="zh-CN"/>
                <w14:textFill>
                  <w14:solidFill>
                    <w14:schemeClr w14:val="tx1"/>
                  </w14:solidFill>
                </w14:textFill>
              </w:rPr>
              <w:drawing>
                <wp:inline distT="0" distB="0" distL="114300" distR="114300">
                  <wp:extent cx="2519680" cy="1889760"/>
                  <wp:effectExtent l="0" t="0" r="13970" b="15240"/>
                  <wp:docPr id="1013" name="图片 19" descr="0d1c4769464c08c55cd7d263fc47bf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图片 19" descr="0d1c4769464c08c55cd7d263fc47bf45"/>
                          <pic:cNvPicPr>
                            <a:picLocks noChangeAspect="1"/>
                          </pic:cNvPicPr>
                        </pic:nvPicPr>
                        <pic:blipFill>
                          <a:blip r:embed="rId30"/>
                          <a:stretch>
                            <a:fillRect/>
                          </a:stretch>
                        </pic:blipFill>
                        <pic:spPr>
                          <a:xfrm>
                            <a:off x="0" y="0"/>
                            <a:ext cx="2519680" cy="1889760"/>
                          </a:xfrm>
                          <a:prstGeom prst="rect">
                            <a:avLst/>
                          </a:prstGeom>
                        </pic:spPr>
                      </pic:pic>
                    </a:graphicData>
                  </a:graphic>
                </wp:inline>
              </w:drawing>
            </w:r>
          </w:p>
        </w:tc>
        <w:tc>
          <w:tcPr>
            <w:tcW w:w="2466" w:type="pct"/>
          </w:tcPr>
          <w:p w14:paraId="43AB98BF">
            <w:pPr>
              <w:pStyle w:val="14"/>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lang w:eastAsia="zh-CN"/>
                <w14:textFill>
                  <w14:solidFill>
                    <w14:schemeClr w14:val="tx1"/>
                  </w14:solidFill>
                </w14:textFill>
              </w:rPr>
              <w:drawing>
                <wp:inline distT="0" distB="0" distL="114300" distR="114300">
                  <wp:extent cx="2522220" cy="1891030"/>
                  <wp:effectExtent l="0" t="0" r="11430" b="13970"/>
                  <wp:docPr id="1014" name="图片 13" descr="b9ee6a2c6791617f1697764a5113a0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图片 13" descr="b9ee6a2c6791617f1697764a5113a0eb"/>
                          <pic:cNvPicPr>
                            <a:picLocks noChangeAspect="1"/>
                          </pic:cNvPicPr>
                        </pic:nvPicPr>
                        <pic:blipFill>
                          <a:blip r:embed="rId31"/>
                          <a:stretch>
                            <a:fillRect/>
                          </a:stretch>
                        </pic:blipFill>
                        <pic:spPr>
                          <a:xfrm>
                            <a:off x="0" y="0"/>
                            <a:ext cx="2522220" cy="1891030"/>
                          </a:xfrm>
                          <a:prstGeom prst="rect">
                            <a:avLst/>
                          </a:prstGeom>
                        </pic:spPr>
                      </pic:pic>
                    </a:graphicData>
                  </a:graphic>
                </wp:inline>
              </w:drawing>
            </w:r>
          </w:p>
        </w:tc>
      </w:tr>
    </w:tbl>
    <w:p w14:paraId="1BEC50B9">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（2）规划利用条件</w:t>
      </w:r>
    </w:p>
    <w:p w14:paraId="3AC578A4">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①规划利用状况</w:t>
      </w:r>
    </w:p>
    <w:p w14:paraId="505CCBE9">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color w:val="000000"/>
          <w:sz w:val="28"/>
        </w:rPr>
        <w:t>根据《关于国有建设用地的规划条件的函》（2025年9月11日）及现场勘查状况，估价对象土地面积为25.32平方米，规划建筑密度35%-55%，容积率0.7-4.23，绿地率≤15%，建筑限高24米，规划指标批准机关为通道县自然资源局，批准日期为2025年9月11日。</w:t>
      </w:r>
    </w:p>
    <w:p w14:paraId="678B10FF">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②最佳利用</w:t>
      </w:r>
    </w:p>
    <w:p w14:paraId="5B241C40">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42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t>本次评估根据最有效利用原则，估价对象在规划利用下价值利用状况为最有效利用。故设定估价对象为住宅用地，设定容积率为0.7-4.23，其余指标均取规划值为最佳利用方式。</w:t>
      </w:r>
    </w:p>
    <w:p w14:paraId="2E49811A">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③规划利用限制和缺陷情况</w:t>
      </w:r>
    </w:p>
    <w:p w14:paraId="088C442B">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根据委托方提供的资料及估价人员了解，宗地无明显规划利用限制和缺陷。</w:t>
      </w:r>
    </w:p>
    <w:p w14:paraId="59D2F98F">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9.基础设施条件</w:t>
      </w:r>
    </w:p>
    <w:p w14:paraId="21443532">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估价对象宗地实际土地开发程度为宗地红线内外“五通”（通路、通电、供水、排水、通讯）及红线内场地平整。</w:t>
      </w:r>
    </w:p>
    <w:p w14:paraId="04BAD813">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（1）通路：临支路。</w:t>
      </w:r>
    </w:p>
    <w:p w14:paraId="6054CBC0">
      <w:pPr>
        <w:pStyle w:val="2"/>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（2）供电：区域内接市政双回路110KV供电管网，供电保证率一般。</w:t>
      </w:r>
    </w:p>
    <w:p w14:paraId="32B2EBFF">
      <w:pPr>
        <w:pStyle w:val="2"/>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（3）通讯：区域内通讯与市政通讯网相联，通讯线路以地下管道为主，辅以架空线路，通讯线路畅通，区内已实现移动电话全国漫游，区内全面铺设了高速宽带通讯光缆。</w:t>
      </w:r>
    </w:p>
    <w:p w14:paraId="591D11B5">
      <w:pPr>
        <w:pStyle w:val="2"/>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（4）给水：/。</w:t>
      </w:r>
    </w:p>
    <w:p w14:paraId="1A45C66B">
      <w:pPr>
        <w:pStyle w:val="2"/>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（5）排水：/。</w:t>
      </w:r>
    </w:p>
    <w:p w14:paraId="2EBE6F46">
      <w:pPr>
        <w:pStyle w:val="2"/>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14:textFill>
            <w14:solidFill>
              <w14:schemeClr w14:val="tx1"/>
            </w14:solidFill>
          </w14:textFill>
        </w:rPr>
        <w:sectPr>
          <w:headerReference r:id="rId22" w:type="first"/>
          <w:footerReference r:id="rId23" w:type="first"/>
          <w:endnotePr>
            <w:numFmt w:val="decimal"/>
          </w:endnotePr>
          <w:pgSz w:w="11906" w:h="16838"/>
          <w:pgMar w:top="1440" w:right="1800" w:bottom="1440" w:left="1800" w:header="851" w:footer="850" w:gutter="0"/>
          <w:pgNumType w:fmt="decimal"/>
          <w:cols w:space="720" w:num="1"/>
          <w:docGrid w:linePitch="312" w:charSpace="0"/>
        </w:sect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综合考虑以上影响地价的个别因素，评估分析：面积适中，对土地利用有利，宗地形状基本规则，对利用有一定影响，地质地势条件优，主要进出道路为支路，道路通达度较差，距最近货运火车站距离为劣。估价对象作为设定用途符合有效利用原则，其他个别条件均对宗地产生较有利影响。</w:t>
      </w:r>
    </w:p>
    <w:p w14:paraId="15151CC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p>
    <w:p w14:paraId="7D5E358A">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sectPr>
          <w:headerReference r:id="rId24" w:type="first"/>
          <w:footerReference r:id="rId25" w:type="first"/>
          <w:endnotePr>
            <w:numFmt w:val="decimal"/>
          </w:endnotePr>
          <w:type w:val="continuous"/>
          <w:pgSz w:w="11906" w:h="16838"/>
          <w:pgMar w:top="1440" w:right="1800" w:bottom="1440" w:left="1800" w:header="851" w:footer="992" w:gutter="0"/>
          <w:pgNumType w:fmt="decimal"/>
          <w:cols w:space="720" w:num="1"/>
          <w:docGrid w:linePitch="312" w:charSpace="0"/>
        </w:sectPr>
      </w:pPr>
    </w:p>
    <w:p w14:paraId="4EB4596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p>
    <w:p w14:paraId="18481D74">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sectPr>
          <w:headerReference r:id="rId26" w:type="first"/>
          <w:footerReference r:id="rId27" w:type="first"/>
          <w:endnotePr>
            <w:numFmt w:val="decimal"/>
          </w:endnotePr>
          <w:type w:val="continuous"/>
          <w:pgSz w:w="11906" w:h="16838"/>
          <w:pgMar w:top="1440" w:right="1800" w:bottom="1440" w:left="1800" w:header="851" w:footer="992" w:gutter="0"/>
          <w:pgNumType w:fmt="decimal"/>
          <w:cols w:space="720" w:num="1"/>
          <w:docGrid w:linePitch="312" w:charSpace="0"/>
        </w:sectPr>
      </w:pPr>
    </w:p>
    <w:p w14:paraId="085EF71D">
      <w:pPr>
        <w:adjustRightInd w:val="0"/>
        <w:snapToGrid w:val="0"/>
        <w:spacing w:line="480" w:lineRule="exact"/>
        <w:ind w:firstLine="643" w:firstLineChars="200"/>
        <w:jc w:val="center"/>
        <w:outlineLvl w:val="1"/>
        <w:rPr>
          <w:rFonts w:ascii="宋体" w:hAnsi="宋体" w:cs="仿宋_GB2312"/>
          <w:b/>
          <w:color w:val="000000" w:themeColor="text1"/>
          <w:sz w:val="32"/>
          <w:szCs w:val="32"/>
          <w:highlight w:val="none"/>
          <w14:textFill>
            <w14:solidFill>
              <w14:schemeClr w14:val="tx1"/>
            </w14:solidFill>
          </w14:textFill>
        </w:rPr>
      </w:pPr>
      <w:r>
        <w:rPr>
          <w:rFonts w:hint="eastAsia" w:ascii="仿宋_GB2312" w:hAnsi="仿宋_GB2312" w:eastAsia="仿宋_GB2312" w:cs="仿宋_GB2312"/>
          <w:b/>
          <w:color w:val="000000" w:themeColor="text1"/>
          <w:sz w:val="32"/>
          <w:szCs w:val="32"/>
          <w:highlight w:val="none"/>
          <w14:textFill>
            <w14:solidFill>
              <w14:schemeClr w14:val="tx1"/>
            </w14:solidFill>
          </w14:textFill>
        </w:rPr>
        <w:t>第三部分  土地估价</w:t>
      </w:r>
    </w:p>
    <w:p w14:paraId="719AFE8F">
      <w:pPr>
        <w:keepNext w:val="0"/>
        <w:keepLines w:val="0"/>
        <w:pageBreakBefore w:val="0"/>
        <w:widowControl w:val="0"/>
        <w:kinsoku/>
        <w:wordWrap/>
        <w:overflowPunct/>
        <w:topLinePunct w:val="0"/>
        <w:autoSpaceDE/>
        <w:autoSpaceDN/>
        <w:bidi w:val="0"/>
        <w:spacing w:line="480" w:lineRule="exact"/>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仿宋_GB2312" w:hAnsi="仿宋_GB2312" w:eastAsia="仿宋_GB2312" w:cs="仿宋_GB2312"/>
          <w:b/>
          <w:color w:val="000000" w:themeColor="text1"/>
          <w:sz w:val="28"/>
          <w:szCs w:val="28"/>
          <w:highlight w:val="none"/>
          <w14:textFill>
            <w14:solidFill>
              <w14:schemeClr w14:val="tx1"/>
            </w14:solidFill>
          </w14:textFill>
        </w:rPr>
        <w:t>一、估价原则</w:t>
      </w:r>
    </w:p>
    <w:p w14:paraId="245563C1">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地价是由其效用、相对稀缺性及有效需求三者相互作用影响所形成的。而这些因素又经常处于变动之中，土地估价必须要对此做细致分析并准确判断其变动趋向，了解土地价格组成的各种因素及各因素之间相互作用，才能做出正确的估价。我们在本次估价过程中根据《城镇土地估价规程》（中华人民共和国国家标准GB/T18508-2014）、《关于印发&lt;国有建设用地使用权出让地价评估技术规范&gt;的通知》（国土资厅发（2018）4号，2018年3月9日）及估价对象的具体情况主要遵循以下原则：</w:t>
      </w:r>
    </w:p>
    <w:p w14:paraId="0904C424">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替代原则：根据市场运行规律，在同一商品市场中，商品或提供服务的效用相同或大致相似时，价格低者吸引需求，即有两个以上互有替代性的商品或服务同时存在时，商品或服务的价格是经过相互影响与比较之后来决定的。土地价值也同样遵循替代规律，某块土地的价格，受其它具有相同使用价值的地块，即同类型具有替代可能的地块价格所牵制。换言之，具有相同使用价值、替代可能的地块之间，会相互影响和竞争，使价格相互牵制而趋于一致。</w:t>
      </w:r>
    </w:p>
    <w:p w14:paraId="64604CB4">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本次评估中采用的市场比较法以该原则为基础。市场比较法选择的交易实例与估价对象位于同一供求圈，土地用途一致，区位条件相近，替代性较强。估价对象土地价格受同类型替代性的地块价格的牵制。</w:t>
      </w:r>
    </w:p>
    <w:p w14:paraId="00593F8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市场比较法选择的交易实例与估价对象位于同一供求圈，土地用途一致，区位条件相近，替代性较强。估价对象土地价格受同类型替代性的地块价格的牵制。</w:t>
      </w:r>
    </w:p>
    <w:p w14:paraId="7DA3531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2.最有效利用原则：土地估价应以估价对象的最有效利用为前提。判断土地的最有效利用以土地利用是否符合其自身利用条件、法律法规政策及规划限制、市场要求和最佳利用程度等为依据。</w:t>
      </w:r>
    </w:p>
    <w:p w14:paraId="1D91315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以估价对象最有效利用为前提。根据委托人提供的《关于国有建设用地的规划条件的函》（2025年9月11日），开发建设时，投资人将使土地利用达到最有效利用，因此本次评估按规划指标最高值进行设定，符合最有效利用原则。</w:t>
      </w:r>
    </w:p>
    <w:p w14:paraId="5889C60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预期收益原则：土地价值可由土地产生的未来预期收益折现值来反映，土地投资者在预测该土地将来所能带来的收益或效用后进行投资的。土地评估应以估价对象在正常利用下的未来客观有效的预期收益为依据。</w:t>
      </w:r>
    </w:p>
    <w:p w14:paraId="37933D5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本次评估估价对象土地价格为规划条件下的市场价格，考虑了土地在未来所能产生的利润，体现了预期收益原则。</w:t>
      </w:r>
    </w:p>
    <w:p w14:paraId="1EE1F15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供需原则：在完全的市场竞争中，一般商品的价格都取决于供求的均衡点。由于土地与一般商品相比，具有独特的人文和自然特性，因此在进行土地估价时既要考虑到所假设的公平市场，又要考虑土地供应的垄断特性。土地评估要充分考虑土地供需的特殊性和土地市场的地域性。</w:t>
      </w:r>
    </w:p>
    <w:p w14:paraId="548B81F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由于估价对象所在区域内土地供给有限，土地市场正常价格有潜在的增长趋势，估价人员充分分析区域市场的供需情况，合理确定宗地价格。</w:t>
      </w:r>
    </w:p>
    <w:p w14:paraId="086DEDF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5.贡献原则：不动产总收益是由土地及其他生产要素共同作用的结果，土地价格可根据土地对不动产收益的贡献大小确定。</w:t>
      </w:r>
    </w:p>
    <w:p w14:paraId="184154F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评估中土地还原利率的确定考虑了贡献原则。本次评估土地价格为规划条件下的市场价格，是土地对总收益贡献大小的最终体现。</w:t>
      </w:r>
    </w:p>
    <w:p w14:paraId="7A440F3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6.价值主导原则：土地综合质量优劣是对地价产生影响的主要因素。</w:t>
      </w:r>
    </w:p>
    <w:p w14:paraId="3F31A0A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本次评估综合考虑了影响土地价格的自然、社会、经济状况等因素，并对其起控制主导作用的因素进行分析，符合价值主导原则。</w:t>
      </w:r>
    </w:p>
    <w:p w14:paraId="5272A1F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7.审慎原则：在评估中确定相关参数和结果时，应分析并充分考虑土地市场运行状况、有关行业发展状况，以及存在的风险。</w:t>
      </w:r>
    </w:p>
    <w:p w14:paraId="090101D1">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人员对不动产的未来收益或市场状况不应予以过于乐观的估计，同时，尽管统计数据或经验表明土地价格可能上升，但在评估时人应以估价期日的不动产市场价格为估价结果。对因土地市场运行状况、有关行业发展状况及存在的风险对外来可能造成的减值应给予充分的重视。本次评估中各参数的确定，充分考虑了国家对房地产行业的宏观调控政策，以谨慎的态度来选取各项参数。</w:t>
      </w:r>
    </w:p>
    <w:p w14:paraId="582E0D1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8.公开市场原则：评估结果在公平、公正、公开的土地市场上可实现。</w:t>
      </w:r>
    </w:p>
    <w:p w14:paraId="5496561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本次评估中市场比较法中各案例均来源来公开市场，是公开市场原则的具体体现。</w:t>
      </w:r>
    </w:p>
    <w:p w14:paraId="4F6FB3C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总之，在评估过程中，要按照国家、地方的有关规定，恪守客观、公正、科学、合法总原则进行土地价格评估，做到评估过程合理、评估方法科学、评估结果准确、严格保守评估秘密。</w:t>
      </w:r>
    </w:p>
    <w:p w14:paraId="772B11E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（二）估价方法</w:t>
      </w:r>
    </w:p>
    <w:p w14:paraId="5799354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1.土地使用权估价方法选择原则</w:t>
      </w:r>
    </w:p>
    <w:p w14:paraId="57CEB95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A.根据《城镇土地估价规程》（GB/T18508-2014,2014年12月01日实施）中关于工矿仓储用地估价方法选择的原则：</w:t>
      </w:r>
    </w:p>
    <w:p w14:paraId="6809CEED">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（1）评估工矿仓储用地价格，宜选择市场比较法，并至少辅以另一种适宜的估价方法。</w:t>
      </w:r>
    </w:p>
    <w:p w14:paraId="1181B28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（2）如缺少市场可比案例，可酌情选用成本逼近法与基准地价系数修正法。</w:t>
      </w:r>
    </w:p>
    <w:p w14:paraId="66C93F1D">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（3）评估租赁性工矿仓储用地，宜选用收益还原法。</w:t>
      </w:r>
    </w:p>
    <w:p w14:paraId="57ED1D21">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（4）评估投资待建的工矿仓储用地，可选用剩余法。</w:t>
      </w:r>
    </w:p>
    <w:p w14:paraId="3F3841D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（5）评估位于中心城区的工矿仓储用地，一般情况下不宜采用成本逼近法。</w:t>
      </w:r>
    </w:p>
    <w:p w14:paraId="56A0AD7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B.根据《国土资源部办公厅关于印发&lt;国有建设用地使用权出让地价评估技术规范&gt;的通知》（国土资厅发[2018]4号，2018年4月9日施行），出让地价评估的方法有(1)收益还原法、(2)市场比较法、(3)剩余法、(4)成本逼近法、(5)公示地价系数修正法（含基准地价系数修正法）。出让地价评估，应至少采用两种评估方法，包括(1)、(2)、(3)之一，以及(4)或(5)。因土地市场不发育等原因，无法满足上述要求的，应有详细的市场调查情况说明。</w:t>
      </w:r>
    </w:p>
    <w:p w14:paraId="45B787A5">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2.基本估价方法介绍</w:t>
      </w:r>
    </w:p>
    <w:p w14:paraId="0C637BE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根据《城镇土地估价规程》（GB/T18508-2014,2014年12月01日实施），宗地估价基本方法包括以下几种：</w:t>
      </w:r>
    </w:p>
    <w:p w14:paraId="4405FB0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（1）市场比较法：将估价对象与在估价期日近期有过交易的类似土地进行比较，对这些类似土地的已知价格作适当的修正，以此估算估价对象的客观合理价格或价值的方法；</w:t>
      </w:r>
    </w:p>
    <w:p w14:paraId="59D53329">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（2）收益还原法：为预计估价对象未来的正常收益，选用适当的资本化率将其折现到估价期日后累加，以此估算估价对象的客观合理价格或价值的方法；</w:t>
      </w:r>
    </w:p>
    <w:p w14:paraId="2F793A3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（3）剩余法：是在估算开发完成后不动产正常交易价格的基础上，扣除建筑物建造费用和与建筑物建造、买卖有关的专业费、利息、利润、税收等费用后，以价格余额来估算土地价格的方法；</w:t>
      </w:r>
    </w:p>
    <w:p w14:paraId="49D3542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（4）成本逼近法：是以土地取得费、土地开发所耗各项费用之和为主要依据，再加上一定的利润、利息、应缴纳的税金和土地增值收益来确定土地价格的估价方法；</w:t>
      </w:r>
    </w:p>
    <w:p w14:paraId="6FC4B22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公示地价系数修正法：包括基准地价系数修正法、路线价法和标定地价系数修正法。是指在求取一宗土地的价格时，依据估价对象所处地区的土地级别基准地价（或路线价、标定地价等）水平，考虑各系数修正，最后修正得出估价对象地价的一种方法。</w:t>
      </w:r>
    </w:p>
    <w:p w14:paraId="6561D843">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3.估价方法选择</w:t>
      </w:r>
    </w:p>
    <w:p w14:paraId="2E94584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color w:val="000000"/>
          <w:sz w:val="28"/>
        </w:rPr>
        <w:t>（1）采用的估价方法及理由：</w:t>
      </w:r>
    </w:p>
    <w:p w14:paraId="4CD7E5FF">
      <w:pPr>
        <w:spacing w:line="480" w:lineRule="exact"/>
        <w:ind w:firstLine="560"/>
      </w:pPr>
      <w:r>
        <w:rPr>
          <w:rFonts w:ascii="仿宋_GB2312" w:hAnsi="仿宋_GB2312" w:eastAsia="仿宋_GB2312" w:cs="仿宋_GB2312"/>
          <w:sz w:val="28"/>
        </w:rPr>
        <w:t>市场比较法：估价对象位于通道县双江镇城南街，属于开发程度较好的区域，区域内同类土地及房地产交易市场较活跃，类似交易案例易于搜集，适宜采用市场比较法进行评估。</w:t>
      </w:r>
    </w:p>
    <w:p w14:paraId="4C98174E">
      <w:pPr>
        <w:spacing w:line="480" w:lineRule="exact"/>
        <w:ind w:firstLine="560"/>
      </w:pPr>
    </w:p>
    <w:p w14:paraId="2B629167">
      <w:pPr>
        <w:spacing w:line="480" w:lineRule="exact"/>
        <w:ind w:firstLine="560"/>
      </w:pPr>
    </w:p>
    <w:p w14:paraId="1E910290">
      <w:pPr>
        <w:spacing w:line="480" w:lineRule="exact"/>
        <w:ind w:firstLine="560"/>
      </w:pPr>
      <w:r>
        <w:rPr>
          <w:rFonts w:ascii="仿宋_GB2312" w:hAnsi="仿宋_GB2312" w:eastAsia="仿宋_GB2312" w:cs="仿宋_GB2312"/>
          <w:sz w:val="28"/>
        </w:rPr>
        <w:t>成本逼近法：估价对象为住宅用地，其土地开发成本、征地安置补偿费用及相关税费等各项历史及重置成本容易搜集并测算，适宜通过累加重置成本、土地开发费用、利息、利润及土地增值等求取土地使用权价值。</w:t>
      </w:r>
    </w:p>
    <w:p w14:paraId="7C7E3CBA">
      <w:pPr>
        <w:spacing w:line="480" w:lineRule="exact"/>
        <w:ind w:firstLine="560"/>
      </w:pPr>
    </w:p>
    <w:p w14:paraId="6BD25AFA">
      <w:pPr>
        <w:spacing w:line="480" w:lineRule="exact"/>
        <w:ind w:firstLine="560"/>
      </w:pPr>
      <w:r>
        <w:rPr>
          <w:rFonts w:ascii="仿宋_GB2312" w:hAnsi="仿宋_GB2312" w:eastAsia="仿宋_GB2312" w:cs="仿宋_GB2312"/>
          <w:sz w:val="28"/>
        </w:rPr>
        <w:t>（2）不采用的估价方法及理由：</w:t>
      </w:r>
    </w:p>
    <w:p w14:paraId="2873B263">
      <w:pPr>
        <w:spacing w:line="480" w:lineRule="exact"/>
        <w:ind w:firstLine="560"/>
      </w:pPr>
    </w:p>
    <w:p w14:paraId="69528C5F">
      <w:pPr>
        <w:spacing w:line="480" w:lineRule="exact"/>
        <w:ind w:firstLine="560"/>
      </w:pPr>
      <w:r>
        <w:rPr>
          <w:rFonts w:ascii="仿宋_GB2312" w:hAnsi="仿宋_GB2312" w:eastAsia="仿宋_GB2312" w:cs="仿宋_GB2312"/>
          <w:sz w:val="28"/>
        </w:rPr>
        <w:t>收益还原法：估价对象所在区域同类住宅及房地产租赁市场不活跃，难以收集到客观、准确的租金及经营性纯收益数据，故不采用收益还原法进行评估。</w:t>
      </w:r>
    </w:p>
    <w:p w14:paraId="7CACBE60">
      <w:pPr>
        <w:spacing w:line="480" w:lineRule="exact"/>
        <w:ind w:firstLine="560"/>
      </w:pPr>
      <w:r>
        <w:rPr>
          <w:rFonts w:ascii="仿宋_GB2312" w:hAnsi="仿宋_GB2312" w:eastAsia="仿宋_GB2312" w:cs="仿宋_GB2312"/>
          <w:sz w:val="28"/>
        </w:rPr>
        <w:t>剩余法：估价对象所在区域的房地产开发市场趋于饱和或不活跃，估价对象为已建成并正常使用的房产，不具备重新投资开发建设的实际条件，开发完成后的房地产价值及各项开发费用难以准确预测，故不采用剩余法评估。</w:t>
      </w:r>
    </w:p>
    <w:p w14:paraId="61C1416D">
      <w:pPr>
        <w:spacing w:line="480" w:lineRule="exact"/>
        <w:ind w:firstLine="560"/>
      </w:pPr>
    </w:p>
    <w:p w14:paraId="25A04959">
      <w:pPr>
        <w:spacing w:line="480" w:lineRule="exact"/>
        <w:ind w:firstLine="560"/>
      </w:pPr>
      <w:r>
        <w:rPr>
          <w:rFonts w:ascii="仿宋_GB2312" w:hAnsi="仿宋_GB2312" w:eastAsia="仿宋_GB2312" w:cs="仿宋_GB2312"/>
          <w:sz w:val="28"/>
        </w:rPr>
        <w:t>基准地价系数修正法（公示地价系数修正法）：根据自然资源部及湖南省自然资源厅关于基准地价更新管理规定，当本地基准地价体系成果自发布实施至估价期日已超过三年未全面更新时，该基准地价系数修正法强制停用，为确保评估结果客观合理与审计合规，故本次不采用基准地价系数修正法。</w:t>
      </w:r>
    </w:p>
    <w:p w14:paraId="36FBE536">
      <w:pPr>
        <w:spacing w:line="480" w:lineRule="exact"/>
        <w:ind w:firstLine="560"/>
      </w:pPr>
      <w:r>
        <w:rPr>
          <w:rFonts w:ascii="仿宋_GB2312" w:hAnsi="仿宋_GB2312" w:eastAsia="仿宋_GB2312" w:cs="仿宋_GB2312"/>
          <w:sz w:val="28"/>
        </w:rPr>
        <w:t>综上所述，经对上述估价方法适用性的科学分析与甄选，本次评估最终采用成本逼近法和市场比较法最适用于估价对象，确保了评估结果的科学、合理与准确。</w:t>
      </w:r>
    </w:p>
    <w:tbl>
      <w:tblPr>
        <w:tblStyle w:val="9"/>
        <w:tblW w:w="4998" w:type="pct"/>
        <w:jc w:val="center"/>
        <w:tblLayout w:type="autofit"/>
        <w:tblCellMar>
          <w:top w:w="0" w:type="dxa"/>
          <w:left w:w="0" w:type="dxa"/>
          <w:bottom w:w="0" w:type="dxa"/>
          <w:right w:w="0" w:type="dxa"/>
        </w:tblCellMar>
      </w:tblPr>
      <w:tblGrid>
        <w:gridCol w:w="1093"/>
        <w:gridCol w:w="170"/>
        <w:gridCol w:w="172"/>
        <w:gridCol w:w="170"/>
        <w:gridCol w:w="172"/>
        <w:gridCol w:w="170"/>
        <w:gridCol w:w="172"/>
        <w:gridCol w:w="143"/>
        <w:gridCol w:w="130"/>
        <w:gridCol w:w="130"/>
        <w:gridCol w:w="130"/>
        <w:gridCol w:w="130"/>
        <w:gridCol w:w="130"/>
        <w:gridCol w:w="130"/>
        <w:gridCol w:w="130"/>
        <w:gridCol w:w="130"/>
        <w:gridCol w:w="203"/>
        <w:gridCol w:w="140"/>
        <w:gridCol w:w="222"/>
        <w:gridCol w:w="224"/>
        <w:gridCol w:w="224"/>
        <w:gridCol w:w="154"/>
        <w:gridCol w:w="154"/>
        <w:gridCol w:w="248"/>
        <w:gridCol w:w="248"/>
        <w:gridCol w:w="252"/>
        <w:gridCol w:w="99"/>
        <w:gridCol w:w="116"/>
        <w:gridCol w:w="101"/>
        <w:gridCol w:w="101"/>
        <w:gridCol w:w="101"/>
        <w:gridCol w:w="124"/>
        <w:gridCol w:w="124"/>
        <w:gridCol w:w="124"/>
        <w:gridCol w:w="124"/>
        <w:gridCol w:w="124"/>
        <w:gridCol w:w="124"/>
        <w:gridCol w:w="184"/>
        <w:gridCol w:w="185"/>
        <w:gridCol w:w="207"/>
        <w:gridCol w:w="207"/>
        <w:gridCol w:w="207"/>
        <w:gridCol w:w="186"/>
        <w:gridCol w:w="360"/>
        <w:gridCol w:w="352"/>
        <w:gridCol w:w="1"/>
      </w:tblGrid>
      <w:tr w14:paraId="166BDAB5">
        <w:tblPrEx>
          <w:tblCellMar>
            <w:top w:w="0" w:type="dxa"/>
            <w:left w:w="0" w:type="dxa"/>
            <w:bottom w:w="0" w:type="dxa"/>
            <w:right w:w="0" w:type="dxa"/>
          </w:tblCellMar>
        </w:tblPrEx>
        <w:trPr>
          <w:gridAfter w:val="3"/>
          <w:trHeight w:val="850" w:hRule="atLeast"/>
          <w:jc w:val="center"/>
        </w:trPr>
        <w:tc>
          <w:tcPr>
            <w:tcW w:w="617"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186D4F5F">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土地取得费（元/平方米）</w:t>
            </w:r>
          </w:p>
        </w:tc>
        <w:tc>
          <w:tcPr>
            <w:tcW w:w="677" w:type="pct"/>
            <w:gridSpan w:val="7"/>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49362016">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水利建设基金（元/平方米）</w:t>
            </w:r>
          </w:p>
        </w:tc>
        <w:tc>
          <w:tcPr>
            <w:tcW w:w="720" w:type="pct"/>
            <w:gridSpan w:val="8"/>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16576F36">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耕地占用税</w:t>
            </w:r>
          </w:p>
          <w:p w14:paraId="3EFA2A95">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（元/平方米）</w:t>
            </w:r>
          </w:p>
        </w:tc>
        <w:tc>
          <w:tcPr>
            <w:tcW w:w="707" w:type="pct"/>
            <w:gridSpan w:val="5"/>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43484F5B">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耕地开垦费（元/平方米）</w:t>
            </w:r>
          </w:p>
        </w:tc>
        <w:tc>
          <w:tcPr>
            <w:tcW w:w="691" w:type="pct"/>
            <w:gridSpan w:val="7"/>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38DDD686">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社会保障费（元/平方米）</w:t>
            </w:r>
          </w:p>
        </w:tc>
        <w:tc>
          <w:tcPr>
            <w:tcW w:w="792" w:type="pct"/>
            <w:gridSpan w:val="9"/>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5E7F6D09">
            <w:pPr>
              <w:snapToGrid w:val="0"/>
              <w:spacing w:line="240" w:lineRule="atLeast"/>
              <w:jc w:val="center"/>
              <w:rPr>
                <w:rFonts w:hint="default" w:ascii="仿宋_GB2312" w:hAnsi="仿宋_GB2312" w:eastAsia="仿宋_GB2312" w:cs="仿宋_GB2312"/>
                <w:color w:val="000000" w:themeColor="text1"/>
                <w:sz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18"/>
                <w:highlight w:val="none"/>
                <w:lang w:val="en-US" w:eastAsia="zh-CN"/>
                <w14:textFill>
                  <w14:solidFill>
                    <w14:schemeClr w14:val="tx1"/>
                  </w14:solidFill>
                </w14:textFill>
              </w:rPr>
              <w:t>新菜地开发基金或森林植被恢复费（元/平方米）</w:t>
            </w:r>
          </w:p>
        </w:tc>
        <w:tc>
          <w:tcPr>
            <w:tcW w:w="792" w:type="pct"/>
            <w:gridSpan w:val="6"/>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7D13B58A">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合计</w:t>
            </w:r>
          </w:p>
          <w:p w14:paraId="3055255E">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（元/平方米）</w:t>
            </w:r>
          </w:p>
        </w:tc>
      </w:tr>
      <w:tr w14:paraId="177AC768">
        <w:tblPrEx>
          <w:tblCellMar>
            <w:top w:w="0" w:type="dxa"/>
            <w:left w:w="0" w:type="dxa"/>
            <w:bottom w:w="0" w:type="dxa"/>
            <w:right w:w="0" w:type="dxa"/>
          </w:tblCellMar>
        </w:tblPrEx>
        <w:trPr>
          <w:gridAfter w:val="3"/>
          <w:trHeight w:val="484" w:hRule="atLeast"/>
          <w:jc w:val="center"/>
        </w:trPr>
        <w:tc>
          <w:tcPr>
            <w:tcW w:w="617"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33D0751D">
            <w:pPr>
              <w:snapToGrid w:val="0"/>
              <w:spacing w:line="240" w:lineRule="atLeast"/>
              <w:jc w:val="center"/>
              <w:rPr>
                <w:rFonts w:hint="default" w:ascii="仿宋_GB2312" w:hAnsi="仿宋_GB2312" w:eastAsia="仿宋_GB2312" w:cs="仿宋_GB2312"/>
                <w:color w:val="000000" w:themeColor="text1"/>
                <w:sz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18"/>
                <w:highlight w:val="none"/>
                <w:lang w:val="en-US" w:eastAsia="zh-CN"/>
                <w14:textFill>
                  <w14:solidFill>
                    <w14:schemeClr w14:val="tx1"/>
                  </w14:solidFill>
                </w14:textFill>
              </w:rPr>
              <w:t>67.51</w:t>
            </w:r>
          </w:p>
        </w:tc>
        <w:tc>
          <w:tcPr>
            <w:tcW w:w="677" w:type="pct"/>
            <w:gridSpan w:val="7"/>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20E4C79D">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1.6</w:t>
            </w:r>
          </w:p>
        </w:tc>
        <w:tc>
          <w:tcPr>
            <w:tcW w:w="720" w:type="pct"/>
            <w:gridSpan w:val="8"/>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4FCE92C3">
            <w:pPr>
              <w:snapToGrid w:val="0"/>
              <w:spacing w:line="240" w:lineRule="atLeast"/>
              <w:jc w:val="center"/>
              <w:rPr>
                <w:rFonts w:hint="eastAsia" w:ascii="仿宋_GB2312" w:hAnsi="仿宋_GB2312" w:eastAsia="仿宋_GB2312" w:cs="仿宋_GB2312"/>
                <w:color w:val="000000" w:themeColor="text1"/>
                <w:sz w:val="18"/>
                <w:highlight w:val="none"/>
                <w:lang w:eastAsia="zh-CN"/>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2</w:t>
            </w:r>
            <w:r>
              <w:rPr>
                <w:rFonts w:hint="eastAsia" w:ascii="仿宋_GB2312" w:hAnsi="仿宋_GB2312" w:eastAsia="仿宋_GB2312" w:cs="仿宋_GB2312"/>
                <w:color w:val="000000" w:themeColor="text1"/>
                <w:sz w:val="18"/>
                <w:highlight w:val="none"/>
                <w:lang w:val="en-US" w:eastAsia="zh-CN"/>
                <w14:textFill>
                  <w14:solidFill>
                    <w14:schemeClr w14:val="tx1"/>
                  </w14:solidFill>
                </w14:textFill>
              </w:rPr>
              <w:t>0</w:t>
            </w:r>
          </w:p>
        </w:tc>
        <w:tc>
          <w:tcPr>
            <w:tcW w:w="707" w:type="pct"/>
            <w:gridSpan w:val="5"/>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10F46105">
            <w:pPr>
              <w:snapToGrid w:val="0"/>
              <w:spacing w:line="240" w:lineRule="atLeast"/>
              <w:jc w:val="center"/>
              <w:rPr>
                <w:rFonts w:hint="default" w:ascii="仿宋_GB2312" w:hAnsi="仿宋_GB2312" w:eastAsia="仿宋_GB2312" w:cs="仿宋_GB2312"/>
                <w:color w:val="000000" w:themeColor="text1"/>
                <w:sz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18"/>
                <w:highlight w:val="none"/>
                <w:lang w:val="en-US" w:eastAsia="zh-CN"/>
                <w14:textFill>
                  <w14:solidFill>
                    <w14:schemeClr w14:val="tx1"/>
                  </w14:solidFill>
                </w14:textFill>
              </w:rPr>
              <w:t>0</w:t>
            </w:r>
          </w:p>
        </w:tc>
        <w:tc>
          <w:tcPr>
            <w:tcW w:w="691" w:type="pct"/>
            <w:gridSpan w:val="7"/>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77F42363">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30</w:t>
            </w:r>
          </w:p>
        </w:tc>
        <w:tc>
          <w:tcPr>
            <w:tcW w:w="792" w:type="pct"/>
            <w:gridSpan w:val="9"/>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51853DF9">
            <w:pPr>
              <w:snapToGrid w:val="0"/>
              <w:spacing w:line="240" w:lineRule="atLeast"/>
              <w:jc w:val="center"/>
              <w:rPr>
                <w:rFonts w:hint="default" w:ascii="仿宋_GB2312" w:hAnsi="仿宋_GB2312" w:eastAsia="仿宋_GB2312" w:cs="仿宋_GB2312"/>
                <w:color w:val="000000" w:themeColor="text1"/>
                <w:sz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18"/>
                <w:highlight w:val="none"/>
                <w:lang w:val="en-US" w:eastAsia="zh-CN"/>
                <w14:textFill>
                  <w14:solidFill>
                    <w14:schemeClr w14:val="tx1"/>
                  </w14:solidFill>
                </w14:textFill>
              </w:rPr>
              <w:t>20</w:t>
            </w:r>
          </w:p>
        </w:tc>
        <w:tc>
          <w:tcPr>
            <w:tcW w:w="792" w:type="pct"/>
            <w:gridSpan w:val="6"/>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2FDA3B87">
            <w:pPr>
              <w:snapToGrid w:val="0"/>
              <w:spacing w:line="240" w:lineRule="atLeast"/>
              <w:jc w:val="center"/>
              <w:rPr>
                <w:rFonts w:hint="default" w:ascii="仿宋_GB2312" w:hAnsi="仿宋_GB2312" w:eastAsia="仿宋_GB2312" w:cs="仿宋_GB2312"/>
                <w:color w:val="000000" w:themeColor="text1"/>
                <w:sz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18"/>
                <w:highlight w:val="none"/>
                <w:lang w:val="en-US" w:eastAsia="zh-CN"/>
                <w14:textFill>
                  <w14:solidFill>
                    <w14:schemeClr w14:val="tx1"/>
                  </w14:solidFill>
                </w14:textFill>
              </w:rPr>
              <w:t>139.11</w:t>
            </w:r>
          </w:p>
        </w:tc>
      </w:tr>
      <w:tr w14:paraId="3E5F5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trHeight w:val="90" w:hRule="atLeast"/>
        </w:trPr>
        <w:tc>
          <w:tcPr>
            <w:tcW w:w="1721" w:type="dxa"/>
            <w:gridSpan w:val="4"/>
            <w:noWrap w:val="0"/>
            <w:vAlign w:val="center"/>
          </w:tcPr>
          <w:p w14:paraId="68134BC4">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土地开发项目</w:t>
            </w:r>
          </w:p>
        </w:tc>
        <w:tc>
          <w:tcPr>
            <w:tcW w:w="1128" w:type="dxa"/>
            <w:gridSpan w:val="8"/>
            <w:noWrap w:val="0"/>
            <w:vAlign w:val="center"/>
          </w:tcPr>
          <w:p w14:paraId="31346051">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通路</w:t>
            </w:r>
          </w:p>
        </w:tc>
        <w:tc>
          <w:tcPr>
            <w:tcW w:w="1050" w:type="dxa"/>
            <w:gridSpan w:val="7"/>
            <w:noWrap w:val="0"/>
            <w:vAlign w:val="center"/>
          </w:tcPr>
          <w:p w14:paraId="68F6FB98">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供水</w:t>
            </w:r>
          </w:p>
        </w:tc>
        <w:tc>
          <w:tcPr>
            <w:tcW w:w="898" w:type="dxa"/>
            <w:gridSpan w:val="4"/>
            <w:noWrap w:val="0"/>
            <w:vAlign w:val="center"/>
          </w:tcPr>
          <w:p w14:paraId="4EFA9600">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排水</w:t>
            </w:r>
          </w:p>
        </w:tc>
        <w:tc>
          <w:tcPr>
            <w:tcW w:w="837" w:type="dxa"/>
            <w:gridSpan w:val="3"/>
            <w:noWrap w:val="0"/>
            <w:vAlign w:val="center"/>
          </w:tcPr>
          <w:p w14:paraId="161F8D2D">
            <w:pPr>
              <w:snapToGrid w:val="0"/>
              <w:spacing w:line="440" w:lineRule="exact"/>
              <w:jc w:val="center"/>
              <w:rPr>
                <w:rFonts w:hint="eastAsia" w:ascii="仿宋_GB2312" w:hAnsi="仿宋_GB2312" w:eastAsia="仿宋_GB2312" w:cs="仿宋_GB2312"/>
                <w:color w:val="000000" w:themeColor="text1"/>
                <w:sz w:val="22"/>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通电</w:t>
            </w:r>
          </w:p>
        </w:tc>
        <w:tc>
          <w:tcPr>
            <w:tcW w:w="895" w:type="dxa"/>
            <w:gridSpan w:val="7"/>
            <w:noWrap w:val="0"/>
            <w:vAlign w:val="center"/>
          </w:tcPr>
          <w:p w14:paraId="0C6CDBAE">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通讯</w:t>
            </w:r>
          </w:p>
        </w:tc>
        <w:tc>
          <w:tcPr>
            <w:tcW w:w="1257" w:type="dxa"/>
            <w:gridSpan w:val="8"/>
            <w:noWrap w:val="0"/>
            <w:vAlign w:val="center"/>
          </w:tcPr>
          <w:p w14:paraId="6F8B8199">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场地平整</w:t>
            </w:r>
          </w:p>
        </w:tc>
        <w:tc>
          <w:tcPr>
            <w:tcW w:w="771" w:type="dxa"/>
            <w:gridSpan w:val="4"/>
            <w:noWrap w:val="0"/>
            <w:vAlign w:val="center"/>
          </w:tcPr>
          <w:p w14:paraId="4ADDBAAE">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合计</w:t>
            </w:r>
          </w:p>
        </w:tc>
      </w:tr>
      <w:tr w14:paraId="3860E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trHeight w:val="90" w:hRule="atLeast"/>
        </w:trPr>
        <w:tc>
          <w:tcPr>
            <w:tcW w:w="1721" w:type="dxa"/>
            <w:gridSpan w:val="4"/>
            <w:noWrap w:val="0"/>
            <w:vAlign w:val="center"/>
          </w:tcPr>
          <w:p w14:paraId="28DA4D32">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费用（元/㎡）</w:t>
            </w:r>
          </w:p>
        </w:tc>
        <w:tc>
          <w:tcPr>
            <w:tcW w:w="1128" w:type="dxa"/>
            <w:gridSpan w:val="8"/>
            <w:noWrap w:val="0"/>
            <w:vAlign w:val="center"/>
          </w:tcPr>
          <w:p w14:paraId="6B904843">
            <w:pPr>
              <w:snapToGrid w:val="0"/>
              <w:spacing w:line="440" w:lineRule="exact"/>
              <w:jc w:val="center"/>
              <w:rPr>
                <w:rFonts w:hint="default" w:ascii="仿宋_GB2312" w:hAnsi="仿宋_GB2312" w:eastAsia="仿宋_GB2312" w:cs="仿宋_GB2312"/>
                <w:color w:val="000000" w:themeColor="text1"/>
                <w:sz w:val="22"/>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15-20</w:t>
            </w:r>
          </w:p>
        </w:tc>
        <w:tc>
          <w:tcPr>
            <w:tcW w:w="1050" w:type="dxa"/>
            <w:gridSpan w:val="7"/>
            <w:noWrap w:val="0"/>
            <w:vAlign w:val="center"/>
          </w:tcPr>
          <w:p w14:paraId="37BD6B0B">
            <w:pPr>
              <w:snapToGrid w:val="0"/>
              <w:spacing w:line="440" w:lineRule="exact"/>
              <w:jc w:val="center"/>
              <w:rPr>
                <w:rFonts w:hint="default" w:ascii="仿宋_GB2312" w:hAnsi="仿宋_GB2312" w:eastAsia="仿宋_GB2312" w:cs="仿宋_GB2312"/>
                <w:color w:val="000000" w:themeColor="text1"/>
                <w:sz w:val="22"/>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12-15</w:t>
            </w:r>
          </w:p>
        </w:tc>
        <w:tc>
          <w:tcPr>
            <w:tcW w:w="898" w:type="dxa"/>
            <w:gridSpan w:val="4"/>
            <w:noWrap w:val="0"/>
            <w:vAlign w:val="center"/>
          </w:tcPr>
          <w:p w14:paraId="16F0EF9D">
            <w:pPr>
              <w:snapToGrid w:val="0"/>
              <w:spacing w:line="440" w:lineRule="exact"/>
              <w:jc w:val="center"/>
              <w:rPr>
                <w:rFonts w:hint="default" w:ascii="仿宋_GB2312" w:hAnsi="仿宋_GB2312" w:eastAsia="仿宋_GB2312" w:cs="仿宋_GB2312"/>
                <w:color w:val="000000" w:themeColor="text1"/>
                <w:sz w:val="22"/>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13-15</w:t>
            </w:r>
          </w:p>
        </w:tc>
        <w:tc>
          <w:tcPr>
            <w:tcW w:w="837" w:type="dxa"/>
            <w:gridSpan w:val="3"/>
            <w:noWrap w:val="0"/>
            <w:vAlign w:val="center"/>
          </w:tcPr>
          <w:p w14:paraId="553E14EC">
            <w:pPr>
              <w:snapToGrid w:val="0"/>
              <w:spacing w:line="440" w:lineRule="exact"/>
              <w:jc w:val="center"/>
              <w:rPr>
                <w:rFonts w:hint="default" w:ascii="仿宋_GB2312" w:hAnsi="仿宋_GB2312" w:eastAsia="仿宋_GB2312" w:cs="仿宋_GB2312"/>
                <w:color w:val="000000" w:themeColor="text1"/>
                <w:sz w:val="22"/>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13-15</w:t>
            </w:r>
          </w:p>
        </w:tc>
        <w:tc>
          <w:tcPr>
            <w:tcW w:w="895" w:type="dxa"/>
            <w:gridSpan w:val="7"/>
            <w:noWrap w:val="0"/>
            <w:vAlign w:val="center"/>
          </w:tcPr>
          <w:p w14:paraId="75E0FCA6">
            <w:pPr>
              <w:snapToGrid w:val="0"/>
              <w:spacing w:line="440" w:lineRule="exact"/>
              <w:jc w:val="center"/>
              <w:rPr>
                <w:rFonts w:hint="default" w:ascii="仿宋_GB2312" w:hAnsi="仿宋_GB2312" w:eastAsia="仿宋_GB2312" w:cs="仿宋_GB2312"/>
                <w:color w:val="000000" w:themeColor="text1"/>
                <w:sz w:val="22"/>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5-10</w:t>
            </w:r>
          </w:p>
        </w:tc>
        <w:tc>
          <w:tcPr>
            <w:tcW w:w="1257" w:type="dxa"/>
            <w:gridSpan w:val="8"/>
            <w:noWrap w:val="0"/>
            <w:vAlign w:val="center"/>
          </w:tcPr>
          <w:p w14:paraId="10365306">
            <w:pPr>
              <w:snapToGrid w:val="0"/>
              <w:spacing w:line="440" w:lineRule="exact"/>
              <w:jc w:val="center"/>
              <w:rPr>
                <w:rFonts w:hint="default" w:ascii="仿宋_GB2312" w:hAnsi="仿宋_GB2312" w:eastAsia="仿宋_GB2312" w:cs="仿宋_GB2312"/>
                <w:color w:val="000000" w:themeColor="text1"/>
                <w:sz w:val="22"/>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15-20</w:t>
            </w:r>
          </w:p>
        </w:tc>
        <w:tc>
          <w:tcPr>
            <w:tcW w:w="771" w:type="dxa"/>
            <w:gridSpan w:val="4"/>
            <w:noWrap w:val="0"/>
            <w:vAlign w:val="center"/>
          </w:tcPr>
          <w:p w14:paraId="4B57F1F8">
            <w:pPr>
              <w:snapToGrid w:val="0"/>
              <w:spacing w:line="440" w:lineRule="exact"/>
              <w:jc w:val="center"/>
              <w:rPr>
                <w:rFonts w:hint="default" w:ascii="仿宋_GB2312" w:hAnsi="仿宋_GB2312" w:eastAsia="仿宋_GB2312" w:cs="仿宋_GB2312"/>
                <w:color w:val="000000" w:themeColor="text1"/>
                <w:sz w:val="22"/>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73-95</w:t>
            </w:r>
          </w:p>
        </w:tc>
      </w:tr>
      <w:tr w14:paraId="7B571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trHeight w:val="325" w:hRule="atLeast"/>
        </w:trPr>
        <w:tc>
          <w:tcPr>
            <w:tcW w:w="1384" w:type="pct"/>
            <w:gridSpan w:val="9"/>
            <w:noWrap w:val="0"/>
            <w:vAlign w:val="center"/>
          </w:tcPr>
          <w:p w14:paraId="5355725A">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风险因素</w:t>
            </w:r>
          </w:p>
        </w:tc>
        <w:tc>
          <w:tcPr>
            <w:tcW w:w="2284" w:type="pct"/>
            <w:gridSpan w:val="20"/>
            <w:noWrap w:val="0"/>
            <w:vAlign w:val="center"/>
          </w:tcPr>
          <w:p w14:paraId="223D972E">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风险因子</w:t>
            </w:r>
          </w:p>
        </w:tc>
        <w:tc>
          <w:tcPr>
            <w:tcW w:w="1331" w:type="pct"/>
            <w:gridSpan w:val="14"/>
            <w:noWrap w:val="0"/>
            <w:vAlign w:val="center"/>
          </w:tcPr>
          <w:p w14:paraId="0556CBDC">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ascii="仿宋_GB2312" w:hAnsi="仿宋_GB2312" w:eastAsia="仿宋_GB2312" w:cs="仿宋_GB2312"/>
                <w:color w:val="000000"/>
                <w:sz w:val="28"/>
              </w:rPr>
              <w:t>城镇住宅用地</w:t>
            </w:r>
          </w:p>
        </w:tc>
      </w:tr>
      <w:tr w14:paraId="7B60D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trHeight w:val="325" w:hRule="atLeast"/>
        </w:trPr>
        <w:tc>
          <w:tcPr>
            <w:tcW w:w="1384" w:type="pct"/>
            <w:gridSpan w:val="9"/>
            <w:vMerge w:val="restart"/>
            <w:noWrap w:val="0"/>
            <w:vAlign w:val="center"/>
          </w:tcPr>
          <w:p w14:paraId="64AF9BFF">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政策风险</w:t>
            </w:r>
          </w:p>
        </w:tc>
        <w:tc>
          <w:tcPr>
            <w:tcW w:w="2284" w:type="pct"/>
            <w:gridSpan w:val="20"/>
            <w:noWrap w:val="0"/>
            <w:vAlign w:val="center"/>
          </w:tcPr>
          <w:p w14:paraId="5AF53C1D">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产业政策</w:t>
            </w:r>
          </w:p>
        </w:tc>
        <w:tc>
          <w:tcPr>
            <w:tcW w:w="1331" w:type="pct"/>
            <w:gridSpan w:val="14"/>
            <w:noWrap w:val="0"/>
            <w:vAlign w:val="center"/>
          </w:tcPr>
          <w:p w14:paraId="13A4D5EB">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A</w:t>
            </w:r>
          </w:p>
        </w:tc>
      </w:tr>
      <w:tr w14:paraId="4D9E2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trHeight w:val="325" w:hRule="atLeast"/>
        </w:trPr>
        <w:tc>
          <w:tcPr>
            <w:tcW w:w="1384" w:type="pct"/>
            <w:gridSpan w:val="9"/>
            <w:vMerge w:val="continue"/>
            <w:noWrap w:val="0"/>
            <w:vAlign w:val="center"/>
          </w:tcPr>
          <w:p w14:paraId="13A46147">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gridSpan w:val="20"/>
            <w:noWrap w:val="0"/>
            <w:vAlign w:val="center"/>
          </w:tcPr>
          <w:p w14:paraId="6AF2E7A0">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土地使用制度改革</w:t>
            </w:r>
          </w:p>
        </w:tc>
        <w:tc>
          <w:tcPr>
            <w:tcW w:w="1331" w:type="pct"/>
            <w:gridSpan w:val="14"/>
            <w:noWrap w:val="0"/>
            <w:vAlign w:val="center"/>
          </w:tcPr>
          <w:p w14:paraId="4183A5D4">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C</w:t>
            </w:r>
          </w:p>
        </w:tc>
      </w:tr>
      <w:tr w14:paraId="33817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trHeight w:val="325" w:hRule="atLeast"/>
        </w:trPr>
        <w:tc>
          <w:tcPr>
            <w:tcW w:w="1384" w:type="pct"/>
            <w:gridSpan w:val="9"/>
            <w:vMerge w:val="continue"/>
            <w:noWrap w:val="0"/>
            <w:vAlign w:val="center"/>
          </w:tcPr>
          <w:p w14:paraId="08200AC8">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gridSpan w:val="20"/>
            <w:noWrap w:val="0"/>
            <w:vAlign w:val="center"/>
          </w:tcPr>
          <w:p w14:paraId="40F7E529">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住房制度</w:t>
            </w:r>
          </w:p>
        </w:tc>
        <w:tc>
          <w:tcPr>
            <w:tcW w:w="1331" w:type="pct"/>
            <w:gridSpan w:val="14"/>
            <w:noWrap w:val="0"/>
            <w:vAlign w:val="center"/>
          </w:tcPr>
          <w:p w14:paraId="2AD2B1EB">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B</w:t>
            </w:r>
          </w:p>
        </w:tc>
      </w:tr>
      <w:tr w14:paraId="1897A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trHeight w:val="325" w:hRule="atLeast"/>
        </w:trPr>
        <w:tc>
          <w:tcPr>
            <w:tcW w:w="1384" w:type="pct"/>
            <w:gridSpan w:val="9"/>
            <w:vMerge w:val="continue"/>
            <w:noWrap w:val="0"/>
            <w:vAlign w:val="center"/>
          </w:tcPr>
          <w:p w14:paraId="2EE84066">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gridSpan w:val="20"/>
            <w:noWrap w:val="0"/>
            <w:vAlign w:val="center"/>
          </w:tcPr>
          <w:p w14:paraId="29BE88CD">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环保变化</w:t>
            </w:r>
          </w:p>
        </w:tc>
        <w:tc>
          <w:tcPr>
            <w:tcW w:w="1331" w:type="pct"/>
            <w:gridSpan w:val="14"/>
            <w:noWrap w:val="0"/>
            <w:vAlign w:val="center"/>
          </w:tcPr>
          <w:p w14:paraId="035CA1AB">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B</w:t>
            </w:r>
          </w:p>
        </w:tc>
      </w:tr>
      <w:tr w14:paraId="03B3C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trHeight w:val="325" w:hRule="atLeast"/>
        </w:trPr>
        <w:tc>
          <w:tcPr>
            <w:tcW w:w="1384" w:type="pct"/>
            <w:gridSpan w:val="9"/>
            <w:vMerge w:val="restart"/>
            <w:noWrap w:val="0"/>
            <w:vAlign w:val="center"/>
          </w:tcPr>
          <w:p w14:paraId="0D2AD461">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经济风险</w:t>
            </w:r>
          </w:p>
        </w:tc>
        <w:tc>
          <w:tcPr>
            <w:tcW w:w="2284" w:type="pct"/>
            <w:gridSpan w:val="20"/>
            <w:noWrap w:val="0"/>
            <w:vAlign w:val="center"/>
          </w:tcPr>
          <w:p w14:paraId="3429C2CC">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市场供求</w:t>
            </w:r>
          </w:p>
        </w:tc>
        <w:tc>
          <w:tcPr>
            <w:tcW w:w="1331" w:type="pct"/>
            <w:gridSpan w:val="14"/>
            <w:noWrap w:val="0"/>
            <w:vAlign w:val="center"/>
          </w:tcPr>
          <w:p w14:paraId="4B19E274">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A</w:t>
            </w:r>
          </w:p>
        </w:tc>
      </w:tr>
      <w:tr w14:paraId="68E98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trHeight w:val="325" w:hRule="atLeast"/>
        </w:trPr>
        <w:tc>
          <w:tcPr>
            <w:tcW w:w="1384" w:type="pct"/>
            <w:gridSpan w:val="9"/>
            <w:vMerge w:val="continue"/>
            <w:noWrap w:val="0"/>
            <w:vAlign w:val="center"/>
          </w:tcPr>
          <w:p w14:paraId="0EECAC95">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gridSpan w:val="20"/>
            <w:noWrap w:val="0"/>
            <w:vAlign w:val="center"/>
          </w:tcPr>
          <w:p w14:paraId="33F9A6A3">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财务风险</w:t>
            </w:r>
          </w:p>
        </w:tc>
        <w:tc>
          <w:tcPr>
            <w:tcW w:w="1331" w:type="pct"/>
            <w:gridSpan w:val="14"/>
            <w:noWrap w:val="0"/>
            <w:vAlign w:val="center"/>
          </w:tcPr>
          <w:p w14:paraId="470A4D13">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B</w:t>
            </w:r>
          </w:p>
        </w:tc>
      </w:tr>
      <w:tr w14:paraId="346E8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trHeight w:val="325" w:hRule="atLeast"/>
        </w:trPr>
        <w:tc>
          <w:tcPr>
            <w:tcW w:w="1384" w:type="pct"/>
            <w:gridSpan w:val="9"/>
            <w:vMerge w:val="continue"/>
            <w:noWrap w:val="0"/>
            <w:vAlign w:val="center"/>
          </w:tcPr>
          <w:p w14:paraId="0811EF34">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gridSpan w:val="20"/>
            <w:noWrap w:val="0"/>
            <w:vAlign w:val="center"/>
          </w:tcPr>
          <w:p w14:paraId="53B5EE20">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管理风险</w:t>
            </w:r>
          </w:p>
        </w:tc>
        <w:tc>
          <w:tcPr>
            <w:tcW w:w="1331" w:type="pct"/>
            <w:gridSpan w:val="14"/>
            <w:noWrap w:val="0"/>
            <w:vAlign w:val="center"/>
          </w:tcPr>
          <w:p w14:paraId="3EFA2054">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A</w:t>
            </w:r>
          </w:p>
        </w:tc>
      </w:tr>
      <w:tr w14:paraId="64598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trHeight w:val="325" w:hRule="atLeast"/>
        </w:trPr>
        <w:tc>
          <w:tcPr>
            <w:tcW w:w="1384" w:type="pct"/>
            <w:gridSpan w:val="9"/>
            <w:vMerge w:val="continue"/>
            <w:noWrap w:val="0"/>
            <w:vAlign w:val="center"/>
          </w:tcPr>
          <w:p w14:paraId="206B495D">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gridSpan w:val="20"/>
            <w:noWrap w:val="0"/>
            <w:vAlign w:val="center"/>
          </w:tcPr>
          <w:p w14:paraId="4104347F">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当地经济发展</w:t>
            </w:r>
          </w:p>
        </w:tc>
        <w:tc>
          <w:tcPr>
            <w:tcW w:w="1331" w:type="pct"/>
            <w:gridSpan w:val="14"/>
            <w:noWrap w:val="0"/>
            <w:vAlign w:val="center"/>
          </w:tcPr>
          <w:p w14:paraId="03675182">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B</w:t>
            </w:r>
          </w:p>
        </w:tc>
      </w:tr>
      <w:tr w14:paraId="0827D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trHeight w:val="325" w:hRule="atLeast"/>
        </w:trPr>
        <w:tc>
          <w:tcPr>
            <w:tcW w:w="1384" w:type="pct"/>
            <w:gridSpan w:val="9"/>
            <w:vMerge w:val="restart"/>
            <w:noWrap w:val="0"/>
            <w:vAlign w:val="center"/>
          </w:tcPr>
          <w:p w14:paraId="04354B09">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社会风险</w:t>
            </w:r>
          </w:p>
        </w:tc>
        <w:tc>
          <w:tcPr>
            <w:tcW w:w="2284" w:type="pct"/>
            <w:gridSpan w:val="20"/>
            <w:noWrap w:val="0"/>
            <w:vAlign w:val="center"/>
          </w:tcPr>
          <w:p w14:paraId="490950CC">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城市规划</w:t>
            </w:r>
          </w:p>
        </w:tc>
        <w:tc>
          <w:tcPr>
            <w:tcW w:w="1331" w:type="pct"/>
            <w:gridSpan w:val="14"/>
            <w:noWrap w:val="0"/>
            <w:vAlign w:val="center"/>
          </w:tcPr>
          <w:p w14:paraId="40F441BC">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A</w:t>
            </w:r>
          </w:p>
        </w:tc>
      </w:tr>
      <w:tr w14:paraId="0CF58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trHeight w:val="325" w:hRule="atLeast"/>
        </w:trPr>
        <w:tc>
          <w:tcPr>
            <w:tcW w:w="1384" w:type="pct"/>
            <w:gridSpan w:val="9"/>
            <w:vMerge w:val="continue"/>
            <w:noWrap w:val="0"/>
            <w:vAlign w:val="center"/>
          </w:tcPr>
          <w:p w14:paraId="6D356247">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gridSpan w:val="20"/>
            <w:noWrap w:val="0"/>
            <w:vAlign w:val="center"/>
          </w:tcPr>
          <w:p w14:paraId="5C00021A">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区域发展</w:t>
            </w:r>
          </w:p>
        </w:tc>
        <w:tc>
          <w:tcPr>
            <w:tcW w:w="1331" w:type="pct"/>
            <w:gridSpan w:val="14"/>
            <w:noWrap w:val="0"/>
            <w:vAlign w:val="center"/>
          </w:tcPr>
          <w:p w14:paraId="6AC202E8">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A</w:t>
            </w:r>
          </w:p>
        </w:tc>
      </w:tr>
      <w:tr w14:paraId="64EF3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trHeight w:val="325" w:hRule="atLeast"/>
        </w:trPr>
        <w:tc>
          <w:tcPr>
            <w:tcW w:w="1384" w:type="pct"/>
            <w:gridSpan w:val="9"/>
            <w:vMerge w:val="continue"/>
            <w:noWrap w:val="0"/>
            <w:vAlign w:val="center"/>
          </w:tcPr>
          <w:p w14:paraId="6A427C4A">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gridSpan w:val="20"/>
            <w:noWrap w:val="0"/>
            <w:vAlign w:val="center"/>
          </w:tcPr>
          <w:p w14:paraId="68BE5997">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治安</w:t>
            </w:r>
          </w:p>
        </w:tc>
        <w:tc>
          <w:tcPr>
            <w:tcW w:w="1331" w:type="pct"/>
            <w:gridSpan w:val="14"/>
            <w:noWrap w:val="0"/>
            <w:vAlign w:val="center"/>
          </w:tcPr>
          <w:p w14:paraId="43E4DD5E">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A</w:t>
            </w:r>
          </w:p>
        </w:tc>
      </w:tr>
      <w:tr w14:paraId="15088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trHeight w:val="304" w:hRule="atLeast"/>
          <w:jc w:val="center"/>
        </w:trPr>
        <w:tc>
          <w:tcPr>
            <w:tcW w:w="1033" w:type="pct"/>
            <w:gridSpan w:val="5"/>
            <w:noWrap w:val="0"/>
            <w:vAlign w:val="center"/>
          </w:tcPr>
          <w:p w14:paraId="748E8316">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影响因素</w:t>
            </w:r>
          </w:p>
        </w:tc>
        <w:tc>
          <w:tcPr>
            <w:tcW w:w="949" w:type="pct"/>
            <w:gridSpan w:val="9"/>
            <w:noWrap w:val="0"/>
            <w:vAlign w:val="center"/>
          </w:tcPr>
          <w:p w14:paraId="0B94524F">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权重值</w:t>
            </w:r>
          </w:p>
        </w:tc>
        <w:tc>
          <w:tcPr>
            <w:tcW w:w="1708" w:type="pct"/>
            <w:gridSpan w:val="16"/>
            <w:noWrap w:val="0"/>
            <w:vAlign w:val="center"/>
          </w:tcPr>
          <w:p w14:paraId="25701CFB">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影响因子</w:t>
            </w:r>
          </w:p>
        </w:tc>
        <w:tc>
          <w:tcPr>
            <w:tcW w:w="1308" w:type="pct"/>
            <w:gridSpan w:val="13"/>
            <w:noWrap w:val="0"/>
            <w:vAlign w:val="center"/>
          </w:tcPr>
          <w:p w14:paraId="649C724A">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权重值</w:t>
            </w:r>
          </w:p>
        </w:tc>
      </w:tr>
      <w:tr w14:paraId="3BFCA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trHeight w:val="289" w:hRule="atLeast"/>
          <w:jc w:val="center"/>
        </w:trPr>
        <w:tc>
          <w:tcPr>
            <w:tcW w:w="1033" w:type="pct"/>
            <w:gridSpan w:val="5"/>
            <w:vMerge w:val="restart"/>
            <w:noWrap w:val="0"/>
            <w:vAlign w:val="center"/>
          </w:tcPr>
          <w:p w14:paraId="0047DB3A">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政策风险</w:t>
            </w:r>
          </w:p>
        </w:tc>
        <w:tc>
          <w:tcPr>
            <w:tcW w:w="949" w:type="pct"/>
            <w:gridSpan w:val="9"/>
            <w:vMerge w:val="restart"/>
            <w:noWrap w:val="0"/>
            <w:vAlign w:val="center"/>
          </w:tcPr>
          <w:p w14:paraId="2E441537">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0.3234</w:t>
            </w:r>
          </w:p>
        </w:tc>
        <w:tc>
          <w:tcPr>
            <w:tcW w:w="1708" w:type="pct"/>
            <w:gridSpan w:val="16"/>
            <w:noWrap w:val="0"/>
            <w:vAlign w:val="center"/>
          </w:tcPr>
          <w:p w14:paraId="3442FA08">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产业政策</w:t>
            </w:r>
          </w:p>
        </w:tc>
        <w:tc>
          <w:tcPr>
            <w:tcW w:w="1308" w:type="pct"/>
            <w:gridSpan w:val="13"/>
            <w:noWrap w:val="0"/>
            <w:vAlign w:val="center"/>
          </w:tcPr>
          <w:p w14:paraId="6C4DD7A5">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0.2957</w:t>
            </w:r>
          </w:p>
        </w:tc>
      </w:tr>
      <w:tr w14:paraId="5873F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trHeight w:val="320" w:hRule="atLeast"/>
          <w:jc w:val="center"/>
        </w:trPr>
        <w:tc>
          <w:tcPr>
            <w:tcW w:w="1033" w:type="pct"/>
            <w:gridSpan w:val="5"/>
            <w:vMerge w:val="continue"/>
            <w:noWrap w:val="0"/>
            <w:vAlign w:val="center"/>
          </w:tcPr>
          <w:p w14:paraId="36D268D0">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gridSpan w:val="9"/>
            <w:vMerge w:val="continue"/>
            <w:noWrap w:val="0"/>
            <w:vAlign w:val="center"/>
          </w:tcPr>
          <w:p w14:paraId="712AF12C">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gridSpan w:val="16"/>
            <w:noWrap w:val="0"/>
            <w:vAlign w:val="center"/>
          </w:tcPr>
          <w:p w14:paraId="2538C23E">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土地使用制度改革</w:t>
            </w:r>
          </w:p>
        </w:tc>
        <w:tc>
          <w:tcPr>
            <w:tcW w:w="1308" w:type="pct"/>
            <w:gridSpan w:val="13"/>
            <w:noWrap w:val="0"/>
            <w:vAlign w:val="center"/>
          </w:tcPr>
          <w:p w14:paraId="1774CE8B">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0.2121</w:t>
            </w:r>
          </w:p>
        </w:tc>
      </w:tr>
      <w:tr w14:paraId="004B0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trHeight w:val="320" w:hRule="atLeast"/>
          <w:jc w:val="center"/>
        </w:trPr>
        <w:tc>
          <w:tcPr>
            <w:tcW w:w="1033" w:type="pct"/>
            <w:gridSpan w:val="5"/>
            <w:vMerge w:val="continue"/>
            <w:noWrap w:val="0"/>
            <w:vAlign w:val="center"/>
          </w:tcPr>
          <w:p w14:paraId="76C6E48E">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gridSpan w:val="9"/>
            <w:vMerge w:val="continue"/>
            <w:noWrap w:val="0"/>
            <w:vAlign w:val="center"/>
          </w:tcPr>
          <w:p w14:paraId="20B243AC">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gridSpan w:val="16"/>
            <w:noWrap w:val="0"/>
            <w:vAlign w:val="center"/>
          </w:tcPr>
          <w:p w14:paraId="2EEF8660">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住房制度</w:t>
            </w:r>
          </w:p>
        </w:tc>
        <w:tc>
          <w:tcPr>
            <w:tcW w:w="1308" w:type="pct"/>
            <w:gridSpan w:val="13"/>
            <w:noWrap w:val="0"/>
            <w:vAlign w:val="center"/>
          </w:tcPr>
          <w:p w14:paraId="344D36DD">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0.2734</w:t>
            </w:r>
          </w:p>
        </w:tc>
      </w:tr>
      <w:tr w14:paraId="039D1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trHeight w:val="304" w:hRule="atLeast"/>
          <w:jc w:val="center"/>
        </w:trPr>
        <w:tc>
          <w:tcPr>
            <w:tcW w:w="1033" w:type="pct"/>
            <w:gridSpan w:val="5"/>
            <w:vMerge w:val="continue"/>
            <w:noWrap w:val="0"/>
            <w:vAlign w:val="center"/>
          </w:tcPr>
          <w:p w14:paraId="38B70432">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gridSpan w:val="9"/>
            <w:vMerge w:val="continue"/>
            <w:noWrap w:val="0"/>
            <w:vAlign w:val="center"/>
          </w:tcPr>
          <w:p w14:paraId="07879F95">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gridSpan w:val="16"/>
            <w:noWrap w:val="0"/>
            <w:vAlign w:val="center"/>
          </w:tcPr>
          <w:p w14:paraId="3D6EF284">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环保变化</w:t>
            </w:r>
          </w:p>
        </w:tc>
        <w:tc>
          <w:tcPr>
            <w:tcW w:w="1308" w:type="pct"/>
            <w:gridSpan w:val="13"/>
            <w:noWrap w:val="0"/>
            <w:vAlign w:val="center"/>
          </w:tcPr>
          <w:p w14:paraId="5AAEE8D9">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0.2188</w:t>
            </w:r>
          </w:p>
        </w:tc>
      </w:tr>
      <w:tr w14:paraId="6EF59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trHeight w:val="304" w:hRule="atLeast"/>
          <w:jc w:val="center"/>
        </w:trPr>
        <w:tc>
          <w:tcPr>
            <w:tcW w:w="1033" w:type="pct"/>
            <w:gridSpan w:val="5"/>
            <w:vMerge w:val="restart"/>
            <w:noWrap w:val="0"/>
            <w:vAlign w:val="center"/>
          </w:tcPr>
          <w:p w14:paraId="493E1A02">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经济风险</w:t>
            </w:r>
          </w:p>
        </w:tc>
        <w:tc>
          <w:tcPr>
            <w:tcW w:w="949" w:type="pct"/>
            <w:gridSpan w:val="9"/>
            <w:vMerge w:val="restart"/>
            <w:noWrap w:val="0"/>
            <w:vAlign w:val="center"/>
          </w:tcPr>
          <w:p w14:paraId="1F96B4C9">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0.3922</w:t>
            </w:r>
          </w:p>
        </w:tc>
        <w:tc>
          <w:tcPr>
            <w:tcW w:w="1708" w:type="pct"/>
            <w:gridSpan w:val="16"/>
            <w:noWrap w:val="0"/>
            <w:vAlign w:val="center"/>
          </w:tcPr>
          <w:p w14:paraId="207551FC">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市场供求</w:t>
            </w:r>
          </w:p>
        </w:tc>
        <w:tc>
          <w:tcPr>
            <w:tcW w:w="1308" w:type="pct"/>
            <w:gridSpan w:val="13"/>
            <w:noWrap w:val="0"/>
            <w:vAlign w:val="center"/>
          </w:tcPr>
          <w:p w14:paraId="38CCEE79">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0.3434</w:t>
            </w:r>
          </w:p>
        </w:tc>
      </w:tr>
      <w:tr w14:paraId="4593E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trHeight w:val="320" w:hRule="atLeast"/>
          <w:jc w:val="center"/>
        </w:trPr>
        <w:tc>
          <w:tcPr>
            <w:tcW w:w="1033" w:type="pct"/>
            <w:gridSpan w:val="5"/>
            <w:vMerge w:val="continue"/>
            <w:noWrap w:val="0"/>
            <w:vAlign w:val="center"/>
          </w:tcPr>
          <w:p w14:paraId="6D5EEDD6">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gridSpan w:val="9"/>
            <w:vMerge w:val="continue"/>
            <w:noWrap w:val="0"/>
            <w:vAlign w:val="center"/>
          </w:tcPr>
          <w:p w14:paraId="3BF654D4">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gridSpan w:val="16"/>
            <w:noWrap w:val="0"/>
            <w:vAlign w:val="center"/>
          </w:tcPr>
          <w:p w14:paraId="09D614CF">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财务风险</w:t>
            </w:r>
          </w:p>
        </w:tc>
        <w:tc>
          <w:tcPr>
            <w:tcW w:w="1308" w:type="pct"/>
            <w:gridSpan w:val="13"/>
            <w:noWrap w:val="0"/>
            <w:vAlign w:val="center"/>
          </w:tcPr>
          <w:p w14:paraId="2E5C4B3C">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0.2119</w:t>
            </w:r>
          </w:p>
        </w:tc>
      </w:tr>
      <w:tr w14:paraId="6BE1D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trHeight w:val="304" w:hRule="atLeast"/>
          <w:jc w:val="center"/>
        </w:trPr>
        <w:tc>
          <w:tcPr>
            <w:tcW w:w="1033" w:type="pct"/>
            <w:gridSpan w:val="5"/>
            <w:vMerge w:val="continue"/>
            <w:noWrap w:val="0"/>
            <w:vAlign w:val="center"/>
          </w:tcPr>
          <w:p w14:paraId="29668AB3">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gridSpan w:val="9"/>
            <w:vMerge w:val="continue"/>
            <w:noWrap w:val="0"/>
            <w:vAlign w:val="center"/>
          </w:tcPr>
          <w:p w14:paraId="683D347A">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gridSpan w:val="16"/>
            <w:noWrap w:val="0"/>
            <w:vAlign w:val="center"/>
          </w:tcPr>
          <w:p w14:paraId="13E3F47F">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管理风险</w:t>
            </w:r>
          </w:p>
        </w:tc>
        <w:tc>
          <w:tcPr>
            <w:tcW w:w="1308" w:type="pct"/>
            <w:gridSpan w:val="13"/>
            <w:noWrap w:val="0"/>
            <w:vAlign w:val="center"/>
          </w:tcPr>
          <w:p w14:paraId="492420CF">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0.2365</w:t>
            </w:r>
          </w:p>
        </w:tc>
      </w:tr>
      <w:tr w14:paraId="20A47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trHeight w:val="320" w:hRule="atLeast"/>
          <w:jc w:val="center"/>
        </w:trPr>
        <w:tc>
          <w:tcPr>
            <w:tcW w:w="1033" w:type="pct"/>
            <w:gridSpan w:val="5"/>
            <w:vMerge w:val="continue"/>
            <w:noWrap w:val="0"/>
            <w:vAlign w:val="center"/>
          </w:tcPr>
          <w:p w14:paraId="31AB4AA2">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gridSpan w:val="9"/>
            <w:vMerge w:val="continue"/>
            <w:noWrap w:val="0"/>
            <w:vAlign w:val="center"/>
          </w:tcPr>
          <w:p w14:paraId="61D9ACE6">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gridSpan w:val="16"/>
            <w:noWrap w:val="0"/>
            <w:vAlign w:val="center"/>
          </w:tcPr>
          <w:p w14:paraId="54C3BEE8">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当地经济发展</w:t>
            </w:r>
          </w:p>
        </w:tc>
        <w:tc>
          <w:tcPr>
            <w:tcW w:w="1308" w:type="pct"/>
            <w:gridSpan w:val="13"/>
            <w:noWrap w:val="0"/>
            <w:vAlign w:val="center"/>
          </w:tcPr>
          <w:p w14:paraId="18C0A46C">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0.2082</w:t>
            </w:r>
          </w:p>
        </w:tc>
      </w:tr>
      <w:tr w14:paraId="3651F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trHeight w:val="304" w:hRule="atLeast"/>
          <w:jc w:val="center"/>
        </w:trPr>
        <w:tc>
          <w:tcPr>
            <w:tcW w:w="1033" w:type="pct"/>
            <w:gridSpan w:val="5"/>
            <w:vMerge w:val="restart"/>
            <w:noWrap w:val="0"/>
            <w:vAlign w:val="center"/>
          </w:tcPr>
          <w:p w14:paraId="6F8B77A7">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社会风险</w:t>
            </w:r>
          </w:p>
        </w:tc>
        <w:tc>
          <w:tcPr>
            <w:tcW w:w="949" w:type="pct"/>
            <w:gridSpan w:val="9"/>
            <w:vMerge w:val="restart"/>
            <w:noWrap w:val="0"/>
            <w:vAlign w:val="center"/>
          </w:tcPr>
          <w:p w14:paraId="7FD43734">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0.2844</w:t>
            </w:r>
          </w:p>
        </w:tc>
        <w:tc>
          <w:tcPr>
            <w:tcW w:w="1708" w:type="pct"/>
            <w:gridSpan w:val="16"/>
            <w:noWrap w:val="0"/>
            <w:vAlign w:val="center"/>
          </w:tcPr>
          <w:p w14:paraId="655F35C2">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城市规划</w:t>
            </w:r>
          </w:p>
        </w:tc>
        <w:tc>
          <w:tcPr>
            <w:tcW w:w="1308" w:type="pct"/>
            <w:gridSpan w:val="13"/>
            <w:noWrap w:val="0"/>
            <w:vAlign w:val="center"/>
          </w:tcPr>
          <w:p w14:paraId="4636214F">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0.3762</w:t>
            </w:r>
          </w:p>
        </w:tc>
      </w:tr>
      <w:tr w14:paraId="7D0FA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trHeight w:val="304" w:hRule="atLeast"/>
          <w:jc w:val="center"/>
        </w:trPr>
        <w:tc>
          <w:tcPr>
            <w:tcW w:w="1033" w:type="pct"/>
            <w:gridSpan w:val="5"/>
            <w:vMerge w:val="continue"/>
            <w:noWrap w:val="0"/>
            <w:vAlign w:val="center"/>
          </w:tcPr>
          <w:p w14:paraId="75411145">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gridSpan w:val="9"/>
            <w:vMerge w:val="continue"/>
            <w:noWrap w:val="0"/>
            <w:vAlign w:val="center"/>
          </w:tcPr>
          <w:p w14:paraId="373757C1">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gridSpan w:val="16"/>
            <w:noWrap w:val="0"/>
            <w:vAlign w:val="center"/>
          </w:tcPr>
          <w:p w14:paraId="267213B7">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区域发展</w:t>
            </w:r>
          </w:p>
        </w:tc>
        <w:tc>
          <w:tcPr>
            <w:tcW w:w="1308" w:type="pct"/>
            <w:gridSpan w:val="13"/>
            <w:noWrap w:val="0"/>
            <w:vAlign w:val="center"/>
          </w:tcPr>
          <w:p w14:paraId="241442BA">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0.3113</w:t>
            </w:r>
          </w:p>
        </w:tc>
      </w:tr>
      <w:tr w14:paraId="2F897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trHeight w:val="335" w:hRule="atLeast"/>
          <w:jc w:val="center"/>
        </w:trPr>
        <w:tc>
          <w:tcPr>
            <w:tcW w:w="1033" w:type="pct"/>
            <w:gridSpan w:val="5"/>
            <w:vMerge w:val="continue"/>
            <w:noWrap w:val="0"/>
            <w:vAlign w:val="center"/>
          </w:tcPr>
          <w:p w14:paraId="4143324D">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gridSpan w:val="9"/>
            <w:vMerge w:val="continue"/>
            <w:noWrap w:val="0"/>
            <w:vAlign w:val="center"/>
          </w:tcPr>
          <w:p w14:paraId="1ADDB8A8">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gridSpan w:val="16"/>
            <w:noWrap w:val="0"/>
            <w:vAlign w:val="center"/>
          </w:tcPr>
          <w:p w14:paraId="57B7595E">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治安</w:t>
            </w:r>
          </w:p>
        </w:tc>
        <w:tc>
          <w:tcPr>
            <w:tcW w:w="1308" w:type="pct"/>
            <w:gridSpan w:val="13"/>
            <w:noWrap w:val="0"/>
            <w:vAlign w:val="center"/>
          </w:tcPr>
          <w:p w14:paraId="5602C219">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0.3125</w:t>
            </w:r>
          </w:p>
        </w:tc>
      </w:tr>
      <w:tr w14:paraId="5AE4D8B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gridAfter w:val="2"/>
          <w:trHeight w:val="258" w:hRule="atLeast"/>
          <w:jc w:val="center"/>
        </w:trPr>
        <w:tc>
          <w:tcPr>
            <w:tcW w:w="1993" w:type="dxa"/>
            <w:gridSpan w:val="5"/>
            <w:noWrap w:val="0"/>
            <w:vAlign w:val="center"/>
          </w:tcPr>
          <w:p w14:paraId="6A8DC8C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pacing w:val="-20"/>
                <w:sz w:val="18"/>
                <w:szCs w:val="18"/>
                <w:highlight w:val="none"/>
                <w14:textFill>
                  <w14:solidFill>
                    <w14:schemeClr w14:val="tx1"/>
                  </w14:solidFill>
                </w14:textFill>
              </w:rPr>
            </w:pPr>
            <w:r>
              <w:rPr>
                <w:rFonts w:hint="eastAsia" w:ascii="仿宋_GB2312" w:hAnsi="仿宋_GB2312" w:eastAsia="仿宋_GB2312" w:cs="仿宋_GB2312"/>
                <w:color w:val="000000" w:themeColor="text1"/>
                <w:spacing w:val="-20"/>
                <w:sz w:val="18"/>
                <w:szCs w:val="18"/>
                <w:highlight w:val="none"/>
                <w14:textFill>
                  <w14:solidFill>
                    <w14:schemeClr w14:val="tx1"/>
                  </w14:solidFill>
                </w14:textFill>
              </w:rPr>
              <w:t>市场风险影响程度</w:t>
            </w:r>
          </w:p>
        </w:tc>
        <w:tc>
          <w:tcPr>
            <w:tcW w:w="1773" w:type="dxa"/>
            <w:gridSpan w:val="8"/>
            <w:noWrap w:val="0"/>
            <w:vAlign w:val="center"/>
          </w:tcPr>
          <w:p w14:paraId="69CC2E7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hint="eastAsia" w:ascii="仿宋_GB2312" w:hAnsi="仿宋_GB2312" w:eastAsia="仿宋_GB2312" w:cs="仿宋_GB2312"/>
                <w:color w:val="000000" w:themeColor="text1"/>
                <w:sz w:val="18"/>
                <w:szCs w:val="18"/>
                <w:highlight w:val="none"/>
                <w14:textFill>
                  <w14:solidFill>
                    <w14:schemeClr w14:val="tx1"/>
                  </w14:solidFill>
                </w14:textFill>
              </w:rPr>
              <w:t>无影响（D）</w:t>
            </w:r>
          </w:p>
        </w:tc>
        <w:tc>
          <w:tcPr>
            <w:tcW w:w="1896" w:type="dxa"/>
            <w:gridSpan w:val="12"/>
            <w:noWrap w:val="0"/>
            <w:vAlign w:val="center"/>
          </w:tcPr>
          <w:p w14:paraId="1A9439A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hint="eastAsia" w:ascii="仿宋_GB2312" w:hAnsi="仿宋_GB2312" w:eastAsia="仿宋_GB2312" w:cs="仿宋_GB2312"/>
                <w:color w:val="000000" w:themeColor="text1"/>
                <w:sz w:val="18"/>
                <w:szCs w:val="18"/>
                <w:highlight w:val="none"/>
                <w14:textFill>
                  <w14:solidFill>
                    <w14:schemeClr w14:val="tx1"/>
                  </w14:solidFill>
                </w14:textFill>
              </w:rPr>
              <w:t>不严重（C）</w:t>
            </w:r>
          </w:p>
        </w:tc>
        <w:tc>
          <w:tcPr>
            <w:tcW w:w="1897" w:type="dxa"/>
            <w:gridSpan w:val="11"/>
            <w:noWrap w:val="0"/>
            <w:vAlign w:val="center"/>
          </w:tcPr>
          <w:p w14:paraId="37F29FD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hint="eastAsia" w:ascii="仿宋_GB2312" w:hAnsi="仿宋_GB2312" w:eastAsia="仿宋_GB2312" w:cs="仿宋_GB2312"/>
                <w:color w:val="000000" w:themeColor="text1"/>
                <w:sz w:val="18"/>
                <w:szCs w:val="18"/>
                <w:highlight w:val="none"/>
                <w14:textFill>
                  <w14:solidFill>
                    <w14:schemeClr w14:val="tx1"/>
                  </w14:solidFill>
                </w14:textFill>
              </w:rPr>
              <w:t>较严重（B）</w:t>
            </w:r>
          </w:p>
        </w:tc>
        <w:tc>
          <w:tcPr>
            <w:tcW w:w="1897" w:type="dxa"/>
            <w:gridSpan w:val="8"/>
            <w:noWrap w:val="0"/>
            <w:vAlign w:val="center"/>
          </w:tcPr>
          <w:p w14:paraId="1FE0A5C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hint="eastAsia" w:ascii="仿宋_GB2312" w:hAnsi="仿宋_GB2312" w:eastAsia="仿宋_GB2312" w:cs="仿宋_GB2312"/>
                <w:color w:val="000000" w:themeColor="text1"/>
                <w:sz w:val="18"/>
                <w:szCs w:val="18"/>
                <w:highlight w:val="none"/>
                <w14:textFill>
                  <w14:solidFill>
                    <w14:schemeClr w14:val="tx1"/>
                  </w14:solidFill>
                </w14:textFill>
              </w:rPr>
              <w:t>最严重（A）</w:t>
            </w:r>
          </w:p>
        </w:tc>
      </w:tr>
      <w:tr w14:paraId="1047B92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gridAfter w:val="2"/>
          <w:trHeight w:val="267" w:hRule="atLeast"/>
          <w:jc w:val="center"/>
        </w:trPr>
        <w:tc>
          <w:tcPr>
            <w:tcW w:w="1993" w:type="dxa"/>
            <w:gridSpan w:val="5"/>
            <w:noWrap w:val="0"/>
            <w:vAlign w:val="center"/>
          </w:tcPr>
          <w:p w14:paraId="12AA430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hint="eastAsia" w:ascii="仿宋_GB2312" w:hAnsi="仿宋_GB2312" w:eastAsia="仿宋_GB2312" w:cs="仿宋_GB2312"/>
                <w:color w:val="000000" w:themeColor="text1"/>
                <w:sz w:val="18"/>
                <w:szCs w:val="18"/>
                <w:highlight w:val="none"/>
                <w14:textFill>
                  <w14:solidFill>
                    <w14:schemeClr w14:val="tx1"/>
                  </w14:solidFill>
                </w14:textFill>
              </w:rPr>
              <w:t>风险调整值</w:t>
            </w:r>
          </w:p>
        </w:tc>
        <w:tc>
          <w:tcPr>
            <w:tcW w:w="1773" w:type="dxa"/>
            <w:gridSpan w:val="8"/>
            <w:noWrap w:val="0"/>
            <w:vAlign w:val="center"/>
          </w:tcPr>
          <w:p w14:paraId="24A12CF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hint="eastAsia" w:ascii="仿宋_GB2312" w:hAnsi="仿宋_GB2312" w:eastAsia="仿宋_GB2312" w:cs="仿宋_GB2312"/>
                <w:color w:val="000000" w:themeColor="text1"/>
                <w:sz w:val="18"/>
                <w:szCs w:val="18"/>
                <w:highlight w:val="none"/>
                <w14:textFill>
                  <w14:solidFill>
                    <w14:schemeClr w14:val="tx1"/>
                  </w14:solidFill>
                </w14:textFill>
              </w:rPr>
              <w:t>0</w:t>
            </w:r>
          </w:p>
        </w:tc>
        <w:tc>
          <w:tcPr>
            <w:tcW w:w="1896" w:type="dxa"/>
            <w:gridSpan w:val="12"/>
            <w:noWrap w:val="0"/>
            <w:vAlign w:val="center"/>
          </w:tcPr>
          <w:p w14:paraId="026CD5E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ascii="仿宋_GB2312" w:hAnsi="仿宋_GB2312" w:eastAsia="仿宋_GB2312" w:cs="仿宋_GB2312"/>
                <w:color w:val="000000" w:themeColor="text1"/>
                <w:sz w:val="18"/>
                <w:szCs w:val="18"/>
                <w:highlight w:val="none"/>
                <w14:textFill>
                  <w14:solidFill>
                    <w14:schemeClr w14:val="tx1"/>
                  </w14:solidFill>
                </w14:textFill>
              </w:rPr>
              <w:t>2%</w:t>
            </w:r>
          </w:p>
        </w:tc>
        <w:tc>
          <w:tcPr>
            <w:tcW w:w="1897" w:type="dxa"/>
            <w:gridSpan w:val="11"/>
            <w:noWrap w:val="0"/>
            <w:vAlign w:val="center"/>
          </w:tcPr>
          <w:p w14:paraId="0675095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ascii="仿宋_GB2312" w:hAnsi="仿宋_GB2312" w:eastAsia="仿宋_GB2312" w:cs="仿宋_GB2312"/>
                <w:color w:val="000000" w:themeColor="text1"/>
                <w:sz w:val="18"/>
                <w:szCs w:val="18"/>
                <w:highlight w:val="none"/>
                <w14:textFill>
                  <w14:solidFill>
                    <w14:schemeClr w14:val="tx1"/>
                  </w14:solidFill>
                </w14:textFill>
              </w:rPr>
              <w:t>4%</w:t>
            </w:r>
          </w:p>
        </w:tc>
        <w:tc>
          <w:tcPr>
            <w:tcW w:w="1897" w:type="dxa"/>
            <w:gridSpan w:val="8"/>
            <w:noWrap w:val="0"/>
            <w:vAlign w:val="center"/>
          </w:tcPr>
          <w:p w14:paraId="2B8131E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ascii="仿宋_GB2312" w:hAnsi="仿宋_GB2312" w:eastAsia="仿宋_GB2312" w:cs="仿宋_GB2312"/>
                <w:color w:val="000000" w:themeColor="text1"/>
                <w:sz w:val="18"/>
                <w:szCs w:val="18"/>
                <w:highlight w:val="none"/>
                <w14:textFill>
                  <w14:solidFill>
                    <w14:schemeClr w14:val="tx1"/>
                  </w14:solidFill>
                </w14:textFill>
              </w:rPr>
              <w:t>8%</w:t>
            </w:r>
          </w:p>
        </w:tc>
      </w:tr>
      <w:tr w14:paraId="10E3A58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gridAfter w:val="3"/>
          <w:trHeight w:val="243" w:hRule="atLeast"/>
        </w:trPr>
        <w:tc>
          <w:tcPr>
            <w:tcW w:w="1464" w:type="pct"/>
            <w:gridSpan w:val="10"/>
            <w:noWrap w:val="0"/>
            <w:vAlign w:val="center"/>
          </w:tcPr>
          <w:p w14:paraId="69340F59">
            <w:pPr>
              <w:snapToGrid w:val="0"/>
              <w:jc w:val="center"/>
              <w:rPr>
                <w:rFonts w:hint="eastAsia" w:ascii="仿宋" w:hAnsi="仿宋" w:eastAsia="仿宋"/>
                <w:color w:val="000000" w:themeColor="text1"/>
                <w:spacing w:val="-20"/>
                <w:szCs w:val="21"/>
                <w:highlight w:val="none"/>
                <w14:textFill>
                  <w14:solidFill>
                    <w14:schemeClr w14:val="tx1"/>
                  </w14:solidFill>
                </w14:textFill>
              </w:rPr>
            </w:pPr>
            <w:r>
              <w:rPr>
                <w:rFonts w:hint="eastAsia" w:ascii="仿宋_GB2312" w:hAnsi="仿宋_GB2312" w:eastAsia="仿宋_GB2312" w:cs="仿宋_GB2312"/>
                <w:color w:val="000000" w:themeColor="text1"/>
                <w:spacing w:val="-20"/>
                <w:szCs w:val="21"/>
                <w:highlight w:val="none"/>
                <w14:textFill>
                  <w14:solidFill>
                    <w14:schemeClr w14:val="tx1"/>
                  </w14:solidFill>
                </w14:textFill>
              </w:rPr>
              <w:t>土地市场</w:t>
            </w:r>
          </w:p>
        </w:tc>
        <w:tc>
          <w:tcPr>
            <w:tcW w:w="3535" w:type="pct"/>
            <w:gridSpan w:val="33"/>
            <w:noWrap w:val="0"/>
            <w:vAlign w:val="center"/>
          </w:tcPr>
          <w:p w14:paraId="28FC1F2D">
            <w:pPr>
              <w:snapToGrid w:val="0"/>
              <w:jc w:val="center"/>
              <w:rPr>
                <w:rFonts w:hint="eastAsia" w:ascii="仿宋" w:hAnsi="仿宋" w:eastAsia="仿宋"/>
                <w:color w:val="000000" w:themeColor="text1"/>
                <w:szCs w:val="21"/>
                <w:highlight w:val="none"/>
                <w14:textFill>
                  <w14:solidFill>
                    <w14:schemeClr w14:val="tx1"/>
                  </w14:solidFill>
                </w14:textFill>
              </w:rPr>
            </w:pPr>
            <w:r>
              <w:rPr>
                <w:rFonts w:ascii="仿宋_GB2312" w:hAnsi="仿宋_GB2312" w:eastAsia="仿宋_GB2312" w:cs="仿宋_GB2312"/>
                <w:color w:val="000000"/>
                <w:sz w:val="28"/>
              </w:rPr>
              <w:t>城镇住宅用地</w:t>
            </w:r>
          </w:p>
        </w:tc>
      </w:tr>
      <w:tr w14:paraId="5FA8BB0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gridAfter w:val="3"/>
          <w:trHeight w:val="496" w:hRule="atLeast"/>
        </w:trPr>
        <w:tc>
          <w:tcPr>
            <w:tcW w:w="1464" w:type="pct"/>
            <w:gridSpan w:val="10"/>
            <w:noWrap w:val="0"/>
            <w:vAlign w:val="center"/>
          </w:tcPr>
          <w:p w14:paraId="34CE9705">
            <w:pPr>
              <w:snapToGrid w:val="0"/>
              <w:jc w:val="center"/>
              <w:rPr>
                <w:rFonts w:hint="eastAsia" w:ascii="仿宋" w:hAnsi="仿宋" w:eastAsia="仿宋"/>
                <w:color w:val="000000" w:themeColor="text1"/>
                <w:spacing w:val="-20"/>
                <w:szCs w:val="21"/>
                <w:highlight w:val="none"/>
                <w14:textFill>
                  <w14:solidFill>
                    <w14:schemeClr w14:val="tx1"/>
                  </w14:solidFill>
                </w14:textFill>
              </w:rPr>
            </w:pPr>
            <w:r>
              <w:rPr>
                <w:rFonts w:hint="eastAsia" w:ascii="仿宋_GB2312" w:hAnsi="仿宋_GB2312" w:eastAsia="仿宋_GB2312" w:cs="仿宋_GB2312"/>
                <w:color w:val="000000" w:themeColor="text1"/>
                <w:spacing w:val="-20"/>
                <w:szCs w:val="21"/>
                <w:highlight w:val="none"/>
                <w14:textFill>
                  <w14:solidFill>
                    <w14:schemeClr w14:val="tx1"/>
                  </w14:solidFill>
                </w14:textFill>
              </w:rPr>
              <w:t>风险调整值</w:t>
            </w:r>
          </w:p>
        </w:tc>
        <w:tc>
          <w:tcPr>
            <w:tcW w:w="3535" w:type="pct"/>
            <w:gridSpan w:val="33"/>
            <w:noWrap w:val="0"/>
            <w:vAlign w:val="center"/>
          </w:tcPr>
          <w:p w14:paraId="512EC383">
            <w:pPr>
              <w:snapToGrid w:val="0"/>
              <w:jc w:val="center"/>
              <w:rPr>
                <w:rFonts w:hint="eastAsia" w:ascii="仿宋" w:hAnsi="仿宋"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0.</w:t>
            </w:r>
            <w:r>
              <w:rPr>
                <w:rFonts w:ascii="仿宋_GB2312" w:hAnsi="仿宋_GB2312" w:eastAsia="仿宋_GB2312" w:cs="仿宋_GB2312"/>
                <w:color w:val="000000" w:themeColor="text1"/>
                <w:szCs w:val="21"/>
                <w:highlight w:val="none"/>
                <w14:textFill>
                  <w14:solidFill>
                    <w14:schemeClr w14:val="tx1"/>
                  </w14:solidFill>
                </w14:textFill>
              </w:rPr>
              <w:t>3234×</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3.00</w:t>
            </w:r>
            <w:r>
              <w:rPr>
                <w:rFonts w:ascii="仿宋_GB2312" w:hAnsi="仿宋_GB2312" w:eastAsia="仿宋_GB2312" w:cs="仿宋_GB2312"/>
                <w:color w:val="000000" w:themeColor="text1"/>
                <w:szCs w:val="21"/>
                <w:highlight w:val="none"/>
                <w14:textFill>
                  <w14:solidFill>
                    <w14:schemeClr w14:val="tx1"/>
                  </w14:solidFill>
                </w14:textFill>
              </w:rPr>
              <w:t>%</w:t>
            </w:r>
            <w:r>
              <w:rPr>
                <w:rFonts w:hint="eastAsia" w:ascii="仿宋_GB2312" w:hAnsi="仿宋_GB2312" w:eastAsia="仿宋_GB2312" w:cs="仿宋_GB2312"/>
                <w:color w:val="000000" w:themeColor="text1"/>
                <w:szCs w:val="21"/>
                <w:highlight w:val="none"/>
                <w14:textFill>
                  <w14:solidFill>
                    <w14:schemeClr w14:val="tx1"/>
                  </w14:solidFill>
                </w14:textFill>
              </w:rPr>
              <w:t>＋</w:t>
            </w:r>
            <w:r>
              <w:rPr>
                <w:rFonts w:ascii="仿宋_GB2312" w:hAnsi="仿宋_GB2312" w:eastAsia="仿宋_GB2312" w:cs="仿宋_GB2312"/>
                <w:color w:val="000000" w:themeColor="text1"/>
                <w:szCs w:val="21"/>
                <w:highlight w:val="none"/>
                <w14:textFill>
                  <w14:solidFill>
                    <w14:schemeClr w14:val="tx1"/>
                  </w14:solidFill>
                </w14:textFill>
              </w:rPr>
              <w:t>0.3922×</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4.00%</w:t>
            </w:r>
            <w:r>
              <w:rPr>
                <w:rFonts w:hint="eastAsia" w:ascii="仿宋_GB2312" w:hAnsi="仿宋_GB2312" w:eastAsia="仿宋_GB2312" w:cs="仿宋_GB2312"/>
                <w:color w:val="000000" w:themeColor="text1"/>
                <w:szCs w:val="21"/>
                <w:highlight w:val="none"/>
                <w14:textFill>
                  <w14:solidFill>
                    <w14:schemeClr w14:val="tx1"/>
                  </w14:solidFill>
                </w14:textFill>
              </w:rPr>
              <w:t>＋0.</w:t>
            </w:r>
            <w:r>
              <w:rPr>
                <w:rFonts w:ascii="仿宋_GB2312" w:hAnsi="仿宋_GB2312" w:eastAsia="仿宋_GB2312" w:cs="仿宋_GB2312"/>
                <w:color w:val="000000" w:themeColor="text1"/>
                <w:szCs w:val="21"/>
                <w:highlight w:val="none"/>
                <w14:textFill>
                  <w14:solidFill>
                    <w14:schemeClr w14:val="tx1"/>
                  </w14:solidFill>
                </w14:textFill>
              </w:rPr>
              <w:t>2844×</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5</w:t>
            </w:r>
            <w:r>
              <w:rPr>
                <w:rFonts w:ascii="仿宋_GB2312" w:hAnsi="仿宋_GB2312" w:eastAsia="仿宋_GB2312" w:cs="仿宋_GB2312"/>
                <w:color w:val="000000" w:themeColor="text1"/>
                <w:szCs w:val="21"/>
                <w:highlight w:val="none"/>
                <w14:textFill>
                  <w14:solidFill>
                    <w14:schemeClr w14:val="tx1"/>
                  </w14:solidFill>
                </w14:textFill>
              </w:rPr>
              <w:t>%</w:t>
            </w:r>
            <w:r>
              <w:rPr>
                <w:rFonts w:hint="eastAsia" w:ascii="仿宋_GB2312" w:hAnsi="仿宋_GB2312" w:eastAsia="仿宋_GB2312" w:cs="仿宋_GB2312"/>
                <w:color w:val="000000" w:themeColor="text1"/>
                <w:szCs w:val="21"/>
                <w:highlight w:val="none"/>
                <w14:textFill>
                  <w14:solidFill>
                    <w14:schemeClr w14:val="tx1"/>
                  </w14:solidFill>
                </w14:textFill>
              </w:rPr>
              <w:t>＝</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3.96</w:t>
            </w:r>
            <w:r>
              <w:rPr>
                <w:rFonts w:ascii="仿宋_GB2312" w:hAnsi="仿宋_GB2312" w:eastAsia="仿宋_GB2312" w:cs="仿宋_GB2312"/>
                <w:color w:val="000000" w:themeColor="text1"/>
                <w:szCs w:val="21"/>
                <w:highlight w:val="none"/>
                <w14:textFill>
                  <w14:solidFill>
                    <w14:schemeClr w14:val="tx1"/>
                  </w14:solidFill>
                </w14:textFill>
              </w:rPr>
              <w:t>%</w:t>
            </w:r>
          </w:p>
        </w:tc>
      </w:tr>
      <w:tr w14:paraId="2B186E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3"/>
          <w:trHeight w:val="100" w:hRule="atLeast"/>
        </w:trPr>
        <w:tc>
          <w:tcPr>
            <w:tcW w:w="619"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622E49C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因素</w:t>
            </w:r>
          </w:p>
        </w:tc>
        <w:tc>
          <w:tcPr>
            <w:tcW w:w="1018" w:type="pct"/>
            <w:gridSpan w:val="9"/>
            <w:tcBorders>
              <w:top w:val="single" w:color="auto" w:sz="4" w:space="0"/>
              <w:left w:val="single" w:color="auto" w:sz="4" w:space="0"/>
              <w:bottom w:val="single" w:color="auto" w:sz="4" w:space="0"/>
              <w:right w:val="single" w:color="auto" w:sz="4" w:space="0"/>
            </w:tcBorders>
            <w:shd w:val="clear" w:color="auto" w:fill="auto"/>
            <w:vAlign w:val="center"/>
          </w:tcPr>
          <w:p w14:paraId="61ACCCB0">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因子</w:t>
            </w:r>
          </w:p>
        </w:tc>
        <w:tc>
          <w:tcPr>
            <w:tcW w:w="544" w:type="pct"/>
            <w:gridSpan w:val="7"/>
            <w:tcBorders>
              <w:top w:val="single" w:color="auto" w:sz="4" w:space="0"/>
              <w:left w:val="single" w:color="auto" w:sz="4" w:space="0"/>
              <w:bottom w:val="single" w:color="auto" w:sz="4" w:space="0"/>
              <w:right w:val="single" w:color="auto" w:sz="4" w:space="0"/>
            </w:tcBorders>
            <w:shd w:val="clear" w:color="auto" w:fill="auto"/>
            <w:vAlign w:val="center"/>
          </w:tcPr>
          <w:p w14:paraId="53DC31F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权重</w:t>
            </w:r>
          </w:p>
        </w:tc>
        <w:tc>
          <w:tcPr>
            <w:tcW w:w="559" w:type="pct"/>
            <w:gridSpan w:val="4"/>
            <w:tcBorders>
              <w:top w:val="single" w:color="auto" w:sz="4" w:space="0"/>
              <w:left w:val="single" w:color="auto" w:sz="4" w:space="0"/>
              <w:bottom w:val="single" w:color="auto" w:sz="4" w:space="0"/>
              <w:right w:val="single" w:color="auto" w:sz="4" w:space="0"/>
            </w:tcBorders>
            <w:shd w:val="clear" w:color="auto" w:fill="auto"/>
            <w:vAlign w:val="center"/>
          </w:tcPr>
          <w:p w14:paraId="5172F76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优</w:t>
            </w:r>
          </w:p>
        </w:tc>
        <w:tc>
          <w:tcPr>
            <w:tcW w:w="595" w:type="pct"/>
            <w:gridSpan w:val="5"/>
            <w:tcBorders>
              <w:top w:val="single" w:color="auto" w:sz="4" w:space="0"/>
              <w:left w:val="single" w:color="auto" w:sz="4" w:space="0"/>
              <w:bottom w:val="single" w:color="auto" w:sz="4" w:space="0"/>
              <w:right w:val="single" w:color="auto" w:sz="4" w:space="0"/>
            </w:tcBorders>
            <w:shd w:val="clear" w:color="auto" w:fill="auto"/>
            <w:vAlign w:val="center"/>
          </w:tcPr>
          <w:p w14:paraId="71F981F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较优</w:t>
            </w:r>
          </w:p>
        </w:tc>
        <w:tc>
          <w:tcPr>
            <w:tcW w:w="411" w:type="pct"/>
            <w:gridSpan w:val="4"/>
            <w:tcBorders>
              <w:top w:val="single" w:color="auto" w:sz="4" w:space="0"/>
              <w:left w:val="single" w:color="auto" w:sz="4" w:space="0"/>
              <w:bottom w:val="single" w:color="auto" w:sz="4" w:space="0"/>
              <w:right w:val="single" w:color="auto" w:sz="4" w:space="0"/>
            </w:tcBorders>
            <w:shd w:val="clear" w:color="auto" w:fill="auto"/>
            <w:vAlign w:val="center"/>
          </w:tcPr>
          <w:p w14:paraId="632E391E">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一般</w:t>
            </w:r>
          </w:p>
        </w:tc>
        <w:tc>
          <w:tcPr>
            <w:tcW w:w="625" w:type="pct"/>
            <w:gridSpan w:val="7"/>
            <w:tcBorders>
              <w:top w:val="single" w:color="auto" w:sz="4" w:space="0"/>
              <w:left w:val="single" w:color="auto" w:sz="4" w:space="0"/>
              <w:bottom w:val="single" w:color="auto" w:sz="4" w:space="0"/>
              <w:right w:val="single" w:color="auto" w:sz="4" w:space="0"/>
            </w:tcBorders>
            <w:shd w:val="clear" w:color="auto" w:fill="auto"/>
            <w:vAlign w:val="center"/>
          </w:tcPr>
          <w:p w14:paraId="4DD67C4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较劣</w:t>
            </w:r>
          </w:p>
        </w:tc>
        <w:tc>
          <w:tcPr>
            <w:tcW w:w="625" w:type="pct"/>
            <w:gridSpan w:val="5"/>
            <w:tcBorders>
              <w:top w:val="single" w:color="auto" w:sz="4" w:space="0"/>
              <w:left w:val="single" w:color="auto" w:sz="4" w:space="0"/>
              <w:bottom w:val="single" w:color="auto" w:sz="4" w:space="0"/>
              <w:right w:val="single" w:color="auto" w:sz="4" w:space="0"/>
            </w:tcBorders>
            <w:shd w:val="clear" w:color="auto" w:fill="auto"/>
            <w:vAlign w:val="center"/>
          </w:tcPr>
          <w:p w14:paraId="0CEA987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劣</w:t>
            </w:r>
          </w:p>
        </w:tc>
      </w:tr>
      <w:tr w14:paraId="2C5B2D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3"/>
          <w:trHeight w:val="196" w:hRule="atLeast"/>
        </w:trPr>
        <w:tc>
          <w:tcPr>
            <w:tcW w:w="619" w:type="pct"/>
            <w:gridSpan w:val="2"/>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2F08F0B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交通条件</w:t>
            </w:r>
          </w:p>
        </w:tc>
        <w:tc>
          <w:tcPr>
            <w:tcW w:w="1018" w:type="pct"/>
            <w:gridSpan w:val="9"/>
            <w:tcBorders>
              <w:top w:val="single" w:color="auto" w:sz="4" w:space="0"/>
              <w:left w:val="single" w:color="auto" w:sz="4" w:space="0"/>
              <w:bottom w:val="single" w:color="auto" w:sz="4" w:space="0"/>
              <w:right w:val="single" w:color="auto" w:sz="4" w:space="0"/>
            </w:tcBorders>
            <w:shd w:val="clear" w:color="auto" w:fill="auto"/>
            <w:vAlign w:val="center"/>
          </w:tcPr>
          <w:p w14:paraId="007EEFA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距汽车站距离（m）</w:t>
            </w:r>
          </w:p>
        </w:tc>
        <w:tc>
          <w:tcPr>
            <w:tcW w:w="544" w:type="pct"/>
            <w:gridSpan w:val="7"/>
            <w:tcBorders>
              <w:top w:val="single" w:color="auto" w:sz="4" w:space="0"/>
              <w:left w:val="single" w:color="auto" w:sz="4" w:space="0"/>
              <w:bottom w:val="single" w:color="auto" w:sz="4" w:space="0"/>
              <w:right w:val="single" w:color="auto" w:sz="4" w:space="0"/>
            </w:tcBorders>
            <w:shd w:val="clear" w:color="auto" w:fill="auto"/>
            <w:vAlign w:val="center"/>
          </w:tcPr>
          <w:p w14:paraId="007E719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0.122</w:t>
            </w:r>
          </w:p>
        </w:tc>
        <w:tc>
          <w:tcPr>
            <w:tcW w:w="559" w:type="pct"/>
            <w:gridSpan w:val="4"/>
            <w:tcBorders>
              <w:top w:val="single" w:color="auto" w:sz="4" w:space="0"/>
              <w:left w:val="single" w:color="auto" w:sz="4" w:space="0"/>
              <w:bottom w:val="single" w:color="auto" w:sz="4" w:space="0"/>
              <w:right w:val="single" w:color="auto" w:sz="4" w:space="0"/>
            </w:tcBorders>
            <w:shd w:val="clear" w:color="auto" w:fill="auto"/>
            <w:vAlign w:val="center"/>
          </w:tcPr>
          <w:p w14:paraId="0E9AE4BA">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2.2692</w:t>
            </w:r>
          </w:p>
        </w:tc>
        <w:tc>
          <w:tcPr>
            <w:tcW w:w="595" w:type="pct"/>
            <w:gridSpan w:val="5"/>
            <w:tcBorders>
              <w:top w:val="single" w:color="auto" w:sz="4" w:space="0"/>
              <w:left w:val="single" w:color="auto" w:sz="4" w:space="0"/>
              <w:bottom w:val="single" w:color="auto" w:sz="4" w:space="0"/>
              <w:right w:val="single" w:color="auto" w:sz="4" w:space="0"/>
            </w:tcBorders>
            <w:shd w:val="clear" w:color="auto" w:fill="auto"/>
            <w:vAlign w:val="center"/>
          </w:tcPr>
          <w:p w14:paraId="2CC65647">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1.1346</w:t>
            </w:r>
          </w:p>
        </w:tc>
        <w:tc>
          <w:tcPr>
            <w:tcW w:w="411" w:type="pct"/>
            <w:gridSpan w:val="4"/>
            <w:tcBorders>
              <w:top w:val="single" w:color="auto" w:sz="4" w:space="0"/>
              <w:left w:val="single" w:color="auto" w:sz="4" w:space="0"/>
              <w:bottom w:val="single" w:color="auto" w:sz="4" w:space="0"/>
              <w:right w:val="single" w:color="auto" w:sz="4" w:space="0"/>
            </w:tcBorders>
            <w:shd w:val="clear" w:color="auto" w:fill="auto"/>
            <w:vAlign w:val="center"/>
          </w:tcPr>
          <w:p w14:paraId="0FB0F92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w:t>
            </w:r>
          </w:p>
        </w:tc>
        <w:tc>
          <w:tcPr>
            <w:tcW w:w="625" w:type="pct"/>
            <w:gridSpan w:val="7"/>
            <w:tcBorders>
              <w:top w:val="single" w:color="auto" w:sz="4" w:space="0"/>
              <w:left w:val="single" w:color="auto" w:sz="4" w:space="0"/>
              <w:bottom w:val="single" w:color="auto" w:sz="4" w:space="0"/>
              <w:right w:val="single" w:color="auto" w:sz="4" w:space="0"/>
            </w:tcBorders>
            <w:shd w:val="clear" w:color="auto" w:fill="auto"/>
            <w:vAlign w:val="center"/>
          </w:tcPr>
          <w:p w14:paraId="2C10DB5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-0.9638</w:t>
            </w:r>
          </w:p>
        </w:tc>
        <w:tc>
          <w:tcPr>
            <w:tcW w:w="625" w:type="pct"/>
            <w:gridSpan w:val="5"/>
            <w:tcBorders>
              <w:top w:val="single" w:color="auto" w:sz="4" w:space="0"/>
              <w:left w:val="single" w:color="auto" w:sz="4" w:space="0"/>
              <w:bottom w:val="single" w:color="auto" w:sz="4" w:space="0"/>
              <w:right w:val="single" w:color="auto" w:sz="4" w:space="0"/>
            </w:tcBorders>
            <w:shd w:val="clear" w:color="auto" w:fill="auto"/>
            <w:vAlign w:val="center"/>
          </w:tcPr>
          <w:p w14:paraId="1254574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-1.9276</w:t>
            </w:r>
          </w:p>
        </w:tc>
      </w:tr>
      <w:tr w14:paraId="68C3EC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3"/>
          <w:trHeight w:val="196" w:hRule="atLeast"/>
        </w:trPr>
        <w:tc>
          <w:tcPr>
            <w:tcW w:w="619" w:type="pct"/>
            <w:gridSpan w:val="2"/>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A03D32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1018" w:type="pct"/>
            <w:gridSpan w:val="9"/>
            <w:tcBorders>
              <w:top w:val="single" w:color="auto" w:sz="4" w:space="0"/>
              <w:left w:val="single" w:color="auto" w:sz="4" w:space="0"/>
              <w:bottom w:val="single" w:color="auto" w:sz="4" w:space="0"/>
              <w:right w:val="single" w:color="auto" w:sz="4" w:space="0"/>
            </w:tcBorders>
            <w:shd w:val="clear" w:color="auto" w:fill="auto"/>
            <w:vAlign w:val="center"/>
          </w:tcPr>
          <w:p w14:paraId="00477EFF">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临近道路状况</w:t>
            </w:r>
          </w:p>
        </w:tc>
        <w:tc>
          <w:tcPr>
            <w:tcW w:w="544" w:type="pct"/>
            <w:gridSpan w:val="7"/>
            <w:tcBorders>
              <w:top w:val="single" w:color="auto" w:sz="4" w:space="0"/>
              <w:left w:val="single" w:color="auto" w:sz="4" w:space="0"/>
              <w:bottom w:val="single" w:color="auto" w:sz="4" w:space="0"/>
              <w:right w:val="single" w:color="auto" w:sz="4" w:space="0"/>
            </w:tcBorders>
            <w:shd w:val="clear" w:color="auto" w:fill="auto"/>
            <w:vAlign w:val="center"/>
          </w:tcPr>
          <w:p w14:paraId="13888296">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0.225</w:t>
            </w:r>
          </w:p>
        </w:tc>
        <w:tc>
          <w:tcPr>
            <w:tcW w:w="559" w:type="pct"/>
            <w:gridSpan w:val="4"/>
            <w:tcBorders>
              <w:top w:val="single" w:color="auto" w:sz="4" w:space="0"/>
              <w:left w:val="single" w:color="auto" w:sz="4" w:space="0"/>
              <w:bottom w:val="single" w:color="auto" w:sz="4" w:space="0"/>
              <w:right w:val="single" w:color="auto" w:sz="4" w:space="0"/>
            </w:tcBorders>
            <w:shd w:val="clear" w:color="auto" w:fill="auto"/>
            <w:vAlign w:val="center"/>
          </w:tcPr>
          <w:p w14:paraId="3E171F2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4.185</w:t>
            </w:r>
          </w:p>
        </w:tc>
        <w:tc>
          <w:tcPr>
            <w:tcW w:w="595" w:type="pct"/>
            <w:gridSpan w:val="5"/>
            <w:tcBorders>
              <w:top w:val="single" w:color="auto" w:sz="4" w:space="0"/>
              <w:left w:val="single" w:color="auto" w:sz="4" w:space="0"/>
              <w:bottom w:val="single" w:color="auto" w:sz="4" w:space="0"/>
              <w:right w:val="single" w:color="auto" w:sz="4" w:space="0"/>
            </w:tcBorders>
            <w:shd w:val="clear" w:color="auto" w:fill="auto"/>
            <w:vAlign w:val="center"/>
          </w:tcPr>
          <w:p w14:paraId="5B348BF7">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2.0925</w:t>
            </w:r>
          </w:p>
        </w:tc>
        <w:tc>
          <w:tcPr>
            <w:tcW w:w="411" w:type="pct"/>
            <w:gridSpan w:val="4"/>
            <w:tcBorders>
              <w:top w:val="single" w:color="auto" w:sz="4" w:space="0"/>
              <w:left w:val="single" w:color="auto" w:sz="4" w:space="0"/>
              <w:bottom w:val="single" w:color="auto" w:sz="4" w:space="0"/>
              <w:right w:val="single" w:color="auto" w:sz="4" w:space="0"/>
            </w:tcBorders>
            <w:shd w:val="clear" w:color="auto" w:fill="auto"/>
            <w:vAlign w:val="center"/>
          </w:tcPr>
          <w:p w14:paraId="40BCEFB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w:t>
            </w:r>
          </w:p>
        </w:tc>
        <w:tc>
          <w:tcPr>
            <w:tcW w:w="625" w:type="pct"/>
            <w:gridSpan w:val="7"/>
            <w:tcBorders>
              <w:top w:val="single" w:color="auto" w:sz="4" w:space="0"/>
              <w:left w:val="single" w:color="auto" w:sz="4" w:space="0"/>
              <w:bottom w:val="single" w:color="auto" w:sz="4" w:space="0"/>
              <w:right w:val="single" w:color="auto" w:sz="4" w:space="0"/>
            </w:tcBorders>
            <w:shd w:val="clear" w:color="auto" w:fill="auto"/>
            <w:vAlign w:val="center"/>
          </w:tcPr>
          <w:p w14:paraId="4139D9B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-1.7775</w:t>
            </w:r>
          </w:p>
        </w:tc>
        <w:tc>
          <w:tcPr>
            <w:tcW w:w="625" w:type="pct"/>
            <w:gridSpan w:val="5"/>
            <w:tcBorders>
              <w:top w:val="single" w:color="auto" w:sz="4" w:space="0"/>
              <w:left w:val="single" w:color="auto" w:sz="4" w:space="0"/>
              <w:bottom w:val="single" w:color="auto" w:sz="4" w:space="0"/>
              <w:right w:val="single" w:color="auto" w:sz="4" w:space="0"/>
            </w:tcBorders>
            <w:shd w:val="clear" w:color="auto" w:fill="auto"/>
            <w:vAlign w:val="center"/>
          </w:tcPr>
          <w:p w14:paraId="22CEEA40">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-3.555</w:t>
            </w:r>
          </w:p>
        </w:tc>
      </w:tr>
      <w:tr w14:paraId="16C9D5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3"/>
          <w:trHeight w:val="196" w:hRule="atLeast"/>
        </w:trPr>
        <w:tc>
          <w:tcPr>
            <w:tcW w:w="619" w:type="pct"/>
            <w:gridSpan w:val="2"/>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482CCBD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基本设施状况</w:t>
            </w:r>
          </w:p>
        </w:tc>
        <w:tc>
          <w:tcPr>
            <w:tcW w:w="1018" w:type="pct"/>
            <w:gridSpan w:val="9"/>
            <w:tcBorders>
              <w:top w:val="single" w:color="auto" w:sz="4" w:space="0"/>
              <w:left w:val="single" w:color="auto" w:sz="4" w:space="0"/>
              <w:bottom w:val="single" w:color="auto" w:sz="4" w:space="0"/>
              <w:right w:val="single" w:color="auto" w:sz="4" w:space="0"/>
            </w:tcBorders>
            <w:shd w:val="clear" w:color="auto" w:fill="auto"/>
            <w:vAlign w:val="center"/>
          </w:tcPr>
          <w:p w14:paraId="2FE6ED7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排给水状况</w:t>
            </w:r>
          </w:p>
        </w:tc>
        <w:tc>
          <w:tcPr>
            <w:tcW w:w="544" w:type="pct"/>
            <w:gridSpan w:val="7"/>
            <w:tcBorders>
              <w:top w:val="single" w:color="auto" w:sz="4" w:space="0"/>
              <w:left w:val="single" w:color="auto" w:sz="4" w:space="0"/>
              <w:bottom w:val="single" w:color="auto" w:sz="4" w:space="0"/>
              <w:right w:val="single" w:color="auto" w:sz="4" w:space="0"/>
            </w:tcBorders>
            <w:shd w:val="clear" w:color="auto" w:fill="auto"/>
            <w:vAlign w:val="center"/>
          </w:tcPr>
          <w:p w14:paraId="7E9AAF52">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0.148</w:t>
            </w:r>
          </w:p>
        </w:tc>
        <w:tc>
          <w:tcPr>
            <w:tcW w:w="559" w:type="pct"/>
            <w:gridSpan w:val="4"/>
            <w:tcBorders>
              <w:top w:val="single" w:color="auto" w:sz="4" w:space="0"/>
              <w:left w:val="single" w:color="auto" w:sz="4" w:space="0"/>
              <w:bottom w:val="single" w:color="auto" w:sz="4" w:space="0"/>
              <w:right w:val="single" w:color="auto" w:sz="4" w:space="0"/>
            </w:tcBorders>
            <w:shd w:val="clear" w:color="auto" w:fill="auto"/>
            <w:vAlign w:val="center"/>
          </w:tcPr>
          <w:p w14:paraId="50F56F7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2.7528</w:t>
            </w:r>
          </w:p>
        </w:tc>
        <w:tc>
          <w:tcPr>
            <w:tcW w:w="595" w:type="pct"/>
            <w:gridSpan w:val="5"/>
            <w:tcBorders>
              <w:top w:val="single" w:color="auto" w:sz="4" w:space="0"/>
              <w:left w:val="single" w:color="auto" w:sz="4" w:space="0"/>
              <w:bottom w:val="single" w:color="auto" w:sz="4" w:space="0"/>
              <w:right w:val="single" w:color="auto" w:sz="4" w:space="0"/>
            </w:tcBorders>
            <w:shd w:val="clear" w:color="auto" w:fill="auto"/>
            <w:vAlign w:val="center"/>
          </w:tcPr>
          <w:p w14:paraId="6399AD92">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1.3764</w:t>
            </w:r>
          </w:p>
        </w:tc>
        <w:tc>
          <w:tcPr>
            <w:tcW w:w="411" w:type="pct"/>
            <w:gridSpan w:val="4"/>
            <w:tcBorders>
              <w:top w:val="single" w:color="auto" w:sz="4" w:space="0"/>
              <w:left w:val="single" w:color="auto" w:sz="4" w:space="0"/>
              <w:bottom w:val="single" w:color="auto" w:sz="4" w:space="0"/>
              <w:right w:val="single" w:color="auto" w:sz="4" w:space="0"/>
            </w:tcBorders>
            <w:shd w:val="clear" w:color="auto" w:fill="auto"/>
            <w:vAlign w:val="center"/>
          </w:tcPr>
          <w:p w14:paraId="4EB0765A">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w:t>
            </w:r>
          </w:p>
        </w:tc>
        <w:tc>
          <w:tcPr>
            <w:tcW w:w="625" w:type="pct"/>
            <w:gridSpan w:val="7"/>
            <w:tcBorders>
              <w:top w:val="single" w:color="auto" w:sz="4" w:space="0"/>
              <w:left w:val="single" w:color="auto" w:sz="4" w:space="0"/>
              <w:bottom w:val="single" w:color="auto" w:sz="4" w:space="0"/>
              <w:right w:val="single" w:color="auto" w:sz="4" w:space="0"/>
            </w:tcBorders>
            <w:shd w:val="clear" w:color="auto" w:fill="auto"/>
            <w:vAlign w:val="center"/>
          </w:tcPr>
          <w:p w14:paraId="29BCA83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-1.1692</w:t>
            </w:r>
          </w:p>
        </w:tc>
        <w:tc>
          <w:tcPr>
            <w:tcW w:w="625" w:type="pct"/>
            <w:gridSpan w:val="5"/>
            <w:tcBorders>
              <w:top w:val="single" w:color="auto" w:sz="4" w:space="0"/>
              <w:left w:val="single" w:color="auto" w:sz="4" w:space="0"/>
              <w:bottom w:val="single" w:color="auto" w:sz="4" w:space="0"/>
              <w:right w:val="single" w:color="auto" w:sz="4" w:space="0"/>
            </w:tcBorders>
            <w:shd w:val="clear" w:color="auto" w:fill="auto"/>
            <w:vAlign w:val="center"/>
          </w:tcPr>
          <w:p w14:paraId="0967522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-2.3384</w:t>
            </w:r>
          </w:p>
        </w:tc>
      </w:tr>
      <w:tr w14:paraId="6882CA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3"/>
          <w:trHeight w:val="100" w:hRule="atLeast"/>
        </w:trPr>
        <w:tc>
          <w:tcPr>
            <w:tcW w:w="619" w:type="pct"/>
            <w:gridSpan w:val="2"/>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0A9473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1018" w:type="pct"/>
            <w:gridSpan w:val="9"/>
            <w:tcBorders>
              <w:top w:val="single" w:color="auto" w:sz="4" w:space="0"/>
              <w:left w:val="single" w:color="auto" w:sz="4" w:space="0"/>
              <w:bottom w:val="single" w:color="auto" w:sz="4" w:space="0"/>
              <w:right w:val="single" w:color="auto" w:sz="4" w:space="0"/>
            </w:tcBorders>
            <w:shd w:val="clear" w:color="auto" w:fill="auto"/>
            <w:vAlign w:val="center"/>
          </w:tcPr>
          <w:p w14:paraId="1A6541D7">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供电状况</w:t>
            </w:r>
          </w:p>
        </w:tc>
        <w:tc>
          <w:tcPr>
            <w:tcW w:w="544" w:type="pct"/>
            <w:gridSpan w:val="7"/>
            <w:tcBorders>
              <w:top w:val="single" w:color="auto" w:sz="4" w:space="0"/>
              <w:left w:val="single" w:color="auto" w:sz="4" w:space="0"/>
              <w:bottom w:val="single" w:color="auto" w:sz="4" w:space="0"/>
              <w:right w:val="single" w:color="auto" w:sz="4" w:space="0"/>
            </w:tcBorders>
            <w:shd w:val="clear" w:color="auto" w:fill="auto"/>
            <w:vAlign w:val="center"/>
          </w:tcPr>
          <w:p w14:paraId="3ED0C6D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0.125</w:t>
            </w:r>
          </w:p>
        </w:tc>
        <w:tc>
          <w:tcPr>
            <w:tcW w:w="559" w:type="pct"/>
            <w:gridSpan w:val="4"/>
            <w:tcBorders>
              <w:top w:val="single" w:color="auto" w:sz="4" w:space="0"/>
              <w:left w:val="single" w:color="auto" w:sz="4" w:space="0"/>
              <w:bottom w:val="single" w:color="auto" w:sz="4" w:space="0"/>
              <w:right w:val="single" w:color="auto" w:sz="4" w:space="0"/>
            </w:tcBorders>
            <w:shd w:val="clear" w:color="auto" w:fill="auto"/>
            <w:vAlign w:val="center"/>
          </w:tcPr>
          <w:p w14:paraId="3EFDDDFE">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2.325</w:t>
            </w:r>
          </w:p>
        </w:tc>
        <w:tc>
          <w:tcPr>
            <w:tcW w:w="595" w:type="pct"/>
            <w:gridSpan w:val="5"/>
            <w:tcBorders>
              <w:top w:val="single" w:color="auto" w:sz="4" w:space="0"/>
              <w:left w:val="single" w:color="auto" w:sz="4" w:space="0"/>
              <w:bottom w:val="single" w:color="auto" w:sz="4" w:space="0"/>
              <w:right w:val="single" w:color="auto" w:sz="4" w:space="0"/>
            </w:tcBorders>
            <w:shd w:val="clear" w:color="auto" w:fill="auto"/>
            <w:vAlign w:val="center"/>
          </w:tcPr>
          <w:p w14:paraId="291CC44E">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1.1625</w:t>
            </w:r>
          </w:p>
        </w:tc>
        <w:tc>
          <w:tcPr>
            <w:tcW w:w="411" w:type="pct"/>
            <w:gridSpan w:val="4"/>
            <w:tcBorders>
              <w:top w:val="single" w:color="auto" w:sz="4" w:space="0"/>
              <w:left w:val="single" w:color="auto" w:sz="4" w:space="0"/>
              <w:bottom w:val="single" w:color="auto" w:sz="4" w:space="0"/>
              <w:right w:val="single" w:color="auto" w:sz="4" w:space="0"/>
            </w:tcBorders>
            <w:shd w:val="clear" w:color="auto" w:fill="auto"/>
            <w:vAlign w:val="center"/>
          </w:tcPr>
          <w:p w14:paraId="5790884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w:t>
            </w:r>
          </w:p>
        </w:tc>
        <w:tc>
          <w:tcPr>
            <w:tcW w:w="625" w:type="pct"/>
            <w:gridSpan w:val="7"/>
            <w:tcBorders>
              <w:top w:val="single" w:color="auto" w:sz="4" w:space="0"/>
              <w:left w:val="single" w:color="auto" w:sz="4" w:space="0"/>
              <w:bottom w:val="single" w:color="auto" w:sz="4" w:space="0"/>
              <w:right w:val="single" w:color="auto" w:sz="4" w:space="0"/>
            </w:tcBorders>
            <w:shd w:val="clear" w:color="auto" w:fill="auto"/>
            <w:vAlign w:val="center"/>
          </w:tcPr>
          <w:p w14:paraId="7B32C8C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-0.9875</w:t>
            </w:r>
          </w:p>
        </w:tc>
        <w:tc>
          <w:tcPr>
            <w:tcW w:w="625" w:type="pct"/>
            <w:gridSpan w:val="5"/>
            <w:tcBorders>
              <w:top w:val="single" w:color="auto" w:sz="4" w:space="0"/>
              <w:left w:val="single" w:color="auto" w:sz="4" w:space="0"/>
              <w:bottom w:val="single" w:color="auto" w:sz="4" w:space="0"/>
              <w:right w:val="single" w:color="auto" w:sz="4" w:space="0"/>
            </w:tcBorders>
            <w:shd w:val="clear" w:color="auto" w:fill="auto"/>
            <w:vAlign w:val="center"/>
          </w:tcPr>
          <w:p w14:paraId="7D21F50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-1.975</w:t>
            </w:r>
          </w:p>
        </w:tc>
      </w:tr>
      <w:tr w14:paraId="19CED0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3"/>
          <w:trHeight w:val="100" w:hRule="atLeast"/>
        </w:trPr>
        <w:tc>
          <w:tcPr>
            <w:tcW w:w="619" w:type="pct"/>
            <w:gridSpan w:val="2"/>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35ABE3A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环境状况</w:t>
            </w:r>
          </w:p>
        </w:tc>
        <w:tc>
          <w:tcPr>
            <w:tcW w:w="1018" w:type="pct"/>
            <w:gridSpan w:val="9"/>
            <w:tcBorders>
              <w:top w:val="single" w:color="auto" w:sz="4" w:space="0"/>
              <w:left w:val="single" w:color="auto" w:sz="4" w:space="0"/>
              <w:bottom w:val="single" w:color="auto" w:sz="4" w:space="0"/>
              <w:right w:val="single" w:color="auto" w:sz="4" w:space="0"/>
            </w:tcBorders>
            <w:shd w:val="clear" w:color="auto" w:fill="auto"/>
            <w:vAlign w:val="center"/>
          </w:tcPr>
          <w:p w14:paraId="2491B106">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地形状况</w:t>
            </w:r>
          </w:p>
        </w:tc>
        <w:tc>
          <w:tcPr>
            <w:tcW w:w="544" w:type="pct"/>
            <w:gridSpan w:val="7"/>
            <w:tcBorders>
              <w:top w:val="single" w:color="auto" w:sz="4" w:space="0"/>
              <w:left w:val="single" w:color="auto" w:sz="4" w:space="0"/>
              <w:bottom w:val="single" w:color="auto" w:sz="4" w:space="0"/>
              <w:right w:val="single" w:color="auto" w:sz="4" w:space="0"/>
            </w:tcBorders>
            <w:shd w:val="clear" w:color="auto" w:fill="auto"/>
            <w:vAlign w:val="center"/>
          </w:tcPr>
          <w:p w14:paraId="05FA8B01">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0.124</w:t>
            </w:r>
          </w:p>
        </w:tc>
        <w:tc>
          <w:tcPr>
            <w:tcW w:w="559" w:type="pct"/>
            <w:gridSpan w:val="4"/>
            <w:tcBorders>
              <w:top w:val="single" w:color="auto" w:sz="4" w:space="0"/>
              <w:left w:val="single" w:color="auto" w:sz="4" w:space="0"/>
              <w:bottom w:val="single" w:color="auto" w:sz="4" w:space="0"/>
              <w:right w:val="single" w:color="auto" w:sz="4" w:space="0"/>
            </w:tcBorders>
            <w:shd w:val="clear" w:color="auto" w:fill="auto"/>
            <w:vAlign w:val="center"/>
          </w:tcPr>
          <w:p w14:paraId="48C5D6B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2.3064</w:t>
            </w:r>
          </w:p>
        </w:tc>
        <w:tc>
          <w:tcPr>
            <w:tcW w:w="595" w:type="pct"/>
            <w:gridSpan w:val="5"/>
            <w:tcBorders>
              <w:top w:val="single" w:color="auto" w:sz="4" w:space="0"/>
              <w:left w:val="single" w:color="auto" w:sz="4" w:space="0"/>
              <w:bottom w:val="single" w:color="auto" w:sz="4" w:space="0"/>
              <w:right w:val="single" w:color="auto" w:sz="4" w:space="0"/>
            </w:tcBorders>
            <w:shd w:val="clear" w:color="auto" w:fill="auto"/>
            <w:vAlign w:val="center"/>
          </w:tcPr>
          <w:p w14:paraId="06BD6E9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1.1532</w:t>
            </w:r>
          </w:p>
        </w:tc>
        <w:tc>
          <w:tcPr>
            <w:tcW w:w="411" w:type="pct"/>
            <w:gridSpan w:val="4"/>
            <w:tcBorders>
              <w:top w:val="single" w:color="auto" w:sz="4" w:space="0"/>
              <w:left w:val="single" w:color="auto" w:sz="4" w:space="0"/>
              <w:bottom w:val="single" w:color="auto" w:sz="4" w:space="0"/>
              <w:right w:val="single" w:color="auto" w:sz="4" w:space="0"/>
            </w:tcBorders>
            <w:shd w:val="clear" w:color="auto" w:fill="auto"/>
            <w:vAlign w:val="center"/>
          </w:tcPr>
          <w:p w14:paraId="389DB6B1">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w:t>
            </w:r>
          </w:p>
        </w:tc>
        <w:tc>
          <w:tcPr>
            <w:tcW w:w="625" w:type="pct"/>
            <w:gridSpan w:val="7"/>
            <w:tcBorders>
              <w:top w:val="single" w:color="auto" w:sz="4" w:space="0"/>
              <w:left w:val="single" w:color="auto" w:sz="4" w:space="0"/>
              <w:bottom w:val="single" w:color="auto" w:sz="4" w:space="0"/>
              <w:right w:val="single" w:color="auto" w:sz="4" w:space="0"/>
            </w:tcBorders>
            <w:shd w:val="clear" w:color="auto" w:fill="auto"/>
            <w:vAlign w:val="center"/>
          </w:tcPr>
          <w:p w14:paraId="0D8AC2FE">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-0.9796</w:t>
            </w:r>
          </w:p>
        </w:tc>
        <w:tc>
          <w:tcPr>
            <w:tcW w:w="625" w:type="pct"/>
            <w:gridSpan w:val="5"/>
            <w:tcBorders>
              <w:top w:val="single" w:color="auto" w:sz="4" w:space="0"/>
              <w:left w:val="single" w:color="auto" w:sz="4" w:space="0"/>
              <w:bottom w:val="single" w:color="auto" w:sz="4" w:space="0"/>
              <w:right w:val="single" w:color="auto" w:sz="4" w:space="0"/>
            </w:tcBorders>
            <w:shd w:val="clear" w:color="auto" w:fill="auto"/>
            <w:vAlign w:val="center"/>
          </w:tcPr>
          <w:p w14:paraId="5A264382">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-1.9592</w:t>
            </w:r>
          </w:p>
        </w:tc>
      </w:tr>
      <w:tr w14:paraId="2F896B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3"/>
          <w:trHeight w:val="196" w:hRule="atLeast"/>
        </w:trPr>
        <w:tc>
          <w:tcPr>
            <w:tcW w:w="619" w:type="pct"/>
            <w:gridSpan w:val="2"/>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77F329A">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1018" w:type="pct"/>
            <w:gridSpan w:val="9"/>
            <w:tcBorders>
              <w:top w:val="single" w:color="auto" w:sz="4" w:space="0"/>
              <w:left w:val="single" w:color="auto" w:sz="4" w:space="0"/>
              <w:bottom w:val="single" w:color="auto" w:sz="4" w:space="0"/>
              <w:right w:val="single" w:color="auto" w:sz="4" w:space="0"/>
            </w:tcBorders>
            <w:shd w:val="clear" w:color="auto" w:fill="auto"/>
            <w:vAlign w:val="center"/>
          </w:tcPr>
          <w:p w14:paraId="5295B135">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地质状况（T/m2）</w:t>
            </w:r>
          </w:p>
        </w:tc>
        <w:tc>
          <w:tcPr>
            <w:tcW w:w="544" w:type="pct"/>
            <w:gridSpan w:val="7"/>
            <w:tcBorders>
              <w:top w:val="single" w:color="auto" w:sz="4" w:space="0"/>
              <w:left w:val="single" w:color="auto" w:sz="4" w:space="0"/>
              <w:bottom w:val="single" w:color="auto" w:sz="4" w:space="0"/>
              <w:right w:val="single" w:color="auto" w:sz="4" w:space="0"/>
            </w:tcBorders>
            <w:shd w:val="clear" w:color="auto" w:fill="auto"/>
            <w:vAlign w:val="center"/>
          </w:tcPr>
          <w:p w14:paraId="4649AB8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0.117</w:t>
            </w:r>
          </w:p>
        </w:tc>
        <w:tc>
          <w:tcPr>
            <w:tcW w:w="559" w:type="pct"/>
            <w:gridSpan w:val="4"/>
            <w:tcBorders>
              <w:top w:val="single" w:color="auto" w:sz="4" w:space="0"/>
              <w:left w:val="single" w:color="auto" w:sz="4" w:space="0"/>
              <w:bottom w:val="single" w:color="auto" w:sz="4" w:space="0"/>
              <w:right w:val="single" w:color="auto" w:sz="4" w:space="0"/>
            </w:tcBorders>
            <w:shd w:val="clear" w:color="auto" w:fill="auto"/>
            <w:vAlign w:val="center"/>
          </w:tcPr>
          <w:p w14:paraId="0076E56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2.1762</w:t>
            </w:r>
          </w:p>
        </w:tc>
        <w:tc>
          <w:tcPr>
            <w:tcW w:w="595" w:type="pct"/>
            <w:gridSpan w:val="5"/>
            <w:tcBorders>
              <w:top w:val="single" w:color="auto" w:sz="4" w:space="0"/>
              <w:left w:val="single" w:color="auto" w:sz="4" w:space="0"/>
              <w:bottom w:val="single" w:color="auto" w:sz="4" w:space="0"/>
              <w:right w:val="single" w:color="auto" w:sz="4" w:space="0"/>
            </w:tcBorders>
            <w:shd w:val="clear" w:color="auto" w:fill="auto"/>
            <w:vAlign w:val="center"/>
          </w:tcPr>
          <w:p w14:paraId="705B4291">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1.0881</w:t>
            </w:r>
          </w:p>
        </w:tc>
        <w:tc>
          <w:tcPr>
            <w:tcW w:w="411" w:type="pct"/>
            <w:gridSpan w:val="4"/>
            <w:tcBorders>
              <w:top w:val="single" w:color="auto" w:sz="4" w:space="0"/>
              <w:left w:val="single" w:color="auto" w:sz="4" w:space="0"/>
              <w:bottom w:val="single" w:color="auto" w:sz="4" w:space="0"/>
              <w:right w:val="single" w:color="auto" w:sz="4" w:space="0"/>
            </w:tcBorders>
            <w:shd w:val="clear" w:color="auto" w:fill="auto"/>
            <w:vAlign w:val="center"/>
          </w:tcPr>
          <w:p w14:paraId="5B6C56A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w:t>
            </w:r>
          </w:p>
        </w:tc>
        <w:tc>
          <w:tcPr>
            <w:tcW w:w="625" w:type="pct"/>
            <w:gridSpan w:val="7"/>
            <w:tcBorders>
              <w:top w:val="single" w:color="auto" w:sz="4" w:space="0"/>
              <w:left w:val="single" w:color="auto" w:sz="4" w:space="0"/>
              <w:bottom w:val="single" w:color="auto" w:sz="4" w:space="0"/>
              <w:right w:val="single" w:color="auto" w:sz="4" w:space="0"/>
            </w:tcBorders>
            <w:shd w:val="clear" w:color="auto" w:fill="auto"/>
            <w:vAlign w:val="center"/>
          </w:tcPr>
          <w:p w14:paraId="5BC3B496">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-0.9243</w:t>
            </w:r>
          </w:p>
        </w:tc>
        <w:tc>
          <w:tcPr>
            <w:tcW w:w="625" w:type="pct"/>
            <w:gridSpan w:val="5"/>
            <w:tcBorders>
              <w:top w:val="single" w:color="auto" w:sz="4" w:space="0"/>
              <w:left w:val="single" w:color="auto" w:sz="4" w:space="0"/>
              <w:bottom w:val="single" w:color="auto" w:sz="4" w:space="0"/>
              <w:right w:val="single" w:color="auto" w:sz="4" w:space="0"/>
            </w:tcBorders>
            <w:shd w:val="clear" w:color="auto" w:fill="auto"/>
            <w:vAlign w:val="center"/>
          </w:tcPr>
          <w:p w14:paraId="48F9C7B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-1.8486</w:t>
            </w:r>
          </w:p>
        </w:tc>
      </w:tr>
      <w:tr w14:paraId="73DE0F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3"/>
          <w:trHeight w:val="199" w:hRule="atLeast"/>
        </w:trPr>
        <w:tc>
          <w:tcPr>
            <w:tcW w:w="619"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41D1BFE5">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产业集聚效益</w:t>
            </w:r>
          </w:p>
        </w:tc>
        <w:tc>
          <w:tcPr>
            <w:tcW w:w="1018" w:type="pct"/>
            <w:gridSpan w:val="9"/>
            <w:tcBorders>
              <w:top w:val="single" w:color="auto" w:sz="4" w:space="0"/>
              <w:left w:val="single" w:color="auto" w:sz="4" w:space="0"/>
              <w:bottom w:val="single" w:color="auto" w:sz="4" w:space="0"/>
              <w:right w:val="single" w:color="auto" w:sz="4" w:space="0"/>
            </w:tcBorders>
            <w:shd w:val="clear" w:color="auto" w:fill="auto"/>
            <w:vAlign w:val="center"/>
          </w:tcPr>
          <w:p w14:paraId="72D17DD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产业集聚影响度</w:t>
            </w:r>
          </w:p>
        </w:tc>
        <w:tc>
          <w:tcPr>
            <w:tcW w:w="544" w:type="pct"/>
            <w:gridSpan w:val="7"/>
            <w:tcBorders>
              <w:top w:val="single" w:color="auto" w:sz="4" w:space="0"/>
              <w:left w:val="single" w:color="auto" w:sz="4" w:space="0"/>
              <w:bottom w:val="single" w:color="auto" w:sz="4" w:space="0"/>
              <w:right w:val="single" w:color="auto" w:sz="4" w:space="0"/>
            </w:tcBorders>
            <w:shd w:val="clear" w:color="auto" w:fill="auto"/>
            <w:vAlign w:val="center"/>
          </w:tcPr>
          <w:p w14:paraId="5D1158D5">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0.139</w:t>
            </w:r>
          </w:p>
        </w:tc>
        <w:tc>
          <w:tcPr>
            <w:tcW w:w="559" w:type="pct"/>
            <w:gridSpan w:val="4"/>
            <w:tcBorders>
              <w:top w:val="single" w:color="auto" w:sz="4" w:space="0"/>
              <w:left w:val="single" w:color="auto" w:sz="4" w:space="0"/>
              <w:bottom w:val="single" w:color="auto" w:sz="4" w:space="0"/>
              <w:right w:val="single" w:color="auto" w:sz="4" w:space="0"/>
            </w:tcBorders>
            <w:shd w:val="clear" w:color="auto" w:fill="auto"/>
            <w:vAlign w:val="center"/>
          </w:tcPr>
          <w:p w14:paraId="15A6851F">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2.5854</w:t>
            </w:r>
          </w:p>
        </w:tc>
        <w:tc>
          <w:tcPr>
            <w:tcW w:w="595" w:type="pct"/>
            <w:gridSpan w:val="5"/>
            <w:tcBorders>
              <w:top w:val="single" w:color="auto" w:sz="4" w:space="0"/>
              <w:left w:val="single" w:color="auto" w:sz="4" w:space="0"/>
              <w:bottom w:val="single" w:color="auto" w:sz="4" w:space="0"/>
              <w:right w:val="single" w:color="auto" w:sz="4" w:space="0"/>
            </w:tcBorders>
            <w:shd w:val="clear" w:color="auto" w:fill="auto"/>
            <w:vAlign w:val="center"/>
          </w:tcPr>
          <w:p w14:paraId="3D46A842">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1.2927</w:t>
            </w:r>
          </w:p>
        </w:tc>
        <w:tc>
          <w:tcPr>
            <w:tcW w:w="411" w:type="pct"/>
            <w:gridSpan w:val="4"/>
            <w:tcBorders>
              <w:top w:val="single" w:color="auto" w:sz="4" w:space="0"/>
              <w:left w:val="single" w:color="auto" w:sz="4" w:space="0"/>
              <w:bottom w:val="single" w:color="auto" w:sz="4" w:space="0"/>
              <w:right w:val="single" w:color="auto" w:sz="4" w:space="0"/>
            </w:tcBorders>
            <w:shd w:val="clear" w:color="auto" w:fill="auto"/>
            <w:vAlign w:val="center"/>
          </w:tcPr>
          <w:p w14:paraId="7F08D83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w:t>
            </w:r>
          </w:p>
        </w:tc>
        <w:tc>
          <w:tcPr>
            <w:tcW w:w="625" w:type="pct"/>
            <w:gridSpan w:val="7"/>
            <w:tcBorders>
              <w:top w:val="single" w:color="auto" w:sz="4" w:space="0"/>
              <w:left w:val="single" w:color="auto" w:sz="4" w:space="0"/>
              <w:bottom w:val="single" w:color="auto" w:sz="4" w:space="0"/>
              <w:right w:val="single" w:color="auto" w:sz="4" w:space="0"/>
            </w:tcBorders>
            <w:shd w:val="clear" w:color="auto" w:fill="auto"/>
            <w:vAlign w:val="center"/>
          </w:tcPr>
          <w:p w14:paraId="16DE536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-1.0981</w:t>
            </w:r>
          </w:p>
        </w:tc>
        <w:tc>
          <w:tcPr>
            <w:tcW w:w="625" w:type="pct"/>
            <w:gridSpan w:val="5"/>
            <w:tcBorders>
              <w:top w:val="single" w:color="auto" w:sz="4" w:space="0"/>
              <w:left w:val="single" w:color="auto" w:sz="4" w:space="0"/>
              <w:bottom w:val="single" w:color="auto" w:sz="4" w:space="0"/>
              <w:right w:val="single" w:color="auto" w:sz="4" w:space="0"/>
            </w:tcBorders>
            <w:shd w:val="clear" w:color="auto" w:fill="auto"/>
            <w:vAlign w:val="center"/>
          </w:tcPr>
          <w:p w14:paraId="165E0657">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-2.1962</w:t>
            </w:r>
          </w:p>
        </w:tc>
      </w:tr>
      <w:tr w14:paraId="5E4A0D5C">
        <w:tblPrEx>
          <w:tblCellMar>
            <w:top w:w="0" w:type="dxa"/>
            <w:left w:w="108" w:type="dxa"/>
            <w:bottom w:w="0" w:type="dxa"/>
            <w:right w:w="108" w:type="dxa"/>
          </w:tblCellMar>
        </w:tblPrEx>
        <w:trPr>
          <w:gridAfter w:val="4"/>
          <w:trHeight w:val="131" w:hRule="atLeast"/>
        </w:trPr>
        <w:tc>
          <w:tcPr>
            <w:tcW w:w="850" w:type="dxa"/>
            <w:tcBorders>
              <w:top w:val="single" w:color="auto" w:sz="4" w:space="0"/>
              <w:left w:val="single" w:color="auto" w:sz="4" w:space="0"/>
              <w:bottom w:val="single" w:color="auto" w:sz="4" w:space="0"/>
              <w:right w:val="single" w:color="auto" w:sz="4" w:space="0"/>
            </w:tcBorders>
            <w:noWrap w:val="0"/>
            <w:vAlign w:val="center"/>
          </w:tcPr>
          <w:p w14:paraId="7A1CD20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因素</w:t>
            </w:r>
          </w:p>
        </w:tc>
        <w:tc>
          <w:tcPr>
            <w:tcW w:w="1303" w:type="dxa"/>
            <w:gridSpan w:val="6"/>
            <w:tcBorders>
              <w:top w:val="single" w:color="auto" w:sz="4" w:space="0"/>
              <w:left w:val="single" w:color="auto" w:sz="4" w:space="0"/>
              <w:bottom w:val="single" w:color="auto" w:sz="4" w:space="0"/>
              <w:right w:val="single" w:color="auto" w:sz="4" w:space="0"/>
            </w:tcBorders>
            <w:noWrap w:val="0"/>
            <w:vAlign w:val="center"/>
          </w:tcPr>
          <w:p w14:paraId="1F3EF90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因子</w:t>
            </w:r>
          </w:p>
        </w:tc>
        <w:tc>
          <w:tcPr>
            <w:tcW w:w="1247" w:type="dxa"/>
            <w:gridSpan w:val="8"/>
            <w:tcBorders>
              <w:top w:val="single" w:color="auto" w:sz="4" w:space="0"/>
              <w:left w:val="single" w:color="auto" w:sz="4" w:space="0"/>
              <w:bottom w:val="single" w:color="auto" w:sz="4" w:space="0"/>
              <w:right w:val="single" w:color="auto" w:sz="4" w:space="0"/>
            </w:tcBorders>
            <w:noWrap w:val="0"/>
            <w:vAlign w:val="center"/>
          </w:tcPr>
          <w:p w14:paraId="44D1E00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优</w:t>
            </w:r>
          </w:p>
        </w:tc>
        <w:tc>
          <w:tcPr>
            <w:tcW w:w="1423" w:type="dxa"/>
            <w:gridSpan w:val="9"/>
            <w:tcBorders>
              <w:top w:val="single" w:color="auto" w:sz="4" w:space="0"/>
              <w:left w:val="single" w:color="auto" w:sz="4" w:space="0"/>
              <w:bottom w:val="single" w:color="auto" w:sz="4" w:space="0"/>
              <w:right w:val="single" w:color="auto" w:sz="4" w:space="0"/>
            </w:tcBorders>
            <w:noWrap w:val="0"/>
            <w:vAlign w:val="center"/>
          </w:tcPr>
          <w:p w14:paraId="6625AFC1">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较优</w:t>
            </w:r>
          </w:p>
        </w:tc>
        <w:tc>
          <w:tcPr>
            <w:tcW w:w="1658" w:type="dxa"/>
            <w:gridSpan w:val="8"/>
            <w:tcBorders>
              <w:top w:val="single" w:color="auto" w:sz="4" w:space="0"/>
              <w:left w:val="single" w:color="auto" w:sz="4" w:space="0"/>
              <w:bottom w:val="single" w:color="auto" w:sz="4" w:space="0"/>
              <w:right w:val="single" w:color="auto" w:sz="4" w:space="0"/>
            </w:tcBorders>
            <w:noWrap w:val="0"/>
            <w:vAlign w:val="center"/>
          </w:tcPr>
          <w:p w14:paraId="6EADEDB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一般</w:t>
            </w:r>
          </w:p>
        </w:tc>
        <w:tc>
          <w:tcPr>
            <w:tcW w:w="1076" w:type="dxa"/>
            <w:gridSpan w:val="7"/>
            <w:tcBorders>
              <w:top w:val="single" w:color="auto" w:sz="4" w:space="0"/>
              <w:left w:val="single" w:color="auto" w:sz="4" w:space="0"/>
              <w:bottom w:val="single" w:color="auto" w:sz="4" w:space="0"/>
              <w:right w:val="single" w:color="auto" w:sz="4" w:space="0"/>
            </w:tcBorders>
            <w:noWrap w:val="0"/>
            <w:vAlign w:val="center"/>
          </w:tcPr>
          <w:p w14:paraId="078F7771">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较劣</w:t>
            </w:r>
          </w:p>
        </w:tc>
        <w:tc>
          <w:tcPr>
            <w:tcW w:w="940" w:type="dxa"/>
            <w:gridSpan w:val="3"/>
            <w:tcBorders>
              <w:top w:val="single" w:color="auto" w:sz="4" w:space="0"/>
              <w:left w:val="single" w:color="auto" w:sz="4" w:space="0"/>
              <w:bottom w:val="single" w:color="auto" w:sz="4" w:space="0"/>
              <w:right w:val="single" w:color="auto" w:sz="4" w:space="0"/>
            </w:tcBorders>
            <w:noWrap w:val="0"/>
            <w:vAlign w:val="center"/>
          </w:tcPr>
          <w:p w14:paraId="0DD7556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劣</w:t>
            </w:r>
          </w:p>
        </w:tc>
      </w:tr>
      <w:tr w14:paraId="08A1CE4A">
        <w:tblPrEx>
          <w:tblCellMar>
            <w:top w:w="0" w:type="dxa"/>
            <w:left w:w="108" w:type="dxa"/>
            <w:bottom w:w="0" w:type="dxa"/>
            <w:right w:w="108" w:type="dxa"/>
          </w:tblCellMar>
        </w:tblPrEx>
        <w:trPr>
          <w:gridAfter w:val="4"/>
          <w:trHeight w:val="257" w:hRule="atLeast"/>
        </w:trPr>
        <w:tc>
          <w:tcPr>
            <w:tcW w:w="850" w:type="dxa"/>
            <w:vMerge w:val="restart"/>
            <w:tcBorders>
              <w:top w:val="single" w:color="auto" w:sz="4" w:space="0"/>
              <w:left w:val="single" w:color="auto" w:sz="4" w:space="0"/>
              <w:bottom w:val="single" w:color="auto" w:sz="4" w:space="0"/>
              <w:right w:val="single" w:color="auto" w:sz="4" w:space="0"/>
            </w:tcBorders>
            <w:noWrap w:val="0"/>
            <w:vAlign w:val="center"/>
          </w:tcPr>
          <w:p w14:paraId="4BEF1282">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交通条件</w:t>
            </w:r>
          </w:p>
        </w:tc>
        <w:tc>
          <w:tcPr>
            <w:tcW w:w="1303" w:type="dxa"/>
            <w:gridSpan w:val="6"/>
            <w:tcBorders>
              <w:top w:val="single" w:color="auto" w:sz="4" w:space="0"/>
              <w:left w:val="single" w:color="auto" w:sz="4" w:space="0"/>
              <w:bottom w:val="single" w:color="auto" w:sz="4" w:space="0"/>
              <w:right w:val="single" w:color="auto" w:sz="4" w:space="0"/>
            </w:tcBorders>
            <w:noWrap w:val="0"/>
            <w:vAlign w:val="center"/>
          </w:tcPr>
          <w:p w14:paraId="1AAD4CBA">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距汽车站距离（m）</w:t>
            </w:r>
          </w:p>
        </w:tc>
        <w:tc>
          <w:tcPr>
            <w:tcW w:w="1247" w:type="dxa"/>
            <w:gridSpan w:val="8"/>
            <w:tcBorders>
              <w:top w:val="single" w:color="auto" w:sz="4" w:space="0"/>
              <w:left w:val="single" w:color="auto" w:sz="4" w:space="0"/>
              <w:bottom w:val="single" w:color="auto" w:sz="4" w:space="0"/>
              <w:right w:val="single" w:color="auto" w:sz="4" w:space="0"/>
            </w:tcBorders>
            <w:noWrap w:val="0"/>
            <w:vAlign w:val="center"/>
          </w:tcPr>
          <w:p w14:paraId="64F43AA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≤300</w:t>
            </w:r>
          </w:p>
        </w:tc>
        <w:tc>
          <w:tcPr>
            <w:tcW w:w="1423" w:type="dxa"/>
            <w:gridSpan w:val="9"/>
            <w:tcBorders>
              <w:top w:val="single" w:color="auto" w:sz="4" w:space="0"/>
              <w:left w:val="single" w:color="auto" w:sz="4" w:space="0"/>
              <w:bottom w:val="single" w:color="auto" w:sz="4" w:space="0"/>
              <w:right w:val="single" w:color="auto" w:sz="4" w:space="0"/>
            </w:tcBorders>
            <w:noWrap w:val="0"/>
            <w:vAlign w:val="center"/>
          </w:tcPr>
          <w:p w14:paraId="020E729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300-400</w:t>
            </w:r>
          </w:p>
        </w:tc>
        <w:tc>
          <w:tcPr>
            <w:tcW w:w="1658" w:type="dxa"/>
            <w:gridSpan w:val="8"/>
            <w:tcBorders>
              <w:top w:val="single" w:color="auto" w:sz="4" w:space="0"/>
              <w:left w:val="single" w:color="auto" w:sz="4" w:space="0"/>
              <w:bottom w:val="single" w:color="auto" w:sz="4" w:space="0"/>
              <w:right w:val="single" w:color="auto" w:sz="4" w:space="0"/>
            </w:tcBorders>
            <w:noWrap w:val="0"/>
            <w:vAlign w:val="center"/>
          </w:tcPr>
          <w:p w14:paraId="2025A012">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400-500</w:t>
            </w:r>
          </w:p>
        </w:tc>
        <w:tc>
          <w:tcPr>
            <w:tcW w:w="1076" w:type="dxa"/>
            <w:gridSpan w:val="7"/>
            <w:tcBorders>
              <w:top w:val="single" w:color="auto" w:sz="4" w:space="0"/>
              <w:left w:val="single" w:color="auto" w:sz="4" w:space="0"/>
              <w:bottom w:val="single" w:color="auto" w:sz="4" w:space="0"/>
              <w:right w:val="single" w:color="auto" w:sz="4" w:space="0"/>
            </w:tcBorders>
            <w:noWrap w:val="0"/>
            <w:vAlign w:val="center"/>
          </w:tcPr>
          <w:p w14:paraId="6FCF11A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500-800</w:t>
            </w:r>
          </w:p>
        </w:tc>
        <w:tc>
          <w:tcPr>
            <w:tcW w:w="940" w:type="dxa"/>
            <w:gridSpan w:val="3"/>
            <w:tcBorders>
              <w:top w:val="single" w:color="auto" w:sz="4" w:space="0"/>
              <w:left w:val="single" w:color="auto" w:sz="4" w:space="0"/>
              <w:bottom w:val="single" w:color="auto" w:sz="4" w:space="0"/>
              <w:right w:val="single" w:color="auto" w:sz="4" w:space="0"/>
            </w:tcBorders>
            <w:noWrap w:val="0"/>
            <w:vAlign w:val="center"/>
          </w:tcPr>
          <w:p w14:paraId="7C00F12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&gt;800</w:t>
            </w:r>
          </w:p>
        </w:tc>
      </w:tr>
      <w:tr w14:paraId="09180B2D">
        <w:tblPrEx>
          <w:tblCellMar>
            <w:top w:w="0" w:type="dxa"/>
            <w:left w:w="108" w:type="dxa"/>
            <w:bottom w:w="0" w:type="dxa"/>
            <w:right w:w="108" w:type="dxa"/>
          </w:tblCellMar>
        </w:tblPrEx>
        <w:trPr>
          <w:gridAfter w:val="4"/>
          <w:trHeight w:val="257" w:hRule="atLeast"/>
        </w:trPr>
        <w:tc>
          <w:tcPr>
            <w:tcW w:w="850" w:type="dxa"/>
            <w:vMerge w:val="continue"/>
            <w:tcBorders>
              <w:top w:val="single" w:color="auto" w:sz="4" w:space="0"/>
              <w:left w:val="single" w:color="auto" w:sz="4" w:space="0"/>
              <w:bottom w:val="single" w:color="auto" w:sz="4" w:space="0"/>
              <w:right w:val="single" w:color="auto" w:sz="4" w:space="0"/>
            </w:tcBorders>
            <w:noWrap w:val="0"/>
            <w:vAlign w:val="center"/>
          </w:tcPr>
          <w:p w14:paraId="563C1A6F">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p>
        </w:tc>
        <w:tc>
          <w:tcPr>
            <w:tcW w:w="1303" w:type="dxa"/>
            <w:gridSpan w:val="6"/>
            <w:tcBorders>
              <w:top w:val="single" w:color="auto" w:sz="4" w:space="0"/>
              <w:left w:val="single" w:color="auto" w:sz="4" w:space="0"/>
              <w:bottom w:val="single" w:color="auto" w:sz="4" w:space="0"/>
              <w:right w:val="single" w:color="auto" w:sz="4" w:space="0"/>
            </w:tcBorders>
            <w:noWrap w:val="0"/>
            <w:vAlign w:val="center"/>
          </w:tcPr>
          <w:p w14:paraId="6F692BE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临近道路状况</w:t>
            </w:r>
          </w:p>
        </w:tc>
        <w:tc>
          <w:tcPr>
            <w:tcW w:w="1247" w:type="dxa"/>
            <w:gridSpan w:val="8"/>
            <w:tcBorders>
              <w:top w:val="single" w:color="auto" w:sz="4" w:space="0"/>
              <w:left w:val="single" w:color="auto" w:sz="4" w:space="0"/>
              <w:bottom w:val="single" w:color="auto" w:sz="4" w:space="0"/>
              <w:right w:val="single" w:color="auto" w:sz="4" w:space="0"/>
            </w:tcBorders>
            <w:noWrap w:val="0"/>
            <w:vAlign w:val="center"/>
          </w:tcPr>
          <w:p w14:paraId="2D05C1D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临繁华主干道</w:t>
            </w:r>
          </w:p>
        </w:tc>
        <w:tc>
          <w:tcPr>
            <w:tcW w:w="1423" w:type="dxa"/>
            <w:gridSpan w:val="9"/>
            <w:tcBorders>
              <w:top w:val="single" w:color="auto" w:sz="4" w:space="0"/>
              <w:left w:val="single" w:color="auto" w:sz="4" w:space="0"/>
              <w:bottom w:val="single" w:color="auto" w:sz="4" w:space="0"/>
              <w:right w:val="single" w:color="auto" w:sz="4" w:space="0"/>
            </w:tcBorders>
            <w:noWrap w:val="0"/>
            <w:vAlign w:val="center"/>
          </w:tcPr>
          <w:p w14:paraId="2940A575">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临主干道</w:t>
            </w:r>
          </w:p>
        </w:tc>
        <w:tc>
          <w:tcPr>
            <w:tcW w:w="1658" w:type="dxa"/>
            <w:gridSpan w:val="8"/>
            <w:tcBorders>
              <w:top w:val="single" w:color="auto" w:sz="4" w:space="0"/>
              <w:left w:val="single" w:color="auto" w:sz="4" w:space="0"/>
              <w:bottom w:val="single" w:color="auto" w:sz="4" w:space="0"/>
              <w:right w:val="single" w:color="auto" w:sz="4" w:space="0"/>
            </w:tcBorders>
            <w:noWrap w:val="0"/>
            <w:vAlign w:val="center"/>
          </w:tcPr>
          <w:p w14:paraId="6B9251F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临繁华次干道</w:t>
            </w:r>
          </w:p>
        </w:tc>
        <w:tc>
          <w:tcPr>
            <w:tcW w:w="1076" w:type="dxa"/>
            <w:gridSpan w:val="7"/>
            <w:tcBorders>
              <w:top w:val="single" w:color="auto" w:sz="4" w:space="0"/>
              <w:left w:val="single" w:color="auto" w:sz="4" w:space="0"/>
              <w:bottom w:val="single" w:color="auto" w:sz="4" w:space="0"/>
              <w:right w:val="single" w:color="auto" w:sz="4" w:space="0"/>
            </w:tcBorders>
            <w:noWrap w:val="0"/>
            <w:vAlign w:val="center"/>
          </w:tcPr>
          <w:p w14:paraId="5D426446">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临次干道</w:t>
            </w:r>
          </w:p>
        </w:tc>
        <w:tc>
          <w:tcPr>
            <w:tcW w:w="940" w:type="dxa"/>
            <w:gridSpan w:val="3"/>
            <w:tcBorders>
              <w:top w:val="single" w:color="auto" w:sz="4" w:space="0"/>
              <w:left w:val="single" w:color="auto" w:sz="4" w:space="0"/>
              <w:bottom w:val="single" w:color="auto" w:sz="4" w:space="0"/>
              <w:right w:val="single" w:color="auto" w:sz="4" w:space="0"/>
            </w:tcBorders>
            <w:noWrap w:val="0"/>
            <w:vAlign w:val="center"/>
          </w:tcPr>
          <w:p w14:paraId="67DB4F3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临支路</w:t>
            </w:r>
          </w:p>
        </w:tc>
      </w:tr>
      <w:tr w14:paraId="3A9A22E2">
        <w:tblPrEx>
          <w:tblCellMar>
            <w:top w:w="0" w:type="dxa"/>
            <w:left w:w="108" w:type="dxa"/>
            <w:bottom w:w="0" w:type="dxa"/>
            <w:right w:w="108" w:type="dxa"/>
          </w:tblCellMar>
        </w:tblPrEx>
        <w:trPr>
          <w:gridAfter w:val="4"/>
          <w:trHeight w:val="144" w:hRule="atLeast"/>
        </w:trPr>
        <w:tc>
          <w:tcPr>
            <w:tcW w:w="850" w:type="dxa"/>
            <w:vMerge w:val="restart"/>
            <w:tcBorders>
              <w:top w:val="single" w:color="auto" w:sz="4" w:space="0"/>
              <w:left w:val="single" w:color="auto" w:sz="4" w:space="0"/>
              <w:bottom w:val="single" w:color="auto" w:sz="4" w:space="0"/>
              <w:right w:val="single" w:color="auto" w:sz="4" w:space="0"/>
            </w:tcBorders>
            <w:noWrap w:val="0"/>
            <w:vAlign w:val="center"/>
          </w:tcPr>
          <w:p w14:paraId="59A34E2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基本设施状况</w:t>
            </w:r>
          </w:p>
        </w:tc>
        <w:tc>
          <w:tcPr>
            <w:tcW w:w="1303" w:type="dxa"/>
            <w:gridSpan w:val="6"/>
            <w:tcBorders>
              <w:top w:val="single" w:color="auto" w:sz="4" w:space="0"/>
              <w:left w:val="single" w:color="auto" w:sz="4" w:space="0"/>
              <w:bottom w:val="single" w:color="auto" w:sz="4" w:space="0"/>
              <w:right w:val="single" w:color="auto" w:sz="4" w:space="0"/>
            </w:tcBorders>
            <w:noWrap w:val="0"/>
            <w:vAlign w:val="center"/>
          </w:tcPr>
          <w:p w14:paraId="04BE3BA0">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排给水状况</w:t>
            </w:r>
          </w:p>
        </w:tc>
        <w:tc>
          <w:tcPr>
            <w:tcW w:w="1247" w:type="dxa"/>
            <w:gridSpan w:val="8"/>
            <w:tcBorders>
              <w:top w:val="single" w:color="auto" w:sz="4" w:space="0"/>
              <w:left w:val="single" w:color="auto" w:sz="4" w:space="0"/>
              <w:bottom w:val="single" w:color="auto" w:sz="4" w:space="0"/>
              <w:right w:val="single" w:color="auto" w:sz="4" w:space="0"/>
            </w:tcBorders>
            <w:noWrap w:val="0"/>
            <w:vAlign w:val="center"/>
          </w:tcPr>
          <w:p w14:paraId="5849B04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完善</w:t>
            </w:r>
          </w:p>
        </w:tc>
        <w:tc>
          <w:tcPr>
            <w:tcW w:w="1423" w:type="dxa"/>
            <w:gridSpan w:val="9"/>
            <w:tcBorders>
              <w:top w:val="single" w:color="auto" w:sz="4" w:space="0"/>
              <w:left w:val="single" w:color="auto" w:sz="4" w:space="0"/>
              <w:bottom w:val="single" w:color="auto" w:sz="4" w:space="0"/>
              <w:right w:val="single" w:color="auto" w:sz="4" w:space="0"/>
            </w:tcBorders>
            <w:noWrap w:val="0"/>
            <w:vAlign w:val="center"/>
          </w:tcPr>
          <w:p w14:paraId="2EA7B51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较完善</w:t>
            </w:r>
          </w:p>
        </w:tc>
        <w:tc>
          <w:tcPr>
            <w:tcW w:w="1658" w:type="dxa"/>
            <w:gridSpan w:val="8"/>
            <w:tcBorders>
              <w:top w:val="single" w:color="auto" w:sz="4" w:space="0"/>
              <w:left w:val="single" w:color="auto" w:sz="4" w:space="0"/>
              <w:bottom w:val="single" w:color="auto" w:sz="4" w:space="0"/>
              <w:right w:val="single" w:color="auto" w:sz="4" w:space="0"/>
            </w:tcBorders>
            <w:noWrap w:val="0"/>
            <w:vAlign w:val="center"/>
          </w:tcPr>
          <w:p w14:paraId="7AAEB285">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一般</w:t>
            </w:r>
          </w:p>
        </w:tc>
        <w:tc>
          <w:tcPr>
            <w:tcW w:w="1076" w:type="dxa"/>
            <w:gridSpan w:val="7"/>
            <w:tcBorders>
              <w:top w:val="single" w:color="auto" w:sz="4" w:space="0"/>
              <w:left w:val="single" w:color="auto" w:sz="4" w:space="0"/>
              <w:bottom w:val="single" w:color="auto" w:sz="4" w:space="0"/>
              <w:right w:val="single" w:color="auto" w:sz="4" w:space="0"/>
            </w:tcBorders>
            <w:noWrap w:val="0"/>
            <w:vAlign w:val="center"/>
          </w:tcPr>
          <w:p w14:paraId="5723A8F0">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较差</w:t>
            </w:r>
          </w:p>
        </w:tc>
        <w:tc>
          <w:tcPr>
            <w:tcW w:w="940" w:type="dxa"/>
            <w:gridSpan w:val="3"/>
            <w:tcBorders>
              <w:top w:val="single" w:color="auto" w:sz="4" w:space="0"/>
              <w:left w:val="single" w:color="auto" w:sz="4" w:space="0"/>
              <w:bottom w:val="single" w:color="auto" w:sz="4" w:space="0"/>
              <w:right w:val="single" w:color="auto" w:sz="4" w:space="0"/>
            </w:tcBorders>
            <w:noWrap w:val="0"/>
            <w:vAlign w:val="center"/>
          </w:tcPr>
          <w:p w14:paraId="22515E9A">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差</w:t>
            </w:r>
          </w:p>
        </w:tc>
      </w:tr>
      <w:tr w14:paraId="04B9AF7C">
        <w:tblPrEx>
          <w:tblCellMar>
            <w:top w:w="0" w:type="dxa"/>
            <w:left w:w="108" w:type="dxa"/>
            <w:bottom w:w="0" w:type="dxa"/>
            <w:right w:w="108" w:type="dxa"/>
          </w:tblCellMar>
        </w:tblPrEx>
        <w:trPr>
          <w:gridAfter w:val="4"/>
          <w:trHeight w:val="131" w:hRule="atLeast"/>
        </w:trPr>
        <w:tc>
          <w:tcPr>
            <w:tcW w:w="850" w:type="dxa"/>
            <w:vMerge w:val="continue"/>
            <w:tcBorders>
              <w:top w:val="single" w:color="auto" w:sz="4" w:space="0"/>
              <w:left w:val="single" w:color="auto" w:sz="4" w:space="0"/>
              <w:bottom w:val="single" w:color="auto" w:sz="4" w:space="0"/>
              <w:right w:val="single" w:color="auto" w:sz="4" w:space="0"/>
            </w:tcBorders>
            <w:noWrap w:val="0"/>
            <w:vAlign w:val="center"/>
          </w:tcPr>
          <w:p w14:paraId="6EFC274E">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p>
        </w:tc>
        <w:tc>
          <w:tcPr>
            <w:tcW w:w="1303" w:type="dxa"/>
            <w:gridSpan w:val="6"/>
            <w:tcBorders>
              <w:top w:val="single" w:color="auto" w:sz="4" w:space="0"/>
              <w:left w:val="single" w:color="auto" w:sz="4" w:space="0"/>
              <w:bottom w:val="single" w:color="auto" w:sz="4" w:space="0"/>
              <w:right w:val="single" w:color="auto" w:sz="4" w:space="0"/>
            </w:tcBorders>
            <w:noWrap w:val="0"/>
            <w:vAlign w:val="center"/>
          </w:tcPr>
          <w:p w14:paraId="31DEF80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供电状况</w:t>
            </w:r>
          </w:p>
        </w:tc>
        <w:tc>
          <w:tcPr>
            <w:tcW w:w="1247" w:type="dxa"/>
            <w:gridSpan w:val="8"/>
            <w:tcBorders>
              <w:top w:val="single" w:color="auto" w:sz="4" w:space="0"/>
              <w:left w:val="single" w:color="auto" w:sz="4" w:space="0"/>
              <w:bottom w:val="single" w:color="auto" w:sz="4" w:space="0"/>
              <w:right w:val="single" w:color="auto" w:sz="4" w:space="0"/>
            </w:tcBorders>
            <w:noWrap w:val="0"/>
            <w:vAlign w:val="center"/>
          </w:tcPr>
          <w:p w14:paraId="40F8955F">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完善</w:t>
            </w:r>
          </w:p>
        </w:tc>
        <w:tc>
          <w:tcPr>
            <w:tcW w:w="1423" w:type="dxa"/>
            <w:gridSpan w:val="9"/>
            <w:tcBorders>
              <w:top w:val="single" w:color="auto" w:sz="4" w:space="0"/>
              <w:left w:val="single" w:color="auto" w:sz="4" w:space="0"/>
              <w:bottom w:val="single" w:color="auto" w:sz="4" w:space="0"/>
              <w:right w:val="single" w:color="auto" w:sz="4" w:space="0"/>
            </w:tcBorders>
            <w:noWrap w:val="0"/>
            <w:vAlign w:val="center"/>
          </w:tcPr>
          <w:p w14:paraId="02BE4BA5">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较完善</w:t>
            </w:r>
          </w:p>
        </w:tc>
        <w:tc>
          <w:tcPr>
            <w:tcW w:w="1658" w:type="dxa"/>
            <w:gridSpan w:val="8"/>
            <w:tcBorders>
              <w:top w:val="single" w:color="auto" w:sz="4" w:space="0"/>
              <w:left w:val="single" w:color="auto" w:sz="4" w:space="0"/>
              <w:bottom w:val="single" w:color="auto" w:sz="4" w:space="0"/>
              <w:right w:val="single" w:color="auto" w:sz="4" w:space="0"/>
            </w:tcBorders>
            <w:noWrap w:val="0"/>
            <w:vAlign w:val="center"/>
          </w:tcPr>
          <w:p w14:paraId="75A482B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一般</w:t>
            </w:r>
          </w:p>
        </w:tc>
        <w:tc>
          <w:tcPr>
            <w:tcW w:w="1076" w:type="dxa"/>
            <w:gridSpan w:val="7"/>
            <w:tcBorders>
              <w:top w:val="single" w:color="auto" w:sz="4" w:space="0"/>
              <w:left w:val="single" w:color="auto" w:sz="4" w:space="0"/>
              <w:bottom w:val="single" w:color="auto" w:sz="4" w:space="0"/>
              <w:right w:val="single" w:color="auto" w:sz="4" w:space="0"/>
            </w:tcBorders>
            <w:noWrap w:val="0"/>
            <w:vAlign w:val="center"/>
          </w:tcPr>
          <w:p w14:paraId="7F7E8047">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较差</w:t>
            </w:r>
          </w:p>
        </w:tc>
        <w:tc>
          <w:tcPr>
            <w:tcW w:w="940" w:type="dxa"/>
            <w:gridSpan w:val="3"/>
            <w:tcBorders>
              <w:top w:val="single" w:color="auto" w:sz="4" w:space="0"/>
              <w:left w:val="single" w:color="auto" w:sz="4" w:space="0"/>
              <w:bottom w:val="single" w:color="auto" w:sz="4" w:space="0"/>
              <w:right w:val="single" w:color="auto" w:sz="4" w:space="0"/>
            </w:tcBorders>
            <w:noWrap w:val="0"/>
            <w:vAlign w:val="center"/>
          </w:tcPr>
          <w:p w14:paraId="5673791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差</w:t>
            </w:r>
          </w:p>
        </w:tc>
      </w:tr>
      <w:tr w14:paraId="11473675">
        <w:tblPrEx>
          <w:tblCellMar>
            <w:top w:w="0" w:type="dxa"/>
            <w:left w:w="108" w:type="dxa"/>
            <w:bottom w:w="0" w:type="dxa"/>
            <w:right w:w="108" w:type="dxa"/>
          </w:tblCellMar>
        </w:tblPrEx>
        <w:trPr>
          <w:gridAfter w:val="4"/>
          <w:trHeight w:val="509" w:hRule="atLeast"/>
        </w:trPr>
        <w:tc>
          <w:tcPr>
            <w:tcW w:w="850" w:type="dxa"/>
            <w:vMerge w:val="restart"/>
            <w:tcBorders>
              <w:top w:val="single" w:color="auto" w:sz="4" w:space="0"/>
              <w:left w:val="single" w:color="auto" w:sz="4" w:space="0"/>
              <w:bottom w:val="single" w:color="auto" w:sz="4" w:space="0"/>
              <w:right w:val="single" w:color="auto" w:sz="4" w:space="0"/>
            </w:tcBorders>
            <w:noWrap w:val="0"/>
            <w:vAlign w:val="center"/>
          </w:tcPr>
          <w:p w14:paraId="66AFB925">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环境状况</w:t>
            </w:r>
          </w:p>
        </w:tc>
        <w:tc>
          <w:tcPr>
            <w:tcW w:w="1303" w:type="dxa"/>
            <w:gridSpan w:val="6"/>
            <w:tcBorders>
              <w:top w:val="single" w:color="auto" w:sz="4" w:space="0"/>
              <w:left w:val="single" w:color="auto" w:sz="4" w:space="0"/>
              <w:bottom w:val="single" w:color="auto" w:sz="4" w:space="0"/>
              <w:right w:val="single" w:color="auto" w:sz="4" w:space="0"/>
            </w:tcBorders>
            <w:noWrap w:val="0"/>
            <w:vAlign w:val="center"/>
          </w:tcPr>
          <w:p w14:paraId="356E886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地形状况</w:t>
            </w:r>
          </w:p>
        </w:tc>
        <w:tc>
          <w:tcPr>
            <w:tcW w:w="1247" w:type="dxa"/>
            <w:gridSpan w:val="8"/>
            <w:tcBorders>
              <w:top w:val="single" w:color="auto" w:sz="4" w:space="0"/>
              <w:left w:val="single" w:color="auto" w:sz="4" w:space="0"/>
              <w:bottom w:val="single" w:color="auto" w:sz="4" w:space="0"/>
              <w:right w:val="single" w:color="auto" w:sz="4" w:space="0"/>
            </w:tcBorders>
            <w:noWrap w:val="0"/>
            <w:vAlign w:val="center"/>
          </w:tcPr>
          <w:p w14:paraId="0AC4FF2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地势平坦适合建筑</w:t>
            </w:r>
          </w:p>
        </w:tc>
        <w:tc>
          <w:tcPr>
            <w:tcW w:w="1423" w:type="dxa"/>
            <w:gridSpan w:val="9"/>
            <w:tcBorders>
              <w:top w:val="single" w:color="auto" w:sz="4" w:space="0"/>
              <w:left w:val="single" w:color="auto" w:sz="4" w:space="0"/>
              <w:bottom w:val="single" w:color="auto" w:sz="4" w:space="0"/>
              <w:right w:val="single" w:color="auto" w:sz="4" w:space="0"/>
            </w:tcBorders>
            <w:noWrap w:val="0"/>
            <w:vAlign w:val="center"/>
          </w:tcPr>
          <w:p w14:paraId="0D0523E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地势较平坦适合建筑</w:t>
            </w:r>
          </w:p>
        </w:tc>
        <w:tc>
          <w:tcPr>
            <w:tcW w:w="1658" w:type="dxa"/>
            <w:gridSpan w:val="8"/>
            <w:tcBorders>
              <w:top w:val="single" w:color="auto" w:sz="4" w:space="0"/>
              <w:left w:val="single" w:color="auto" w:sz="4" w:space="0"/>
              <w:bottom w:val="single" w:color="auto" w:sz="4" w:space="0"/>
              <w:right w:val="single" w:color="auto" w:sz="4" w:space="0"/>
            </w:tcBorders>
            <w:noWrap w:val="0"/>
            <w:vAlign w:val="center"/>
          </w:tcPr>
          <w:p w14:paraId="286D575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地势较平坦影响建筑</w:t>
            </w:r>
          </w:p>
        </w:tc>
        <w:tc>
          <w:tcPr>
            <w:tcW w:w="1076" w:type="dxa"/>
            <w:gridSpan w:val="7"/>
            <w:tcBorders>
              <w:top w:val="single" w:color="auto" w:sz="4" w:space="0"/>
              <w:left w:val="single" w:color="auto" w:sz="4" w:space="0"/>
              <w:bottom w:val="single" w:color="auto" w:sz="4" w:space="0"/>
              <w:right w:val="single" w:color="auto" w:sz="4" w:space="0"/>
            </w:tcBorders>
            <w:noWrap w:val="0"/>
            <w:vAlign w:val="center"/>
          </w:tcPr>
          <w:p w14:paraId="2640603F">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地势有坡度影响建筑</w:t>
            </w:r>
          </w:p>
        </w:tc>
        <w:tc>
          <w:tcPr>
            <w:tcW w:w="940" w:type="dxa"/>
            <w:gridSpan w:val="3"/>
            <w:tcBorders>
              <w:top w:val="single" w:color="auto" w:sz="4" w:space="0"/>
              <w:left w:val="single" w:color="auto" w:sz="4" w:space="0"/>
              <w:bottom w:val="single" w:color="auto" w:sz="4" w:space="0"/>
              <w:right w:val="single" w:color="auto" w:sz="4" w:space="0"/>
            </w:tcBorders>
            <w:noWrap w:val="0"/>
            <w:vAlign w:val="center"/>
          </w:tcPr>
          <w:p w14:paraId="1F24F88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地势有坡度影响建筑大</w:t>
            </w:r>
          </w:p>
        </w:tc>
      </w:tr>
      <w:tr w14:paraId="1346067A">
        <w:tblPrEx>
          <w:tblCellMar>
            <w:top w:w="0" w:type="dxa"/>
            <w:left w:w="108" w:type="dxa"/>
            <w:bottom w:w="0" w:type="dxa"/>
            <w:right w:w="108" w:type="dxa"/>
          </w:tblCellMar>
        </w:tblPrEx>
        <w:trPr>
          <w:gridAfter w:val="4"/>
          <w:trHeight w:val="257" w:hRule="atLeast"/>
        </w:trPr>
        <w:tc>
          <w:tcPr>
            <w:tcW w:w="850" w:type="dxa"/>
            <w:vMerge w:val="continue"/>
            <w:tcBorders>
              <w:top w:val="single" w:color="auto" w:sz="4" w:space="0"/>
              <w:left w:val="single" w:color="auto" w:sz="4" w:space="0"/>
              <w:bottom w:val="single" w:color="auto" w:sz="4" w:space="0"/>
              <w:right w:val="single" w:color="auto" w:sz="4" w:space="0"/>
            </w:tcBorders>
            <w:noWrap w:val="0"/>
            <w:vAlign w:val="center"/>
          </w:tcPr>
          <w:p w14:paraId="2F6C919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p>
        </w:tc>
        <w:tc>
          <w:tcPr>
            <w:tcW w:w="1303" w:type="dxa"/>
            <w:gridSpan w:val="6"/>
            <w:tcBorders>
              <w:top w:val="single" w:color="auto" w:sz="4" w:space="0"/>
              <w:left w:val="single" w:color="auto" w:sz="4" w:space="0"/>
              <w:bottom w:val="single" w:color="auto" w:sz="4" w:space="0"/>
              <w:right w:val="single" w:color="auto" w:sz="4" w:space="0"/>
            </w:tcBorders>
            <w:noWrap w:val="0"/>
            <w:vAlign w:val="center"/>
          </w:tcPr>
          <w:p w14:paraId="7AAABED2">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地质状况（T/m2）</w:t>
            </w:r>
          </w:p>
        </w:tc>
        <w:tc>
          <w:tcPr>
            <w:tcW w:w="1247" w:type="dxa"/>
            <w:gridSpan w:val="8"/>
            <w:tcBorders>
              <w:top w:val="single" w:color="auto" w:sz="4" w:space="0"/>
              <w:left w:val="single" w:color="auto" w:sz="4" w:space="0"/>
              <w:bottom w:val="single" w:color="auto" w:sz="4" w:space="0"/>
              <w:right w:val="single" w:color="auto" w:sz="4" w:space="0"/>
            </w:tcBorders>
            <w:noWrap w:val="0"/>
            <w:vAlign w:val="center"/>
          </w:tcPr>
          <w:p w14:paraId="44BABD9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&gt;25</w:t>
            </w:r>
          </w:p>
        </w:tc>
        <w:tc>
          <w:tcPr>
            <w:tcW w:w="1423" w:type="dxa"/>
            <w:gridSpan w:val="9"/>
            <w:tcBorders>
              <w:top w:val="single" w:color="auto" w:sz="4" w:space="0"/>
              <w:left w:val="single" w:color="auto" w:sz="4" w:space="0"/>
              <w:bottom w:val="single" w:color="auto" w:sz="4" w:space="0"/>
              <w:right w:val="single" w:color="auto" w:sz="4" w:space="0"/>
            </w:tcBorders>
            <w:noWrap w:val="0"/>
            <w:vAlign w:val="center"/>
          </w:tcPr>
          <w:p w14:paraId="31B25C0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25-22</w:t>
            </w:r>
          </w:p>
        </w:tc>
        <w:tc>
          <w:tcPr>
            <w:tcW w:w="1658" w:type="dxa"/>
            <w:gridSpan w:val="8"/>
            <w:tcBorders>
              <w:top w:val="single" w:color="auto" w:sz="4" w:space="0"/>
              <w:left w:val="single" w:color="auto" w:sz="4" w:space="0"/>
              <w:bottom w:val="single" w:color="auto" w:sz="4" w:space="0"/>
              <w:right w:val="single" w:color="auto" w:sz="4" w:space="0"/>
            </w:tcBorders>
            <w:noWrap w:val="0"/>
            <w:vAlign w:val="center"/>
          </w:tcPr>
          <w:p w14:paraId="5269EA46">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22-18</w:t>
            </w:r>
          </w:p>
        </w:tc>
        <w:tc>
          <w:tcPr>
            <w:tcW w:w="1076" w:type="dxa"/>
            <w:gridSpan w:val="7"/>
            <w:tcBorders>
              <w:top w:val="single" w:color="auto" w:sz="4" w:space="0"/>
              <w:left w:val="single" w:color="auto" w:sz="4" w:space="0"/>
              <w:bottom w:val="single" w:color="auto" w:sz="4" w:space="0"/>
              <w:right w:val="single" w:color="auto" w:sz="4" w:space="0"/>
            </w:tcBorders>
            <w:noWrap w:val="0"/>
            <w:vAlign w:val="center"/>
          </w:tcPr>
          <w:p w14:paraId="7EBC4F7F">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18-15</w:t>
            </w:r>
          </w:p>
        </w:tc>
        <w:tc>
          <w:tcPr>
            <w:tcW w:w="940" w:type="dxa"/>
            <w:gridSpan w:val="3"/>
            <w:tcBorders>
              <w:top w:val="single" w:color="auto" w:sz="4" w:space="0"/>
              <w:left w:val="single" w:color="auto" w:sz="4" w:space="0"/>
              <w:bottom w:val="single" w:color="auto" w:sz="4" w:space="0"/>
              <w:right w:val="single" w:color="auto" w:sz="4" w:space="0"/>
            </w:tcBorders>
            <w:noWrap w:val="0"/>
            <w:vAlign w:val="center"/>
          </w:tcPr>
          <w:p w14:paraId="28E614F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&lt;15</w:t>
            </w:r>
          </w:p>
        </w:tc>
      </w:tr>
      <w:tr w14:paraId="66CDC16F">
        <w:tblPrEx>
          <w:tblCellMar>
            <w:top w:w="0" w:type="dxa"/>
            <w:left w:w="108" w:type="dxa"/>
            <w:bottom w:w="0" w:type="dxa"/>
            <w:right w:w="108" w:type="dxa"/>
          </w:tblCellMar>
        </w:tblPrEx>
        <w:trPr>
          <w:gridAfter w:val="4"/>
          <w:trHeight w:val="513" w:hRule="atLeast"/>
        </w:trPr>
        <w:tc>
          <w:tcPr>
            <w:tcW w:w="850" w:type="dxa"/>
            <w:tcBorders>
              <w:top w:val="single" w:color="auto" w:sz="4" w:space="0"/>
              <w:left w:val="single" w:color="auto" w:sz="4" w:space="0"/>
              <w:bottom w:val="single" w:color="auto" w:sz="4" w:space="0"/>
              <w:right w:val="single" w:color="auto" w:sz="4" w:space="0"/>
            </w:tcBorders>
            <w:noWrap w:val="0"/>
            <w:vAlign w:val="center"/>
          </w:tcPr>
          <w:p w14:paraId="7C5C8397">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产业集聚效益</w:t>
            </w:r>
          </w:p>
        </w:tc>
        <w:tc>
          <w:tcPr>
            <w:tcW w:w="1303" w:type="dxa"/>
            <w:gridSpan w:val="6"/>
            <w:tcBorders>
              <w:top w:val="single" w:color="auto" w:sz="4" w:space="0"/>
              <w:left w:val="single" w:color="auto" w:sz="4" w:space="0"/>
              <w:bottom w:val="single" w:color="auto" w:sz="4" w:space="0"/>
              <w:right w:val="single" w:color="auto" w:sz="4" w:space="0"/>
            </w:tcBorders>
            <w:noWrap w:val="0"/>
            <w:vAlign w:val="center"/>
          </w:tcPr>
          <w:p w14:paraId="0ADABAEE">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产业集聚影响度</w:t>
            </w:r>
          </w:p>
        </w:tc>
        <w:tc>
          <w:tcPr>
            <w:tcW w:w="1247" w:type="dxa"/>
            <w:gridSpan w:val="8"/>
            <w:tcBorders>
              <w:top w:val="single" w:color="auto" w:sz="4" w:space="0"/>
              <w:left w:val="single" w:color="auto" w:sz="4" w:space="0"/>
              <w:bottom w:val="single" w:color="auto" w:sz="4" w:space="0"/>
              <w:right w:val="single" w:color="auto" w:sz="4" w:space="0"/>
            </w:tcBorders>
            <w:noWrap w:val="0"/>
            <w:vAlign w:val="center"/>
          </w:tcPr>
          <w:p w14:paraId="3C82412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高新技术产业联系紧密区</w:t>
            </w:r>
          </w:p>
        </w:tc>
        <w:tc>
          <w:tcPr>
            <w:tcW w:w="1423" w:type="dxa"/>
            <w:gridSpan w:val="9"/>
            <w:tcBorders>
              <w:top w:val="single" w:color="auto" w:sz="4" w:space="0"/>
              <w:left w:val="single" w:color="auto" w:sz="4" w:space="0"/>
              <w:bottom w:val="single" w:color="auto" w:sz="4" w:space="0"/>
              <w:right w:val="single" w:color="auto" w:sz="4" w:space="0"/>
            </w:tcBorders>
            <w:noWrap w:val="0"/>
            <w:vAlign w:val="center"/>
          </w:tcPr>
          <w:p w14:paraId="12609FC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高新技术产业联系一般区，一般产业联系紧密区</w:t>
            </w:r>
          </w:p>
        </w:tc>
        <w:tc>
          <w:tcPr>
            <w:tcW w:w="1658" w:type="dxa"/>
            <w:gridSpan w:val="8"/>
            <w:tcBorders>
              <w:top w:val="single" w:color="auto" w:sz="4" w:space="0"/>
              <w:left w:val="single" w:color="auto" w:sz="4" w:space="0"/>
              <w:bottom w:val="single" w:color="auto" w:sz="4" w:space="0"/>
              <w:right w:val="single" w:color="auto" w:sz="4" w:space="0"/>
            </w:tcBorders>
            <w:noWrap w:val="0"/>
            <w:vAlign w:val="center"/>
          </w:tcPr>
          <w:p w14:paraId="6C86466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高新技术产业联系松散区，一般产业联系一般区</w:t>
            </w:r>
          </w:p>
        </w:tc>
        <w:tc>
          <w:tcPr>
            <w:tcW w:w="1076" w:type="dxa"/>
            <w:gridSpan w:val="7"/>
            <w:tcBorders>
              <w:top w:val="single" w:color="auto" w:sz="4" w:space="0"/>
              <w:left w:val="single" w:color="auto" w:sz="4" w:space="0"/>
              <w:bottom w:val="single" w:color="auto" w:sz="4" w:space="0"/>
              <w:right w:val="single" w:color="auto" w:sz="4" w:space="0"/>
            </w:tcBorders>
            <w:noWrap w:val="0"/>
            <w:vAlign w:val="center"/>
          </w:tcPr>
          <w:p w14:paraId="20D81570">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一般产业联系松散区</w:t>
            </w:r>
          </w:p>
        </w:tc>
        <w:tc>
          <w:tcPr>
            <w:tcW w:w="940" w:type="dxa"/>
            <w:gridSpan w:val="3"/>
            <w:tcBorders>
              <w:top w:val="single" w:color="auto" w:sz="4" w:space="0"/>
              <w:left w:val="single" w:color="auto" w:sz="4" w:space="0"/>
              <w:bottom w:val="single" w:color="auto" w:sz="4" w:space="0"/>
              <w:right w:val="single" w:color="auto" w:sz="4" w:space="0"/>
            </w:tcBorders>
            <w:noWrap w:val="0"/>
            <w:vAlign w:val="center"/>
          </w:tcPr>
          <w:p w14:paraId="5ABAF0D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独立分布区</w:t>
            </w:r>
          </w:p>
        </w:tc>
      </w:tr>
      <w:tr w14:paraId="108BEF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2"/>
          <w:trHeight w:val="90" w:hRule="atLeast"/>
        </w:trPr>
        <w:tc>
          <w:tcPr>
            <w:tcW w:w="82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A3BD60">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因素</w:t>
            </w:r>
          </w:p>
        </w:tc>
        <w:tc>
          <w:tcPr>
            <w:tcW w:w="1240" w:type="pct"/>
            <w:gridSpan w:val="14"/>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50638E">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因子</w:t>
            </w:r>
          </w:p>
        </w:tc>
        <w:tc>
          <w:tcPr>
            <w:tcW w:w="1776" w:type="pct"/>
            <w:gridSpan w:val="17"/>
            <w:tcBorders>
              <w:top w:val="single" w:color="000000" w:sz="4" w:space="0"/>
              <w:left w:val="single" w:color="000000" w:sz="4" w:space="0"/>
              <w:bottom w:val="single" w:color="000000" w:sz="4" w:space="0"/>
              <w:right w:val="single" w:color="000000" w:sz="4" w:space="0"/>
            </w:tcBorders>
            <w:shd w:val="clear" w:color="auto" w:fill="auto"/>
            <w:vAlign w:val="center"/>
          </w:tcPr>
          <w:p w14:paraId="0BD5A0C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指标描述</w:t>
            </w:r>
          </w:p>
        </w:tc>
        <w:tc>
          <w:tcPr>
            <w:tcW w:w="590" w:type="pct"/>
            <w:gridSpan w:val="6"/>
            <w:tcBorders>
              <w:top w:val="single" w:color="000000" w:sz="4" w:space="0"/>
              <w:left w:val="single" w:color="000000" w:sz="4" w:space="0"/>
              <w:bottom w:val="single" w:color="000000" w:sz="4" w:space="0"/>
              <w:right w:val="single" w:color="000000" w:sz="4" w:space="0"/>
            </w:tcBorders>
            <w:shd w:val="clear" w:color="auto" w:fill="auto"/>
            <w:vAlign w:val="center"/>
          </w:tcPr>
          <w:p w14:paraId="5E6A34F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优劣度</w:t>
            </w:r>
          </w:p>
        </w:tc>
        <w:tc>
          <w:tcPr>
            <w:tcW w:w="563" w:type="pct"/>
            <w:gridSpan w:val="4"/>
            <w:tcBorders>
              <w:top w:val="single" w:color="000000" w:sz="4" w:space="0"/>
              <w:left w:val="single" w:color="000000" w:sz="4" w:space="0"/>
              <w:bottom w:val="single" w:color="000000" w:sz="4" w:space="0"/>
              <w:right w:val="single" w:color="000000" w:sz="4" w:space="0"/>
            </w:tcBorders>
            <w:shd w:val="clear" w:color="auto" w:fill="auto"/>
            <w:vAlign w:val="center"/>
          </w:tcPr>
          <w:p w14:paraId="16FDB50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修正系数</w:t>
            </w:r>
          </w:p>
        </w:tc>
      </w:tr>
      <w:tr w14:paraId="325B28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2"/>
          <w:trHeight w:val="90" w:hRule="atLeast"/>
        </w:trPr>
        <w:tc>
          <w:tcPr>
            <w:tcW w:w="827" w:type="pct"/>
            <w:gridSpan w:val="3"/>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EB080A">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交通条件</w:t>
            </w:r>
          </w:p>
        </w:tc>
        <w:tc>
          <w:tcPr>
            <w:tcW w:w="1240" w:type="pct"/>
            <w:gridSpan w:val="14"/>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89A3CF">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距汽车站距离（m）</w:t>
            </w:r>
          </w:p>
        </w:tc>
        <w:tc>
          <w:tcPr>
            <w:tcW w:w="1776" w:type="pct"/>
            <w:gridSpan w:val="17"/>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F5AADE">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距汽车站12KM</w:t>
            </w:r>
          </w:p>
        </w:tc>
        <w:tc>
          <w:tcPr>
            <w:tcW w:w="590" w:type="pct"/>
            <w:gridSpan w:val="6"/>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53A246">
            <w:pPr>
              <w:keepNext w:val="0"/>
              <w:keepLines w:val="0"/>
              <w:widowControl/>
              <w:suppressLineNumbers w:val="0"/>
              <w:spacing w:before="0" w:beforeAutospacing="0" w:after="0" w:afterAutospacing="0"/>
              <w:ind w:left="0" w:leftChars="0" w:right="0" w:rightChars="0"/>
              <w:jc w:val="center"/>
              <w:outlineLvl w:val="9"/>
              <w:rPr>
                <w:rFonts w:hint="default"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劣</w:t>
            </w:r>
          </w:p>
        </w:tc>
        <w:tc>
          <w:tcPr>
            <w:tcW w:w="563" w:type="pct"/>
            <w:gridSpan w:val="4"/>
            <w:tcBorders>
              <w:top w:val="single" w:color="000000" w:sz="4" w:space="0"/>
              <w:left w:val="single" w:color="000000" w:sz="4" w:space="0"/>
              <w:bottom w:val="single" w:color="000000" w:sz="4" w:space="0"/>
              <w:right w:val="single" w:color="000000" w:sz="4" w:space="0"/>
              <w:tl2br w:val="nil"/>
            </w:tcBorders>
            <w:shd w:val="clear" w:color="auto" w:fill="FFFFFF"/>
            <w:noWrap/>
            <w:vAlign w:val="center"/>
          </w:tcPr>
          <w:p w14:paraId="55A0FBAA">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t>-1.9276</w:t>
            </w:r>
          </w:p>
        </w:tc>
      </w:tr>
      <w:tr w14:paraId="286453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2"/>
          <w:trHeight w:val="90" w:hRule="atLeast"/>
        </w:trPr>
        <w:tc>
          <w:tcPr>
            <w:tcW w:w="827" w:type="pct"/>
            <w:gridSpan w:val="3"/>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5AF75F">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1240" w:type="pct"/>
            <w:gridSpan w:val="14"/>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C7875B">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临近道路状况</w:t>
            </w:r>
          </w:p>
        </w:tc>
        <w:tc>
          <w:tcPr>
            <w:tcW w:w="1776" w:type="pct"/>
            <w:gridSpan w:val="17"/>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1ACB7E">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临支路</w:t>
            </w:r>
          </w:p>
        </w:tc>
        <w:tc>
          <w:tcPr>
            <w:tcW w:w="590" w:type="pct"/>
            <w:gridSpan w:val="6"/>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A51038">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劣</w:t>
            </w:r>
          </w:p>
        </w:tc>
        <w:tc>
          <w:tcPr>
            <w:tcW w:w="563" w:type="pct"/>
            <w:gridSpan w:val="4"/>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9607AC2">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t>-3.555</w:t>
            </w:r>
          </w:p>
        </w:tc>
      </w:tr>
      <w:tr w14:paraId="742DC7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2"/>
          <w:trHeight w:val="90" w:hRule="atLeast"/>
        </w:trPr>
        <w:tc>
          <w:tcPr>
            <w:tcW w:w="827" w:type="pct"/>
            <w:gridSpan w:val="3"/>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3DAAF4">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基本设施状况</w:t>
            </w:r>
          </w:p>
        </w:tc>
        <w:tc>
          <w:tcPr>
            <w:tcW w:w="1240" w:type="pct"/>
            <w:gridSpan w:val="14"/>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0FF718">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排给水状况</w:t>
            </w:r>
          </w:p>
        </w:tc>
        <w:tc>
          <w:tcPr>
            <w:tcW w:w="1776" w:type="pct"/>
            <w:gridSpan w:val="17"/>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62DCC9">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一般</w:t>
            </w:r>
          </w:p>
        </w:tc>
        <w:tc>
          <w:tcPr>
            <w:tcW w:w="590" w:type="pct"/>
            <w:gridSpan w:val="6"/>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182485">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一般</w:t>
            </w:r>
          </w:p>
        </w:tc>
        <w:tc>
          <w:tcPr>
            <w:tcW w:w="563" w:type="pct"/>
            <w:gridSpan w:val="4"/>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C91F45C">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t>0</w:t>
            </w:r>
          </w:p>
        </w:tc>
      </w:tr>
      <w:tr w14:paraId="7E64C2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2"/>
          <w:trHeight w:val="95" w:hRule="atLeast"/>
        </w:trPr>
        <w:tc>
          <w:tcPr>
            <w:tcW w:w="827" w:type="pct"/>
            <w:gridSpan w:val="3"/>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1CEB4E">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1240" w:type="pct"/>
            <w:gridSpan w:val="14"/>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24D49B">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供电状况</w:t>
            </w:r>
          </w:p>
        </w:tc>
        <w:tc>
          <w:tcPr>
            <w:tcW w:w="1776" w:type="pct"/>
            <w:gridSpan w:val="17"/>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998090">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一般</w:t>
            </w:r>
          </w:p>
        </w:tc>
        <w:tc>
          <w:tcPr>
            <w:tcW w:w="590" w:type="pct"/>
            <w:gridSpan w:val="6"/>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AD6327">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一般</w:t>
            </w:r>
          </w:p>
        </w:tc>
        <w:tc>
          <w:tcPr>
            <w:tcW w:w="563" w:type="pct"/>
            <w:gridSpan w:val="4"/>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D77916F">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t>0</w:t>
            </w:r>
          </w:p>
        </w:tc>
      </w:tr>
      <w:tr w14:paraId="5F2AA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2"/>
          <w:trHeight w:val="90" w:hRule="atLeast"/>
        </w:trPr>
        <w:tc>
          <w:tcPr>
            <w:tcW w:w="827" w:type="pct"/>
            <w:gridSpan w:val="3"/>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A156A6">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环境状况</w:t>
            </w:r>
          </w:p>
        </w:tc>
        <w:tc>
          <w:tcPr>
            <w:tcW w:w="1240" w:type="pct"/>
            <w:gridSpan w:val="14"/>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68E7D9">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地形状况</w:t>
            </w:r>
          </w:p>
        </w:tc>
        <w:tc>
          <w:tcPr>
            <w:tcW w:w="1776" w:type="pct"/>
            <w:gridSpan w:val="17"/>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C014AA">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地势较平坦适合建筑</w:t>
            </w:r>
          </w:p>
        </w:tc>
        <w:tc>
          <w:tcPr>
            <w:tcW w:w="590" w:type="pct"/>
            <w:gridSpan w:val="6"/>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59E074">
            <w:pPr>
              <w:keepNext w:val="0"/>
              <w:keepLines w:val="0"/>
              <w:widowControl/>
              <w:suppressLineNumbers w:val="0"/>
              <w:spacing w:before="0" w:beforeAutospacing="0" w:after="0" w:afterAutospacing="0"/>
              <w:ind w:left="0" w:leftChars="0" w:right="0" w:rightChars="0"/>
              <w:jc w:val="center"/>
              <w:outlineLvl w:val="9"/>
              <w:rPr>
                <w:rFonts w:hint="default" w:ascii="仿宋_GB2312" w:hAnsi="仿宋_GB2312" w:eastAsia="仿宋_GB2312" w:cs="仿宋_GB2312"/>
                <w:color w:val="000000" w:themeColor="text1"/>
                <w:kern w:val="0"/>
                <w:sz w:val="21"/>
                <w:szCs w:val="21"/>
                <w:highlight w:val="none"/>
                <w:lang w:val="en-US"/>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较优</w:t>
            </w:r>
          </w:p>
        </w:tc>
        <w:tc>
          <w:tcPr>
            <w:tcW w:w="563" w:type="pct"/>
            <w:gridSpan w:val="4"/>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0FB796C">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t>1.1532</w:t>
            </w:r>
          </w:p>
        </w:tc>
      </w:tr>
      <w:tr w14:paraId="361300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2"/>
          <w:trHeight w:val="90" w:hRule="atLeast"/>
        </w:trPr>
        <w:tc>
          <w:tcPr>
            <w:tcW w:w="827" w:type="pct"/>
            <w:gridSpan w:val="3"/>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BEAA01">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1240" w:type="pct"/>
            <w:gridSpan w:val="14"/>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8E51FF">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地质状况（T/m2）</w:t>
            </w:r>
          </w:p>
        </w:tc>
        <w:tc>
          <w:tcPr>
            <w:tcW w:w="1776" w:type="pct"/>
            <w:gridSpan w:val="17"/>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2CF7A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&gt;25</w:t>
            </w:r>
          </w:p>
        </w:tc>
        <w:tc>
          <w:tcPr>
            <w:tcW w:w="590" w:type="pct"/>
            <w:gridSpan w:val="6"/>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EB3F05">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优</w:t>
            </w:r>
          </w:p>
        </w:tc>
        <w:tc>
          <w:tcPr>
            <w:tcW w:w="563" w:type="pct"/>
            <w:gridSpan w:val="4"/>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4A42ECF">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t>2.1762</w:t>
            </w:r>
          </w:p>
        </w:tc>
      </w:tr>
      <w:tr w14:paraId="53235C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2"/>
          <w:trHeight w:val="257" w:hRule="atLeast"/>
        </w:trPr>
        <w:tc>
          <w:tcPr>
            <w:tcW w:w="82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FCE3B2">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产业集聚效益</w:t>
            </w:r>
          </w:p>
        </w:tc>
        <w:tc>
          <w:tcPr>
            <w:tcW w:w="1240" w:type="pct"/>
            <w:gridSpan w:val="14"/>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238378">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产业集聚影响度</w:t>
            </w:r>
          </w:p>
        </w:tc>
        <w:tc>
          <w:tcPr>
            <w:tcW w:w="1776" w:type="pct"/>
            <w:gridSpan w:val="17"/>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2A27A7">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lang w:val="en-US" w:eastAsia="zh-CN" w:bidi="ar-SA"/>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独立分布区</w:t>
            </w:r>
          </w:p>
        </w:tc>
        <w:tc>
          <w:tcPr>
            <w:tcW w:w="590" w:type="pct"/>
            <w:gridSpan w:val="6"/>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38162F">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劣</w:t>
            </w:r>
          </w:p>
        </w:tc>
        <w:tc>
          <w:tcPr>
            <w:tcW w:w="563" w:type="pct"/>
            <w:gridSpan w:val="4"/>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86ABB91">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t>-2.1962</w:t>
            </w:r>
          </w:p>
        </w:tc>
      </w:tr>
      <w:tr w14:paraId="270749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2"/>
          <w:trHeight w:val="90" w:hRule="atLeast"/>
        </w:trPr>
        <w:tc>
          <w:tcPr>
            <w:tcW w:w="4436" w:type="pct"/>
            <w:gridSpan w:val="40"/>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41ACA7">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合计</w:t>
            </w:r>
          </w:p>
        </w:tc>
        <w:tc>
          <w:tcPr>
            <w:tcW w:w="563" w:type="pct"/>
            <w:gridSpan w:val="4"/>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AD4530">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-4.3494</w:t>
            </w:r>
          </w:p>
        </w:tc>
      </w:tr>
      <w:tr w14:paraId="2277956A">
        <w:tblPrEx>
          <w:tblCellMar>
            <w:top w:w="0" w:type="dxa"/>
            <w:left w:w="108" w:type="dxa"/>
            <w:bottom w:w="0" w:type="dxa"/>
            <w:right w:w="108" w:type="dxa"/>
          </w:tblCellMar>
        </w:tblPrEx>
        <w:trPr>
          <w:trHeight w:val="342" w:hRule="atLeast"/>
          <w:jc w:val="center"/>
        </w:trPr>
        <w:tc>
          <w:tcPr>
            <w:tcW w:w="1871" w:type="dxa"/>
            <w:gridSpan w:val="6"/>
            <w:tcBorders>
              <w:top w:val="single" w:color="000000" w:sz="4" w:space="0"/>
              <w:left w:val="single" w:color="000000" w:sz="4" w:space="0"/>
              <w:bottom w:val="single" w:color="000000" w:sz="4" w:space="0"/>
              <w:right w:val="single" w:color="000000" w:sz="4" w:space="0"/>
              <w:tl2br w:val="single" w:color="000000" w:sz="4" w:space="0"/>
            </w:tcBorders>
            <w:vAlign w:val="center"/>
          </w:tcPr>
          <w:p w14:paraId="3DA33AA0">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估价对象与比较实例  项目</w:t>
            </w:r>
          </w:p>
        </w:tc>
        <w:tc>
          <w:tcPr>
            <w:tcW w:w="2044" w:type="dxa"/>
            <w:gridSpan w:val="14"/>
            <w:tcBorders>
              <w:top w:val="single" w:color="000000" w:sz="4" w:space="0"/>
              <w:left w:val="single" w:color="000000" w:sz="4" w:space="0"/>
              <w:bottom w:val="single" w:color="000000" w:sz="4" w:space="0"/>
              <w:right w:val="single" w:color="000000" w:sz="4" w:space="0"/>
            </w:tcBorders>
            <w:vAlign w:val="center"/>
          </w:tcPr>
          <w:p w14:paraId="6D50FE33">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比较实例A</w:t>
            </w:r>
          </w:p>
        </w:tc>
        <w:tc>
          <w:tcPr>
            <w:tcW w:w="2746" w:type="dxa"/>
            <w:gridSpan w:val="15"/>
            <w:tcBorders>
              <w:top w:val="single" w:color="000000" w:sz="4" w:space="0"/>
              <w:left w:val="single" w:color="000000" w:sz="4" w:space="0"/>
              <w:bottom w:val="single" w:color="000000" w:sz="4" w:space="0"/>
              <w:right w:val="single" w:color="000000" w:sz="4" w:space="0"/>
            </w:tcBorders>
            <w:vAlign w:val="center"/>
          </w:tcPr>
          <w:p w14:paraId="5445B741">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比较实例B</w:t>
            </w:r>
          </w:p>
        </w:tc>
        <w:tc>
          <w:tcPr>
            <w:tcW w:w="2456" w:type="dxa"/>
            <w:gridSpan w:val="11"/>
            <w:tcBorders>
              <w:top w:val="single" w:color="000000" w:sz="4" w:space="0"/>
              <w:left w:val="single" w:color="000000" w:sz="4" w:space="0"/>
              <w:bottom w:val="single" w:color="000000" w:sz="4" w:space="0"/>
              <w:right w:val="single" w:color="000000" w:sz="4" w:space="0"/>
            </w:tcBorders>
            <w:vAlign w:val="center"/>
          </w:tcPr>
          <w:p w14:paraId="0349070B">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比较实例C</w:t>
            </w:r>
          </w:p>
        </w:tc>
      </w:tr>
      <w:tr w14:paraId="4980DCB9">
        <w:tblPrEx>
          <w:tblCellMar>
            <w:top w:w="0" w:type="dxa"/>
            <w:left w:w="108" w:type="dxa"/>
            <w:bottom w:w="0" w:type="dxa"/>
            <w:right w:w="108" w:type="dxa"/>
          </w:tblCellMar>
        </w:tblPrEx>
        <w:trPr>
          <w:trHeight w:val="237" w:hRule="atLeast"/>
          <w:jc w:val="center"/>
        </w:trPr>
        <w:tc>
          <w:tcPr>
            <w:tcW w:w="1871" w:type="dxa"/>
            <w:gridSpan w:val="6"/>
            <w:tcBorders>
              <w:top w:val="single" w:color="000000" w:sz="4" w:space="0"/>
              <w:left w:val="single" w:color="000000" w:sz="4" w:space="0"/>
              <w:bottom w:val="single" w:color="000000" w:sz="4" w:space="0"/>
              <w:right w:val="single" w:color="000000" w:sz="4" w:space="0"/>
            </w:tcBorders>
            <w:vAlign w:val="center"/>
          </w:tcPr>
          <w:p w14:paraId="069B3666">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案例来源</w:t>
            </w:r>
          </w:p>
        </w:tc>
        <w:tc>
          <w:tcPr>
            <w:tcW w:w="2044" w:type="dxa"/>
            <w:gridSpan w:val="14"/>
            <w:tcBorders>
              <w:top w:val="single" w:color="000000" w:sz="4" w:space="0"/>
              <w:left w:val="single" w:color="000000" w:sz="4" w:space="0"/>
              <w:bottom w:val="single" w:color="000000" w:sz="4" w:space="0"/>
              <w:right w:val="single" w:color="000000" w:sz="4" w:space="0"/>
            </w:tcBorders>
            <w:vAlign w:val="center"/>
          </w:tcPr>
          <w:p w14:paraId="12C62436">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中国土地市场网</w:t>
            </w:r>
          </w:p>
        </w:tc>
        <w:tc>
          <w:tcPr>
            <w:tcW w:w="2746" w:type="dxa"/>
            <w:gridSpan w:val="15"/>
            <w:tcBorders>
              <w:top w:val="single" w:color="000000" w:sz="4" w:space="0"/>
              <w:left w:val="single" w:color="000000" w:sz="4" w:space="0"/>
              <w:bottom w:val="single" w:color="000000" w:sz="4" w:space="0"/>
              <w:right w:val="single" w:color="000000" w:sz="4" w:space="0"/>
            </w:tcBorders>
            <w:vAlign w:val="center"/>
          </w:tcPr>
          <w:p w14:paraId="720B2CD0">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中国土地市场网</w:t>
            </w:r>
          </w:p>
        </w:tc>
        <w:tc>
          <w:tcPr>
            <w:tcW w:w="2456" w:type="dxa"/>
            <w:gridSpan w:val="11"/>
            <w:tcBorders>
              <w:top w:val="single" w:color="000000" w:sz="4" w:space="0"/>
              <w:left w:val="single" w:color="000000" w:sz="4" w:space="0"/>
              <w:bottom w:val="single" w:color="000000" w:sz="4" w:space="0"/>
              <w:right w:val="single" w:color="000000" w:sz="4" w:space="0"/>
            </w:tcBorders>
            <w:vAlign w:val="center"/>
          </w:tcPr>
          <w:p w14:paraId="6A895D41">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中国土地市场网</w:t>
            </w:r>
          </w:p>
        </w:tc>
      </w:tr>
      <w:tr w14:paraId="0DA83E2E">
        <w:tblPrEx>
          <w:tblCellMar>
            <w:top w:w="0" w:type="dxa"/>
            <w:left w:w="108" w:type="dxa"/>
            <w:bottom w:w="0" w:type="dxa"/>
            <w:right w:w="108" w:type="dxa"/>
          </w:tblCellMar>
        </w:tblPrEx>
        <w:trPr>
          <w:trHeight w:val="222" w:hRule="atLeast"/>
          <w:jc w:val="center"/>
        </w:trPr>
        <w:tc>
          <w:tcPr>
            <w:tcW w:w="1871" w:type="dxa"/>
            <w:gridSpan w:val="6"/>
            <w:tcBorders>
              <w:top w:val="single" w:color="000000" w:sz="4" w:space="0"/>
              <w:left w:val="single" w:color="000000" w:sz="4" w:space="0"/>
              <w:bottom w:val="single" w:color="000000" w:sz="4" w:space="0"/>
              <w:right w:val="single" w:color="000000" w:sz="4" w:space="0"/>
            </w:tcBorders>
            <w:vAlign w:val="center"/>
          </w:tcPr>
          <w:p w14:paraId="00A56639">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电子监管号</w:t>
            </w:r>
          </w:p>
        </w:tc>
        <w:tc>
          <w:tcPr>
            <w:tcW w:w="2044" w:type="dxa"/>
            <w:gridSpan w:val="14"/>
            <w:tcBorders>
              <w:top w:val="single" w:color="000000" w:sz="4" w:space="0"/>
              <w:left w:val="single" w:color="000000" w:sz="4" w:space="0"/>
              <w:bottom w:val="single" w:color="000000" w:sz="4" w:space="0"/>
              <w:right w:val="single" w:color="000000" w:sz="4" w:space="0"/>
            </w:tcBorders>
            <w:vAlign w:val="center"/>
          </w:tcPr>
          <w:p w14:paraId="44C20174">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val="en-GB"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t>4311242024B000055</w:t>
            </w:r>
          </w:p>
        </w:tc>
        <w:tc>
          <w:tcPr>
            <w:tcW w:w="2746" w:type="dxa"/>
            <w:gridSpan w:val="15"/>
            <w:tcBorders>
              <w:top w:val="single" w:color="000000" w:sz="4" w:space="0"/>
              <w:left w:val="single" w:color="000000" w:sz="4" w:space="0"/>
              <w:bottom w:val="single" w:color="000000" w:sz="4" w:space="0"/>
              <w:right w:val="single" w:color="000000" w:sz="4" w:space="0"/>
            </w:tcBorders>
            <w:vAlign w:val="center"/>
          </w:tcPr>
          <w:p w14:paraId="35E98B39">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val="en-GB" w:eastAsia="zh-CN" w:bidi="ar"/>
                <w14:textFill>
                  <w14:solidFill>
                    <w14:schemeClr w14:val="tx1"/>
                  </w14:solidFill>
                </w14:textFill>
              </w:rPr>
            </w:pPr>
            <w:r>
              <w:rPr>
                <w:rFonts w:hint="default"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t>4311242024B000016</w:t>
            </w:r>
          </w:p>
        </w:tc>
        <w:tc>
          <w:tcPr>
            <w:tcW w:w="2456" w:type="dxa"/>
            <w:gridSpan w:val="11"/>
            <w:tcBorders>
              <w:top w:val="single" w:color="000000" w:sz="4" w:space="0"/>
              <w:left w:val="single" w:color="000000" w:sz="4" w:space="0"/>
              <w:bottom w:val="single" w:color="000000" w:sz="4" w:space="0"/>
              <w:right w:val="single" w:color="000000" w:sz="4" w:space="0"/>
            </w:tcBorders>
            <w:vAlign w:val="center"/>
          </w:tcPr>
          <w:p w14:paraId="20E7911F">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val="en-GB"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t>4311242024B000071</w:t>
            </w:r>
          </w:p>
        </w:tc>
      </w:tr>
      <w:tr w14:paraId="702CB58F">
        <w:tblPrEx>
          <w:tblCellMar>
            <w:top w:w="0" w:type="dxa"/>
            <w:left w:w="108" w:type="dxa"/>
            <w:bottom w:w="0" w:type="dxa"/>
            <w:right w:w="108" w:type="dxa"/>
          </w:tblCellMar>
        </w:tblPrEx>
        <w:trPr>
          <w:trHeight w:val="90" w:hRule="atLeast"/>
          <w:jc w:val="center"/>
        </w:trPr>
        <w:tc>
          <w:tcPr>
            <w:tcW w:w="1871" w:type="dxa"/>
            <w:gridSpan w:val="6"/>
            <w:tcBorders>
              <w:top w:val="single" w:color="000000" w:sz="4" w:space="0"/>
              <w:left w:val="single" w:color="000000" w:sz="4" w:space="0"/>
              <w:bottom w:val="single" w:color="000000" w:sz="4" w:space="0"/>
              <w:right w:val="single" w:color="000000" w:sz="4" w:space="0"/>
            </w:tcBorders>
            <w:vAlign w:val="center"/>
          </w:tcPr>
          <w:p w14:paraId="01455355">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土地使用权人</w:t>
            </w:r>
          </w:p>
        </w:tc>
        <w:tc>
          <w:tcPr>
            <w:tcW w:w="2044" w:type="dxa"/>
            <w:gridSpan w:val="14"/>
            <w:tcBorders>
              <w:top w:val="single" w:color="000000" w:sz="4" w:space="0"/>
              <w:left w:val="single" w:color="000000" w:sz="4" w:space="0"/>
              <w:bottom w:val="single" w:color="000000" w:sz="4" w:space="0"/>
              <w:right w:val="single" w:color="000000" w:sz="4" w:space="0"/>
            </w:tcBorders>
            <w:vAlign w:val="center"/>
          </w:tcPr>
          <w:p w14:paraId="7E41B199">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val="en-GB" w:eastAsia="zh-CN" w:bidi="ar"/>
                <w14:textFill>
                  <w14:solidFill>
                    <w14:schemeClr w14:val="tx1"/>
                  </w14:solidFill>
                </w14:textFill>
              </w:rPr>
              <w:t>湖南雁晟农业科技有限公司</w:t>
            </w:r>
          </w:p>
        </w:tc>
        <w:tc>
          <w:tcPr>
            <w:tcW w:w="2746" w:type="dxa"/>
            <w:gridSpan w:val="15"/>
            <w:tcBorders>
              <w:top w:val="single" w:color="000000" w:sz="4" w:space="0"/>
              <w:left w:val="single" w:color="000000" w:sz="4" w:space="0"/>
              <w:bottom w:val="single" w:color="000000" w:sz="4" w:space="0"/>
              <w:right w:val="single" w:color="000000" w:sz="4" w:space="0"/>
            </w:tcBorders>
            <w:vAlign w:val="center"/>
          </w:tcPr>
          <w:p w14:paraId="343493CE">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val="en-GB" w:eastAsia="zh-CN" w:bidi="ar"/>
                <w14:textFill>
                  <w14:solidFill>
                    <w14:schemeClr w14:val="tx1"/>
                  </w14:solidFill>
                </w14:textFill>
              </w:rPr>
              <w:t>永州道县国源食品有限责任公司</w:t>
            </w:r>
          </w:p>
        </w:tc>
        <w:tc>
          <w:tcPr>
            <w:tcW w:w="2456" w:type="dxa"/>
            <w:gridSpan w:val="11"/>
            <w:tcBorders>
              <w:top w:val="single" w:color="000000" w:sz="4" w:space="0"/>
              <w:left w:val="single" w:color="000000" w:sz="4" w:space="0"/>
              <w:bottom w:val="single" w:color="000000" w:sz="4" w:space="0"/>
              <w:right w:val="single" w:color="000000" w:sz="4" w:space="0"/>
            </w:tcBorders>
            <w:vAlign w:val="center"/>
          </w:tcPr>
          <w:p w14:paraId="1EA7A2D1">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val="en-GB" w:eastAsia="zh-CN" w:bidi="ar"/>
                <w14:textFill>
                  <w14:solidFill>
                    <w14:schemeClr w14:val="tx1"/>
                  </w14:solidFill>
                </w14:textFill>
              </w:rPr>
              <w:t>湖南万众制药有限公司</w:t>
            </w:r>
          </w:p>
        </w:tc>
      </w:tr>
      <w:tr w14:paraId="1634CFCD">
        <w:tblPrEx>
          <w:tblCellMar>
            <w:top w:w="0" w:type="dxa"/>
            <w:left w:w="108" w:type="dxa"/>
            <w:bottom w:w="0" w:type="dxa"/>
            <w:right w:w="108" w:type="dxa"/>
          </w:tblCellMar>
        </w:tblPrEx>
        <w:trPr>
          <w:trHeight w:val="222" w:hRule="atLeast"/>
          <w:jc w:val="center"/>
        </w:trPr>
        <w:tc>
          <w:tcPr>
            <w:tcW w:w="1871" w:type="dxa"/>
            <w:gridSpan w:val="6"/>
            <w:tcBorders>
              <w:top w:val="single" w:color="000000" w:sz="4" w:space="0"/>
              <w:left w:val="single" w:color="000000" w:sz="4" w:space="0"/>
              <w:bottom w:val="single" w:color="000000" w:sz="4" w:space="0"/>
              <w:right w:val="single" w:color="000000" w:sz="4" w:space="0"/>
            </w:tcBorders>
            <w:vAlign w:val="center"/>
          </w:tcPr>
          <w:p w14:paraId="361AE15F">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土地级别</w:t>
            </w:r>
          </w:p>
        </w:tc>
        <w:tc>
          <w:tcPr>
            <w:tcW w:w="2044" w:type="dxa"/>
            <w:gridSpan w:val="14"/>
            <w:tcBorders>
              <w:top w:val="single" w:color="000000" w:sz="4" w:space="0"/>
              <w:left w:val="single" w:color="000000" w:sz="4" w:space="0"/>
              <w:bottom w:val="single" w:color="000000" w:sz="4" w:space="0"/>
              <w:right w:val="single" w:color="000000" w:sz="4" w:space="0"/>
            </w:tcBorders>
            <w:vAlign w:val="center"/>
          </w:tcPr>
          <w:p w14:paraId="5D31CDCB">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城区</w:t>
            </w:r>
            <w:r>
              <w:rPr>
                <w:rFonts w:hint="eastAsia" w:ascii="仿宋_GB2312" w:hAnsi="仿宋_GB2312" w:eastAsia="仿宋_GB2312" w:cs="仿宋_GB2312"/>
                <w:color w:val="000000" w:themeColor="text1"/>
                <w:kern w:val="0"/>
                <w:sz w:val="18"/>
                <w:szCs w:val="18"/>
                <w:highlight w:val="none"/>
                <w:lang w:val="en-GB" w:bidi="ar"/>
                <w14:textFill>
                  <w14:solidFill>
                    <w14:schemeClr w14:val="tx1"/>
                  </w14:solidFill>
                </w14:textFill>
              </w:rPr>
              <w:t>Ⅳ</w:t>
            </w: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级</w:t>
            </w:r>
          </w:p>
        </w:tc>
        <w:tc>
          <w:tcPr>
            <w:tcW w:w="2746" w:type="dxa"/>
            <w:gridSpan w:val="15"/>
            <w:tcBorders>
              <w:top w:val="single" w:color="000000" w:sz="4" w:space="0"/>
              <w:left w:val="single" w:color="000000" w:sz="4" w:space="0"/>
              <w:bottom w:val="single" w:color="000000" w:sz="4" w:space="0"/>
              <w:right w:val="single" w:color="000000" w:sz="4" w:space="0"/>
            </w:tcBorders>
            <w:vAlign w:val="center"/>
          </w:tcPr>
          <w:p w14:paraId="61DE6F48">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城区</w:t>
            </w:r>
            <w:r>
              <w:rPr>
                <w:rFonts w:hint="eastAsia" w:ascii="仿宋_GB2312" w:hAnsi="仿宋_GB2312" w:eastAsia="仿宋_GB2312" w:cs="仿宋_GB2312"/>
                <w:color w:val="000000" w:themeColor="text1"/>
                <w:kern w:val="0"/>
                <w:sz w:val="18"/>
                <w:szCs w:val="18"/>
                <w:highlight w:val="none"/>
                <w:lang w:val="en-GB" w:bidi="ar"/>
                <w14:textFill>
                  <w14:solidFill>
                    <w14:schemeClr w14:val="tx1"/>
                  </w14:solidFill>
                </w14:textFill>
              </w:rPr>
              <w:t>Ⅳ</w:t>
            </w: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级</w:t>
            </w:r>
          </w:p>
        </w:tc>
        <w:tc>
          <w:tcPr>
            <w:tcW w:w="2456" w:type="dxa"/>
            <w:gridSpan w:val="11"/>
            <w:tcBorders>
              <w:top w:val="single" w:color="000000" w:sz="4" w:space="0"/>
              <w:left w:val="single" w:color="000000" w:sz="4" w:space="0"/>
              <w:bottom w:val="single" w:color="000000" w:sz="4" w:space="0"/>
              <w:right w:val="single" w:color="000000" w:sz="4" w:space="0"/>
            </w:tcBorders>
            <w:vAlign w:val="center"/>
          </w:tcPr>
          <w:p w14:paraId="667F2297">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城区</w:t>
            </w:r>
            <w:r>
              <w:rPr>
                <w:rFonts w:hint="eastAsia" w:ascii="仿宋_GB2312" w:hAnsi="仿宋_GB2312" w:eastAsia="仿宋_GB2312" w:cs="仿宋_GB2312"/>
                <w:color w:val="000000" w:themeColor="text1"/>
                <w:kern w:val="0"/>
                <w:sz w:val="18"/>
                <w:szCs w:val="18"/>
                <w:highlight w:val="none"/>
                <w:lang w:val="en-GB" w:bidi="ar"/>
                <w14:textFill>
                  <w14:solidFill>
                    <w14:schemeClr w14:val="tx1"/>
                  </w14:solidFill>
                </w14:textFill>
              </w:rPr>
              <w:t>Ⅳ</w:t>
            </w: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级</w:t>
            </w:r>
          </w:p>
        </w:tc>
      </w:tr>
      <w:tr w14:paraId="04840ECB">
        <w:tblPrEx>
          <w:tblCellMar>
            <w:top w:w="0" w:type="dxa"/>
            <w:left w:w="108" w:type="dxa"/>
            <w:bottom w:w="0" w:type="dxa"/>
            <w:right w:w="108" w:type="dxa"/>
          </w:tblCellMar>
        </w:tblPrEx>
        <w:trPr>
          <w:trHeight w:val="517" w:hRule="atLeast"/>
          <w:jc w:val="center"/>
        </w:trPr>
        <w:tc>
          <w:tcPr>
            <w:tcW w:w="1871" w:type="dxa"/>
            <w:gridSpan w:val="6"/>
            <w:tcBorders>
              <w:top w:val="single" w:color="000000" w:sz="4" w:space="0"/>
              <w:left w:val="single" w:color="000000" w:sz="4" w:space="0"/>
              <w:bottom w:val="single" w:color="000000" w:sz="4" w:space="0"/>
              <w:right w:val="single" w:color="000000" w:sz="4" w:space="0"/>
            </w:tcBorders>
            <w:vAlign w:val="center"/>
          </w:tcPr>
          <w:p w14:paraId="5FAB8EA7">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位置</w:t>
            </w:r>
          </w:p>
        </w:tc>
        <w:tc>
          <w:tcPr>
            <w:tcW w:w="2044" w:type="dxa"/>
            <w:gridSpan w:val="14"/>
            <w:tcBorders>
              <w:top w:val="single" w:color="000000" w:sz="4" w:space="0"/>
              <w:left w:val="single" w:color="000000" w:sz="4" w:space="0"/>
              <w:bottom w:val="single" w:color="000000" w:sz="4" w:space="0"/>
              <w:right w:val="single" w:color="000000" w:sz="4" w:space="0"/>
            </w:tcBorders>
            <w:vAlign w:val="center"/>
          </w:tcPr>
          <w:p w14:paraId="06E2AB02">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val="en-GB" w:eastAsia="zh-CN"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t>道县乌家山路以南、东环一路以西</w:t>
            </w:r>
          </w:p>
        </w:tc>
        <w:tc>
          <w:tcPr>
            <w:tcW w:w="2746" w:type="dxa"/>
            <w:gridSpan w:val="15"/>
            <w:tcBorders>
              <w:top w:val="single" w:color="000000" w:sz="4" w:space="0"/>
              <w:left w:val="single" w:color="000000" w:sz="4" w:space="0"/>
              <w:bottom w:val="single" w:color="000000" w:sz="4" w:space="0"/>
              <w:right w:val="single" w:color="000000" w:sz="4" w:space="0"/>
            </w:tcBorders>
            <w:vAlign w:val="center"/>
          </w:tcPr>
          <w:p w14:paraId="07F6D315">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t>道县庙塘路以北、富园四路以东</w:t>
            </w:r>
          </w:p>
        </w:tc>
        <w:tc>
          <w:tcPr>
            <w:tcW w:w="2456" w:type="dxa"/>
            <w:gridSpan w:val="11"/>
            <w:tcBorders>
              <w:top w:val="single" w:color="000000" w:sz="4" w:space="0"/>
              <w:left w:val="single" w:color="000000" w:sz="4" w:space="0"/>
              <w:bottom w:val="single" w:color="000000" w:sz="4" w:space="0"/>
              <w:right w:val="single" w:color="000000" w:sz="4" w:space="0"/>
            </w:tcBorders>
            <w:vAlign w:val="center"/>
          </w:tcPr>
          <w:p w14:paraId="57EFAE3E">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val="en-GB" w:eastAsia="zh-CN"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t>道县张家街路以南</w:t>
            </w:r>
          </w:p>
        </w:tc>
      </w:tr>
      <w:tr w14:paraId="572D565C">
        <w:tblPrEx>
          <w:tblCellMar>
            <w:top w:w="0" w:type="dxa"/>
            <w:left w:w="108" w:type="dxa"/>
            <w:bottom w:w="0" w:type="dxa"/>
            <w:right w:w="108" w:type="dxa"/>
          </w:tblCellMar>
        </w:tblPrEx>
        <w:trPr>
          <w:trHeight w:val="90" w:hRule="atLeast"/>
          <w:jc w:val="center"/>
        </w:trPr>
        <w:tc>
          <w:tcPr>
            <w:tcW w:w="1871" w:type="dxa"/>
            <w:gridSpan w:val="6"/>
            <w:tcBorders>
              <w:top w:val="single" w:color="000000" w:sz="4" w:space="0"/>
              <w:left w:val="single" w:color="000000" w:sz="4" w:space="0"/>
              <w:bottom w:val="single" w:color="000000" w:sz="4" w:space="0"/>
              <w:right w:val="single" w:color="000000" w:sz="4" w:space="0"/>
            </w:tcBorders>
            <w:vAlign w:val="center"/>
          </w:tcPr>
          <w:p w14:paraId="717EC96B">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成交总价（万元）</w:t>
            </w:r>
          </w:p>
        </w:tc>
        <w:tc>
          <w:tcPr>
            <w:tcW w:w="2044" w:type="dxa"/>
            <w:gridSpan w:val="14"/>
            <w:tcBorders>
              <w:top w:val="single" w:color="000000" w:sz="4" w:space="0"/>
              <w:left w:val="single" w:color="000000" w:sz="4" w:space="0"/>
              <w:bottom w:val="single" w:color="000000" w:sz="4" w:space="0"/>
              <w:right w:val="single" w:color="000000" w:sz="4" w:space="0"/>
            </w:tcBorders>
            <w:vAlign w:val="center"/>
          </w:tcPr>
          <w:p w14:paraId="39109793">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default"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t>156</w:t>
            </w:r>
          </w:p>
        </w:tc>
        <w:tc>
          <w:tcPr>
            <w:tcW w:w="2746" w:type="dxa"/>
            <w:gridSpan w:val="15"/>
            <w:tcBorders>
              <w:top w:val="single" w:color="000000" w:sz="4" w:space="0"/>
              <w:left w:val="single" w:color="000000" w:sz="4" w:space="0"/>
              <w:bottom w:val="single" w:color="000000" w:sz="4" w:space="0"/>
              <w:right w:val="single" w:color="000000" w:sz="4" w:space="0"/>
            </w:tcBorders>
            <w:vAlign w:val="center"/>
          </w:tcPr>
          <w:p w14:paraId="3E4A98C4">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default"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t>816</w:t>
            </w:r>
          </w:p>
        </w:tc>
        <w:tc>
          <w:tcPr>
            <w:tcW w:w="2456" w:type="dxa"/>
            <w:gridSpan w:val="11"/>
            <w:tcBorders>
              <w:top w:val="single" w:color="000000" w:sz="4" w:space="0"/>
              <w:left w:val="single" w:color="000000" w:sz="4" w:space="0"/>
              <w:bottom w:val="single" w:color="000000" w:sz="4" w:space="0"/>
              <w:right w:val="single" w:color="000000" w:sz="4" w:space="0"/>
            </w:tcBorders>
            <w:vAlign w:val="center"/>
          </w:tcPr>
          <w:p w14:paraId="2DEA2052">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default"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t>101</w:t>
            </w:r>
          </w:p>
        </w:tc>
      </w:tr>
      <w:tr w14:paraId="2E52B4F6">
        <w:tblPrEx>
          <w:tblCellMar>
            <w:top w:w="0" w:type="dxa"/>
            <w:left w:w="108" w:type="dxa"/>
            <w:bottom w:w="0" w:type="dxa"/>
            <w:right w:w="108" w:type="dxa"/>
          </w:tblCellMar>
        </w:tblPrEx>
        <w:trPr>
          <w:trHeight w:val="200" w:hRule="atLeast"/>
          <w:jc w:val="center"/>
        </w:trPr>
        <w:tc>
          <w:tcPr>
            <w:tcW w:w="1871" w:type="dxa"/>
            <w:gridSpan w:val="6"/>
            <w:tcBorders>
              <w:top w:val="single" w:color="000000" w:sz="4" w:space="0"/>
              <w:left w:val="single" w:color="000000" w:sz="4" w:space="0"/>
              <w:bottom w:val="single" w:color="000000" w:sz="4" w:space="0"/>
              <w:right w:val="single" w:color="000000" w:sz="4" w:space="0"/>
            </w:tcBorders>
            <w:vAlign w:val="center"/>
          </w:tcPr>
          <w:p w14:paraId="2A9CDA41">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成交地面地价（元/㎡）</w:t>
            </w:r>
          </w:p>
        </w:tc>
        <w:tc>
          <w:tcPr>
            <w:tcW w:w="2044" w:type="dxa"/>
            <w:gridSpan w:val="14"/>
            <w:tcBorders>
              <w:top w:val="single" w:color="000000" w:sz="4" w:space="0"/>
              <w:left w:val="single" w:color="000000" w:sz="4" w:space="0"/>
              <w:bottom w:val="single" w:color="000000" w:sz="4" w:space="0"/>
              <w:right w:val="single" w:color="000000" w:sz="4" w:space="0"/>
            </w:tcBorders>
            <w:vAlign w:val="center"/>
          </w:tcPr>
          <w:p w14:paraId="63D162FA">
            <w:pPr>
              <w:keepNext w:val="0"/>
              <w:keepLines w:val="0"/>
              <w:widowControl/>
              <w:suppressLineNumbers w:val="0"/>
              <w:jc w:val="center"/>
              <w:textAlignment w:val="cente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18"/>
                <w:szCs w:val="18"/>
                <w:highlight w:val="none"/>
                <w:u w:val="none"/>
                <w:lang w:val="en-US" w:eastAsia="zh-CN" w:bidi="ar"/>
                <w14:textFill>
                  <w14:solidFill>
                    <w14:schemeClr w14:val="tx1"/>
                  </w14:solidFill>
                </w14:textFill>
              </w:rPr>
              <w:t>145</w:t>
            </w:r>
          </w:p>
        </w:tc>
        <w:tc>
          <w:tcPr>
            <w:tcW w:w="2746" w:type="dxa"/>
            <w:gridSpan w:val="15"/>
            <w:tcBorders>
              <w:top w:val="single" w:color="000000" w:sz="4" w:space="0"/>
              <w:left w:val="single" w:color="000000" w:sz="4" w:space="0"/>
              <w:bottom w:val="single" w:color="000000" w:sz="4" w:space="0"/>
              <w:right w:val="single" w:color="000000" w:sz="4" w:space="0"/>
            </w:tcBorders>
            <w:vAlign w:val="center"/>
          </w:tcPr>
          <w:p w14:paraId="1D3F56B9">
            <w:pPr>
              <w:keepNext w:val="0"/>
              <w:keepLines w:val="0"/>
              <w:widowControl/>
              <w:suppressLineNumbers w:val="0"/>
              <w:jc w:val="center"/>
              <w:textAlignment w:val="cente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18"/>
                <w:szCs w:val="18"/>
                <w:highlight w:val="none"/>
                <w:u w:val="none"/>
                <w:lang w:val="en-US" w:eastAsia="zh-CN" w:bidi="ar"/>
                <w14:textFill>
                  <w14:solidFill>
                    <w14:schemeClr w14:val="tx1"/>
                  </w14:solidFill>
                </w14:textFill>
              </w:rPr>
              <w:t>150</w:t>
            </w:r>
          </w:p>
        </w:tc>
        <w:tc>
          <w:tcPr>
            <w:tcW w:w="2456" w:type="dxa"/>
            <w:gridSpan w:val="11"/>
            <w:tcBorders>
              <w:top w:val="single" w:color="000000" w:sz="4" w:space="0"/>
              <w:left w:val="single" w:color="000000" w:sz="4" w:space="0"/>
              <w:bottom w:val="single" w:color="000000" w:sz="4" w:space="0"/>
              <w:right w:val="single" w:color="000000" w:sz="4" w:space="0"/>
            </w:tcBorders>
            <w:vAlign w:val="center"/>
          </w:tcPr>
          <w:p w14:paraId="529DD8AF">
            <w:pPr>
              <w:keepNext w:val="0"/>
              <w:keepLines w:val="0"/>
              <w:widowControl/>
              <w:suppressLineNumbers w:val="0"/>
              <w:jc w:val="center"/>
              <w:textAlignment w:val="cente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18"/>
                <w:szCs w:val="18"/>
                <w:highlight w:val="none"/>
                <w:u w:val="none"/>
                <w:lang w:val="en-US" w:eastAsia="zh-CN" w:bidi="ar"/>
                <w14:textFill>
                  <w14:solidFill>
                    <w14:schemeClr w14:val="tx1"/>
                  </w14:solidFill>
                </w14:textFill>
              </w:rPr>
              <w:t>149</w:t>
            </w:r>
          </w:p>
        </w:tc>
      </w:tr>
      <w:tr w14:paraId="1CAE4DBE">
        <w:tblPrEx>
          <w:tblCellMar>
            <w:top w:w="0" w:type="dxa"/>
            <w:left w:w="108" w:type="dxa"/>
            <w:bottom w:w="0" w:type="dxa"/>
            <w:right w:w="108" w:type="dxa"/>
          </w:tblCellMar>
        </w:tblPrEx>
        <w:trPr>
          <w:trHeight w:val="289" w:hRule="atLeast"/>
          <w:jc w:val="center"/>
        </w:trPr>
        <w:tc>
          <w:tcPr>
            <w:tcW w:w="1871" w:type="dxa"/>
            <w:gridSpan w:val="6"/>
            <w:tcBorders>
              <w:top w:val="single" w:color="000000" w:sz="4" w:space="0"/>
              <w:left w:val="single" w:color="000000" w:sz="4" w:space="0"/>
              <w:bottom w:val="single" w:color="000000" w:sz="4" w:space="0"/>
              <w:right w:val="single" w:color="000000" w:sz="4" w:space="0"/>
            </w:tcBorders>
            <w:vAlign w:val="center"/>
          </w:tcPr>
          <w:p w14:paraId="1E6D66EB">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土地用途</w:t>
            </w:r>
          </w:p>
        </w:tc>
        <w:tc>
          <w:tcPr>
            <w:tcW w:w="2044" w:type="dxa"/>
            <w:gridSpan w:val="14"/>
            <w:tcBorders>
              <w:top w:val="single" w:color="000000" w:sz="4" w:space="0"/>
              <w:left w:val="single" w:color="000000" w:sz="4" w:space="0"/>
              <w:bottom w:val="single" w:color="000000" w:sz="4" w:space="0"/>
              <w:right w:val="single" w:color="000000" w:sz="4" w:space="0"/>
            </w:tcBorders>
            <w:vAlign w:val="center"/>
          </w:tcPr>
          <w:p w14:paraId="3B765E17">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pPr>
            <w:r>
              <w:rPr>
                <w:rFonts w:ascii="仿宋_GB2312" w:hAnsi="仿宋_GB2312" w:eastAsia="仿宋_GB2312" w:cs="仿宋_GB2312"/>
                <w:i w:val="0"/>
                <w:color w:val="000000"/>
                <w:sz w:val="20"/>
              </w:rPr>
              <w:t>二类城镇住宅用地</w:t>
            </w:r>
          </w:p>
        </w:tc>
        <w:tc>
          <w:tcPr>
            <w:tcW w:w="2746" w:type="dxa"/>
            <w:gridSpan w:val="15"/>
            <w:tcBorders>
              <w:top w:val="single" w:color="000000" w:sz="4" w:space="0"/>
              <w:left w:val="single" w:color="000000" w:sz="4" w:space="0"/>
              <w:bottom w:val="single" w:color="000000" w:sz="4" w:space="0"/>
              <w:right w:val="single" w:color="000000" w:sz="4" w:space="0"/>
            </w:tcBorders>
            <w:vAlign w:val="center"/>
          </w:tcPr>
          <w:p w14:paraId="117EFA07">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pPr>
            <w:r>
              <w:rPr>
                <w:rFonts w:ascii="仿宋_GB2312" w:hAnsi="仿宋_GB2312" w:eastAsia="仿宋_GB2312" w:cs="仿宋_GB2312"/>
                <w:i w:val="0"/>
                <w:color w:val="000000"/>
                <w:sz w:val="20"/>
              </w:rPr>
              <w:t>城镇住宅用地</w:t>
            </w:r>
          </w:p>
        </w:tc>
        <w:tc>
          <w:tcPr>
            <w:tcW w:w="2456" w:type="dxa"/>
            <w:gridSpan w:val="11"/>
            <w:tcBorders>
              <w:top w:val="single" w:color="000000" w:sz="4" w:space="0"/>
              <w:left w:val="single" w:color="000000" w:sz="4" w:space="0"/>
              <w:bottom w:val="single" w:color="000000" w:sz="4" w:space="0"/>
              <w:right w:val="single" w:color="000000" w:sz="4" w:space="0"/>
            </w:tcBorders>
            <w:vAlign w:val="center"/>
          </w:tcPr>
          <w:p w14:paraId="10F29C0D">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pPr>
            <w:r>
              <w:rPr>
                <w:rFonts w:ascii="仿宋_GB2312" w:hAnsi="仿宋_GB2312" w:eastAsia="仿宋_GB2312" w:cs="仿宋_GB2312"/>
                <w:i w:val="0"/>
                <w:color w:val="000000"/>
                <w:sz w:val="20"/>
              </w:rPr>
              <w:t>二类城镇住宅用地</w:t>
            </w:r>
          </w:p>
        </w:tc>
      </w:tr>
      <w:tr w14:paraId="2505AC4A">
        <w:tblPrEx>
          <w:tblCellMar>
            <w:top w:w="0" w:type="dxa"/>
            <w:left w:w="108" w:type="dxa"/>
            <w:bottom w:w="0" w:type="dxa"/>
            <w:right w:w="108" w:type="dxa"/>
          </w:tblCellMar>
        </w:tblPrEx>
        <w:trPr>
          <w:trHeight w:val="268" w:hRule="atLeast"/>
          <w:jc w:val="center"/>
        </w:trPr>
        <w:tc>
          <w:tcPr>
            <w:tcW w:w="1871" w:type="dxa"/>
            <w:gridSpan w:val="6"/>
            <w:tcBorders>
              <w:top w:val="single" w:color="000000" w:sz="4" w:space="0"/>
              <w:left w:val="single" w:color="000000" w:sz="4" w:space="0"/>
              <w:bottom w:val="single" w:color="000000" w:sz="4" w:space="0"/>
              <w:right w:val="single" w:color="000000" w:sz="4" w:space="0"/>
            </w:tcBorders>
            <w:vAlign w:val="center"/>
          </w:tcPr>
          <w:p w14:paraId="22E73D5C">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土地面积（㎡）</w:t>
            </w:r>
          </w:p>
        </w:tc>
        <w:tc>
          <w:tcPr>
            <w:tcW w:w="2044" w:type="dxa"/>
            <w:gridSpan w:val="14"/>
            <w:tcBorders>
              <w:top w:val="single" w:color="000000" w:sz="4" w:space="0"/>
              <w:left w:val="single" w:color="000000" w:sz="4" w:space="0"/>
              <w:bottom w:val="single" w:color="000000" w:sz="4" w:space="0"/>
              <w:right w:val="single" w:color="000000" w:sz="4" w:space="0"/>
            </w:tcBorders>
            <w:vAlign w:val="center"/>
          </w:tcPr>
          <w:p w14:paraId="6DBAEAE0">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t>10772.5</w:t>
            </w:r>
          </w:p>
        </w:tc>
        <w:tc>
          <w:tcPr>
            <w:tcW w:w="2746" w:type="dxa"/>
            <w:gridSpan w:val="15"/>
            <w:tcBorders>
              <w:top w:val="single" w:color="000000" w:sz="4" w:space="0"/>
              <w:left w:val="single" w:color="000000" w:sz="4" w:space="0"/>
              <w:bottom w:val="single" w:color="000000" w:sz="4" w:space="0"/>
              <w:right w:val="single" w:color="000000" w:sz="4" w:space="0"/>
            </w:tcBorders>
            <w:vAlign w:val="center"/>
          </w:tcPr>
          <w:p w14:paraId="0723E3ED">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t>54307.3</w:t>
            </w:r>
          </w:p>
        </w:tc>
        <w:tc>
          <w:tcPr>
            <w:tcW w:w="2456" w:type="dxa"/>
            <w:gridSpan w:val="11"/>
            <w:tcBorders>
              <w:top w:val="single" w:color="000000" w:sz="4" w:space="0"/>
              <w:left w:val="single" w:color="000000" w:sz="4" w:space="0"/>
              <w:bottom w:val="single" w:color="000000" w:sz="4" w:space="0"/>
              <w:right w:val="single" w:color="000000" w:sz="4" w:space="0"/>
            </w:tcBorders>
            <w:vAlign w:val="center"/>
          </w:tcPr>
          <w:p w14:paraId="7A79C68A">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t>6769.2</w:t>
            </w:r>
          </w:p>
        </w:tc>
      </w:tr>
      <w:tr w14:paraId="1AB793F3">
        <w:tblPrEx>
          <w:tblCellMar>
            <w:top w:w="0" w:type="dxa"/>
            <w:left w:w="108" w:type="dxa"/>
            <w:bottom w:w="0" w:type="dxa"/>
            <w:right w:w="108" w:type="dxa"/>
          </w:tblCellMar>
        </w:tblPrEx>
        <w:trPr>
          <w:trHeight w:val="211" w:hRule="atLeast"/>
          <w:jc w:val="center"/>
        </w:trPr>
        <w:tc>
          <w:tcPr>
            <w:tcW w:w="1871" w:type="dxa"/>
            <w:gridSpan w:val="6"/>
            <w:tcBorders>
              <w:top w:val="single" w:color="000000" w:sz="4" w:space="0"/>
              <w:left w:val="single" w:color="000000" w:sz="4" w:space="0"/>
              <w:bottom w:val="single" w:color="000000" w:sz="4" w:space="0"/>
              <w:right w:val="single" w:color="000000" w:sz="4" w:space="0"/>
            </w:tcBorders>
            <w:vAlign w:val="center"/>
          </w:tcPr>
          <w:p w14:paraId="6EAE0D2A">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交易时间</w:t>
            </w:r>
          </w:p>
        </w:tc>
        <w:tc>
          <w:tcPr>
            <w:tcW w:w="2044" w:type="dxa"/>
            <w:gridSpan w:val="14"/>
            <w:tcBorders>
              <w:top w:val="single" w:color="000000" w:sz="4" w:space="0"/>
              <w:left w:val="single" w:color="000000" w:sz="4" w:space="0"/>
              <w:bottom w:val="single" w:color="000000" w:sz="4" w:space="0"/>
              <w:right w:val="single" w:color="000000" w:sz="4" w:space="0"/>
            </w:tcBorders>
            <w:vAlign w:val="center"/>
          </w:tcPr>
          <w:p w14:paraId="39394430">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t>2024年8月5日</w:t>
            </w:r>
          </w:p>
        </w:tc>
        <w:tc>
          <w:tcPr>
            <w:tcW w:w="2746" w:type="dxa"/>
            <w:gridSpan w:val="15"/>
            <w:tcBorders>
              <w:top w:val="single" w:color="000000" w:sz="4" w:space="0"/>
              <w:left w:val="single" w:color="000000" w:sz="4" w:space="0"/>
              <w:bottom w:val="single" w:color="000000" w:sz="4" w:space="0"/>
              <w:right w:val="single" w:color="000000" w:sz="4" w:space="0"/>
            </w:tcBorders>
            <w:vAlign w:val="center"/>
          </w:tcPr>
          <w:p w14:paraId="5F4B8875">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t>2024年1月10日</w:t>
            </w:r>
          </w:p>
        </w:tc>
        <w:tc>
          <w:tcPr>
            <w:tcW w:w="2456" w:type="dxa"/>
            <w:gridSpan w:val="11"/>
            <w:tcBorders>
              <w:top w:val="single" w:color="000000" w:sz="4" w:space="0"/>
              <w:left w:val="single" w:color="000000" w:sz="4" w:space="0"/>
              <w:bottom w:val="single" w:color="000000" w:sz="4" w:space="0"/>
              <w:right w:val="single" w:color="000000" w:sz="4" w:space="0"/>
            </w:tcBorders>
            <w:vAlign w:val="center"/>
          </w:tcPr>
          <w:p w14:paraId="0DC9C8F6">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t>2024年8月26日</w:t>
            </w:r>
          </w:p>
        </w:tc>
      </w:tr>
      <w:tr w14:paraId="58615ACB">
        <w:tblPrEx>
          <w:tblCellMar>
            <w:top w:w="0" w:type="dxa"/>
            <w:left w:w="108" w:type="dxa"/>
            <w:bottom w:w="0" w:type="dxa"/>
            <w:right w:w="108" w:type="dxa"/>
          </w:tblCellMar>
        </w:tblPrEx>
        <w:trPr>
          <w:trHeight w:val="211" w:hRule="atLeast"/>
          <w:jc w:val="center"/>
        </w:trPr>
        <w:tc>
          <w:tcPr>
            <w:tcW w:w="1871" w:type="dxa"/>
            <w:gridSpan w:val="6"/>
            <w:tcBorders>
              <w:top w:val="single" w:color="000000" w:sz="4" w:space="0"/>
              <w:left w:val="single" w:color="000000" w:sz="4" w:space="0"/>
              <w:bottom w:val="single" w:color="000000" w:sz="4" w:space="0"/>
              <w:right w:val="single" w:color="000000" w:sz="4" w:space="0"/>
            </w:tcBorders>
            <w:vAlign w:val="center"/>
          </w:tcPr>
          <w:p w14:paraId="31611854">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交易情况</w:t>
            </w:r>
          </w:p>
        </w:tc>
        <w:tc>
          <w:tcPr>
            <w:tcW w:w="2044" w:type="dxa"/>
            <w:gridSpan w:val="14"/>
            <w:tcBorders>
              <w:top w:val="single" w:color="000000" w:sz="4" w:space="0"/>
              <w:left w:val="single" w:color="000000" w:sz="4" w:space="0"/>
              <w:bottom w:val="single" w:color="000000" w:sz="4" w:space="0"/>
              <w:right w:val="single" w:color="000000" w:sz="4" w:space="0"/>
            </w:tcBorders>
            <w:vAlign w:val="center"/>
          </w:tcPr>
          <w:p w14:paraId="53B0DBFE">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正常</w:t>
            </w:r>
          </w:p>
        </w:tc>
        <w:tc>
          <w:tcPr>
            <w:tcW w:w="2746" w:type="dxa"/>
            <w:gridSpan w:val="15"/>
            <w:tcBorders>
              <w:top w:val="single" w:color="000000" w:sz="4" w:space="0"/>
              <w:left w:val="single" w:color="000000" w:sz="4" w:space="0"/>
              <w:bottom w:val="single" w:color="000000" w:sz="4" w:space="0"/>
              <w:right w:val="single" w:color="000000" w:sz="4" w:space="0"/>
            </w:tcBorders>
            <w:vAlign w:val="center"/>
          </w:tcPr>
          <w:p w14:paraId="3630DF8A">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正常</w:t>
            </w:r>
          </w:p>
        </w:tc>
        <w:tc>
          <w:tcPr>
            <w:tcW w:w="2456" w:type="dxa"/>
            <w:gridSpan w:val="11"/>
            <w:tcBorders>
              <w:top w:val="single" w:color="000000" w:sz="4" w:space="0"/>
              <w:left w:val="single" w:color="000000" w:sz="4" w:space="0"/>
              <w:bottom w:val="single" w:color="000000" w:sz="4" w:space="0"/>
              <w:right w:val="single" w:color="000000" w:sz="4" w:space="0"/>
            </w:tcBorders>
            <w:vAlign w:val="center"/>
          </w:tcPr>
          <w:p w14:paraId="3AC324A8">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正常</w:t>
            </w:r>
          </w:p>
        </w:tc>
      </w:tr>
      <w:tr w14:paraId="1F9FBC65">
        <w:tblPrEx>
          <w:tblCellMar>
            <w:top w:w="0" w:type="dxa"/>
            <w:left w:w="108" w:type="dxa"/>
            <w:bottom w:w="0" w:type="dxa"/>
            <w:right w:w="108" w:type="dxa"/>
          </w:tblCellMar>
        </w:tblPrEx>
        <w:trPr>
          <w:trHeight w:val="211" w:hRule="atLeast"/>
          <w:jc w:val="center"/>
        </w:trPr>
        <w:tc>
          <w:tcPr>
            <w:tcW w:w="1871" w:type="dxa"/>
            <w:gridSpan w:val="6"/>
            <w:tcBorders>
              <w:top w:val="single" w:color="000000" w:sz="4" w:space="0"/>
              <w:left w:val="single" w:color="000000" w:sz="4" w:space="0"/>
              <w:bottom w:val="single" w:color="000000" w:sz="4" w:space="0"/>
              <w:right w:val="single" w:color="000000" w:sz="4" w:space="0"/>
            </w:tcBorders>
            <w:vAlign w:val="center"/>
          </w:tcPr>
          <w:p w14:paraId="5FE582FF">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交易方式</w:t>
            </w:r>
          </w:p>
        </w:tc>
        <w:tc>
          <w:tcPr>
            <w:tcW w:w="2044" w:type="dxa"/>
            <w:gridSpan w:val="14"/>
            <w:tcBorders>
              <w:top w:val="single" w:color="000000" w:sz="4" w:space="0"/>
              <w:left w:val="single" w:color="000000" w:sz="4" w:space="0"/>
              <w:bottom w:val="single" w:color="000000" w:sz="4" w:space="0"/>
              <w:right w:val="single" w:color="000000" w:sz="4" w:space="0"/>
            </w:tcBorders>
            <w:vAlign w:val="center"/>
          </w:tcPr>
          <w:p w14:paraId="26E911DC">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挂牌出让</w:t>
            </w:r>
          </w:p>
        </w:tc>
        <w:tc>
          <w:tcPr>
            <w:tcW w:w="2746" w:type="dxa"/>
            <w:gridSpan w:val="15"/>
            <w:tcBorders>
              <w:top w:val="single" w:color="000000" w:sz="4" w:space="0"/>
              <w:left w:val="single" w:color="000000" w:sz="4" w:space="0"/>
              <w:bottom w:val="single" w:color="000000" w:sz="4" w:space="0"/>
              <w:right w:val="single" w:color="000000" w:sz="4" w:space="0"/>
            </w:tcBorders>
            <w:vAlign w:val="center"/>
          </w:tcPr>
          <w:p w14:paraId="63B9D06C">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挂牌出让</w:t>
            </w:r>
          </w:p>
        </w:tc>
        <w:tc>
          <w:tcPr>
            <w:tcW w:w="2456" w:type="dxa"/>
            <w:gridSpan w:val="11"/>
            <w:tcBorders>
              <w:top w:val="single" w:color="000000" w:sz="4" w:space="0"/>
              <w:left w:val="single" w:color="000000" w:sz="4" w:space="0"/>
              <w:bottom w:val="single" w:color="000000" w:sz="4" w:space="0"/>
              <w:right w:val="single" w:color="000000" w:sz="4" w:space="0"/>
            </w:tcBorders>
            <w:vAlign w:val="center"/>
          </w:tcPr>
          <w:p w14:paraId="1531372F">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挂牌出让</w:t>
            </w:r>
          </w:p>
        </w:tc>
      </w:tr>
      <w:tr w14:paraId="3FF89AEB">
        <w:tblPrEx>
          <w:tblCellMar>
            <w:top w:w="0" w:type="dxa"/>
            <w:left w:w="108" w:type="dxa"/>
            <w:bottom w:w="0" w:type="dxa"/>
            <w:right w:w="108" w:type="dxa"/>
          </w:tblCellMar>
        </w:tblPrEx>
        <w:trPr>
          <w:trHeight w:val="211" w:hRule="atLeast"/>
          <w:jc w:val="center"/>
        </w:trPr>
        <w:tc>
          <w:tcPr>
            <w:tcW w:w="1871" w:type="dxa"/>
            <w:gridSpan w:val="6"/>
            <w:tcBorders>
              <w:top w:val="single" w:color="000000" w:sz="4" w:space="0"/>
              <w:left w:val="single" w:color="000000" w:sz="4" w:space="0"/>
              <w:bottom w:val="single" w:color="000000" w:sz="4" w:space="0"/>
              <w:right w:val="single" w:color="000000" w:sz="4" w:space="0"/>
            </w:tcBorders>
            <w:vAlign w:val="center"/>
          </w:tcPr>
          <w:p w14:paraId="0BBA8FE8">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土地使用年限</w:t>
            </w:r>
          </w:p>
        </w:tc>
        <w:tc>
          <w:tcPr>
            <w:tcW w:w="2044" w:type="dxa"/>
            <w:gridSpan w:val="14"/>
            <w:tcBorders>
              <w:top w:val="single" w:color="000000" w:sz="4" w:space="0"/>
              <w:left w:val="single" w:color="000000" w:sz="4" w:space="0"/>
              <w:bottom w:val="single" w:color="000000" w:sz="4" w:space="0"/>
              <w:right w:val="single" w:color="000000" w:sz="4" w:space="0"/>
            </w:tcBorders>
            <w:vAlign w:val="center"/>
          </w:tcPr>
          <w:p w14:paraId="55E6A2CF">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ascii="仿宋_GB2312" w:hAnsi="仿宋_GB2312" w:eastAsia="仿宋_GB2312" w:cs="仿宋_GB2312"/>
                <w:color w:val="000000"/>
                <w:sz w:val="18"/>
              </w:rPr>
              <w:t>70年</w:t>
            </w:r>
          </w:p>
        </w:tc>
        <w:tc>
          <w:tcPr>
            <w:tcW w:w="2746" w:type="dxa"/>
            <w:gridSpan w:val="15"/>
            <w:tcBorders>
              <w:top w:val="single" w:color="000000" w:sz="4" w:space="0"/>
              <w:left w:val="single" w:color="000000" w:sz="4" w:space="0"/>
              <w:bottom w:val="single" w:color="000000" w:sz="4" w:space="0"/>
              <w:right w:val="single" w:color="000000" w:sz="4" w:space="0"/>
            </w:tcBorders>
            <w:vAlign w:val="center"/>
          </w:tcPr>
          <w:p w14:paraId="37B6AABA">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ascii="仿宋_GB2312" w:hAnsi="仿宋_GB2312" w:eastAsia="仿宋_GB2312" w:cs="仿宋_GB2312"/>
                <w:color w:val="000000"/>
                <w:sz w:val="18"/>
              </w:rPr>
              <w:t>70年</w:t>
            </w:r>
          </w:p>
        </w:tc>
        <w:tc>
          <w:tcPr>
            <w:tcW w:w="2456" w:type="dxa"/>
            <w:gridSpan w:val="11"/>
            <w:tcBorders>
              <w:top w:val="single" w:color="000000" w:sz="4" w:space="0"/>
              <w:left w:val="single" w:color="000000" w:sz="4" w:space="0"/>
              <w:bottom w:val="single" w:color="000000" w:sz="4" w:space="0"/>
              <w:right w:val="single" w:color="000000" w:sz="4" w:space="0"/>
            </w:tcBorders>
            <w:vAlign w:val="center"/>
          </w:tcPr>
          <w:p w14:paraId="381E59E7">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ascii="仿宋_GB2312" w:hAnsi="仿宋_GB2312" w:eastAsia="仿宋_GB2312" w:cs="仿宋_GB2312"/>
                <w:color w:val="000000"/>
                <w:sz w:val="18"/>
              </w:rPr>
              <w:t>70年</w:t>
            </w:r>
          </w:p>
        </w:tc>
      </w:tr>
    </w:tbl>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0"/>
        <w:gridCol w:w="266"/>
        <w:gridCol w:w="3790"/>
        <w:gridCol w:w="455"/>
        <w:gridCol w:w="3601"/>
        <w:gridCol w:w="764"/>
      </w:tblGrid>
      <w:tr w14:paraId="01FCF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jc w:val="center"/>
        </w:trPr>
        <w:tc>
          <w:tcPr>
            <w:tcW w:w="676" w:type="dxa"/>
            <w:gridSpan w:val="2"/>
            <w:vAlign w:val="center"/>
          </w:tcPr>
          <w:p w14:paraId="38EE65E2">
            <w:pPr>
              <w:pStyle w:val="14"/>
              <w:keepNext w:val="0"/>
              <w:keepLines w:val="0"/>
              <w:suppressLineNumbers w:val="0"/>
              <w:spacing w:before="0" w:beforeAutospacing="0" w:after="0" w:afterAutospacing="0"/>
              <w:ind w:left="0" w:right="0" w:firstLine="0" w:firstLineChars="0"/>
              <w:jc w:val="center"/>
              <w:outlineLvl w:val="9"/>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比较实例</w:t>
            </w:r>
          </w:p>
        </w:tc>
        <w:tc>
          <w:tcPr>
            <w:tcW w:w="4245" w:type="dxa"/>
            <w:gridSpan w:val="2"/>
            <w:vAlign w:val="center"/>
          </w:tcPr>
          <w:p w14:paraId="6E8202BD">
            <w:pPr>
              <w:pStyle w:val="14"/>
              <w:keepNext w:val="0"/>
              <w:keepLines w:val="0"/>
              <w:suppressLineNumbers w:val="0"/>
              <w:spacing w:before="0" w:beforeAutospacing="0" w:after="0" w:afterAutospacing="0"/>
              <w:ind w:left="0" w:right="0"/>
              <w:jc w:val="center"/>
              <w:outlineLvl w:val="9"/>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实例位置图</w:t>
            </w:r>
          </w:p>
        </w:tc>
        <w:tc>
          <w:tcPr>
            <w:tcW w:w="4365" w:type="dxa"/>
            <w:gridSpan w:val="2"/>
            <w:vAlign w:val="center"/>
          </w:tcPr>
          <w:p w14:paraId="6E3B30AA">
            <w:pPr>
              <w:pStyle w:val="14"/>
              <w:keepNext w:val="0"/>
              <w:keepLines w:val="0"/>
              <w:suppressLineNumbers w:val="0"/>
              <w:spacing w:before="0" w:beforeAutospacing="0" w:after="0" w:afterAutospacing="0"/>
              <w:ind w:left="0" w:right="0"/>
              <w:jc w:val="center"/>
              <w:outlineLvl w:val="9"/>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实例现状图</w:t>
            </w:r>
          </w:p>
        </w:tc>
      </w:tr>
      <w:tr w14:paraId="1F64A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5" w:hRule="atLeast"/>
          <w:jc w:val="center"/>
        </w:trPr>
        <w:tc>
          <w:tcPr>
            <w:tcW w:w="676" w:type="dxa"/>
            <w:gridSpan w:val="2"/>
            <w:vAlign w:val="center"/>
          </w:tcPr>
          <w:p w14:paraId="2A20DF84">
            <w:pPr>
              <w:pStyle w:val="14"/>
              <w:keepNext w:val="0"/>
              <w:keepLines w:val="0"/>
              <w:suppressLineNumbers w:val="0"/>
              <w:spacing w:before="0" w:beforeAutospacing="0" w:after="0" w:afterAutospacing="0"/>
              <w:ind w:left="0" w:right="0" w:firstLine="0" w:firstLineChars="0"/>
              <w:jc w:val="center"/>
              <w:outlineLvl w:val="9"/>
              <w:rPr>
                <w:rFonts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实例A</w:t>
            </w:r>
          </w:p>
        </w:tc>
        <w:tc>
          <w:tcPr>
            <w:tcW w:w="4245" w:type="dxa"/>
            <w:gridSpan w:val="2"/>
            <w:vAlign w:val="center"/>
          </w:tcPr>
          <w:p w14:paraId="5F2693B1">
            <w:pPr>
              <w:pStyle w:val="14"/>
              <w:keepNext w:val="0"/>
              <w:keepLines w:val="0"/>
              <w:suppressLineNumbers w:val="0"/>
              <w:spacing w:before="0" w:beforeAutospacing="0" w:after="0" w:afterAutospacing="0"/>
              <w:ind w:left="0" w:right="0" w:firstLine="0" w:firstLineChars="0"/>
              <w:jc w:val="center"/>
              <w:outlineLvl w:val="9"/>
              <w:rPr>
                <w:rFonts w:hint="eastAsia" w:eastAsia="仿宋"/>
                <w:color w:val="000000" w:themeColor="text1"/>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zCs w:val="21"/>
                <w:highlight w:val="none"/>
                <w:lang w:eastAsia="zh-CN"/>
                <w14:textFill>
                  <w14:solidFill>
                    <w14:schemeClr w14:val="tx1"/>
                  </w14:solidFill>
                </w14:textFill>
              </w:rPr>
              <w:drawing>
                <wp:inline distT="0" distB="0" distL="114300" distR="114300">
                  <wp:extent cx="2628265" cy="1572260"/>
                  <wp:effectExtent l="0" t="0" r="8255" b="12700"/>
                  <wp:docPr id="1015" name="图片 35" descr="比较案例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图片 35" descr="比较案例A"/>
                          <pic:cNvPicPr>
                            <a:picLocks noChangeAspect="1"/>
                          </pic:cNvPicPr>
                        </pic:nvPicPr>
                        <pic:blipFill>
                          <a:blip r:embed="rId37"/>
                          <a:stretch>
                            <a:fillRect/>
                          </a:stretch>
                        </pic:blipFill>
                        <pic:spPr>
                          <a:xfrm>
                            <a:off x="0" y="0"/>
                            <a:ext cx="2628265" cy="1572260"/>
                          </a:xfrm>
                          <a:prstGeom prst="rect">
                            <a:avLst/>
                          </a:prstGeom>
                        </pic:spPr>
                      </pic:pic>
                    </a:graphicData>
                  </a:graphic>
                </wp:inline>
              </w:drawing>
            </w:r>
          </w:p>
        </w:tc>
        <w:tc>
          <w:tcPr>
            <w:tcW w:w="4365" w:type="dxa"/>
            <w:gridSpan w:val="2"/>
            <w:vAlign w:val="center"/>
          </w:tcPr>
          <w:p w14:paraId="2C8A8FD0">
            <w:pPr>
              <w:pStyle w:val="14"/>
              <w:keepNext w:val="0"/>
              <w:keepLines w:val="0"/>
              <w:suppressLineNumbers w:val="0"/>
              <w:spacing w:before="0" w:beforeAutospacing="0" w:after="0" w:afterAutospacing="0"/>
              <w:ind w:left="0" w:right="0" w:firstLine="0" w:firstLineChars="0"/>
              <w:jc w:val="center"/>
              <w:outlineLvl w:val="9"/>
              <w:rPr>
                <w:rFonts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drawing>
                <wp:inline distT="0" distB="0" distL="114300" distR="114300">
                  <wp:extent cx="2628265" cy="1572895"/>
                  <wp:effectExtent l="0" t="0" r="8255" b="12065"/>
                  <wp:docPr id="1016" name="图片 52" descr="689d6665ae17056abeb78e5d03d85f2"/>
                  <wp:cNvGraphicFramePr/>
                  <a:graphic xmlns:a="http://schemas.openxmlformats.org/drawingml/2006/main">
                    <a:graphicData uri="http://schemas.openxmlformats.org/drawingml/2006/picture">
                      <pic:pic xmlns:pic="http://schemas.openxmlformats.org/drawingml/2006/picture">
                        <pic:nvPicPr>
                          <pic:cNvPr id="1016" name="图片 52" descr="689d6665ae17056abeb78e5d03d85f2"/>
                          <pic:cNvPicPr/>
                        </pic:nvPicPr>
                        <pic:blipFill>
                          <a:blip r:embed="rId38"/>
                          <a:stretch>
                            <a:fillRect/>
                          </a:stretch>
                        </pic:blipFill>
                        <pic:spPr>
                          <a:xfrm>
                            <a:off x="0" y="0"/>
                            <a:ext cx="2628265" cy="1572895"/>
                          </a:xfrm>
                          <a:prstGeom prst="rect">
                            <a:avLst/>
                          </a:prstGeom>
                          <a:noFill/>
                          <a:ln>
                            <a:noFill/>
                          </a:ln>
                        </pic:spPr>
                      </pic:pic>
                    </a:graphicData>
                  </a:graphic>
                </wp:inline>
              </w:drawing>
            </w:r>
          </w:p>
        </w:tc>
      </w:tr>
      <w:tr w14:paraId="02568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trHeight w:val="190" w:hRule="atLeast"/>
        </w:trPr>
        <w:tc>
          <w:tcPr>
            <w:tcW w:w="363" w:type="pct"/>
            <w:vAlign w:val="center"/>
          </w:tcPr>
          <w:p w14:paraId="6C10628A">
            <w:pPr>
              <w:pStyle w:val="14"/>
              <w:keepNext w:val="0"/>
              <w:keepLines w:val="0"/>
              <w:suppressLineNumbers w:val="0"/>
              <w:spacing w:before="0" w:beforeAutospacing="0" w:after="0" w:afterAutospacing="0"/>
              <w:ind w:left="0" w:right="0" w:firstLine="0" w:firstLineChars="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w:t>
            </w:r>
          </w:p>
        </w:tc>
        <w:tc>
          <w:tcPr>
            <w:tcW w:w="2285" w:type="pct"/>
            <w:gridSpan w:val="2"/>
            <w:vAlign w:val="center"/>
          </w:tcPr>
          <w:p w14:paraId="0B9C91CD">
            <w:pPr>
              <w:pStyle w:val="14"/>
              <w:keepNext w:val="0"/>
              <w:keepLines w:val="0"/>
              <w:suppressLineNumbers w:val="0"/>
              <w:spacing w:before="0" w:beforeAutospacing="0" w:after="0" w:afterAutospacing="0"/>
              <w:ind w:left="0" w:right="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实例位置图</w:t>
            </w:r>
          </w:p>
        </w:tc>
        <w:tc>
          <w:tcPr>
            <w:tcW w:w="2350" w:type="pct"/>
            <w:gridSpan w:val="2"/>
            <w:vAlign w:val="center"/>
          </w:tcPr>
          <w:p w14:paraId="721A9899">
            <w:pPr>
              <w:pStyle w:val="14"/>
              <w:keepNext w:val="0"/>
              <w:keepLines w:val="0"/>
              <w:suppressLineNumbers w:val="0"/>
              <w:spacing w:before="0" w:beforeAutospacing="0" w:after="0" w:afterAutospacing="0"/>
              <w:ind w:left="0" w:right="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实例现状图</w:t>
            </w:r>
          </w:p>
        </w:tc>
      </w:tr>
      <w:tr w14:paraId="4C347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trHeight w:val="2573" w:hRule="atLeast"/>
        </w:trPr>
        <w:tc>
          <w:tcPr>
            <w:tcW w:w="363" w:type="pct"/>
            <w:vAlign w:val="center"/>
          </w:tcPr>
          <w:p w14:paraId="30CBF3F6">
            <w:pPr>
              <w:pStyle w:val="14"/>
              <w:keepNext w:val="0"/>
              <w:keepLines w:val="0"/>
              <w:suppressLineNumbers w:val="0"/>
              <w:spacing w:before="0" w:beforeAutospacing="0" w:after="0" w:afterAutospacing="0"/>
              <w:ind w:left="0" w:right="0" w:firstLine="0" w:firstLineChars="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实例B</w:t>
            </w:r>
          </w:p>
        </w:tc>
        <w:tc>
          <w:tcPr>
            <w:tcW w:w="2285" w:type="pct"/>
            <w:gridSpan w:val="2"/>
            <w:vAlign w:val="center"/>
          </w:tcPr>
          <w:p w14:paraId="24BAA9DC">
            <w:pPr>
              <w:pStyle w:val="14"/>
              <w:keepNext w:val="0"/>
              <w:keepLines w:val="0"/>
              <w:suppressLineNumbers w:val="0"/>
              <w:spacing w:before="0" w:beforeAutospacing="0" w:after="0" w:afterAutospacing="0"/>
              <w:ind w:left="0" w:right="0" w:firstLine="0" w:firstLineChars="0"/>
              <w:rPr>
                <w:rFonts w:hint="eastAsia" w:ascii="仿宋_GB2312" w:hAnsi="仿宋_GB2312" w:eastAsia="仿宋_GB2312" w:cs="仿宋_GB2312"/>
                <w:color w:val="000000" w:themeColor="text1"/>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zCs w:val="21"/>
                <w:highlight w:val="none"/>
                <w:lang w:eastAsia="zh-CN"/>
                <w14:textFill>
                  <w14:solidFill>
                    <w14:schemeClr w14:val="tx1"/>
                  </w14:solidFill>
                </w14:textFill>
              </w:rPr>
              <w:drawing>
                <wp:inline distT="0" distB="0" distL="114300" distR="114300">
                  <wp:extent cx="2628265" cy="1572895"/>
                  <wp:effectExtent l="0" t="0" r="8255" b="12065"/>
                  <wp:docPr id="1017" name="图片 36" descr="案例B位置"/>
                  <wp:cNvGraphicFramePr/>
                  <a:graphic xmlns:a="http://schemas.openxmlformats.org/drawingml/2006/main">
                    <a:graphicData uri="http://schemas.openxmlformats.org/drawingml/2006/picture">
                      <pic:pic xmlns:pic="http://schemas.openxmlformats.org/drawingml/2006/picture">
                        <pic:nvPicPr>
                          <pic:cNvPr id="1017" name="图片 36" descr="案例B位置"/>
                          <pic:cNvPicPr/>
                        </pic:nvPicPr>
                        <pic:blipFill>
                          <a:blip r:embed="rId39"/>
                          <a:srcRect l="8609" r="11894"/>
                          <a:stretch>
                            <a:fillRect/>
                          </a:stretch>
                        </pic:blipFill>
                        <pic:spPr>
                          <a:xfrm>
                            <a:off x="0" y="0"/>
                            <a:ext cx="2628265" cy="1572895"/>
                          </a:xfrm>
                          <a:prstGeom prst="rect">
                            <a:avLst/>
                          </a:prstGeom>
                        </pic:spPr>
                      </pic:pic>
                    </a:graphicData>
                  </a:graphic>
                </wp:inline>
              </w:drawing>
            </w:r>
          </w:p>
        </w:tc>
        <w:tc>
          <w:tcPr>
            <w:tcW w:w="2350" w:type="pct"/>
            <w:gridSpan w:val="2"/>
            <w:vAlign w:val="center"/>
          </w:tcPr>
          <w:p w14:paraId="32DDA442">
            <w:pPr>
              <w:pStyle w:val="14"/>
              <w:keepNext w:val="0"/>
              <w:keepLines w:val="0"/>
              <w:suppressLineNumbers w:val="0"/>
              <w:spacing w:before="0" w:beforeAutospacing="0" w:after="0" w:afterAutospacing="0"/>
              <w:ind w:left="0" w:right="0" w:firstLine="0" w:firstLineChars="0"/>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highlight w:val="none"/>
                <w14:textFill>
                  <w14:solidFill>
                    <w14:schemeClr w14:val="tx1"/>
                  </w14:solidFill>
                </w14:textFill>
              </w:rPr>
              <w:drawing>
                <wp:inline distT="0" distB="0" distL="114300" distR="114300">
                  <wp:extent cx="2628265" cy="1572895"/>
                  <wp:effectExtent l="0" t="0" r="8255" b="12065"/>
                  <wp:docPr id="1018" name="图片 37" descr="微信图片_20201222145553"/>
                  <wp:cNvGraphicFramePr/>
                  <a:graphic xmlns:a="http://schemas.openxmlformats.org/drawingml/2006/main">
                    <a:graphicData uri="http://schemas.openxmlformats.org/drawingml/2006/picture">
                      <pic:pic xmlns:pic="http://schemas.openxmlformats.org/drawingml/2006/picture">
                        <pic:nvPicPr>
                          <pic:cNvPr id="1018" name="图片 37" descr="微信图片_20201222145553"/>
                          <pic:cNvPicPr/>
                        </pic:nvPicPr>
                        <pic:blipFill>
                          <a:blip r:embed="rId40" cstate="print">
                            <a:extLst>
                              <a:ext uri="{28A0092B-C50C-407E-A947-70E740481C1C}">
                                <a14:useLocalDpi xmlns:a14="http://schemas.microsoft.com/office/drawing/2010/main" val="0"/>
                              </a:ext>
                            </a:extLst>
                          </a:blip>
                          <a:srcRect l="2073" t="17109" r="42863" b="31843"/>
                          <a:stretch>
                            <a:fillRect/>
                          </a:stretch>
                        </pic:blipFill>
                        <pic:spPr>
                          <a:xfrm>
                            <a:off x="0" y="0"/>
                            <a:ext cx="2628265" cy="1572895"/>
                          </a:xfrm>
                          <a:prstGeom prst="rect">
                            <a:avLst/>
                          </a:prstGeom>
                        </pic:spPr>
                      </pic:pic>
                    </a:graphicData>
                  </a:graphic>
                </wp:inline>
              </w:drawing>
            </w:r>
          </w:p>
        </w:tc>
      </w:tr>
      <w:tr w14:paraId="6E2197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jc w:val="center"/>
        </w:trPr>
        <w:tc>
          <w:tcPr>
            <w:tcW w:w="8522" w:type="dxa"/>
            <w:gridSpan w:val="5"/>
          </w:tcPr>
          <w:p w14:paraId="562726A7">
            <w:pPr>
              <w:pStyle w:val="14"/>
              <w:keepNext w:val="0"/>
              <w:keepLines w:val="0"/>
              <w:suppressLineNumbers w:val="0"/>
              <w:spacing w:before="0" w:beforeAutospacing="0" w:after="0" w:afterAutospacing="0"/>
              <w:ind w:left="0" w:leftChars="0" w:right="0" w:firstLine="0" w:firstLineChars="0"/>
              <w:jc w:val="both"/>
              <w:rPr>
                <w:rFonts w:eastAsia="仿宋_GB2312"/>
                <w:b/>
                <w:bCs/>
                <w:color w:val="000000" w:themeColor="text1"/>
                <w:highlight w:val="none"/>
                <w14:textFill>
                  <w14:solidFill>
                    <w14:schemeClr w14:val="tx1"/>
                  </w14:solidFill>
                </w14:textFill>
              </w:rPr>
            </w:pPr>
            <w:r>
              <w:rPr>
                <w:rFonts w:ascii="仿宋_GB2312" w:hAnsi="仿宋_GB2312" w:eastAsia="仿宋_GB2312" w:cs="仿宋_GB2312"/>
                <w:color w:val="000000" w:themeColor="text1"/>
                <w:highlight w:val="none"/>
                <w14:textFill>
                  <w14:solidFill>
                    <w14:schemeClr w14:val="tx1"/>
                  </w14:solidFill>
                </w14:textFill>
              </w:rPr>
              <w:drawing>
                <wp:inline distT="0" distB="0" distL="114300" distR="114300">
                  <wp:extent cx="5267325" cy="3162300"/>
                  <wp:effectExtent l="0" t="0" r="5715" b="7620"/>
                  <wp:docPr id="10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 name="图片 3"/>
                          <pic:cNvPicPr>
                            <a:picLocks noChangeAspect="1"/>
                          </pic:cNvPicPr>
                        </pic:nvPicPr>
                        <pic:blipFill>
                          <a:blip r:embed="rId41"/>
                          <a:stretch>
                            <a:fillRect/>
                          </a:stretch>
                        </pic:blipFill>
                        <pic:spPr>
                          <a:xfrm>
                            <a:off x="0" y="0"/>
                            <a:ext cx="5267325" cy="3162300"/>
                          </a:xfrm>
                          <a:prstGeom prst="rect">
                            <a:avLst/>
                          </a:prstGeom>
                          <a:noFill/>
                          <a:ln>
                            <a:noFill/>
                          </a:ln>
                        </pic:spPr>
                      </pic:pic>
                    </a:graphicData>
                  </a:graphic>
                </wp:inline>
              </w:drawing>
            </w:r>
          </w:p>
        </w:tc>
      </w:tr>
    </w:tbl>
    <w:tbl>
      <w:tblPr>
        <w:tblStyle w:val="10"/>
        <w:tblpPr w:leftFromText="180" w:rightFromText="180" w:vertAnchor="text" w:horzAnchor="page" w:tblpX="1453" w:tblpY="26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0"/>
        <w:gridCol w:w="4056"/>
        <w:gridCol w:w="4056"/>
      </w:tblGrid>
      <w:tr w14:paraId="2610C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6894920">
            <w:pPr>
              <w:pStyle w:val="14"/>
              <w:keepNext w:val="0"/>
              <w:keepLines w:val="0"/>
              <w:suppressLineNumbers w:val="0"/>
              <w:spacing w:before="0" w:beforeAutospacing="0" w:after="0" w:afterAutospacing="0"/>
              <w:ind w:left="0" w:right="0" w:firstLine="0" w:firstLineChars="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w:t>
            </w:r>
          </w:p>
        </w:tc>
        <w:tc>
          <w:tcPr>
            <w:tcW w:w="0" w:type="auto"/>
            <w:vAlign w:val="center"/>
          </w:tcPr>
          <w:p w14:paraId="4DCCF32F">
            <w:pPr>
              <w:pStyle w:val="14"/>
              <w:keepNext w:val="0"/>
              <w:keepLines w:val="0"/>
              <w:suppressLineNumbers w:val="0"/>
              <w:spacing w:before="0" w:beforeAutospacing="0" w:after="0" w:afterAutospacing="0"/>
              <w:ind w:left="0" w:right="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实例位置图</w:t>
            </w:r>
          </w:p>
        </w:tc>
        <w:tc>
          <w:tcPr>
            <w:tcW w:w="0" w:type="auto"/>
            <w:vAlign w:val="center"/>
          </w:tcPr>
          <w:p w14:paraId="459A7A21">
            <w:pPr>
              <w:pStyle w:val="14"/>
              <w:keepNext w:val="0"/>
              <w:keepLines w:val="0"/>
              <w:suppressLineNumbers w:val="0"/>
              <w:spacing w:before="0" w:beforeAutospacing="0" w:after="0" w:afterAutospacing="0"/>
              <w:ind w:left="0" w:right="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实例现状图</w:t>
            </w:r>
          </w:p>
        </w:tc>
      </w:tr>
      <w:tr w14:paraId="518A1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0" w:hRule="atLeast"/>
        </w:trPr>
        <w:tc>
          <w:tcPr>
            <w:tcW w:w="0" w:type="auto"/>
            <w:vAlign w:val="center"/>
          </w:tcPr>
          <w:p w14:paraId="25BE6313">
            <w:pPr>
              <w:pStyle w:val="14"/>
              <w:keepNext w:val="0"/>
              <w:keepLines w:val="0"/>
              <w:suppressLineNumbers w:val="0"/>
              <w:spacing w:before="0" w:beforeAutospacing="0" w:after="0" w:afterAutospacing="0"/>
              <w:ind w:left="0" w:right="0" w:firstLine="0" w:firstLineChars="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实例C</w:t>
            </w:r>
          </w:p>
        </w:tc>
        <w:tc>
          <w:tcPr>
            <w:tcW w:w="0" w:type="auto"/>
            <w:vAlign w:val="center"/>
          </w:tcPr>
          <w:p w14:paraId="4D1AE78D">
            <w:pPr>
              <w:pStyle w:val="14"/>
              <w:keepNext w:val="0"/>
              <w:keepLines w:val="0"/>
              <w:suppressLineNumbers w:val="0"/>
              <w:spacing w:before="0" w:beforeAutospacing="0" w:after="0" w:afterAutospacing="0"/>
              <w:ind w:left="0" w:right="0" w:firstLine="0" w:firstLineChars="0"/>
              <w:rPr>
                <w:rFonts w:hint="eastAsia" w:ascii="仿宋_GB2312" w:hAnsi="仿宋_GB2312" w:eastAsia="仿宋_GB2312" w:cs="仿宋_GB2312"/>
                <w:color w:val="000000" w:themeColor="text1"/>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zCs w:val="21"/>
                <w:highlight w:val="none"/>
                <w:lang w:eastAsia="zh-CN"/>
                <w14:textFill>
                  <w14:solidFill>
                    <w14:schemeClr w14:val="tx1"/>
                  </w14:solidFill>
                </w14:textFill>
              </w:rPr>
              <w:drawing>
                <wp:inline distT="0" distB="0" distL="114300" distR="114300">
                  <wp:extent cx="2628265" cy="1572895"/>
                  <wp:effectExtent l="0" t="0" r="8255" b="12065"/>
                  <wp:docPr id="1020" name="图片 33" descr="比较案例C"/>
                  <wp:cNvGraphicFramePr/>
                  <a:graphic xmlns:a="http://schemas.openxmlformats.org/drawingml/2006/main">
                    <a:graphicData uri="http://schemas.openxmlformats.org/drawingml/2006/picture">
                      <pic:pic xmlns:pic="http://schemas.openxmlformats.org/drawingml/2006/picture">
                        <pic:nvPicPr>
                          <pic:cNvPr id="1020" name="图片 33" descr="比较案例C"/>
                          <pic:cNvPicPr/>
                        </pic:nvPicPr>
                        <pic:blipFill>
                          <a:blip r:embed="rId42"/>
                          <a:stretch>
                            <a:fillRect/>
                          </a:stretch>
                        </pic:blipFill>
                        <pic:spPr>
                          <a:xfrm>
                            <a:off x="0" y="0"/>
                            <a:ext cx="2628265" cy="1572895"/>
                          </a:xfrm>
                          <a:prstGeom prst="rect">
                            <a:avLst/>
                          </a:prstGeom>
                        </pic:spPr>
                      </pic:pic>
                    </a:graphicData>
                  </a:graphic>
                </wp:inline>
              </w:drawing>
            </w:r>
          </w:p>
        </w:tc>
        <w:tc>
          <w:tcPr>
            <w:tcW w:w="0" w:type="auto"/>
            <w:vAlign w:val="center"/>
          </w:tcPr>
          <w:p w14:paraId="45D65965">
            <w:pPr>
              <w:pStyle w:val="14"/>
              <w:keepNext w:val="0"/>
              <w:keepLines w:val="0"/>
              <w:suppressLineNumbers w:val="0"/>
              <w:spacing w:before="0" w:beforeAutospacing="0" w:after="0" w:afterAutospacing="0"/>
              <w:ind w:left="0" w:right="0" w:firstLine="0" w:firstLineChars="0"/>
              <w:rPr>
                <w:rFonts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color w:val="000000" w:themeColor="text1"/>
                <w:sz w:val="28"/>
                <w:szCs w:val="30"/>
                <w:highlight w:val="none"/>
                <w14:textFill>
                  <w14:solidFill>
                    <w14:schemeClr w14:val="tx1"/>
                  </w14:solidFill>
                </w14:textFill>
              </w:rPr>
              <w:drawing>
                <wp:inline distT="0" distB="0" distL="114300" distR="114300">
                  <wp:extent cx="2628265" cy="1572895"/>
                  <wp:effectExtent l="0" t="0" r="8255" b="12065"/>
                  <wp:docPr id="1021" name="图片 3" descr="E:/永湘共享文件/外勘图片/2022年外勘/2022年12月13日外勘/长沙恩吉实业投资有限公司宗地/微信图片_202212131552021.jpg微信图片_202212131552021"/>
                  <wp:cNvGraphicFramePr/>
                  <a:graphic xmlns:a="http://schemas.openxmlformats.org/drawingml/2006/main">
                    <a:graphicData uri="http://schemas.openxmlformats.org/drawingml/2006/picture">
                      <pic:pic xmlns:pic="http://schemas.openxmlformats.org/drawingml/2006/picture">
                        <pic:nvPicPr>
                          <pic:cNvPr id="1021" name="图片 3" descr="E:/永湘共享文件/外勘图片/2022年外勘/2022年12月13日外勘/长沙恩吉实业投资有限公司宗地/微信图片_202212131552021.jpg微信图片_202212131552021"/>
                          <pic:cNvPicPr/>
                        </pic:nvPicPr>
                        <pic:blipFill>
                          <a:blip r:embed="rId43"/>
                          <a:srcRect t="10974" b="10974"/>
                          <a:stretch>
                            <a:fillRect/>
                          </a:stretch>
                        </pic:blipFill>
                        <pic:spPr>
                          <a:xfrm>
                            <a:off x="0" y="0"/>
                            <a:ext cx="2628265" cy="1572895"/>
                          </a:xfrm>
                          <a:prstGeom prst="rect">
                            <a:avLst/>
                          </a:prstGeom>
                          <a:noFill/>
                          <a:ln>
                            <a:noFill/>
                          </a:ln>
                        </pic:spPr>
                      </pic:pic>
                    </a:graphicData>
                  </a:graphic>
                </wp:inline>
              </w:drawing>
            </w:r>
          </w:p>
        </w:tc>
      </w:tr>
    </w:tbl>
    <w:p w14:paraId="5A70F61B">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3.建立价格可比基础</w:t>
      </w:r>
    </w:p>
    <w:p w14:paraId="55D9ACF5">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选取了比较实例后，一般应先对这些比较实例的成交价格进行换算处理，对价格内涵和形式进行“标准化”，使它们之间的口径一致、相互可比，为后续对比较实例成交价格进行修正和调整建立一个共同的基础。</w:t>
      </w:r>
    </w:p>
    <w:p w14:paraId="6D383542">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建立可比基础一般要做以下工作：①统一付款方式；②统一币种和货币单位；③统一面积内涵和面积单位等。</w:t>
      </w:r>
    </w:p>
    <w:p w14:paraId="11DD5D81">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根据对比较实例成交价格内涵和形式的调查分析与待估宗地价格比较，两者相同，具体情况为：付款方式为在交易日期一次性付清，税费负担为各付各税，计价单位为人民币元/平方米.土地面积，面积内涵不包含非土地成分，土地实物范围没有特殊情况，土地面积单位为平方米等。</w:t>
      </w:r>
    </w:p>
    <w:p w14:paraId="0399D17D">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可比实例与估价对象在付款方式、币种、货币单位、面积内涵和面积单位是统一的，价格可比基础相同，故无需进行调整。</w:t>
      </w:r>
    </w:p>
    <w:p w14:paraId="0FB91129">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4.比较因素的选择</w:t>
      </w:r>
    </w:p>
    <w:p w14:paraId="30F02594">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根据估价对象的宗地条件，影响估价对象价格的主要因素有：</w:t>
      </w:r>
    </w:p>
    <w:p w14:paraId="1F3D7141">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①交易时间：根据地价指数，确定估价期日修正系数。</w:t>
      </w:r>
    </w:p>
    <w:p w14:paraId="5EBC8558">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②交易情况：主要指交易是否正常、公开、公平、自愿的交易。</w:t>
      </w:r>
    </w:p>
    <w:p w14:paraId="54338407">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③交易方式：主要指拍卖、招标、挂牌、协议出让、转让、企业改制、抵押等。</w:t>
      </w:r>
    </w:p>
    <w:p w14:paraId="1BBD88EB">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④土地用途：是指土地的具体用途，如商服用地、住宅用地、工矿仓储用地等。</w:t>
      </w:r>
    </w:p>
    <w:p w14:paraId="1D4B38A7">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⑤土地级别：级别相同、相近或可修正。</w:t>
      </w:r>
    </w:p>
    <w:p w14:paraId="2AB22DC3">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⑥土地使用年期：指待估宗地和比较实例的土地使用年期。</w:t>
      </w:r>
    </w:p>
    <w:p w14:paraId="1E6A0652">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⑦区域因素：主要有</w:t>
      </w: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距高速出入口距离、距货运火车站距离、临近道路状况、产业集聚程度、公共配套设施完善度、环境质量优劣度</w: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等。</w:t>
      </w:r>
    </w:p>
    <w:p w14:paraId="326EADCC">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fldChar w:fldCharType="begin"/>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instrText xml:space="preserve"> = 8 \* GB3 \* MERGEFORMAT </w:instrTex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fldChar w:fldCharType="separate"/>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⑧</w: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fldChar w:fldCharType="end"/>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个别因素：主要有宗地</w:t>
      </w: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规模</w: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、宗地形状、</w:t>
      </w: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地势</w: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w:t>
      </w: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地质</w: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、规划限制等。</w:t>
      </w:r>
    </w:p>
    <w:p w14:paraId="61964A8D">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5.比较因素条件说明</w:t>
      </w:r>
    </w:p>
    <w:p w14:paraId="3B6B07B5">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根据估价对象的特点，综合确定交易时间、交易情况、交易方式、土地用途、土地使用年期、区域因素、个别因素作为本次估价的比较因素，估价对象与可比实例的比较因素具体情况见下表：</w:t>
      </w:r>
    </w:p>
    <w:p w14:paraId="74A633D9">
      <w:pPr>
        <w:spacing w:line="460" w:lineRule="exact"/>
        <w:jc w:val="center"/>
        <w:outlineLvl w:val="9"/>
        <w:rPr>
          <w:rFonts w:ascii="仿宋_GB2312" w:hAnsi="仿宋_GB2312" w:eastAsia="仿宋_GB2312" w:cs="仿宋_GB2312"/>
          <w:bCs/>
          <w:color w:val="000000" w:themeColor="text1"/>
          <w:sz w:val="28"/>
          <w:szCs w:val="28"/>
          <w:highlight w:val="none"/>
          <w14:textFill>
            <w14:solidFill>
              <w14:schemeClr w14:val="tx1"/>
            </w14:solidFill>
          </w14:textFill>
        </w:rPr>
      </w:pPr>
      <w:r>
        <w:rPr>
          <w:rFonts w:hint="eastAsia" w:ascii="仿宋_GB2312" w:hAnsi="仿宋_GB2312" w:eastAsia="仿宋_GB2312" w:cs="仿宋_GB2312"/>
          <w:bCs/>
          <w:color w:val="000000" w:themeColor="text1"/>
          <w:sz w:val="28"/>
          <w:szCs w:val="28"/>
          <w:highlight w:val="none"/>
          <w14:textFill>
            <w14:solidFill>
              <w14:schemeClr w14:val="tx1"/>
            </w14:solidFill>
          </w14:textFill>
        </w:rPr>
        <w:t>表3-</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14:textFill>
            <w14:solidFill>
              <w14:schemeClr w14:val="tx1"/>
            </w14:solidFill>
          </w14:textFill>
        </w:rPr>
        <w:t xml:space="preserve"> 比较因素条件说明表</w:t>
      </w:r>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375"/>
        <w:gridCol w:w="375"/>
        <w:gridCol w:w="1870"/>
        <w:gridCol w:w="1546"/>
        <w:gridCol w:w="1453"/>
        <w:gridCol w:w="1451"/>
        <w:gridCol w:w="1452"/>
      </w:tblGrid>
      <w:tr w14:paraId="39B740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6AB39BE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待估宗地及本级实例</w:t>
            </w:r>
          </w:p>
        </w:tc>
        <w:tc>
          <w:tcPr>
            <w:tcW w:w="907"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55F0D1">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估价对象</w:t>
            </w:r>
          </w:p>
        </w:tc>
        <w:tc>
          <w:tcPr>
            <w:tcW w:w="852"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5F762B0">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案例A</w:t>
            </w:r>
          </w:p>
        </w:tc>
        <w:tc>
          <w:tcPr>
            <w:tcW w:w="851"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9C243BF">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案例B</w:t>
            </w:r>
          </w:p>
        </w:tc>
        <w:tc>
          <w:tcPr>
            <w:tcW w:w="851"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CE6BBBD">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案例C</w:t>
            </w:r>
          </w:p>
        </w:tc>
      </w:tr>
      <w:tr w14:paraId="01BC78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847444">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比较因素</w:t>
            </w:r>
          </w:p>
        </w:tc>
        <w:tc>
          <w:tcPr>
            <w:tcW w:w="90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A31AC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85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7646930">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85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CC6A8BC">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85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D7F53D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r>
      <w:tr w14:paraId="367B13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6D2688">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项目名称</w:t>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1175C9C">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ascii="仿宋_GB2312" w:hAnsi="仿宋_GB2312" w:eastAsia="仿宋_GB2312" w:cs="仿宋_GB2312"/>
                <w:i w:val="0"/>
                <w:color w:val="000000"/>
                <w:sz w:val="20"/>
              </w:rPr>
              <w:t>通道县双江镇城南街宗地</w:t>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493602">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 xml:space="preserve"> 道县灰鹅加工项目</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654CC7">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永州道县国源食品有限责任公司用地</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24CF6A">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湖南万众制药有限公司用地</w:t>
            </w:r>
          </w:p>
        </w:tc>
      </w:tr>
      <w:tr w14:paraId="31EFB7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2DE5C0">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位置</w:t>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213323E">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ascii="仿宋_GB2312" w:hAnsi="仿宋_GB2312" w:eastAsia="仿宋_GB2312" w:cs="仿宋_GB2312"/>
                <w:i w:val="0"/>
                <w:color w:val="000000"/>
                <w:sz w:val="20"/>
              </w:rPr>
              <w:t>通道县双江镇城南街</w:t>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7564143">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道县乌家山路以南、东环一路以西</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735E7B2">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道县庙塘路以北、富园四路以东</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2704D1">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道县张家街路以南</w:t>
            </w:r>
          </w:p>
        </w:tc>
      </w:tr>
      <w:tr w14:paraId="724929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8BDF9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售价（元/㎡）</w:t>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3085E1">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待估</w:t>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D5B4E9">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18"/>
                <w:szCs w:val="18"/>
                <w:highlight w:val="none"/>
                <w:u w:val="none"/>
                <w:lang w:val="en-US" w:eastAsia="zh-CN" w:bidi="ar"/>
                <w14:textFill>
                  <w14:solidFill>
                    <w14:schemeClr w14:val="tx1"/>
                  </w14:solidFill>
                </w14:textFill>
              </w:rPr>
              <w:t>145</w:t>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4C24C7">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18"/>
                <w:szCs w:val="18"/>
                <w:highlight w:val="none"/>
                <w:u w:val="none"/>
                <w:lang w:val="en-US" w:eastAsia="zh-CN" w:bidi="ar"/>
                <w14:textFill>
                  <w14:solidFill>
                    <w14:schemeClr w14:val="tx1"/>
                  </w14:solidFill>
                </w14:textFill>
              </w:rPr>
              <w:t>150</w:t>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00F29A">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18"/>
                <w:szCs w:val="18"/>
                <w:highlight w:val="none"/>
                <w:u w:val="none"/>
                <w:lang w:val="en-US" w:eastAsia="zh-CN" w:bidi="ar"/>
                <w14:textFill>
                  <w14:solidFill>
                    <w14:schemeClr w14:val="tx1"/>
                  </w14:solidFill>
                </w14:textFill>
              </w:rPr>
              <w:t>149</w:t>
            </w:r>
          </w:p>
        </w:tc>
      </w:tr>
      <w:tr w14:paraId="3232DA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D41C59">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用途</w:t>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71C279C">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ascii="仿宋_GB2312" w:hAnsi="仿宋_GB2312" w:eastAsia="仿宋_GB2312" w:cs="仿宋_GB2312"/>
                <w:i w:val="0"/>
                <w:color w:val="000000"/>
                <w:sz w:val="20"/>
              </w:rPr>
              <w:t>城镇住宅用地</w:t>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1629C34">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ascii="仿宋_GB2312" w:hAnsi="仿宋_GB2312" w:eastAsia="仿宋_GB2312" w:cs="仿宋_GB2312"/>
                <w:i w:val="0"/>
                <w:color w:val="000000"/>
                <w:sz w:val="20"/>
              </w:rPr>
              <w:t>二类城镇住宅用地</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FAB31C">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ascii="仿宋_GB2312" w:hAnsi="仿宋_GB2312" w:eastAsia="仿宋_GB2312" w:cs="仿宋_GB2312"/>
                <w:i w:val="0"/>
                <w:color w:val="000000"/>
                <w:sz w:val="20"/>
              </w:rPr>
              <w:t>城镇住宅用地</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2E18B73">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ascii="仿宋_GB2312" w:hAnsi="仿宋_GB2312" w:eastAsia="仿宋_GB2312" w:cs="仿宋_GB2312"/>
                <w:i w:val="0"/>
                <w:color w:val="000000"/>
                <w:sz w:val="20"/>
              </w:rPr>
              <w:t>二类城镇住宅用地</w:t>
            </w:r>
          </w:p>
        </w:tc>
      </w:tr>
      <w:tr w14:paraId="4B0FA5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68"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760353">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交易时间</w:t>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3E1429">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ascii="仿宋_GB2312" w:hAnsi="仿宋_GB2312" w:eastAsia="仿宋_GB2312" w:cs="仿宋_GB2312"/>
                <w:i w:val="0"/>
                <w:color w:val="000000"/>
                <w:sz w:val="20"/>
              </w:rPr>
              <w:t>2026年04月23日</w:t>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C60792">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2024年8月5日</w:t>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E7B2D6">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2024年1月10日</w:t>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0BE541">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2024年8月26日</w:t>
            </w:r>
          </w:p>
        </w:tc>
      </w:tr>
      <w:tr w14:paraId="55E5EA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1D3B1C">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交易情况</w:t>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ED7401">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正常</w:t>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DEE912">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正常</w:t>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D98FDA">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正常</w:t>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00D238">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正常</w:t>
            </w:r>
          </w:p>
        </w:tc>
      </w:tr>
      <w:tr w14:paraId="0EE197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2BB1A8">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交易方式</w:t>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536724">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出让</w:t>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A545C3">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出让</w:t>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36D523">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出让</w:t>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16CA9B">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出让</w:t>
            </w:r>
          </w:p>
        </w:tc>
      </w:tr>
      <w:tr w14:paraId="165B7D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6D10C3">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土地使用年限</w:t>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3E97FC">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30</w:t>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6074D0">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30</w:t>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24603A">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30</w:t>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7B6CA9">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30</w:t>
            </w:r>
          </w:p>
        </w:tc>
      </w:tr>
      <w:tr w14:paraId="011E4C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68" w:hRule="atLeast"/>
        </w:trPr>
        <w:tc>
          <w:tcPr>
            <w:tcW w:w="220" w:type="pct"/>
            <w:vMerge w:val="restart"/>
            <w:tcBorders>
              <w:top w:val="single" w:color="000000" w:sz="4" w:space="0"/>
              <w:left w:val="single" w:color="000000" w:sz="4" w:space="0"/>
              <w:bottom w:val="single" w:color="000000" w:sz="4" w:space="0"/>
              <w:right w:val="single" w:color="auto" w:sz="4" w:space="0"/>
            </w:tcBorders>
            <w:shd w:val="clear" w:color="auto" w:fill="auto"/>
            <w:vAlign w:val="center"/>
          </w:tcPr>
          <w:p w14:paraId="716C18F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区域因素</w:t>
            </w:r>
          </w:p>
        </w:tc>
        <w:tc>
          <w:tcPr>
            <w:tcW w:w="220"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4DA62811">
            <w:pPr>
              <w:keepNext w:val="0"/>
              <w:keepLines w:val="0"/>
              <w:widowControl/>
              <w:suppressLineNumbers w:val="0"/>
              <w:spacing w:before="0" w:beforeAutospacing="0" w:after="0" w:afterAutospacing="0"/>
              <w:ind w:left="0" w:right="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交通条件</w:t>
            </w:r>
          </w:p>
        </w:tc>
        <w:tc>
          <w:tcPr>
            <w:tcW w:w="1097" w:type="pct"/>
            <w:tcBorders>
              <w:top w:val="single" w:color="auto" w:sz="4" w:space="0"/>
              <w:left w:val="single" w:color="auto" w:sz="4" w:space="0"/>
              <w:bottom w:val="single" w:color="auto" w:sz="4" w:space="0"/>
              <w:right w:val="single" w:color="auto" w:sz="4" w:space="0"/>
            </w:tcBorders>
            <w:shd w:val="clear" w:color="auto" w:fill="auto"/>
            <w:vAlign w:val="center"/>
          </w:tcPr>
          <w:p w14:paraId="13C39208">
            <w:pPr>
              <w:keepNext w:val="0"/>
              <w:keepLines w:val="0"/>
              <w:widowControl/>
              <w:suppressLineNumbers w:val="0"/>
              <w:spacing w:before="0" w:beforeAutospacing="0" w:after="0" w:afterAutospacing="0"/>
              <w:ind w:left="0" w:leftChars="0" w:right="0" w:rightChars="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距高速公路出入口距离（km）</w:t>
            </w:r>
          </w:p>
        </w:tc>
        <w:tc>
          <w:tcPr>
            <w:tcW w:w="907" w:type="pct"/>
            <w:tcBorders>
              <w:top w:val="single" w:color="000000" w:sz="4" w:space="0"/>
              <w:left w:val="single" w:color="auto" w:sz="4" w:space="0"/>
              <w:bottom w:val="single" w:color="000000" w:sz="4" w:space="0"/>
              <w:right w:val="single" w:color="000000" w:sz="4" w:space="0"/>
            </w:tcBorders>
            <w:shd w:val="clear" w:color="auto" w:fill="auto"/>
            <w:noWrap/>
            <w:vAlign w:val="center"/>
          </w:tcPr>
          <w:p w14:paraId="1CDDAA30">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9.5</w:t>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6CA321B">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1"/>
                <w:szCs w:val="21"/>
                <w:highlight w:val="none"/>
                <w:u w:val="none"/>
                <w:lang w:val="en-US" w:eastAsia="zh-CN" w:bidi="ar"/>
                <w14:textFill>
                  <w14:solidFill>
                    <w14:schemeClr w14:val="tx1"/>
                  </w14:solidFill>
                </w14:textFill>
              </w:rPr>
              <w:t>8</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7E4689">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1"/>
                <w:szCs w:val="21"/>
                <w:highlight w:val="none"/>
                <w:u w:val="none"/>
                <w:lang w:val="en-US" w:eastAsia="zh-CN" w:bidi="ar"/>
                <w14:textFill>
                  <w14:solidFill>
                    <w14:schemeClr w14:val="tx1"/>
                  </w14:solidFill>
                </w14:textFill>
              </w:rPr>
              <w:t>8</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6BA7BB4">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1"/>
                <w:szCs w:val="21"/>
                <w:highlight w:val="none"/>
                <w:u w:val="none"/>
                <w:lang w:val="en-US" w:eastAsia="zh-CN" w:bidi="ar"/>
                <w14:textFill>
                  <w14:solidFill>
                    <w14:schemeClr w14:val="tx1"/>
                  </w14:solidFill>
                </w14:textFill>
              </w:rPr>
              <w:t>8</w:t>
            </w:r>
          </w:p>
        </w:tc>
      </w:tr>
      <w:tr w14:paraId="643CC2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68" w:hRule="atLeast"/>
        </w:trPr>
        <w:tc>
          <w:tcPr>
            <w:tcW w:w="220" w:type="pct"/>
            <w:vMerge w:val="continue"/>
            <w:tcBorders>
              <w:top w:val="single" w:color="000000" w:sz="4" w:space="0"/>
              <w:left w:val="single" w:color="000000" w:sz="4" w:space="0"/>
              <w:bottom w:val="single" w:color="000000" w:sz="4" w:space="0"/>
              <w:right w:val="single" w:color="auto" w:sz="4" w:space="0"/>
            </w:tcBorders>
            <w:shd w:val="clear" w:color="auto" w:fill="auto"/>
            <w:vAlign w:val="center"/>
          </w:tcPr>
          <w:p w14:paraId="4B6853A0">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220" w:type="pct"/>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1900787A">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09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A932397">
            <w:pPr>
              <w:keepNext w:val="0"/>
              <w:keepLines w:val="0"/>
              <w:widowControl/>
              <w:suppressLineNumbers w:val="0"/>
              <w:spacing w:before="0" w:beforeAutospacing="0" w:after="0" w:afterAutospacing="0"/>
              <w:ind w:left="0" w:leftChars="0" w:right="0" w:rightChars="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距货运火车站距离（km）</w:t>
            </w:r>
          </w:p>
        </w:tc>
        <w:tc>
          <w:tcPr>
            <w:tcW w:w="907" w:type="pct"/>
            <w:tcBorders>
              <w:top w:val="single" w:color="000000" w:sz="4" w:space="0"/>
              <w:left w:val="single" w:color="auto" w:sz="4" w:space="0"/>
              <w:bottom w:val="single" w:color="000000" w:sz="4" w:space="0"/>
              <w:right w:val="single" w:color="000000" w:sz="4" w:space="0"/>
            </w:tcBorders>
            <w:shd w:val="clear" w:color="auto" w:fill="auto"/>
            <w:noWrap/>
            <w:vAlign w:val="center"/>
          </w:tcPr>
          <w:p w14:paraId="21E1664B">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12</w:t>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5168032">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1"/>
                <w:szCs w:val="21"/>
                <w:highlight w:val="none"/>
                <w:u w:val="none"/>
                <w:lang w:val="en-US" w:eastAsia="zh-CN" w:bidi="ar"/>
                <w14:textFill>
                  <w14:solidFill>
                    <w14:schemeClr w14:val="tx1"/>
                  </w14:solidFill>
                </w14:textFill>
              </w:rPr>
              <w:t>8</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2018A85">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1"/>
                <w:szCs w:val="21"/>
                <w:highlight w:val="none"/>
                <w:u w:val="none"/>
                <w:lang w:val="en-US" w:eastAsia="zh-CN" w:bidi="ar"/>
                <w14:textFill>
                  <w14:solidFill>
                    <w14:schemeClr w14:val="tx1"/>
                  </w14:solidFill>
                </w14:textFill>
              </w:rPr>
              <w:t>8</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CC57B10">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1"/>
                <w:szCs w:val="21"/>
                <w:highlight w:val="none"/>
                <w:u w:val="none"/>
                <w:lang w:val="en-US" w:eastAsia="zh-CN" w:bidi="ar"/>
                <w14:textFill>
                  <w14:solidFill>
                    <w14:schemeClr w14:val="tx1"/>
                  </w14:solidFill>
                </w14:textFill>
              </w:rPr>
              <w:t>8</w:t>
            </w:r>
          </w:p>
        </w:tc>
      </w:tr>
      <w:tr w14:paraId="005607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auto" w:sz="4" w:space="0"/>
            </w:tcBorders>
            <w:shd w:val="clear" w:color="auto" w:fill="auto"/>
            <w:vAlign w:val="center"/>
          </w:tcPr>
          <w:p w14:paraId="1E8A677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220"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707443B">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097" w:type="pct"/>
            <w:tcBorders>
              <w:top w:val="single" w:color="auto" w:sz="4" w:space="0"/>
              <w:left w:val="single" w:color="auto" w:sz="4" w:space="0"/>
              <w:bottom w:val="single" w:color="auto" w:sz="4" w:space="0"/>
              <w:right w:val="single" w:color="auto" w:sz="4" w:space="0"/>
            </w:tcBorders>
            <w:shd w:val="clear" w:color="auto" w:fill="auto"/>
            <w:vAlign w:val="center"/>
          </w:tcPr>
          <w:p w14:paraId="26240EB3">
            <w:pPr>
              <w:keepNext w:val="0"/>
              <w:keepLines w:val="0"/>
              <w:widowControl/>
              <w:suppressLineNumbers w:val="0"/>
              <w:spacing w:before="0" w:beforeAutospacing="0" w:after="0" w:afterAutospacing="0"/>
              <w:ind w:left="0" w:leftChars="0" w:right="0" w:rightChars="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临近道路状况</w:t>
            </w:r>
          </w:p>
        </w:tc>
        <w:tc>
          <w:tcPr>
            <w:tcW w:w="907" w:type="pct"/>
            <w:tcBorders>
              <w:top w:val="single" w:color="000000" w:sz="4" w:space="0"/>
              <w:left w:val="single" w:color="auto" w:sz="4" w:space="0"/>
              <w:bottom w:val="single" w:color="000000" w:sz="4" w:space="0"/>
              <w:right w:val="single" w:color="000000" w:sz="4" w:space="0"/>
            </w:tcBorders>
            <w:shd w:val="clear" w:color="auto" w:fill="auto"/>
            <w:vAlign w:val="center"/>
          </w:tcPr>
          <w:p w14:paraId="0A4632F6">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1"/>
                <w:szCs w:val="21"/>
                <w:highlight w:val="none"/>
                <w:u w:val="none"/>
                <w:lang w:val="en-US" w:eastAsia="zh-CN" w:bidi="ar"/>
                <w14:textFill>
                  <w14:solidFill>
                    <w14:schemeClr w14:val="tx1"/>
                  </w14:solidFill>
                </w14:textFill>
              </w:rPr>
              <w:t>临支路</w:t>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5DF403E">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1"/>
                <w:szCs w:val="21"/>
                <w:highlight w:val="none"/>
                <w:u w:val="none"/>
                <w:lang w:val="en-US" w:eastAsia="zh-CN" w:bidi="ar"/>
                <w14:textFill>
                  <w14:solidFill>
                    <w14:schemeClr w14:val="tx1"/>
                  </w14:solidFill>
                </w14:textFill>
              </w:rPr>
              <w:t>临支路</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FA3ED48">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1"/>
                <w:szCs w:val="21"/>
                <w:highlight w:val="none"/>
                <w:u w:val="none"/>
                <w:lang w:val="en-US" w:eastAsia="zh-CN" w:bidi="ar"/>
                <w14:textFill>
                  <w14:solidFill>
                    <w14:schemeClr w14:val="tx1"/>
                  </w14:solidFill>
                </w14:textFill>
              </w:rPr>
              <w:t>临支路</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C3C18C0">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1"/>
                <w:szCs w:val="21"/>
                <w:highlight w:val="none"/>
                <w:u w:val="none"/>
                <w:lang w:val="en-US" w:eastAsia="zh-CN" w:bidi="ar"/>
                <w14:textFill>
                  <w14:solidFill>
                    <w14:schemeClr w14:val="tx1"/>
                  </w14:solidFill>
                </w14:textFill>
              </w:rPr>
              <w:t>临支路</w:t>
            </w:r>
          </w:p>
        </w:tc>
      </w:tr>
      <w:tr w14:paraId="089F85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68" w:hRule="atLeast"/>
        </w:trPr>
        <w:tc>
          <w:tcPr>
            <w:tcW w:w="220" w:type="pct"/>
            <w:vMerge w:val="continue"/>
            <w:tcBorders>
              <w:top w:val="single" w:color="000000" w:sz="4" w:space="0"/>
              <w:left w:val="single" w:color="000000" w:sz="4" w:space="0"/>
              <w:bottom w:val="single" w:color="000000" w:sz="4" w:space="0"/>
              <w:right w:val="single" w:color="auto" w:sz="4" w:space="0"/>
            </w:tcBorders>
            <w:shd w:val="clear" w:color="auto" w:fill="auto"/>
            <w:vAlign w:val="center"/>
          </w:tcPr>
          <w:p w14:paraId="0543C483">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0AC1B27A">
            <w:pPr>
              <w:keepNext w:val="0"/>
              <w:keepLines w:val="0"/>
              <w:widowControl/>
              <w:suppressLineNumbers w:val="0"/>
              <w:spacing w:before="0" w:beforeAutospacing="0" w:after="0" w:afterAutospacing="0"/>
              <w:ind w:left="0" w:leftChars="0" w:right="0" w:rightChars="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产业集聚程度</w:t>
            </w:r>
          </w:p>
        </w:tc>
        <w:tc>
          <w:tcPr>
            <w:tcW w:w="907" w:type="pct"/>
            <w:tcBorders>
              <w:top w:val="single" w:color="000000" w:sz="4" w:space="0"/>
              <w:left w:val="single" w:color="auto" w:sz="4" w:space="0"/>
              <w:bottom w:val="single" w:color="000000" w:sz="4" w:space="0"/>
              <w:right w:val="single" w:color="000000" w:sz="4" w:space="0"/>
            </w:tcBorders>
            <w:shd w:val="clear" w:color="auto" w:fill="auto"/>
            <w:vAlign w:val="center"/>
          </w:tcPr>
          <w:p w14:paraId="119290F1">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1"/>
                <w:szCs w:val="21"/>
                <w:highlight w:val="none"/>
                <w:u w:val="none"/>
                <w:lang w:val="en-US" w:eastAsia="zh-CN" w:bidi="ar"/>
                <w14:textFill>
                  <w14:solidFill>
                    <w14:schemeClr w14:val="tx1"/>
                  </w14:solidFill>
                </w14:textFill>
              </w:rPr>
              <w:t>低</w:t>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7BD6F0">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1"/>
                <w:szCs w:val="21"/>
                <w:highlight w:val="none"/>
                <w:u w:val="none"/>
                <w:lang w:val="en-US" w:eastAsia="zh-CN" w:bidi="ar"/>
                <w14:textFill>
                  <w14:solidFill>
                    <w14:schemeClr w14:val="tx1"/>
                  </w14:solidFill>
                </w14:textFill>
              </w:rPr>
              <w:t>较高</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07DF700">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1"/>
                <w:szCs w:val="21"/>
                <w:highlight w:val="none"/>
                <w:u w:val="none"/>
                <w:lang w:val="en-US" w:eastAsia="zh-CN" w:bidi="ar"/>
                <w14:textFill>
                  <w14:solidFill>
                    <w14:schemeClr w14:val="tx1"/>
                  </w14:solidFill>
                </w14:textFill>
              </w:rPr>
              <w:t>较高</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1C4B7DB">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1"/>
                <w:szCs w:val="21"/>
                <w:highlight w:val="none"/>
                <w:u w:val="none"/>
                <w:lang w:val="en-US" w:eastAsia="zh-CN" w:bidi="ar"/>
                <w14:textFill>
                  <w14:solidFill>
                    <w14:schemeClr w14:val="tx1"/>
                  </w14:solidFill>
                </w14:textFill>
              </w:rPr>
              <w:t>较高</w:t>
            </w:r>
          </w:p>
        </w:tc>
      </w:tr>
      <w:tr w14:paraId="39EC4D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auto" w:sz="4" w:space="0"/>
            </w:tcBorders>
            <w:shd w:val="clear" w:color="auto" w:fill="auto"/>
            <w:vAlign w:val="center"/>
          </w:tcPr>
          <w:p w14:paraId="0FA1635B">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687B2C09">
            <w:pPr>
              <w:keepNext w:val="0"/>
              <w:keepLines w:val="0"/>
              <w:widowControl/>
              <w:suppressLineNumbers w:val="0"/>
              <w:spacing w:before="0" w:beforeAutospacing="0" w:after="0" w:afterAutospacing="0"/>
              <w:ind w:left="0" w:leftChars="0" w:right="0" w:rightChars="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公共配套设施完善度</w:t>
            </w:r>
          </w:p>
        </w:tc>
        <w:tc>
          <w:tcPr>
            <w:tcW w:w="907" w:type="pct"/>
            <w:tcBorders>
              <w:top w:val="single" w:color="000000" w:sz="4" w:space="0"/>
              <w:left w:val="single" w:color="auto" w:sz="4" w:space="0"/>
              <w:bottom w:val="single" w:color="000000" w:sz="4" w:space="0"/>
              <w:right w:val="single" w:color="000000" w:sz="4" w:space="0"/>
            </w:tcBorders>
            <w:shd w:val="clear" w:color="auto" w:fill="auto"/>
            <w:vAlign w:val="center"/>
          </w:tcPr>
          <w:p w14:paraId="004D35B7">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1"/>
                <w:szCs w:val="21"/>
                <w:highlight w:val="none"/>
                <w:u w:val="none"/>
                <w:lang w:val="en-US" w:eastAsia="zh-CN" w:bidi="ar"/>
                <w14:textFill>
                  <w14:solidFill>
                    <w14:schemeClr w14:val="tx1"/>
                  </w14:solidFill>
                </w14:textFill>
              </w:rPr>
              <w:t>一般</w:t>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595333D">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1"/>
                <w:szCs w:val="21"/>
                <w:highlight w:val="none"/>
                <w:u w:val="none"/>
                <w:lang w:val="en-US" w:eastAsia="zh-CN" w:bidi="ar"/>
                <w14:textFill>
                  <w14:solidFill>
                    <w14:schemeClr w14:val="tx1"/>
                  </w14:solidFill>
                </w14:textFill>
              </w:rPr>
              <w:t>较完善</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7DED4C2">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1"/>
                <w:szCs w:val="21"/>
                <w:highlight w:val="none"/>
                <w:u w:val="none"/>
                <w:lang w:val="en-US" w:eastAsia="zh-CN" w:bidi="ar"/>
                <w14:textFill>
                  <w14:solidFill>
                    <w14:schemeClr w14:val="tx1"/>
                  </w14:solidFill>
                </w14:textFill>
              </w:rPr>
              <w:t>较完善</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BFD288">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1"/>
                <w:szCs w:val="21"/>
                <w:highlight w:val="none"/>
                <w:u w:val="none"/>
                <w:lang w:val="en-US" w:eastAsia="zh-CN" w:bidi="ar"/>
                <w14:textFill>
                  <w14:solidFill>
                    <w14:schemeClr w14:val="tx1"/>
                  </w14:solidFill>
                </w14:textFill>
              </w:rPr>
              <w:t>较完善</w:t>
            </w:r>
          </w:p>
        </w:tc>
      </w:tr>
      <w:tr w14:paraId="7C6239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auto" w:sz="4" w:space="0"/>
            </w:tcBorders>
            <w:shd w:val="clear" w:color="auto" w:fill="auto"/>
            <w:vAlign w:val="center"/>
          </w:tcPr>
          <w:p w14:paraId="0DAE868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36A8BBAE">
            <w:pPr>
              <w:keepNext w:val="0"/>
              <w:keepLines w:val="0"/>
              <w:widowControl/>
              <w:suppressLineNumbers w:val="0"/>
              <w:spacing w:before="0" w:beforeAutospacing="0" w:after="0" w:afterAutospacing="0"/>
              <w:ind w:left="0" w:leftChars="0" w:right="0" w:rightChars="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环境质量优劣度</w:t>
            </w:r>
          </w:p>
        </w:tc>
        <w:tc>
          <w:tcPr>
            <w:tcW w:w="907" w:type="pct"/>
            <w:tcBorders>
              <w:top w:val="single" w:color="000000" w:sz="4" w:space="0"/>
              <w:left w:val="single" w:color="auto" w:sz="4" w:space="0"/>
              <w:bottom w:val="single" w:color="000000" w:sz="4" w:space="0"/>
              <w:right w:val="single" w:color="000000" w:sz="4" w:space="0"/>
            </w:tcBorders>
            <w:shd w:val="clear" w:color="auto" w:fill="auto"/>
            <w:vAlign w:val="center"/>
          </w:tcPr>
          <w:p w14:paraId="5A288363">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1"/>
                <w:szCs w:val="21"/>
                <w:highlight w:val="none"/>
                <w:u w:val="none"/>
                <w:lang w:val="en-US" w:eastAsia="zh-CN" w:bidi="ar"/>
                <w14:textFill>
                  <w14:solidFill>
                    <w14:schemeClr w14:val="tx1"/>
                  </w14:solidFill>
                </w14:textFill>
              </w:rPr>
              <w:t>基本无污染</w:t>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5668CDD">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1"/>
                <w:szCs w:val="21"/>
                <w:highlight w:val="none"/>
                <w:u w:val="none"/>
                <w:lang w:val="en-US" w:eastAsia="zh-CN" w:bidi="ar"/>
                <w14:textFill>
                  <w14:solidFill>
                    <w14:schemeClr w14:val="tx1"/>
                  </w14:solidFill>
                </w14:textFill>
              </w:rPr>
              <w:t>基本无污染</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6B3EC91">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1"/>
                <w:szCs w:val="21"/>
                <w:highlight w:val="none"/>
                <w:u w:val="none"/>
                <w:lang w:val="en-US" w:eastAsia="zh-CN" w:bidi="ar"/>
                <w14:textFill>
                  <w14:solidFill>
                    <w14:schemeClr w14:val="tx1"/>
                  </w14:solidFill>
                </w14:textFill>
              </w:rPr>
              <w:t>基本无污染</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3CDBE1">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1"/>
                <w:szCs w:val="21"/>
                <w:highlight w:val="none"/>
                <w:u w:val="none"/>
                <w:lang w:val="en-US" w:eastAsia="zh-CN" w:bidi="ar"/>
                <w14:textFill>
                  <w14:solidFill>
                    <w14:schemeClr w14:val="tx1"/>
                  </w14:solidFill>
                </w14:textFill>
              </w:rPr>
              <w:t>基本无污染</w:t>
            </w:r>
          </w:p>
        </w:tc>
      </w:tr>
      <w:tr w14:paraId="665ED2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AB574C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个别因素</w:t>
            </w:r>
          </w:p>
        </w:tc>
        <w:tc>
          <w:tcPr>
            <w:tcW w:w="1317" w:type="pct"/>
            <w:gridSpan w:val="2"/>
            <w:tcBorders>
              <w:top w:val="single" w:color="auto" w:sz="4" w:space="0"/>
              <w:left w:val="single" w:color="000000" w:sz="4" w:space="0"/>
              <w:bottom w:val="single" w:color="000000" w:sz="4" w:space="0"/>
              <w:right w:val="single" w:color="000000" w:sz="4" w:space="0"/>
            </w:tcBorders>
            <w:shd w:val="clear" w:color="auto" w:fill="auto"/>
            <w:vAlign w:val="center"/>
          </w:tcPr>
          <w:p w14:paraId="0AB4375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宗地规模（</w:t>
            </w:r>
            <w:r>
              <w:rPr>
                <w:rFonts w:hint="default"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m²</w:t>
            </w: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w:t>
            </w:r>
          </w:p>
        </w:tc>
        <w:tc>
          <w:tcPr>
            <w:tcW w:w="907" w:type="pct"/>
            <w:tcBorders>
              <w:top w:val="single" w:color="000000" w:sz="4" w:space="0"/>
              <w:left w:val="single" w:color="000000" w:sz="4" w:space="0"/>
              <w:bottom w:val="nil"/>
              <w:right w:val="single" w:color="000000" w:sz="4" w:space="0"/>
            </w:tcBorders>
            <w:shd w:val="clear" w:color="auto" w:fill="auto"/>
            <w:noWrap/>
            <w:vAlign w:val="center"/>
          </w:tcPr>
          <w:p w14:paraId="417B3A5A">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25.32</w:t>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943933">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10772.5</w:t>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D6F38F">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54307.3</w:t>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9B44A8">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6769.2</w:t>
            </w:r>
          </w:p>
        </w:tc>
      </w:tr>
      <w:tr w14:paraId="3C061E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6721A1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5283A12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宗地形状</w:t>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68A928D">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1"/>
                <w:szCs w:val="21"/>
                <w:highlight w:val="none"/>
                <w:u w:val="none"/>
                <w:lang w:val="en-US" w:eastAsia="zh-CN" w:bidi="ar"/>
                <w14:textFill>
                  <w14:solidFill>
                    <w14:schemeClr w14:val="tx1"/>
                  </w14:solidFill>
                </w14:textFill>
              </w:rPr>
              <w:t>基本规则</w:t>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CE3F37D">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1"/>
                <w:szCs w:val="21"/>
                <w:highlight w:val="none"/>
                <w:u w:val="none"/>
                <w:lang w:val="en-US" w:eastAsia="zh-CN" w:bidi="ar"/>
                <w14:textFill>
                  <w14:solidFill>
                    <w14:schemeClr w14:val="tx1"/>
                  </w14:solidFill>
                </w14:textFill>
              </w:rPr>
              <w:t>基本规则</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A6DF918">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1"/>
                <w:szCs w:val="21"/>
                <w:highlight w:val="none"/>
                <w:u w:val="none"/>
                <w:lang w:val="en-US" w:eastAsia="zh-CN" w:bidi="ar"/>
                <w14:textFill>
                  <w14:solidFill>
                    <w14:schemeClr w14:val="tx1"/>
                  </w14:solidFill>
                </w14:textFill>
              </w:rPr>
              <w:t>基本规则</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E13D6E3">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1"/>
                <w:szCs w:val="21"/>
                <w:highlight w:val="none"/>
                <w:u w:val="none"/>
                <w:lang w:val="en-US" w:eastAsia="zh-CN" w:bidi="ar"/>
                <w14:textFill>
                  <w14:solidFill>
                    <w14:schemeClr w14:val="tx1"/>
                  </w14:solidFill>
                </w14:textFill>
              </w:rPr>
              <w:t>基本规则</w:t>
            </w:r>
          </w:p>
        </w:tc>
      </w:tr>
      <w:tr w14:paraId="46C865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D071CD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3A14350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地势</w:t>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4CF38A">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1"/>
                <w:szCs w:val="21"/>
                <w:highlight w:val="none"/>
                <w:u w:val="none"/>
                <w:lang w:val="en-US" w:eastAsia="zh-CN" w:bidi="ar"/>
                <w14:textFill>
                  <w14:solidFill>
                    <w14:schemeClr w14:val="tx1"/>
                  </w14:solidFill>
                </w14:textFill>
              </w:rPr>
              <w:t>地势较平坦</w:t>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45DBD0A">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1"/>
                <w:szCs w:val="21"/>
                <w:highlight w:val="none"/>
                <w:u w:val="none"/>
                <w:lang w:val="en-US" w:eastAsia="zh-CN" w:bidi="ar"/>
                <w14:textFill>
                  <w14:solidFill>
                    <w14:schemeClr w14:val="tx1"/>
                  </w14:solidFill>
                </w14:textFill>
              </w:rPr>
              <w:t>地势较平坦</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0A3F52">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1"/>
                <w:szCs w:val="21"/>
                <w:highlight w:val="none"/>
                <w:u w:val="none"/>
                <w:lang w:val="en-US" w:eastAsia="zh-CN" w:bidi="ar"/>
                <w14:textFill>
                  <w14:solidFill>
                    <w14:schemeClr w14:val="tx1"/>
                  </w14:solidFill>
                </w14:textFill>
              </w:rPr>
              <w:t>地势较平坦</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EFDD46F">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1"/>
                <w:szCs w:val="21"/>
                <w:highlight w:val="none"/>
                <w:u w:val="none"/>
                <w:lang w:val="en-US" w:eastAsia="zh-CN" w:bidi="ar"/>
                <w14:textFill>
                  <w14:solidFill>
                    <w14:schemeClr w14:val="tx1"/>
                  </w14:solidFill>
                </w14:textFill>
              </w:rPr>
              <w:t>地势较平坦</w:t>
            </w:r>
          </w:p>
        </w:tc>
      </w:tr>
      <w:tr w14:paraId="023B56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BFECEEB">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3027DB44">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地质（吨</w:t>
            </w:r>
            <w:r>
              <w:rPr>
                <w:rFonts w:hint="default"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w:t>
            </w: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平方米）</w:t>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A7A169">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Style w:val="16"/>
                <w:rFonts w:ascii="仿宋_GB2312" w:hAnsi="仿宋_GB2312" w:eastAsia="仿宋_GB2312" w:cs="仿宋_GB2312"/>
                <w:color w:val="000000" w:themeColor="text1"/>
                <w:highlight w:val="none"/>
                <w:lang w:val="en-US" w:eastAsia="zh-CN" w:bidi="ar"/>
                <w14:textFill>
                  <w14:solidFill>
                    <w14:schemeClr w14:val="tx1"/>
                  </w14:solidFill>
                </w14:textFill>
              </w:rPr>
              <w:t>大于等于</w:t>
            </w:r>
            <w:r>
              <w:rPr>
                <w:rStyle w:val="17"/>
                <w:rFonts w:ascii="仿宋_GB2312" w:hAnsi="仿宋_GB2312" w:eastAsia="仿宋_GB2312" w:cs="仿宋_GB2312"/>
                <w:color w:val="000000" w:themeColor="text1"/>
                <w:highlight w:val="none"/>
                <w:lang w:val="en-US" w:eastAsia="zh-CN" w:bidi="ar"/>
                <w14:textFill>
                  <w14:solidFill>
                    <w14:schemeClr w14:val="tx1"/>
                  </w14:solidFill>
                </w14:textFill>
              </w:rPr>
              <w:t>25</w:t>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766503C">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Style w:val="16"/>
                <w:rFonts w:ascii="仿宋_GB2312" w:hAnsi="仿宋_GB2312" w:eastAsia="仿宋_GB2312" w:cs="仿宋_GB2312"/>
                <w:color w:val="000000" w:themeColor="text1"/>
                <w:highlight w:val="none"/>
                <w:lang w:val="en-US" w:eastAsia="zh-CN" w:bidi="ar"/>
                <w14:textFill>
                  <w14:solidFill>
                    <w14:schemeClr w14:val="tx1"/>
                  </w14:solidFill>
                </w14:textFill>
              </w:rPr>
              <w:t>大于等于</w:t>
            </w:r>
            <w:r>
              <w:rPr>
                <w:rStyle w:val="17"/>
                <w:rFonts w:ascii="仿宋_GB2312" w:hAnsi="仿宋_GB2312" w:eastAsia="仿宋_GB2312" w:cs="仿宋_GB2312"/>
                <w:color w:val="000000" w:themeColor="text1"/>
                <w:highlight w:val="none"/>
                <w:lang w:val="en-US" w:eastAsia="zh-CN" w:bidi="ar"/>
                <w14:textFill>
                  <w14:solidFill>
                    <w14:schemeClr w14:val="tx1"/>
                  </w14:solidFill>
                </w14:textFill>
              </w:rPr>
              <w:t>25</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46C02B">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Style w:val="16"/>
                <w:rFonts w:ascii="仿宋_GB2312" w:hAnsi="仿宋_GB2312" w:eastAsia="仿宋_GB2312" w:cs="仿宋_GB2312"/>
                <w:color w:val="000000" w:themeColor="text1"/>
                <w:highlight w:val="none"/>
                <w:lang w:val="en-US" w:eastAsia="zh-CN" w:bidi="ar"/>
                <w14:textFill>
                  <w14:solidFill>
                    <w14:schemeClr w14:val="tx1"/>
                  </w14:solidFill>
                </w14:textFill>
              </w:rPr>
              <w:t>大于等于</w:t>
            </w:r>
            <w:r>
              <w:rPr>
                <w:rStyle w:val="17"/>
                <w:rFonts w:ascii="仿宋_GB2312" w:hAnsi="仿宋_GB2312" w:eastAsia="仿宋_GB2312" w:cs="仿宋_GB2312"/>
                <w:color w:val="000000" w:themeColor="text1"/>
                <w:highlight w:val="none"/>
                <w:lang w:val="en-US" w:eastAsia="zh-CN" w:bidi="ar"/>
                <w14:textFill>
                  <w14:solidFill>
                    <w14:schemeClr w14:val="tx1"/>
                  </w14:solidFill>
                </w14:textFill>
              </w:rPr>
              <w:t>25</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AE08B96">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Style w:val="16"/>
                <w:rFonts w:ascii="仿宋_GB2312" w:hAnsi="仿宋_GB2312" w:eastAsia="仿宋_GB2312" w:cs="仿宋_GB2312"/>
                <w:color w:val="000000" w:themeColor="text1"/>
                <w:highlight w:val="none"/>
                <w:lang w:val="en-US" w:eastAsia="zh-CN" w:bidi="ar"/>
                <w14:textFill>
                  <w14:solidFill>
                    <w14:schemeClr w14:val="tx1"/>
                  </w14:solidFill>
                </w14:textFill>
              </w:rPr>
              <w:t>大于等于</w:t>
            </w:r>
            <w:r>
              <w:rPr>
                <w:rStyle w:val="17"/>
                <w:rFonts w:ascii="仿宋_GB2312" w:hAnsi="仿宋_GB2312" w:eastAsia="仿宋_GB2312" w:cs="仿宋_GB2312"/>
                <w:color w:val="000000" w:themeColor="text1"/>
                <w:highlight w:val="none"/>
                <w:lang w:val="en-US" w:eastAsia="zh-CN" w:bidi="ar"/>
                <w14:textFill>
                  <w14:solidFill>
                    <w14:schemeClr w14:val="tx1"/>
                  </w14:solidFill>
                </w14:textFill>
              </w:rPr>
              <w:t>25</w:t>
            </w:r>
          </w:p>
        </w:tc>
      </w:tr>
      <w:tr w14:paraId="58CA27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58" w:hRule="atLeast"/>
        </w:trPr>
        <w:tc>
          <w:tcPr>
            <w:tcW w:w="22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0414A5C">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1AA7D18C">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规划限制</w:t>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82CEEA">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规划前景良好</w:t>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0ADA0C">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规划前景良好</w:t>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AB2D32">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规划前景良好</w:t>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42876A">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规划前景良好</w:t>
            </w:r>
          </w:p>
        </w:tc>
      </w:tr>
    </w:tbl>
    <w:p w14:paraId="336907F7">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6.编制比较因素条件指数表</w:t>
      </w:r>
    </w:p>
    <w:p w14:paraId="6D44980B">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为将各比较实例和估价对象间的各种差别量化，然后反映到地价水平的差别上，必须将前述的估价对象和比较实例的各种比较因素条件转化为可比的定量条件指数。</w:t>
      </w:r>
    </w:p>
    <w:p w14:paraId="4A5C903A">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以估价对象的各因素条件为基础，相应指数为100，将比较实例相应因素条件与估价对象相比较，确定相应指数。</w:t>
      </w:r>
    </w:p>
    <w:p w14:paraId="65709BF3">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A、土地用途</w:t>
      </w:r>
    </w:p>
    <w:p w14:paraId="7BB2B1E7">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估价对象土地用途与比较实例一致，均为</w:t>
      </w: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工矿仓储</w: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用地，不需进行用途修正。</w:t>
      </w:r>
    </w:p>
    <w:p w14:paraId="43545CD6">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B、交易情况</w:t>
      </w:r>
    </w:p>
    <w:p w14:paraId="19B6682D">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此次评估所选择的3个比较实例交易信息均为成交案例，其交易情况均正常，与估价对象的交易情况一致，故估价对象及三个比较实例交易情况因素条件指数均确定为100。</w:t>
      </w:r>
    </w:p>
    <w:p w14:paraId="7C7F2C7F">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C、交易时间</w:t>
      </w:r>
    </w:p>
    <w:p w14:paraId="33FDD180">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以案例C交易时间指数为100，确定估价对象和案例A、案例B的交易时间修正指数。</w:t>
      </w:r>
    </w:p>
    <w:p w14:paraId="5C0E2315">
      <w:pPr>
        <w:pStyle w:val="2"/>
        <w:ind w:left="0" w:leftChars="0" w:firstLine="560"/>
        <w:rPr>
          <w:rFonts w:hint="default" w:eastAsia="仿宋_GB2312"/>
          <w:color w:val="000000" w:themeColor="text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近年来，</w:t>
      </w:r>
      <w:r>
        <w:rPr>
          <w:rFonts w:hint="eastAsia" w:ascii="仿宋_GB2312" w:hAnsi="仿宋_GB2312" w:eastAsia="仿宋_GB2312" w:cs="仿宋_GB2312"/>
          <w:color w:val="000000" w:themeColor="text1"/>
          <w:sz w:val="28"/>
          <w:szCs w:val="30"/>
          <w:highlight w:val="none"/>
          <w:lang w:val="en-GB" w:eastAsia="zh-CN"/>
          <w14:textFill>
            <w14:solidFill>
              <w14:schemeClr w14:val="tx1"/>
            </w14:solidFill>
          </w14:textFill>
        </w:rPr>
        <w:t>道县</w:t>
      </w: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工矿仓储用地</w: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价格水平涨幅较小，因</w:t>
      </w: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工矿仓储</w: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用途存在差异，不宜直接进行价格推算。土地的稀缺性和不可再生性使房地产具有保值增值的功能。土地的保值功能体现在随物价上涨而提高。根据</w:t>
      </w:r>
      <w:r>
        <w:rPr>
          <w:rFonts w:hint="eastAsia" w:ascii="仿宋_GB2312" w:hAnsi="仿宋_GB2312" w:eastAsia="仿宋_GB2312" w:cs="仿宋_GB2312"/>
          <w:color w:val="000000" w:themeColor="text1"/>
          <w:sz w:val="28"/>
          <w:szCs w:val="30"/>
          <w:highlight w:val="none"/>
          <w:lang w:val="en-GB" w:eastAsia="zh-CN"/>
          <w14:textFill>
            <w14:solidFill>
              <w14:schemeClr w14:val="tx1"/>
            </w14:solidFill>
          </w14:textFill>
        </w:rPr>
        <w:t>道县</w: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统计数据，2019年全县居民消费价格总指数（CPI）增长率为3.5%、2020年CPI增长率为2.8%、2021年CPI增长率为0.1%、2022年CPI增长率为2.4%、2023年CPI增长率为0.4%，</w:t>
      </w: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2024年</w: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CPI增长率为0.4%</w:t>
      </w:r>
      <w:r>
        <w:rPr>
          <w:rFonts w:hint="eastAsia" w:ascii="仿宋_GB2312" w:hAnsi="仿宋_GB2312" w:eastAsia="仿宋_GB2312" w:cs="仿宋_GB2312"/>
          <w:color w:val="000000" w:themeColor="text1"/>
          <w:sz w:val="28"/>
          <w:szCs w:val="30"/>
          <w:highlight w:val="none"/>
          <w:lang w:val="en-GB" w:eastAsia="zh-CN"/>
          <w14:textFill>
            <w14:solidFill>
              <w14:schemeClr w14:val="tx1"/>
            </w14:solidFill>
          </w14:textFill>
        </w:rPr>
        <w:t>，</w: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区域土地价格增长幅度与CPI指数相当，年土地价格增长幅度为</w:t>
      </w:r>
      <w:r>
        <w:rPr>
          <w:rFonts w:hint="eastAsia" w:ascii="仿宋_GB2312" w:hAnsi="仿宋_GB2312" w:eastAsia="仿宋_GB2312" w:cs="仿宋_GB2312"/>
          <w:color w:val="000000" w:themeColor="text1"/>
          <w:sz w:val="28"/>
          <w:szCs w:val="30"/>
          <w:highlight w:val="none"/>
          <w:lang w:val="en-GB" w:eastAsia="zh-CN"/>
          <w14:textFill>
            <w14:solidFill>
              <w14:schemeClr w14:val="tx1"/>
            </w14:solidFill>
          </w14:textFill>
        </w:rPr>
        <w:t>1.</w:t>
      </w: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6</w:t>
      </w:r>
      <w:r>
        <w:rPr>
          <w:rFonts w:hint="eastAsia" w:ascii="仿宋_GB2312" w:hAnsi="仿宋_GB2312" w:eastAsia="仿宋_GB2312" w:cs="仿宋_GB2312"/>
          <w:color w:val="000000" w:themeColor="text1"/>
          <w:sz w:val="28"/>
          <w:szCs w:val="30"/>
          <w:highlight w:val="none"/>
          <w:lang w:val="en-GB" w:eastAsia="zh-CN"/>
          <w14:textFill>
            <w14:solidFill>
              <w14:schemeClr w14:val="tx1"/>
            </w14:solidFill>
          </w14:textFill>
        </w:rPr>
        <w:t>4</w: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%，则月平均增长率为0.</w:t>
      </w:r>
      <w:r>
        <w:rPr>
          <w:rFonts w:hint="eastAsia" w:ascii="仿宋_GB2312" w:hAnsi="仿宋_GB2312" w:eastAsia="仿宋_GB2312" w:cs="仿宋_GB2312"/>
          <w:color w:val="000000" w:themeColor="text1"/>
          <w:sz w:val="28"/>
          <w:szCs w:val="30"/>
          <w:highlight w:val="none"/>
          <w:lang w:val="en-GB" w:eastAsia="zh-CN"/>
          <w14:textFill>
            <w14:solidFill>
              <w14:schemeClr w14:val="tx1"/>
            </w14:solidFill>
          </w14:textFill>
        </w:rPr>
        <w:t>1</w:t>
      </w: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3</w: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w:t>
      </w: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则估计对象与各比较实例交易期日修正系数如下：</w:t>
      </w:r>
    </w:p>
    <w:p w14:paraId="42BA1FE2">
      <w:pPr>
        <w:spacing w:line="460" w:lineRule="exact"/>
        <w:jc w:val="center"/>
        <w:outlineLvl w:val="9"/>
        <w:rPr>
          <w:rFonts w:hint="eastAsia" w:ascii="仿宋_GB2312" w:hAnsi="仿宋_GB2312" w:eastAsia="仿宋_GB2312" w:cs="仿宋_GB2312"/>
          <w:bCs/>
          <w:color w:val="000000" w:themeColor="text1"/>
          <w:sz w:val="28"/>
          <w:szCs w:val="28"/>
          <w:highlight w:val="none"/>
          <w14:textFill>
            <w14:solidFill>
              <w14:schemeClr w14:val="tx1"/>
            </w14:solidFill>
          </w14:textFill>
        </w:rPr>
      </w:pPr>
      <w:r>
        <w:rPr>
          <w:rFonts w:hint="eastAsia" w:ascii="仿宋_GB2312" w:hAnsi="仿宋_GB2312" w:eastAsia="仿宋_GB2312" w:cs="仿宋_GB2312"/>
          <w:bCs/>
          <w:color w:val="000000" w:themeColor="text1"/>
          <w:sz w:val="28"/>
          <w:szCs w:val="28"/>
          <w:highlight w:val="none"/>
          <w14:textFill>
            <w14:solidFill>
              <w14:schemeClr w14:val="tx1"/>
            </w14:solidFill>
          </w14:textFill>
        </w:rPr>
        <w:t>表3-</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12 </w:t>
      </w:r>
      <w:r>
        <w:rPr>
          <w:rFonts w:hint="eastAsia" w:ascii="仿宋_GB2312" w:hAnsi="仿宋_GB2312" w:eastAsia="仿宋_GB2312" w:cs="仿宋_GB2312"/>
          <w:bCs/>
          <w:color w:val="000000" w:themeColor="text1"/>
          <w:sz w:val="28"/>
          <w:szCs w:val="28"/>
          <w:highlight w:val="none"/>
          <w14:textFill>
            <w14:solidFill>
              <w14:schemeClr w14:val="tx1"/>
            </w14:solidFill>
          </w14:textFill>
        </w:rPr>
        <w:t>估价对象与比较案例交易期日指数表</w:t>
      </w:r>
    </w:p>
    <w:tbl>
      <w:tblPr>
        <w:tblStyle w:val="9"/>
        <w:tblW w:w="543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9"/>
        <w:gridCol w:w="1828"/>
        <w:gridCol w:w="1738"/>
        <w:gridCol w:w="1723"/>
        <w:gridCol w:w="1880"/>
      </w:tblGrid>
      <w:tr w14:paraId="2665E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 w:hRule="atLeast"/>
          <w:jc w:val="center"/>
        </w:trPr>
        <w:tc>
          <w:tcPr>
            <w:tcW w:w="1128" w:type="pct"/>
            <w:noWrap w:val="0"/>
            <w:vAlign w:val="center"/>
          </w:tcPr>
          <w:p w14:paraId="2009CEE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估价对象与比较案例</w:t>
            </w:r>
          </w:p>
        </w:tc>
        <w:tc>
          <w:tcPr>
            <w:tcW w:w="987" w:type="pct"/>
            <w:noWrap w:val="0"/>
            <w:vAlign w:val="center"/>
          </w:tcPr>
          <w:p w14:paraId="259466A3">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估价对象</w:t>
            </w:r>
          </w:p>
        </w:tc>
        <w:tc>
          <w:tcPr>
            <w:tcW w:w="938" w:type="pct"/>
            <w:noWrap w:val="0"/>
            <w:vAlign w:val="center"/>
          </w:tcPr>
          <w:p w14:paraId="02468E64">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实例A</w:t>
            </w:r>
          </w:p>
        </w:tc>
        <w:tc>
          <w:tcPr>
            <w:tcW w:w="930" w:type="pct"/>
            <w:noWrap w:val="0"/>
            <w:vAlign w:val="center"/>
          </w:tcPr>
          <w:p w14:paraId="4147C464">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实例B</w:t>
            </w:r>
          </w:p>
        </w:tc>
        <w:tc>
          <w:tcPr>
            <w:tcW w:w="1015" w:type="pct"/>
            <w:noWrap w:val="0"/>
            <w:vAlign w:val="center"/>
          </w:tcPr>
          <w:p w14:paraId="14801E0B">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实例C</w:t>
            </w:r>
          </w:p>
        </w:tc>
      </w:tr>
      <w:tr w14:paraId="62639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jc w:val="center"/>
        </w:trPr>
        <w:tc>
          <w:tcPr>
            <w:tcW w:w="1128" w:type="pct"/>
            <w:noWrap w:val="0"/>
            <w:vAlign w:val="center"/>
          </w:tcPr>
          <w:p w14:paraId="744B2D73">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成交日期</w:t>
            </w:r>
          </w:p>
        </w:tc>
        <w:tc>
          <w:tcPr>
            <w:tcW w:w="987" w:type="pct"/>
            <w:noWrap w:val="0"/>
            <w:vAlign w:val="center"/>
          </w:tcPr>
          <w:p w14:paraId="6E1E8024">
            <w:pPr>
              <w:keepNext w:val="0"/>
              <w:keepLines w:val="0"/>
              <w:widowControl/>
              <w:suppressLineNumbers w:val="0"/>
              <w:spacing w:before="0" w:beforeAutospacing="0" w:after="0" w:afterAutospacing="0"/>
              <w:ind w:left="0" w:leftChars="0" w:right="0" w:rightChars="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ascii="仿宋_GB2312" w:hAnsi="仿宋_GB2312" w:eastAsia="仿宋_GB2312" w:cs="仿宋_GB2312"/>
                <w:i w:val="0"/>
                <w:color w:val="000000"/>
                <w:sz w:val="20"/>
              </w:rPr>
              <w:t>2026年04月23日</w:t>
            </w:r>
          </w:p>
        </w:tc>
        <w:tc>
          <w:tcPr>
            <w:tcW w:w="938" w:type="pct"/>
            <w:noWrap w:val="0"/>
            <w:vAlign w:val="center"/>
          </w:tcPr>
          <w:p w14:paraId="0FB1AD4B">
            <w:pPr>
              <w:keepNext w:val="0"/>
              <w:keepLines w:val="0"/>
              <w:widowControl/>
              <w:suppressLineNumbers w:val="0"/>
              <w:spacing w:before="0" w:beforeAutospacing="0" w:after="0" w:afterAutospacing="0"/>
              <w:ind w:left="0" w:leftChars="0" w:right="0" w:rightChars="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2024年8月5日</w:t>
            </w:r>
          </w:p>
        </w:tc>
        <w:tc>
          <w:tcPr>
            <w:tcW w:w="930" w:type="pct"/>
            <w:noWrap w:val="0"/>
            <w:vAlign w:val="center"/>
          </w:tcPr>
          <w:p w14:paraId="0686C195">
            <w:pPr>
              <w:keepNext w:val="0"/>
              <w:keepLines w:val="0"/>
              <w:widowControl/>
              <w:suppressLineNumbers w:val="0"/>
              <w:spacing w:before="0" w:beforeAutospacing="0" w:after="0" w:afterAutospacing="0"/>
              <w:ind w:left="0" w:leftChars="0" w:right="0" w:rightChars="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2024年1月10日</w:t>
            </w:r>
          </w:p>
        </w:tc>
        <w:tc>
          <w:tcPr>
            <w:tcW w:w="1015" w:type="pct"/>
            <w:noWrap w:val="0"/>
            <w:vAlign w:val="center"/>
          </w:tcPr>
          <w:p w14:paraId="0EE9E52C">
            <w:pPr>
              <w:keepNext w:val="0"/>
              <w:keepLines w:val="0"/>
              <w:widowControl/>
              <w:suppressLineNumbers w:val="0"/>
              <w:spacing w:before="0" w:beforeAutospacing="0" w:after="0" w:afterAutospacing="0"/>
              <w:ind w:left="0" w:leftChars="0" w:right="0" w:rightChars="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2024年8月26日</w:t>
            </w:r>
          </w:p>
        </w:tc>
      </w:tr>
      <w:tr w14:paraId="269EC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 w:hRule="atLeast"/>
          <w:jc w:val="center"/>
        </w:trPr>
        <w:tc>
          <w:tcPr>
            <w:tcW w:w="1128" w:type="pct"/>
            <w:noWrap w:val="0"/>
            <w:vAlign w:val="center"/>
          </w:tcPr>
          <w:p w14:paraId="450FA93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综合修正系数</w:t>
            </w:r>
          </w:p>
        </w:tc>
        <w:tc>
          <w:tcPr>
            <w:tcW w:w="987" w:type="pct"/>
            <w:noWrap w:val="0"/>
            <w:vAlign w:val="center"/>
          </w:tcPr>
          <w:p w14:paraId="1CF247B2">
            <w:pPr>
              <w:keepNext w:val="0"/>
              <w:keepLines w:val="0"/>
              <w:widowControl/>
              <w:suppressLineNumbers w:val="0"/>
              <w:spacing w:before="0" w:beforeAutospacing="0" w:after="0" w:afterAutospacing="0"/>
              <w:ind w:left="0" w:right="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1.0000</w:t>
            </w:r>
          </w:p>
        </w:tc>
        <w:tc>
          <w:tcPr>
            <w:tcW w:w="938" w:type="pct"/>
            <w:noWrap w:val="0"/>
            <w:vAlign w:val="center"/>
          </w:tcPr>
          <w:p w14:paraId="2CEB1946">
            <w:pPr>
              <w:keepNext w:val="0"/>
              <w:keepLines w:val="0"/>
              <w:widowControl/>
              <w:suppressLineNumbers w:val="0"/>
              <w:spacing w:before="0" w:beforeAutospacing="0" w:after="0" w:afterAutospacing="0"/>
              <w:ind w:left="0" w:right="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2.04</w:t>
            </w:r>
          </w:p>
        </w:tc>
        <w:tc>
          <w:tcPr>
            <w:tcW w:w="930" w:type="pct"/>
            <w:noWrap w:val="0"/>
            <w:vAlign w:val="center"/>
          </w:tcPr>
          <w:p w14:paraId="4E342633">
            <w:pPr>
              <w:keepNext w:val="0"/>
              <w:keepLines w:val="0"/>
              <w:widowControl/>
              <w:suppressLineNumbers w:val="0"/>
              <w:spacing w:before="0" w:beforeAutospacing="0" w:after="0" w:afterAutospacing="0"/>
              <w:ind w:left="0" w:right="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2.93</w:t>
            </w:r>
          </w:p>
        </w:tc>
        <w:tc>
          <w:tcPr>
            <w:tcW w:w="1015" w:type="pct"/>
            <w:noWrap w:val="0"/>
            <w:vAlign w:val="center"/>
          </w:tcPr>
          <w:p w14:paraId="64C4697F">
            <w:pPr>
              <w:keepNext w:val="0"/>
              <w:keepLines w:val="0"/>
              <w:widowControl/>
              <w:suppressLineNumbers w:val="0"/>
              <w:spacing w:before="0" w:beforeAutospacing="0" w:after="0" w:afterAutospacing="0"/>
              <w:ind w:left="0" w:right="0" w:firstLine="600" w:firstLineChars="300"/>
              <w:jc w:val="both"/>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1.95</w:t>
            </w:r>
          </w:p>
        </w:tc>
      </w:tr>
      <w:tr w14:paraId="25643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jc w:val="center"/>
        </w:trPr>
        <w:tc>
          <w:tcPr>
            <w:tcW w:w="1128" w:type="pct"/>
            <w:noWrap w:val="0"/>
            <w:vAlign w:val="center"/>
          </w:tcPr>
          <w:p w14:paraId="41120A5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交易期日指数</w:t>
            </w:r>
          </w:p>
        </w:tc>
        <w:tc>
          <w:tcPr>
            <w:tcW w:w="1828" w:type="dxa"/>
            <w:noWrap w:val="0"/>
            <w:vAlign w:val="center"/>
          </w:tcPr>
          <w:p w14:paraId="38DB9F20">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100</w:t>
            </w:r>
          </w:p>
        </w:tc>
        <w:tc>
          <w:tcPr>
            <w:tcW w:w="1738" w:type="dxa"/>
            <w:noWrap w:val="0"/>
            <w:vAlign w:val="center"/>
          </w:tcPr>
          <w:p w14:paraId="652775F6">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102.04</w:t>
            </w:r>
          </w:p>
        </w:tc>
        <w:tc>
          <w:tcPr>
            <w:tcW w:w="1723" w:type="dxa"/>
            <w:noWrap w:val="0"/>
            <w:vAlign w:val="center"/>
          </w:tcPr>
          <w:p w14:paraId="4A520F90">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102.93</w:t>
            </w:r>
          </w:p>
        </w:tc>
        <w:tc>
          <w:tcPr>
            <w:tcW w:w="1880" w:type="dxa"/>
            <w:noWrap w:val="0"/>
            <w:vAlign w:val="center"/>
          </w:tcPr>
          <w:p w14:paraId="59D8DCB2">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101.95</w:t>
            </w:r>
          </w:p>
        </w:tc>
      </w:tr>
    </w:tbl>
    <w:p w14:paraId="3235DD50">
      <w:pPr>
        <w:keepNext w:val="0"/>
        <w:keepLines w:val="0"/>
        <w:widowControl/>
        <w:suppressLineNumbers w:val="0"/>
        <w:jc w:val="left"/>
        <w:textAlignment w:val="center"/>
        <w:rPr>
          <w:rFonts w:eastAsia="仿宋_GB2312"/>
          <w:color w:val="000000" w:themeColor="text1"/>
          <w:sz w:val="18"/>
          <w:szCs w:val="18"/>
          <w:highlight w:val="none"/>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备注：期日修正精确到天数。</w:t>
      </w:r>
    </w:p>
    <w:p w14:paraId="53F7B51C">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D、交易方式修正</w:t>
      </w:r>
    </w:p>
    <w:p w14:paraId="483D5A02">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估价对象的交易方式为招拍挂出让，比较案例的交易方式为招拍挂出让，二者交易方式一致，均为公开竞争的市场条件交易价格，因此不需要进行交易方式修正。</w:t>
      </w:r>
    </w:p>
    <w:p w14:paraId="28E7FC3C">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E、土地使用年限</w:t>
      </w:r>
    </w:p>
    <w:p w14:paraId="1CA87E66">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当比较实例与估价对象的土地使用年期不一致时，需进行年期修正。</w:t>
      </w:r>
    </w:p>
    <w:p w14:paraId="6E70F942">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ascii="仿宋_GB2312" w:hAnsi="仿宋_GB2312" w:eastAsia="仿宋_GB2312" w:cs="仿宋_GB2312"/>
          <w:color w:val="000000"/>
          <w:sz w:val="28"/>
        </w:rPr>
        <w:t>估价对象与可比实例土地使用年期一致均为70年，无需进行修正，土地使用年限修正系数均为100。</w:t>
      </w:r>
    </w:p>
    <w:p w14:paraId="752CA045">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 xml:space="preserve">F、区域因素    </w:t>
      </w:r>
    </w:p>
    <w:p w14:paraId="4CDFA564">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a</w: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、交通条件</w:t>
      </w:r>
    </w:p>
    <w:p w14:paraId="62780D44">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default" w:ascii="仿宋_GB2312" w:hAnsi="Times New Roman" w:eastAsia="仿宋_GB2312" w:cs="Times New Roman"/>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临近道路状况</w: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，将所临道路类型分为</w:t>
      </w: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繁华主干道、主干道、繁华次干道、次干道、支路五</w: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个级别，以估价对象指数定为100，每上升或降低一个级别地价增加或减少</w:t>
      </w: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1。</w:t>
      </w:r>
    </w:p>
    <w:p w14:paraId="2F4888A0">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距高速出入口距离，以估价对象距</w:t>
      </w: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高速出入口</w: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距离因素条件指数为100，每增加或减少1000，距</w:t>
      </w: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高速出入口距</w: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离因素条件指数相应向上或向下修正</w:t>
      </w: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2</w: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w:t>
      </w:r>
    </w:p>
    <w:p w14:paraId="10A24CB2">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距货运</w:t>
      </w: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火车站</w: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距离，以估价对象距货运</w:t>
      </w: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火车站</w: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距离因素条件指数为100，每增加或减少1000，距货运</w:t>
      </w: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火车</w: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站距离因素条件指数相应向上或向下修正</w:t>
      </w: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2</w: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w:t>
      </w:r>
    </w:p>
    <w:p w14:paraId="5A886FD8">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b</w: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.产业集聚</w:t>
      </w: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程</w: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度</w:t>
      </w:r>
    </w:p>
    <w:p w14:paraId="5EABCECC">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将产业集聚</w:t>
      </w: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程</w: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度分为高、较高、一般、较低、低五个等级，以估价对象指数定为100，每上升或降低一个级别，地价指数增加或减少</w:t>
      </w: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1</w: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w:t>
      </w:r>
    </w:p>
    <w:p w14:paraId="28F569FA">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c、公共配套设施完善度，将公共配套设施完善度分为公共配套设施齐全、完备、等级高，公共配套设施较齐全、完备、等级较高，公共配套设施基本齐全、完备、等级一般，公共配套设施较不齐全、完备、等级较低，公共配套设施不齐全，级别低五个级别</w:t>
      </w:r>
      <w:r>
        <w:rPr>
          <w:rFonts w:hint="eastAsia" w:ascii="仿宋_GB2312" w:hAnsi="仿宋_GB2312" w:eastAsia="仿宋_GB2312" w:cs="仿宋_GB2312"/>
          <w:color w:val="000000" w:themeColor="text1"/>
          <w:sz w:val="28"/>
          <w:szCs w:val="30"/>
          <w:highlight w:val="none"/>
          <w:lang w:val="en-GB" w:eastAsia="zh-CN"/>
          <w14:textFill>
            <w14:solidFill>
              <w14:schemeClr w14:val="tx1"/>
            </w14:solidFill>
          </w14:textFill>
        </w:rPr>
        <w:t>。</w: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五个级别，以估价对象指数定为100，每上升或降低一个级别，地价增加或减少</w:t>
      </w: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1</w:t>
      </w:r>
      <w:r>
        <w:rPr>
          <w:rFonts w:hint="eastAsia" w:ascii="仿宋_GB2312" w:hAnsi="仿宋_GB2312" w:eastAsia="仿宋_GB2312" w:cs="仿宋_GB2312"/>
          <w:color w:val="000000" w:themeColor="text1"/>
          <w:sz w:val="28"/>
          <w:szCs w:val="30"/>
          <w:highlight w:val="none"/>
          <w:lang w:val="en-GB" w:eastAsia="zh-CN"/>
          <w14:textFill>
            <w14:solidFill>
              <w14:schemeClr w14:val="tx1"/>
            </w14:solidFill>
          </w14:textFill>
        </w:rPr>
        <w:t>。</w:t>
      </w:r>
    </w:p>
    <w:p w14:paraId="65C45D1D">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d</w: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、环境质量</w:t>
      </w: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优劣度</w: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，估价对象及案例A、案例B、案例C均为基本无污染，故估价对象及案例A、案例B、案例C环境质量修正指数均为100</w:t>
      </w:r>
      <w:r>
        <w:rPr>
          <w:rFonts w:hint="eastAsia" w:ascii="仿宋_GB2312" w:hAnsi="仿宋_GB2312" w:eastAsia="仿宋_GB2312" w:cs="仿宋_GB2312"/>
          <w:color w:val="000000" w:themeColor="text1"/>
          <w:sz w:val="28"/>
          <w:szCs w:val="30"/>
          <w:highlight w:val="none"/>
          <w:lang w:val="en-GB" w:eastAsia="zh-CN"/>
          <w14:textFill>
            <w14:solidFill>
              <w14:schemeClr w14:val="tx1"/>
            </w14:solidFill>
          </w14:textFill>
        </w:rPr>
        <w:t>。</w:t>
      </w:r>
    </w:p>
    <w:p w14:paraId="4DEBBFE2">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Ⅱ、个别因素</w:t>
      </w:r>
    </w:p>
    <w:p w14:paraId="4D369FA7">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eastAsia="zh-CN"/>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a、宗地</w:t>
      </w: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规模</w: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（m</w:t>
      </w:r>
      <w:r>
        <w:rPr>
          <w:rFonts w:hint="eastAsia" w:ascii="仿宋_GB2312" w:hAnsi="仿宋_GB2312" w:eastAsia="仿宋_GB2312" w:cs="仿宋_GB2312"/>
          <w:color w:val="000000" w:themeColor="text1"/>
          <w:sz w:val="28"/>
          <w:szCs w:val="30"/>
          <w:highlight w:val="none"/>
          <w:vertAlign w:val="superscript"/>
          <w:lang w:val="en-GB"/>
          <w14:textFill>
            <w14:solidFill>
              <w14:schemeClr w14:val="tx1"/>
            </w14:solidFill>
          </w14:textFill>
        </w:rPr>
        <w:t>2</w: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），将宗地面积（m</w:t>
      </w:r>
      <w:r>
        <w:rPr>
          <w:rFonts w:hint="eastAsia" w:ascii="仿宋_GB2312" w:hAnsi="仿宋_GB2312" w:eastAsia="仿宋_GB2312" w:cs="仿宋_GB2312"/>
          <w:color w:val="000000" w:themeColor="text1"/>
          <w:sz w:val="28"/>
          <w:szCs w:val="30"/>
          <w:highlight w:val="none"/>
          <w:vertAlign w:val="superscript"/>
          <w:lang w:val="en-GB"/>
          <w14:textFill>
            <w14:solidFill>
              <w14:schemeClr w14:val="tx1"/>
            </w14:solidFill>
          </w14:textFill>
        </w:rPr>
        <w:t>2</w: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）分为＞</w:t>
      </w: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2</w: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0000平方米、</w:t>
      </w: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1</w: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0000-</w:t>
      </w: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2</w: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0000平方米、</w:t>
      </w: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5</w: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000-</w:t>
      </w: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1</w: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0000平方米、</w:t>
      </w: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2</w: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000-</w:t>
      </w: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5</w: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000平方米、</w:t>
      </w: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2</w: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000平方米及其以下五个级别，以估价对象指数定为100，每上升或降低一个级别地价增加或减少</w:t>
      </w: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1。</w:t>
      </w:r>
    </w:p>
    <w:p w14:paraId="00675B7A">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eastAsia="zh-CN"/>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b</w: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、宗地形状，将宗地形状状况分为规则，较规则，基本规则，较不规则，不规则5个级别，以估价对象指数定为100，每上升或降低一个级别地价增加或减少</w:t>
      </w: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1</w:t>
      </w:r>
      <w:r>
        <w:rPr>
          <w:rFonts w:hint="eastAsia" w:ascii="仿宋_GB2312" w:hAnsi="仿宋_GB2312" w:eastAsia="仿宋_GB2312" w:cs="仿宋_GB2312"/>
          <w:color w:val="000000" w:themeColor="text1"/>
          <w:sz w:val="28"/>
          <w:szCs w:val="30"/>
          <w:highlight w:val="none"/>
          <w:lang w:val="en-GB" w:eastAsia="zh-CN"/>
          <w14:textFill>
            <w14:solidFill>
              <w14:schemeClr w14:val="tx1"/>
            </w14:solidFill>
          </w14:textFill>
        </w:rPr>
        <w:t>。</w:t>
      </w:r>
    </w:p>
    <w:p w14:paraId="30BA55A2">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c</w: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、地</w:t>
      </w: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势</w: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，将地</w:t>
      </w: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势</w: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状况分为地势平坦，地势较平坦，地势基本平</w:t>
      </w:r>
      <w:r>
        <w:rPr>
          <w:rFonts w:hint="eastAsia" w:ascii="仿宋_GB2312" w:hAnsi="仿宋_GB2312" w:eastAsia="仿宋_GB2312" w:cs="仿宋_GB2312"/>
          <w:color w:val="000000" w:themeColor="text1"/>
          <w:sz w:val="28"/>
          <w:szCs w:val="30"/>
          <w:highlight w:val="none"/>
          <w:lang w:val="en-GB" w:eastAsia="zh-CN"/>
          <w14:textFill>
            <w14:solidFill>
              <w14:schemeClr w14:val="tx1"/>
            </w14:solidFill>
          </w14:textFill>
        </w:rPr>
        <w:t>坦、地势较不平坦、地势较平坦5个级别，以估价对象指数定为100，每上升或降低一个级别地价增加或减少</w:t>
      </w: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1。</w:t>
      </w:r>
    </w:p>
    <w:p w14:paraId="68447BA6">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eastAsia="zh-CN"/>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d</w:t>
      </w:r>
      <w:r>
        <w:rPr>
          <w:rFonts w:hint="eastAsia" w:ascii="仿宋_GB2312" w:hAnsi="仿宋_GB2312" w:eastAsia="仿宋_GB2312" w:cs="仿宋_GB2312"/>
          <w:color w:val="000000" w:themeColor="text1"/>
          <w:sz w:val="28"/>
          <w:szCs w:val="30"/>
          <w:highlight w:val="none"/>
          <w:lang w:val="en-GB" w:eastAsia="zh-CN"/>
          <w14:textFill>
            <w14:solidFill>
              <w14:schemeClr w14:val="tx1"/>
            </w14:solidFill>
          </w14:textFill>
        </w:rPr>
        <w:t>、</w:t>
      </w: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地质</w:t>
      </w:r>
      <w:r>
        <w:rPr>
          <w:rFonts w:hint="eastAsia" w:ascii="仿宋_GB2312" w:hAnsi="仿宋_GB2312" w:eastAsia="仿宋_GB2312" w:cs="仿宋_GB2312"/>
          <w:color w:val="000000" w:themeColor="text1"/>
          <w:sz w:val="28"/>
          <w:szCs w:val="30"/>
          <w:highlight w:val="none"/>
          <w:lang w:val="en-GB" w:eastAsia="zh-CN"/>
          <w14:textFill>
            <w14:solidFill>
              <w14:schemeClr w14:val="tx1"/>
            </w14:solidFill>
          </w14:textFill>
        </w:rPr>
        <w:t>，将</w:t>
      </w: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地质状况</w:t>
      </w:r>
      <w:r>
        <w:rPr>
          <w:rFonts w:hint="eastAsia" w:ascii="仿宋_GB2312" w:hAnsi="仿宋_GB2312" w:eastAsia="仿宋_GB2312" w:cs="仿宋_GB2312"/>
          <w:color w:val="000000" w:themeColor="text1"/>
          <w:sz w:val="28"/>
          <w:szCs w:val="30"/>
          <w:highlight w:val="none"/>
          <w:lang w:val="en-GB" w:eastAsia="zh-CN"/>
          <w14:textFill>
            <w14:solidFill>
              <w14:schemeClr w14:val="tx1"/>
            </w14:solidFill>
          </w14:textFill>
        </w:rPr>
        <w:t>分为大于25吨/平方米，大于20吨/平方米，大于15吨/平方米，大于10吨/平方米四个级别，以估价对象指数定为100，每上升或降低一个级别地价增加或减少</w:t>
      </w: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2</w:t>
      </w:r>
      <w:r>
        <w:rPr>
          <w:rFonts w:hint="eastAsia" w:ascii="仿宋_GB2312" w:hAnsi="仿宋_GB2312" w:eastAsia="仿宋_GB2312" w:cs="仿宋_GB2312"/>
          <w:color w:val="000000" w:themeColor="text1"/>
          <w:sz w:val="28"/>
          <w:szCs w:val="30"/>
          <w:highlight w:val="none"/>
          <w:lang w:val="en-GB" w:eastAsia="zh-CN"/>
          <w14:textFill>
            <w14:solidFill>
              <w14:schemeClr w14:val="tx1"/>
            </w14:solidFill>
          </w14:textFill>
        </w:rPr>
        <w:t>。</w:t>
      </w:r>
    </w:p>
    <w:p w14:paraId="7EACEFB9">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eastAsia="zh-CN"/>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e</w:t>
      </w:r>
      <w:r>
        <w:rPr>
          <w:rFonts w:hint="eastAsia" w:ascii="仿宋_GB2312" w:hAnsi="仿宋_GB2312" w:eastAsia="仿宋_GB2312" w:cs="仿宋_GB2312"/>
          <w:color w:val="000000" w:themeColor="text1"/>
          <w:sz w:val="28"/>
          <w:szCs w:val="30"/>
          <w:highlight w:val="none"/>
          <w:lang w:val="en-GB" w:eastAsia="zh-CN"/>
          <w14:textFill>
            <w14:solidFill>
              <w14:schemeClr w14:val="tx1"/>
            </w14:solidFill>
          </w14:textFill>
        </w:rPr>
        <w:t>、</w:t>
      </w: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规划限制</w:t>
      </w:r>
      <w:r>
        <w:rPr>
          <w:rFonts w:hint="eastAsia" w:ascii="仿宋_GB2312" w:hAnsi="仿宋_GB2312" w:eastAsia="仿宋_GB2312" w:cs="仿宋_GB2312"/>
          <w:color w:val="000000" w:themeColor="text1"/>
          <w:sz w:val="28"/>
          <w:szCs w:val="30"/>
          <w:highlight w:val="none"/>
          <w:lang w:val="en-GB" w:eastAsia="zh-CN"/>
          <w14:textFill>
            <w14:solidFill>
              <w14:schemeClr w14:val="tx1"/>
            </w14:solidFill>
          </w14:textFill>
        </w:rPr>
        <w:t>，根据</w:t>
      </w: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《关于国有建设用地的规划条件的函》（2025年9月11日）</w:t>
      </w:r>
      <w:r>
        <w:rPr>
          <w:rFonts w:hint="eastAsia" w:ascii="仿宋_GB2312" w:hAnsi="仿宋_GB2312" w:eastAsia="仿宋_GB2312" w:cs="仿宋_GB2312"/>
          <w:color w:val="000000" w:themeColor="text1"/>
          <w:sz w:val="28"/>
          <w:szCs w:val="30"/>
          <w:highlight w:val="none"/>
          <w:lang w:val="en-GB" w:eastAsia="zh-CN"/>
          <w14:textFill>
            <w14:solidFill>
              <w14:schemeClr w14:val="tx1"/>
            </w14:solidFill>
          </w14:textFill>
        </w:rPr>
        <w:t>估价对象无特殊规划限制，</w: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与比较实例A、B、C一致，故比较实例A、B、C开发程度水平修正系数均为100</w:t>
      </w:r>
      <w:r>
        <w:rPr>
          <w:rFonts w:hint="eastAsia" w:ascii="仿宋_GB2312" w:hAnsi="仿宋_GB2312" w:eastAsia="仿宋_GB2312" w:cs="仿宋_GB2312"/>
          <w:color w:val="000000" w:themeColor="text1"/>
          <w:sz w:val="28"/>
          <w:szCs w:val="30"/>
          <w:highlight w:val="none"/>
          <w:lang w:val="en-GB" w:eastAsia="zh-CN"/>
          <w14:textFill>
            <w14:solidFill>
              <w14:schemeClr w14:val="tx1"/>
            </w14:solidFill>
          </w14:textFill>
        </w:rPr>
        <w:t>。</w:t>
      </w:r>
    </w:p>
    <w:p w14:paraId="3A4A0D99">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Times New Roman" w:hAnsi="Times New Roman" w:eastAsia="仿宋" w:cs="Times New Roman"/>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根据以上比较因素指数的说明，编制比较因素条件指数表</w:t>
      </w:r>
      <w:r>
        <w:rPr>
          <w:rFonts w:hint="eastAsia" w:ascii="仿宋_GB2312" w:hAnsi="仿宋_GB2312" w:eastAsia="仿宋_GB2312" w:cs="仿宋_GB2312"/>
          <w:color w:val="000000" w:themeColor="text1"/>
          <w:sz w:val="28"/>
          <w:highlight w:val="none"/>
          <w14:textFill>
            <w14:solidFill>
              <w14:schemeClr w14:val="tx1"/>
            </w14:solidFill>
          </w14:textFill>
        </w:rPr>
        <w:t>。</w:t>
      </w:r>
    </w:p>
    <w:p w14:paraId="642DF68B">
      <w:pPr>
        <w:spacing w:line="460" w:lineRule="exact"/>
        <w:jc w:val="center"/>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表3-13 估价对象及比较因素条件指数表</w:t>
      </w:r>
    </w:p>
    <w:tbl>
      <w:tblPr>
        <w:tblStyle w:val="9"/>
        <w:tblW w:w="5021"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8"/>
        <w:gridCol w:w="579"/>
        <w:gridCol w:w="1580"/>
        <w:gridCol w:w="1509"/>
        <w:gridCol w:w="1464"/>
        <w:gridCol w:w="1464"/>
        <w:gridCol w:w="1464"/>
      </w:tblGrid>
      <w:tr w14:paraId="58AA9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552" w:type="pct"/>
            <w:gridSpan w:val="3"/>
            <w:tcBorders>
              <w:tl2br w:val="single" w:color="auto" w:sz="4" w:space="0"/>
            </w:tcBorders>
            <w:shd w:val="clear" w:color="000000" w:fill="FFFFFF"/>
            <w:noWrap w:val="0"/>
            <w:vAlign w:val="center"/>
          </w:tcPr>
          <w:p w14:paraId="34F6D4FC">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待估宗地及比较实例</w:t>
            </w:r>
          </w:p>
          <w:p w14:paraId="4CB66687">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比较因素</w:t>
            </w:r>
          </w:p>
        </w:tc>
        <w:tc>
          <w:tcPr>
            <w:tcW w:w="881" w:type="pct"/>
            <w:shd w:val="clear" w:color="000000" w:fill="FFFFFF"/>
            <w:noWrap w:val="0"/>
            <w:vAlign w:val="center"/>
          </w:tcPr>
          <w:p w14:paraId="5EADBEF1">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估价对象</w:t>
            </w:r>
          </w:p>
        </w:tc>
        <w:tc>
          <w:tcPr>
            <w:tcW w:w="855" w:type="pct"/>
            <w:shd w:val="clear" w:color="000000" w:fill="FFFFFF"/>
            <w:noWrap w:val="0"/>
            <w:vAlign w:val="center"/>
          </w:tcPr>
          <w:p w14:paraId="3ACB0181">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案例A</w:t>
            </w:r>
          </w:p>
        </w:tc>
        <w:tc>
          <w:tcPr>
            <w:tcW w:w="855" w:type="pct"/>
            <w:shd w:val="clear" w:color="000000" w:fill="FFFFFF"/>
            <w:noWrap w:val="0"/>
            <w:vAlign w:val="center"/>
          </w:tcPr>
          <w:p w14:paraId="169960F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案例B</w:t>
            </w:r>
          </w:p>
        </w:tc>
        <w:tc>
          <w:tcPr>
            <w:tcW w:w="855" w:type="pct"/>
            <w:shd w:val="clear" w:color="000000" w:fill="FFFFFF"/>
            <w:noWrap w:val="0"/>
            <w:vAlign w:val="center"/>
          </w:tcPr>
          <w:p w14:paraId="02CDF69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案例C</w:t>
            </w:r>
          </w:p>
        </w:tc>
      </w:tr>
      <w:tr w14:paraId="1BB63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552" w:type="pct"/>
            <w:gridSpan w:val="3"/>
            <w:shd w:val="clear" w:color="000000" w:fill="FFFFFF"/>
            <w:noWrap w:val="0"/>
            <w:vAlign w:val="center"/>
          </w:tcPr>
          <w:p w14:paraId="1E1B48C1">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座落</w:t>
            </w:r>
          </w:p>
        </w:tc>
        <w:tc>
          <w:tcPr>
            <w:tcW w:w="1509" w:type="dxa"/>
            <w:shd w:val="clear" w:color="000000" w:fill="FFFFFF"/>
            <w:noWrap w:val="0"/>
            <w:vAlign w:val="center"/>
          </w:tcPr>
          <w:p w14:paraId="7EC79DE7">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ascii="仿宋_GB2312" w:hAnsi="仿宋_GB2312" w:eastAsia="仿宋_GB2312" w:cs="仿宋_GB2312"/>
                <w:i w:val="0"/>
                <w:color w:val="000000"/>
                <w:sz w:val="20"/>
              </w:rPr>
              <w:t>通道县双江镇城南街</w:t>
            </w:r>
          </w:p>
        </w:tc>
        <w:tc>
          <w:tcPr>
            <w:tcW w:w="1464" w:type="dxa"/>
            <w:shd w:val="clear" w:color="000000" w:fill="FFFFFF"/>
            <w:noWrap w:val="0"/>
            <w:vAlign w:val="center"/>
          </w:tcPr>
          <w:p w14:paraId="61F0285D">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道县乌家山路以南、东环一路以西</w:t>
            </w:r>
          </w:p>
        </w:tc>
        <w:tc>
          <w:tcPr>
            <w:tcW w:w="1464" w:type="dxa"/>
            <w:shd w:val="clear" w:color="000000" w:fill="FFFFFF"/>
            <w:noWrap w:val="0"/>
            <w:vAlign w:val="center"/>
          </w:tcPr>
          <w:p w14:paraId="69642E00">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道县庙塘路以北、富园四路以东</w:t>
            </w:r>
          </w:p>
        </w:tc>
        <w:tc>
          <w:tcPr>
            <w:tcW w:w="1464" w:type="dxa"/>
            <w:shd w:val="clear" w:color="000000" w:fill="FFFFFF"/>
            <w:noWrap w:val="0"/>
            <w:vAlign w:val="center"/>
          </w:tcPr>
          <w:p w14:paraId="1E7DA268">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道县张家街路以南</w:t>
            </w:r>
          </w:p>
        </w:tc>
      </w:tr>
      <w:tr w14:paraId="7C091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14:paraId="1A0DAC74">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交易价格（元/平方米）</w:t>
            </w:r>
          </w:p>
        </w:tc>
        <w:tc>
          <w:tcPr>
            <w:tcW w:w="881" w:type="pct"/>
            <w:shd w:val="clear" w:color="000000" w:fill="FFFFFF"/>
            <w:noWrap w:val="0"/>
            <w:vAlign w:val="center"/>
          </w:tcPr>
          <w:p w14:paraId="0AC4FBEF">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待估</w:t>
            </w:r>
          </w:p>
        </w:tc>
        <w:tc>
          <w:tcPr>
            <w:tcW w:w="1464" w:type="dxa"/>
            <w:shd w:val="clear" w:color="000000" w:fill="FFFFFF"/>
            <w:noWrap w:val="0"/>
            <w:vAlign w:val="center"/>
          </w:tcPr>
          <w:p w14:paraId="193F79B0">
            <w:pPr>
              <w:keepNext w:val="0"/>
              <w:keepLines w:val="0"/>
              <w:widowControl/>
              <w:suppressLineNumbers w:val="0"/>
              <w:spacing w:before="0" w:beforeAutospacing="0" w:after="0" w:afterAutospacing="0"/>
              <w:ind w:left="0" w:right="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145</w:t>
            </w:r>
          </w:p>
        </w:tc>
        <w:tc>
          <w:tcPr>
            <w:tcW w:w="1464" w:type="dxa"/>
            <w:shd w:val="clear" w:color="000000" w:fill="FFFFFF"/>
            <w:noWrap w:val="0"/>
            <w:vAlign w:val="center"/>
          </w:tcPr>
          <w:p w14:paraId="5305612F">
            <w:pPr>
              <w:keepNext w:val="0"/>
              <w:keepLines w:val="0"/>
              <w:widowControl/>
              <w:suppressLineNumbers w:val="0"/>
              <w:spacing w:before="0" w:beforeAutospacing="0" w:after="0" w:afterAutospacing="0"/>
              <w:ind w:left="0" w:right="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150</w:t>
            </w:r>
          </w:p>
        </w:tc>
        <w:tc>
          <w:tcPr>
            <w:tcW w:w="1464" w:type="dxa"/>
            <w:shd w:val="clear" w:color="000000" w:fill="FFFFFF"/>
            <w:noWrap w:val="0"/>
            <w:vAlign w:val="center"/>
          </w:tcPr>
          <w:p w14:paraId="47A56456">
            <w:pPr>
              <w:keepNext w:val="0"/>
              <w:keepLines w:val="0"/>
              <w:widowControl/>
              <w:suppressLineNumbers w:val="0"/>
              <w:spacing w:before="0" w:beforeAutospacing="0" w:after="0" w:afterAutospacing="0"/>
              <w:ind w:left="0" w:right="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149</w:t>
            </w:r>
          </w:p>
        </w:tc>
      </w:tr>
      <w:tr w14:paraId="6B5A3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14:paraId="15852839">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土地用途</w:t>
            </w:r>
          </w:p>
        </w:tc>
        <w:tc>
          <w:tcPr>
            <w:tcW w:w="1509" w:type="dxa"/>
            <w:shd w:val="clear" w:color="000000" w:fill="FFFFFF"/>
            <w:noWrap w:val="0"/>
            <w:vAlign w:val="center"/>
          </w:tcPr>
          <w:p w14:paraId="447FAF9D">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60BEECE1">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63056A5A">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2649035C">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100</w:t>
            </w:r>
          </w:p>
        </w:tc>
      </w:tr>
      <w:tr w14:paraId="6D1C9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14:paraId="44E5AF5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交易时间</w:t>
            </w:r>
          </w:p>
        </w:tc>
        <w:tc>
          <w:tcPr>
            <w:tcW w:w="1509" w:type="dxa"/>
            <w:shd w:val="clear" w:color="000000" w:fill="FFFFFF"/>
            <w:noWrap w:val="0"/>
            <w:vAlign w:val="center"/>
          </w:tcPr>
          <w:p w14:paraId="02A58CAD">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5177118F">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102.04</w:t>
            </w:r>
          </w:p>
        </w:tc>
        <w:tc>
          <w:tcPr>
            <w:tcW w:w="1464" w:type="dxa"/>
            <w:shd w:val="clear" w:color="000000" w:fill="FFFFFF"/>
            <w:noWrap w:val="0"/>
            <w:vAlign w:val="center"/>
          </w:tcPr>
          <w:p w14:paraId="692CCD02">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102.93</w:t>
            </w:r>
          </w:p>
        </w:tc>
        <w:tc>
          <w:tcPr>
            <w:tcW w:w="1464" w:type="dxa"/>
            <w:shd w:val="clear" w:color="000000" w:fill="FFFFFF"/>
            <w:noWrap w:val="0"/>
            <w:vAlign w:val="center"/>
          </w:tcPr>
          <w:p w14:paraId="51624D98">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101.95</w:t>
            </w:r>
          </w:p>
        </w:tc>
      </w:tr>
      <w:tr w14:paraId="7A0F1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14:paraId="109E6D1B">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交易情况</w:t>
            </w:r>
          </w:p>
        </w:tc>
        <w:tc>
          <w:tcPr>
            <w:tcW w:w="1509" w:type="dxa"/>
            <w:shd w:val="clear" w:color="000000" w:fill="FFFFFF"/>
            <w:noWrap w:val="0"/>
            <w:vAlign w:val="center"/>
          </w:tcPr>
          <w:p w14:paraId="07F58AEF">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7FD56245">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4D77B9F1">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102ECE21">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100</w:t>
            </w:r>
          </w:p>
        </w:tc>
      </w:tr>
      <w:tr w14:paraId="1CAF5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14:paraId="11AA9B2D">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交易方式</w:t>
            </w:r>
          </w:p>
        </w:tc>
        <w:tc>
          <w:tcPr>
            <w:tcW w:w="1509" w:type="dxa"/>
            <w:shd w:val="clear" w:color="000000" w:fill="FFFFFF"/>
            <w:noWrap w:val="0"/>
            <w:vAlign w:val="center"/>
          </w:tcPr>
          <w:p w14:paraId="35DD4766">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15DCD876">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3D4476D0">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0E62DAAC">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100</w:t>
            </w:r>
          </w:p>
        </w:tc>
      </w:tr>
      <w:tr w14:paraId="3AA74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14:paraId="3FC6554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土地使用年限</w:t>
            </w:r>
          </w:p>
        </w:tc>
        <w:tc>
          <w:tcPr>
            <w:tcW w:w="1509" w:type="dxa"/>
            <w:shd w:val="clear" w:color="000000" w:fill="FFFFFF"/>
            <w:noWrap w:val="0"/>
            <w:vAlign w:val="center"/>
          </w:tcPr>
          <w:p w14:paraId="5FCB5A41">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359F8A72">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79F841C6">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3DB03963">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100</w:t>
            </w:r>
          </w:p>
        </w:tc>
      </w:tr>
      <w:tr w14:paraId="0FB73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290" w:type="pct"/>
            <w:vMerge w:val="restart"/>
            <w:shd w:val="clear" w:color="auto" w:fill="auto"/>
            <w:noWrap w:val="0"/>
            <w:vAlign w:val="center"/>
          </w:tcPr>
          <w:p w14:paraId="1BDF2171">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338" w:type="pct"/>
            <w:vMerge w:val="restart"/>
            <w:shd w:val="clear" w:color="auto" w:fill="auto"/>
            <w:noWrap w:val="0"/>
            <w:vAlign w:val="center"/>
          </w:tcPr>
          <w:p w14:paraId="2A139F90">
            <w:pPr>
              <w:keepNext w:val="0"/>
              <w:keepLines w:val="0"/>
              <w:widowControl/>
              <w:suppressLineNumbers w:val="0"/>
              <w:spacing w:before="0" w:beforeAutospacing="0" w:after="0" w:afterAutospacing="0"/>
              <w:ind w:left="0" w:right="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交通条件</w:t>
            </w:r>
          </w:p>
        </w:tc>
        <w:tc>
          <w:tcPr>
            <w:tcW w:w="923" w:type="pct"/>
            <w:shd w:val="clear" w:color="000000" w:fill="FFFFFF"/>
            <w:noWrap w:val="0"/>
            <w:vAlign w:val="center"/>
          </w:tcPr>
          <w:p w14:paraId="53A4E72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距高速公路出入口距离（km）</w:t>
            </w:r>
          </w:p>
        </w:tc>
        <w:tc>
          <w:tcPr>
            <w:tcW w:w="1509" w:type="dxa"/>
            <w:shd w:val="clear" w:color="000000" w:fill="FFFFFF"/>
            <w:noWrap w:val="0"/>
            <w:vAlign w:val="center"/>
          </w:tcPr>
          <w:p w14:paraId="35E4A31E">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161A02D3">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103</w:t>
            </w:r>
          </w:p>
        </w:tc>
        <w:tc>
          <w:tcPr>
            <w:tcW w:w="1464" w:type="dxa"/>
            <w:shd w:val="clear" w:color="000000" w:fill="FFFFFF"/>
            <w:noWrap w:val="0"/>
            <w:vAlign w:val="center"/>
          </w:tcPr>
          <w:p w14:paraId="1787EFEC">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103</w:t>
            </w:r>
          </w:p>
        </w:tc>
        <w:tc>
          <w:tcPr>
            <w:tcW w:w="1464" w:type="dxa"/>
            <w:shd w:val="clear" w:color="000000" w:fill="FFFFFF"/>
            <w:noWrap w:val="0"/>
            <w:vAlign w:val="center"/>
          </w:tcPr>
          <w:p w14:paraId="018A72F2">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103</w:t>
            </w:r>
          </w:p>
        </w:tc>
      </w:tr>
      <w:tr w14:paraId="616F1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290" w:type="pct"/>
            <w:vMerge w:val="continue"/>
            <w:shd w:val="clear" w:color="auto" w:fill="auto"/>
            <w:noWrap w:val="0"/>
            <w:vAlign w:val="center"/>
          </w:tcPr>
          <w:p w14:paraId="15FEEFEC">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338" w:type="pct"/>
            <w:vMerge w:val="continue"/>
            <w:shd w:val="clear" w:color="auto" w:fill="auto"/>
            <w:noWrap w:val="0"/>
            <w:vAlign w:val="center"/>
          </w:tcPr>
          <w:p w14:paraId="5E611C2A">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923" w:type="pct"/>
            <w:shd w:val="clear" w:color="000000" w:fill="FFFFFF"/>
            <w:noWrap w:val="0"/>
            <w:vAlign w:val="center"/>
          </w:tcPr>
          <w:p w14:paraId="2AD99524">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距货运火车站距离（km）</w:t>
            </w:r>
          </w:p>
        </w:tc>
        <w:tc>
          <w:tcPr>
            <w:tcW w:w="1509" w:type="dxa"/>
            <w:noWrap w:val="0"/>
            <w:vAlign w:val="center"/>
          </w:tcPr>
          <w:p w14:paraId="02185FDF">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noWrap w:val="0"/>
            <w:vAlign w:val="center"/>
          </w:tcPr>
          <w:p w14:paraId="036E7FCC">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108</w:t>
            </w:r>
          </w:p>
        </w:tc>
        <w:tc>
          <w:tcPr>
            <w:tcW w:w="1464" w:type="dxa"/>
            <w:noWrap w:val="0"/>
            <w:vAlign w:val="center"/>
          </w:tcPr>
          <w:p w14:paraId="228D0B08">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108</w:t>
            </w:r>
          </w:p>
        </w:tc>
        <w:tc>
          <w:tcPr>
            <w:tcW w:w="1464" w:type="dxa"/>
            <w:noWrap w:val="0"/>
            <w:vAlign w:val="center"/>
          </w:tcPr>
          <w:p w14:paraId="3A0D28EB">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108</w:t>
            </w:r>
          </w:p>
        </w:tc>
      </w:tr>
      <w:tr w14:paraId="53D04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290" w:type="pct"/>
            <w:vMerge w:val="continue"/>
            <w:shd w:val="clear" w:color="auto" w:fill="auto"/>
            <w:noWrap w:val="0"/>
            <w:vAlign w:val="center"/>
          </w:tcPr>
          <w:p w14:paraId="2CDFF324">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338" w:type="pct"/>
            <w:vMerge w:val="continue"/>
            <w:shd w:val="clear" w:color="auto" w:fill="auto"/>
            <w:noWrap w:val="0"/>
            <w:vAlign w:val="center"/>
          </w:tcPr>
          <w:p w14:paraId="619D604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923" w:type="pct"/>
            <w:shd w:val="clear" w:color="000000" w:fill="FFFFFF"/>
            <w:noWrap w:val="0"/>
            <w:vAlign w:val="center"/>
          </w:tcPr>
          <w:p w14:paraId="76848884">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临近道路状况</w:t>
            </w:r>
          </w:p>
        </w:tc>
        <w:tc>
          <w:tcPr>
            <w:tcW w:w="1509" w:type="dxa"/>
            <w:noWrap w:val="0"/>
            <w:vAlign w:val="center"/>
          </w:tcPr>
          <w:p w14:paraId="16060720">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noWrap w:val="0"/>
            <w:vAlign w:val="center"/>
          </w:tcPr>
          <w:p w14:paraId="069219E9">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noWrap w:val="0"/>
            <w:vAlign w:val="center"/>
          </w:tcPr>
          <w:p w14:paraId="780F93DE">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noWrap w:val="0"/>
            <w:vAlign w:val="center"/>
          </w:tcPr>
          <w:p w14:paraId="7227CC6A">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100</w:t>
            </w:r>
          </w:p>
        </w:tc>
      </w:tr>
      <w:tr w14:paraId="60646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continue"/>
            <w:shd w:val="clear" w:color="auto" w:fill="auto"/>
            <w:noWrap w:val="0"/>
            <w:vAlign w:val="center"/>
          </w:tcPr>
          <w:p w14:paraId="603E8B6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14:paraId="36C5014A">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产业集聚程度</w:t>
            </w:r>
          </w:p>
        </w:tc>
        <w:tc>
          <w:tcPr>
            <w:tcW w:w="1509" w:type="dxa"/>
            <w:shd w:val="clear" w:color="000000" w:fill="FFFFFF"/>
            <w:noWrap w:val="0"/>
            <w:vAlign w:val="center"/>
          </w:tcPr>
          <w:p w14:paraId="146B126B">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5753C63A">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103</w:t>
            </w:r>
          </w:p>
        </w:tc>
        <w:tc>
          <w:tcPr>
            <w:tcW w:w="1464" w:type="dxa"/>
            <w:shd w:val="clear" w:color="000000" w:fill="FFFFFF"/>
            <w:noWrap w:val="0"/>
            <w:vAlign w:val="center"/>
          </w:tcPr>
          <w:p w14:paraId="588BA997">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103</w:t>
            </w:r>
          </w:p>
        </w:tc>
        <w:tc>
          <w:tcPr>
            <w:tcW w:w="1464" w:type="dxa"/>
            <w:shd w:val="clear" w:color="000000" w:fill="FFFFFF"/>
            <w:noWrap w:val="0"/>
            <w:vAlign w:val="center"/>
          </w:tcPr>
          <w:p w14:paraId="39F3389E">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103</w:t>
            </w:r>
          </w:p>
        </w:tc>
      </w:tr>
      <w:tr w14:paraId="20BA2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continue"/>
            <w:shd w:val="clear" w:color="auto" w:fill="auto"/>
            <w:noWrap w:val="0"/>
            <w:vAlign w:val="center"/>
          </w:tcPr>
          <w:p w14:paraId="6324AA17">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14:paraId="75026A43">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公共配套设施完善度</w:t>
            </w:r>
          </w:p>
        </w:tc>
        <w:tc>
          <w:tcPr>
            <w:tcW w:w="1509" w:type="dxa"/>
            <w:shd w:val="clear" w:color="000000" w:fill="FFFFFF"/>
            <w:noWrap w:val="0"/>
            <w:vAlign w:val="center"/>
          </w:tcPr>
          <w:p w14:paraId="698567F5">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157035A4">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101</w:t>
            </w:r>
          </w:p>
        </w:tc>
        <w:tc>
          <w:tcPr>
            <w:tcW w:w="1464" w:type="dxa"/>
            <w:shd w:val="clear" w:color="000000" w:fill="FFFFFF"/>
            <w:noWrap w:val="0"/>
            <w:vAlign w:val="center"/>
          </w:tcPr>
          <w:p w14:paraId="2831A734">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101</w:t>
            </w:r>
          </w:p>
        </w:tc>
        <w:tc>
          <w:tcPr>
            <w:tcW w:w="1464" w:type="dxa"/>
            <w:shd w:val="clear" w:color="000000" w:fill="FFFFFF"/>
            <w:noWrap w:val="0"/>
            <w:vAlign w:val="center"/>
          </w:tcPr>
          <w:p w14:paraId="2524B5A2">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101</w:t>
            </w:r>
          </w:p>
        </w:tc>
      </w:tr>
      <w:tr w14:paraId="60BA1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290" w:type="pct"/>
            <w:vMerge w:val="continue"/>
            <w:shd w:val="clear" w:color="auto" w:fill="auto"/>
            <w:noWrap w:val="0"/>
            <w:vAlign w:val="center"/>
          </w:tcPr>
          <w:p w14:paraId="7F0B26BF">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14:paraId="575C8D37">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环境质量优劣度</w:t>
            </w:r>
          </w:p>
        </w:tc>
        <w:tc>
          <w:tcPr>
            <w:tcW w:w="1509" w:type="dxa"/>
            <w:shd w:val="clear" w:color="000000" w:fill="FFFFFF"/>
            <w:noWrap w:val="0"/>
            <w:vAlign w:val="center"/>
          </w:tcPr>
          <w:p w14:paraId="76857773">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129A7ABF">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030955DD">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56FE51B3">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100</w:t>
            </w:r>
          </w:p>
        </w:tc>
      </w:tr>
      <w:tr w14:paraId="726B2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restart"/>
            <w:shd w:val="clear" w:color="000000" w:fill="FFFFFF"/>
            <w:noWrap w:val="0"/>
            <w:vAlign w:val="center"/>
          </w:tcPr>
          <w:p w14:paraId="327E3D5D">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个别因素</w:t>
            </w:r>
          </w:p>
        </w:tc>
        <w:tc>
          <w:tcPr>
            <w:tcW w:w="1261" w:type="pct"/>
            <w:gridSpan w:val="2"/>
            <w:shd w:val="clear" w:color="000000" w:fill="FFFFFF"/>
            <w:noWrap w:val="0"/>
            <w:vAlign w:val="center"/>
          </w:tcPr>
          <w:p w14:paraId="7259693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宗地规模（</w:t>
            </w:r>
            <w:r>
              <w:rPr>
                <w:rFonts w:hint="default"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m²</w:t>
            </w: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w:t>
            </w:r>
          </w:p>
        </w:tc>
        <w:tc>
          <w:tcPr>
            <w:tcW w:w="1509" w:type="dxa"/>
            <w:shd w:val="clear" w:color="000000" w:fill="FFFFFF"/>
            <w:noWrap w:val="0"/>
            <w:vAlign w:val="center"/>
          </w:tcPr>
          <w:p w14:paraId="571925B9">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0E2C65F2">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102</w:t>
            </w:r>
          </w:p>
        </w:tc>
        <w:tc>
          <w:tcPr>
            <w:tcW w:w="1464" w:type="dxa"/>
            <w:shd w:val="clear" w:color="000000" w:fill="FFFFFF"/>
            <w:noWrap w:val="0"/>
            <w:vAlign w:val="center"/>
          </w:tcPr>
          <w:p w14:paraId="24B3E4D2">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103</w:t>
            </w:r>
          </w:p>
        </w:tc>
        <w:tc>
          <w:tcPr>
            <w:tcW w:w="1464" w:type="dxa"/>
            <w:shd w:val="clear" w:color="000000" w:fill="FFFFFF"/>
            <w:noWrap w:val="0"/>
            <w:vAlign w:val="center"/>
          </w:tcPr>
          <w:p w14:paraId="2416572E">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101</w:t>
            </w:r>
          </w:p>
        </w:tc>
      </w:tr>
      <w:tr w14:paraId="61AC3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continue"/>
            <w:shd w:val="clear" w:color="auto" w:fill="auto"/>
            <w:noWrap w:val="0"/>
            <w:vAlign w:val="center"/>
          </w:tcPr>
          <w:p w14:paraId="7A050D7F">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14:paraId="5B05CD0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宗地形状</w:t>
            </w:r>
          </w:p>
        </w:tc>
        <w:tc>
          <w:tcPr>
            <w:tcW w:w="1509" w:type="dxa"/>
            <w:shd w:val="clear" w:color="000000" w:fill="FFFFFF"/>
            <w:noWrap w:val="0"/>
            <w:vAlign w:val="center"/>
          </w:tcPr>
          <w:p w14:paraId="2207C5B4">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47CC1A87">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76134FE1">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457C0CE4">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100</w:t>
            </w:r>
          </w:p>
        </w:tc>
      </w:tr>
      <w:tr w14:paraId="62DE5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continue"/>
            <w:shd w:val="clear" w:color="auto" w:fill="auto"/>
            <w:noWrap w:val="0"/>
            <w:vAlign w:val="center"/>
          </w:tcPr>
          <w:p w14:paraId="5051967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14:paraId="757AF854">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地势</w:t>
            </w:r>
          </w:p>
        </w:tc>
        <w:tc>
          <w:tcPr>
            <w:tcW w:w="1509" w:type="dxa"/>
            <w:shd w:val="clear" w:color="000000" w:fill="FFFFFF"/>
            <w:noWrap w:val="0"/>
            <w:vAlign w:val="center"/>
          </w:tcPr>
          <w:p w14:paraId="67CCDAF9">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563EB8BD">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7F5DB056">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2A9809B4">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100</w:t>
            </w:r>
          </w:p>
        </w:tc>
      </w:tr>
      <w:tr w14:paraId="4F8D0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continue"/>
            <w:shd w:val="clear" w:color="auto" w:fill="auto"/>
            <w:noWrap w:val="0"/>
            <w:vAlign w:val="center"/>
          </w:tcPr>
          <w:p w14:paraId="3EF9E51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14:paraId="0646F6D9">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地质（吨</w:t>
            </w:r>
            <w:r>
              <w:rPr>
                <w:rFonts w:hint="default"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w:t>
            </w: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平方米）</w:t>
            </w:r>
          </w:p>
        </w:tc>
        <w:tc>
          <w:tcPr>
            <w:tcW w:w="1509" w:type="dxa"/>
            <w:shd w:val="clear" w:color="000000" w:fill="FFFFFF"/>
            <w:noWrap w:val="0"/>
            <w:vAlign w:val="center"/>
          </w:tcPr>
          <w:p w14:paraId="2B2D2BCA">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6BC6747D">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68ECEA11">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477C512A">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100</w:t>
            </w:r>
          </w:p>
        </w:tc>
      </w:tr>
      <w:tr w14:paraId="5BF50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9" w:hRule="atLeast"/>
        </w:trPr>
        <w:tc>
          <w:tcPr>
            <w:tcW w:w="290" w:type="pct"/>
            <w:vMerge w:val="continue"/>
            <w:shd w:val="clear" w:color="auto" w:fill="auto"/>
            <w:noWrap w:val="0"/>
            <w:vAlign w:val="center"/>
          </w:tcPr>
          <w:p w14:paraId="749BCBF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14:paraId="673527EC">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规划限制</w:t>
            </w:r>
          </w:p>
        </w:tc>
        <w:tc>
          <w:tcPr>
            <w:tcW w:w="1509" w:type="dxa"/>
            <w:shd w:val="clear" w:color="000000" w:fill="FFFFFF"/>
            <w:noWrap w:val="0"/>
            <w:vAlign w:val="center"/>
          </w:tcPr>
          <w:p w14:paraId="10F99242">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650DFBE6">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23B2F8DC">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7B18D194">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100</w:t>
            </w:r>
          </w:p>
        </w:tc>
      </w:tr>
    </w:tbl>
    <w:p w14:paraId="22F5FFFA">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在各因素条件指数的基础上进行比较实例各影响因素修正，将估价对象的因素条件指数，得到因素修正系数见下表。</w:t>
      </w:r>
    </w:p>
    <w:p w14:paraId="32953262">
      <w:pPr>
        <w:spacing w:line="460" w:lineRule="exact"/>
        <w:jc w:val="center"/>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表3-14 估价对象比较因素修正系数表</w:t>
      </w:r>
    </w:p>
    <w:tbl>
      <w:tblPr>
        <w:tblStyle w:val="9"/>
        <w:tblW w:w="5009" w:type="pct"/>
        <w:tblInd w:w="0" w:type="dxa"/>
        <w:tblLayout w:type="fixed"/>
        <w:tblCellMar>
          <w:top w:w="0" w:type="dxa"/>
          <w:left w:w="108" w:type="dxa"/>
          <w:bottom w:w="0" w:type="dxa"/>
          <w:right w:w="108" w:type="dxa"/>
        </w:tblCellMar>
      </w:tblPr>
      <w:tblGrid>
        <w:gridCol w:w="931"/>
        <w:gridCol w:w="645"/>
        <w:gridCol w:w="2694"/>
        <w:gridCol w:w="1521"/>
        <w:gridCol w:w="1521"/>
        <w:gridCol w:w="1226"/>
      </w:tblGrid>
      <w:tr w14:paraId="42ACA61F">
        <w:tblPrEx>
          <w:tblCellMar>
            <w:top w:w="0" w:type="dxa"/>
            <w:left w:w="108" w:type="dxa"/>
            <w:bottom w:w="0" w:type="dxa"/>
            <w:right w:w="108" w:type="dxa"/>
          </w:tblCellMar>
        </w:tblPrEx>
        <w:trPr>
          <w:trHeight w:val="436" w:hRule="atLeast"/>
        </w:trPr>
        <w:tc>
          <w:tcPr>
            <w:tcW w:w="2500" w:type="pct"/>
            <w:gridSpan w:val="3"/>
            <w:tcBorders>
              <w:top w:val="single" w:color="auto" w:sz="4" w:space="0"/>
              <w:left w:val="single" w:color="auto" w:sz="4" w:space="0"/>
              <w:bottom w:val="single" w:color="auto" w:sz="4" w:space="0"/>
              <w:right w:val="single" w:color="auto" w:sz="4" w:space="0"/>
              <w:tl2br w:val="single" w:color="auto" w:sz="4" w:space="0"/>
            </w:tcBorders>
            <w:shd w:val="clear" w:color="000000" w:fill="FFFFFF"/>
            <w:noWrap w:val="0"/>
            <w:vAlign w:val="center"/>
          </w:tcPr>
          <w:p w14:paraId="2F85F0A8">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待估宗地及比较实例</w:t>
            </w:r>
          </w:p>
          <w:p w14:paraId="117A0FFF">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比较因素</w:t>
            </w:r>
          </w:p>
        </w:tc>
        <w:tc>
          <w:tcPr>
            <w:tcW w:w="890" w:type="pct"/>
            <w:tcBorders>
              <w:top w:val="single" w:color="auto" w:sz="4" w:space="0"/>
              <w:left w:val="single" w:color="auto" w:sz="4" w:space="0"/>
              <w:bottom w:val="single" w:color="auto" w:sz="4" w:space="0"/>
              <w:right w:val="single" w:color="auto" w:sz="4" w:space="0"/>
            </w:tcBorders>
            <w:noWrap w:val="0"/>
            <w:vAlign w:val="center"/>
          </w:tcPr>
          <w:p w14:paraId="33806630">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案例A</w:t>
            </w:r>
          </w:p>
        </w:tc>
        <w:tc>
          <w:tcPr>
            <w:tcW w:w="890" w:type="pct"/>
            <w:tcBorders>
              <w:top w:val="single" w:color="auto" w:sz="4" w:space="0"/>
              <w:left w:val="single" w:color="auto" w:sz="4" w:space="0"/>
              <w:bottom w:val="single" w:color="auto" w:sz="4" w:space="0"/>
              <w:right w:val="single" w:color="auto" w:sz="4" w:space="0"/>
            </w:tcBorders>
            <w:noWrap w:val="0"/>
            <w:vAlign w:val="center"/>
          </w:tcPr>
          <w:p w14:paraId="49A89D43">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案例B</w:t>
            </w:r>
          </w:p>
        </w:tc>
        <w:tc>
          <w:tcPr>
            <w:tcW w:w="717" w:type="pct"/>
            <w:tcBorders>
              <w:top w:val="single" w:color="auto" w:sz="4" w:space="0"/>
              <w:left w:val="single" w:color="auto" w:sz="4" w:space="0"/>
              <w:bottom w:val="single" w:color="auto" w:sz="4" w:space="0"/>
              <w:right w:val="single" w:color="auto" w:sz="4" w:space="0"/>
            </w:tcBorders>
            <w:noWrap w:val="0"/>
            <w:vAlign w:val="center"/>
          </w:tcPr>
          <w:p w14:paraId="5D18E178">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案例C</w:t>
            </w:r>
          </w:p>
        </w:tc>
      </w:tr>
      <w:tr w14:paraId="3DD05D81">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5635B873">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交易价格（元/平方米）</w:t>
            </w:r>
          </w:p>
        </w:tc>
        <w:tc>
          <w:tcPr>
            <w:tcW w:w="890" w:type="pct"/>
            <w:tcBorders>
              <w:top w:val="single" w:color="auto" w:sz="4" w:space="0"/>
              <w:left w:val="single" w:color="auto" w:sz="4" w:space="0"/>
              <w:bottom w:val="single" w:color="auto" w:sz="4" w:space="0"/>
              <w:right w:val="single" w:color="auto" w:sz="4" w:space="0"/>
            </w:tcBorders>
            <w:noWrap w:val="0"/>
            <w:vAlign w:val="center"/>
          </w:tcPr>
          <w:p w14:paraId="05C0F688">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145</w:t>
            </w:r>
          </w:p>
        </w:tc>
        <w:tc>
          <w:tcPr>
            <w:tcW w:w="890" w:type="pct"/>
            <w:tcBorders>
              <w:top w:val="single" w:color="auto" w:sz="4" w:space="0"/>
              <w:left w:val="single" w:color="auto" w:sz="4" w:space="0"/>
              <w:bottom w:val="single" w:color="auto" w:sz="4" w:space="0"/>
              <w:right w:val="single" w:color="auto" w:sz="4" w:space="0"/>
            </w:tcBorders>
            <w:noWrap w:val="0"/>
            <w:vAlign w:val="center"/>
          </w:tcPr>
          <w:p w14:paraId="4F8775B4">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150</w:t>
            </w:r>
          </w:p>
        </w:tc>
        <w:tc>
          <w:tcPr>
            <w:tcW w:w="717" w:type="pct"/>
            <w:tcBorders>
              <w:top w:val="single" w:color="auto" w:sz="4" w:space="0"/>
              <w:left w:val="single" w:color="auto" w:sz="4" w:space="0"/>
              <w:bottom w:val="single" w:color="auto" w:sz="4" w:space="0"/>
              <w:right w:val="single" w:color="auto" w:sz="4" w:space="0"/>
            </w:tcBorders>
            <w:noWrap w:val="0"/>
            <w:vAlign w:val="center"/>
          </w:tcPr>
          <w:p w14:paraId="2ED8251C">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149</w:t>
            </w:r>
          </w:p>
        </w:tc>
      </w:tr>
      <w:tr w14:paraId="6168D1FE">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6624ACC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土地用途</w:t>
            </w:r>
          </w:p>
        </w:tc>
        <w:tc>
          <w:tcPr>
            <w:tcW w:w="890" w:type="pct"/>
            <w:tcBorders>
              <w:top w:val="single" w:color="auto" w:sz="4" w:space="0"/>
              <w:left w:val="single" w:color="auto" w:sz="4" w:space="0"/>
              <w:bottom w:val="single" w:color="auto" w:sz="4" w:space="0"/>
              <w:right w:val="single" w:color="auto" w:sz="4" w:space="0"/>
            </w:tcBorders>
            <w:noWrap w:val="0"/>
            <w:vAlign w:val="center"/>
          </w:tcPr>
          <w:p w14:paraId="47946B42">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100/100</w:t>
            </w:r>
          </w:p>
        </w:tc>
        <w:tc>
          <w:tcPr>
            <w:tcW w:w="890" w:type="pct"/>
            <w:tcBorders>
              <w:top w:val="single" w:color="auto" w:sz="4" w:space="0"/>
              <w:left w:val="single" w:color="auto" w:sz="4" w:space="0"/>
              <w:bottom w:val="single" w:color="auto" w:sz="4" w:space="0"/>
              <w:right w:val="single" w:color="auto" w:sz="4" w:space="0"/>
            </w:tcBorders>
            <w:noWrap w:val="0"/>
            <w:vAlign w:val="center"/>
          </w:tcPr>
          <w:p w14:paraId="1E1B2D87">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100/100</w:t>
            </w:r>
          </w:p>
        </w:tc>
        <w:tc>
          <w:tcPr>
            <w:tcW w:w="717" w:type="pct"/>
            <w:tcBorders>
              <w:top w:val="single" w:color="auto" w:sz="4" w:space="0"/>
              <w:left w:val="single" w:color="auto" w:sz="4" w:space="0"/>
              <w:bottom w:val="single" w:color="auto" w:sz="4" w:space="0"/>
              <w:right w:val="single" w:color="auto" w:sz="4" w:space="0"/>
            </w:tcBorders>
            <w:noWrap w:val="0"/>
            <w:vAlign w:val="center"/>
          </w:tcPr>
          <w:p w14:paraId="046A4991">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100/100</w:t>
            </w:r>
          </w:p>
        </w:tc>
      </w:tr>
      <w:tr w14:paraId="459B17B6">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6B6D95A7">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交易时间</w:t>
            </w:r>
          </w:p>
        </w:tc>
        <w:tc>
          <w:tcPr>
            <w:tcW w:w="890" w:type="pct"/>
            <w:tcBorders>
              <w:top w:val="single" w:color="auto" w:sz="4" w:space="0"/>
              <w:left w:val="single" w:color="auto" w:sz="4" w:space="0"/>
              <w:bottom w:val="single" w:color="auto" w:sz="4" w:space="0"/>
              <w:right w:val="single" w:color="auto" w:sz="4" w:space="0"/>
            </w:tcBorders>
            <w:noWrap w:val="0"/>
            <w:vAlign w:val="center"/>
          </w:tcPr>
          <w:p w14:paraId="3F5C4135">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102.04/100</w:t>
            </w:r>
          </w:p>
        </w:tc>
        <w:tc>
          <w:tcPr>
            <w:tcW w:w="890" w:type="pct"/>
            <w:tcBorders>
              <w:top w:val="single" w:color="auto" w:sz="4" w:space="0"/>
              <w:left w:val="single" w:color="auto" w:sz="4" w:space="0"/>
              <w:bottom w:val="single" w:color="auto" w:sz="4" w:space="0"/>
              <w:right w:val="single" w:color="auto" w:sz="4" w:space="0"/>
            </w:tcBorders>
            <w:noWrap w:val="0"/>
            <w:vAlign w:val="center"/>
          </w:tcPr>
          <w:p w14:paraId="11DC3EE3">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102.93/100</w:t>
            </w:r>
          </w:p>
        </w:tc>
        <w:tc>
          <w:tcPr>
            <w:tcW w:w="717" w:type="pct"/>
            <w:tcBorders>
              <w:top w:val="single" w:color="auto" w:sz="4" w:space="0"/>
              <w:left w:val="single" w:color="auto" w:sz="4" w:space="0"/>
              <w:bottom w:val="single" w:color="auto" w:sz="4" w:space="0"/>
              <w:right w:val="single" w:color="auto" w:sz="4" w:space="0"/>
            </w:tcBorders>
            <w:noWrap w:val="0"/>
            <w:vAlign w:val="center"/>
          </w:tcPr>
          <w:p w14:paraId="509BD6E7">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101.95/100</w:t>
            </w:r>
          </w:p>
        </w:tc>
      </w:tr>
      <w:tr w14:paraId="0CC2DA8B">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79B70C1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交易情况</w:t>
            </w:r>
          </w:p>
        </w:tc>
        <w:tc>
          <w:tcPr>
            <w:tcW w:w="890" w:type="pct"/>
            <w:tcBorders>
              <w:top w:val="single" w:color="auto" w:sz="4" w:space="0"/>
              <w:left w:val="nil"/>
              <w:bottom w:val="single" w:color="auto" w:sz="4" w:space="0"/>
              <w:right w:val="single" w:color="auto" w:sz="4" w:space="0"/>
            </w:tcBorders>
            <w:noWrap w:val="0"/>
            <w:vAlign w:val="center"/>
          </w:tcPr>
          <w:p w14:paraId="63DEA9FD">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100/100</w:t>
            </w:r>
          </w:p>
        </w:tc>
        <w:tc>
          <w:tcPr>
            <w:tcW w:w="890" w:type="pct"/>
            <w:tcBorders>
              <w:top w:val="single" w:color="auto" w:sz="4" w:space="0"/>
              <w:left w:val="nil"/>
              <w:bottom w:val="single" w:color="auto" w:sz="4" w:space="0"/>
              <w:right w:val="single" w:color="auto" w:sz="4" w:space="0"/>
            </w:tcBorders>
            <w:noWrap w:val="0"/>
            <w:vAlign w:val="center"/>
          </w:tcPr>
          <w:p w14:paraId="2991D618">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100/100</w:t>
            </w:r>
          </w:p>
        </w:tc>
        <w:tc>
          <w:tcPr>
            <w:tcW w:w="717" w:type="pct"/>
            <w:tcBorders>
              <w:top w:val="single" w:color="auto" w:sz="4" w:space="0"/>
              <w:left w:val="nil"/>
              <w:bottom w:val="single" w:color="auto" w:sz="4" w:space="0"/>
              <w:right w:val="single" w:color="auto" w:sz="4" w:space="0"/>
            </w:tcBorders>
            <w:noWrap w:val="0"/>
            <w:vAlign w:val="center"/>
          </w:tcPr>
          <w:p w14:paraId="151DF058">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100/100</w:t>
            </w:r>
          </w:p>
        </w:tc>
      </w:tr>
      <w:tr w14:paraId="35440CBF">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31107DC0">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交易方式</w:t>
            </w:r>
          </w:p>
        </w:tc>
        <w:tc>
          <w:tcPr>
            <w:tcW w:w="890" w:type="pct"/>
            <w:tcBorders>
              <w:top w:val="single" w:color="auto" w:sz="4" w:space="0"/>
              <w:left w:val="nil"/>
              <w:bottom w:val="single" w:color="auto" w:sz="4" w:space="0"/>
              <w:right w:val="single" w:color="auto" w:sz="4" w:space="0"/>
            </w:tcBorders>
            <w:noWrap w:val="0"/>
            <w:vAlign w:val="center"/>
          </w:tcPr>
          <w:p w14:paraId="4D9D8A03">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100/100</w:t>
            </w:r>
          </w:p>
        </w:tc>
        <w:tc>
          <w:tcPr>
            <w:tcW w:w="890" w:type="pct"/>
            <w:tcBorders>
              <w:top w:val="single" w:color="auto" w:sz="4" w:space="0"/>
              <w:left w:val="nil"/>
              <w:bottom w:val="single" w:color="auto" w:sz="4" w:space="0"/>
              <w:right w:val="single" w:color="auto" w:sz="4" w:space="0"/>
            </w:tcBorders>
            <w:noWrap w:val="0"/>
            <w:vAlign w:val="center"/>
          </w:tcPr>
          <w:p w14:paraId="4773CFB0">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100/100</w:t>
            </w:r>
          </w:p>
        </w:tc>
        <w:tc>
          <w:tcPr>
            <w:tcW w:w="717" w:type="pct"/>
            <w:tcBorders>
              <w:top w:val="single" w:color="auto" w:sz="4" w:space="0"/>
              <w:left w:val="nil"/>
              <w:bottom w:val="single" w:color="auto" w:sz="4" w:space="0"/>
              <w:right w:val="single" w:color="auto" w:sz="4" w:space="0"/>
            </w:tcBorders>
            <w:noWrap w:val="0"/>
            <w:vAlign w:val="center"/>
          </w:tcPr>
          <w:p w14:paraId="72C7CE1D">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100/100</w:t>
            </w:r>
          </w:p>
        </w:tc>
      </w:tr>
      <w:tr w14:paraId="358FCDFC">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0CCF0AD9">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土地使用年限</w:t>
            </w:r>
          </w:p>
        </w:tc>
        <w:tc>
          <w:tcPr>
            <w:tcW w:w="890" w:type="pct"/>
            <w:tcBorders>
              <w:top w:val="single" w:color="auto" w:sz="4" w:space="0"/>
              <w:left w:val="nil"/>
              <w:bottom w:val="single" w:color="auto" w:sz="4" w:space="0"/>
              <w:right w:val="single" w:color="auto" w:sz="4" w:space="0"/>
            </w:tcBorders>
            <w:noWrap w:val="0"/>
            <w:vAlign w:val="center"/>
          </w:tcPr>
          <w:p w14:paraId="5BD153BC">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100/100</w:t>
            </w:r>
          </w:p>
        </w:tc>
        <w:tc>
          <w:tcPr>
            <w:tcW w:w="890" w:type="pct"/>
            <w:tcBorders>
              <w:top w:val="single" w:color="auto" w:sz="4" w:space="0"/>
              <w:left w:val="nil"/>
              <w:bottom w:val="single" w:color="auto" w:sz="4" w:space="0"/>
              <w:right w:val="single" w:color="auto" w:sz="4" w:space="0"/>
            </w:tcBorders>
            <w:noWrap w:val="0"/>
            <w:vAlign w:val="center"/>
          </w:tcPr>
          <w:p w14:paraId="2C93DAD4">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100/100</w:t>
            </w:r>
          </w:p>
        </w:tc>
        <w:tc>
          <w:tcPr>
            <w:tcW w:w="717" w:type="pct"/>
            <w:tcBorders>
              <w:top w:val="single" w:color="auto" w:sz="4" w:space="0"/>
              <w:left w:val="nil"/>
              <w:bottom w:val="single" w:color="auto" w:sz="4" w:space="0"/>
              <w:right w:val="single" w:color="auto" w:sz="4" w:space="0"/>
            </w:tcBorders>
            <w:noWrap w:val="0"/>
            <w:vAlign w:val="center"/>
          </w:tcPr>
          <w:p w14:paraId="38200EB6">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100/100</w:t>
            </w:r>
          </w:p>
        </w:tc>
      </w:tr>
      <w:tr w14:paraId="01FE5857">
        <w:tblPrEx>
          <w:tblCellMar>
            <w:top w:w="0" w:type="dxa"/>
            <w:left w:w="108" w:type="dxa"/>
            <w:bottom w:w="0" w:type="dxa"/>
            <w:right w:w="108" w:type="dxa"/>
          </w:tblCellMar>
        </w:tblPrEx>
        <w:trPr>
          <w:trHeight w:val="223" w:hRule="atLeast"/>
        </w:trPr>
        <w:tc>
          <w:tcPr>
            <w:tcW w:w="545" w:type="pct"/>
            <w:vMerge w:val="restart"/>
            <w:tcBorders>
              <w:top w:val="single" w:color="auto" w:sz="4" w:space="0"/>
              <w:left w:val="single" w:color="auto" w:sz="4" w:space="0"/>
              <w:right w:val="single" w:color="auto" w:sz="4" w:space="0"/>
            </w:tcBorders>
            <w:shd w:val="clear" w:color="auto" w:fill="auto"/>
            <w:noWrap w:val="0"/>
            <w:vAlign w:val="center"/>
          </w:tcPr>
          <w:p w14:paraId="590C4932">
            <w:pPr>
              <w:keepNext w:val="0"/>
              <w:keepLines w:val="0"/>
              <w:widowControl/>
              <w:suppressLineNumbers w:val="0"/>
              <w:spacing w:before="0" w:beforeAutospacing="0" w:after="0" w:afterAutospacing="0"/>
              <w:ind w:left="0" w:right="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区域因素</w:t>
            </w:r>
          </w:p>
        </w:tc>
        <w:tc>
          <w:tcPr>
            <w:tcW w:w="377" w:type="pct"/>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14:paraId="178C2E28">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交通条件</w:t>
            </w:r>
          </w:p>
        </w:tc>
        <w:tc>
          <w:tcPr>
            <w:tcW w:w="1577" w:type="pct"/>
            <w:tcBorders>
              <w:top w:val="single" w:color="auto" w:sz="4" w:space="0"/>
              <w:left w:val="nil"/>
              <w:bottom w:val="single" w:color="auto" w:sz="4" w:space="0"/>
              <w:right w:val="single" w:color="auto" w:sz="4" w:space="0"/>
            </w:tcBorders>
            <w:shd w:val="clear" w:color="000000" w:fill="FFFFFF"/>
            <w:noWrap w:val="0"/>
            <w:vAlign w:val="center"/>
          </w:tcPr>
          <w:p w14:paraId="440BFCAD">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距高速公路出入口距离（km）</w:t>
            </w:r>
          </w:p>
        </w:tc>
        <w:tc>
          <w:tcPr>
            <w:tcW w:w="890" w:type="pct"/>
            <w:tcBorders>
              <w:top w:val="single" w:color="auto" w:sz="4" w:space="0"/>
              <w:left w:val="nil"/>
              <w:bottom w:val="single" w:color="auto" w:sz="4" w:space="0"/>
              <w:right w:val="single" w:color="auto" w:sz="4" w:space="0"/>
            </w:tcBorders>
            <w:noWrap w:val="0"/>
            <w:vAlign w:val="center"/>
          </w:tcPr>
          <w:p w14:paraId="585C9DD4">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100/103</w:t>
            </w:r>
          </w:p>
        </w:tc>
        <w:tc>
          <w:tcPr>
            <w:tcW w:w="890" w:type="pct"/>
            <w:tcBorders>
              <w:top w:val="single" w:color="auto" w:sz="4" w:space="0"/>
              <w:left w:val="nil"/>
              <w:bottom w:val="single" w:color="auto" w:sz="4" w:space="0"/>
              <w:right w:val="single" w:color="auto" w:sz="4" w:space="0"/>
            </w:tcBorders>
            <w:noWrap w:val="0"/>
            <w:vAlign w:val="center"/>
          </w:tcPr>
          <w:p w14:paraId="79C9AC92">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100/103</w:t>
            </w:r>
          </w:p>
        </w:tc>
        <w:tc>
          <w:tcPr>
            <w:tcW w:w="717" w:type="pct"/>
            <w:tcBorders>
              <w:top w:val="single" w:color="auto" w:sz="4" w:space="0"/>
              <w:left w:val="nil"/>
              <w:bottom w:val="single" w:color="auto" w:sz="4" w:space="0"/>
              <w:right w:val="single" w:color="auto" w:sz="4" w:space="0"/>
            </w:tcBorders>
            <w:noWrap w:val="0"/>
            <w:vAlign w:val="center"/>
          </w:tcPr>
          <w:p w14:paraId="0920DF61">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100/103</w:t>
            </w:r>
          </w:p>
        </w:tc>
      </w:tr>
      <w:tr w14:paraId="27AB053D">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1AC66FB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377"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05CB31B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577" w:type="pct"/>
            <w:tcBorders>
              <w:top w:val="single" w:color="auto" w:sz="4" w:space="0"/>
              <w:left w:val="nil"/>
              <w:bottom w:val="single" w:color="auto" w:sz="4" w:space="0"/>
              <w:right w:val="single" w:color="auto" w:sz="4" w:space="0"/>
            </w:tcBorders>
            <w:shd w:val="clear" w:color="000000" w:fill="FFFFFF"/>
            <w:noWrap w:val="0"/>
            <w:vAlign w:val="center"/>
          </w:tcPr>
          <w:p w14:paraId="69F14ACD">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距货运火车站距离（km）</w:t>
            </w:r>
          </w:p>
        </w:tc>
        <w:tc>
          <w:tcPr>
            <w:tcW w:w="890" w:type="pct"/>
            <w:tcBorders>
              <w:top w:val="single" w:color="auto" w:sz="4" w:space="0"/>
              <w:left w:val="nil"/>
              <w:bottom w:val="single" w:color="auto" w:sz="4" w:space="0"/>
              <w:right w:val="single" w:color="auto" w:sz="4" w:space="0"/>
            </w:tcBorders>
            <w:noWrap w:val="0"/>
            <w:vAlign w:val="center"/>
          </w:tcPr>
          <w:p w14:paraId="6A618F41">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100/108</w:t>
            </w:r>
          </w:p>
        </w:tc>
        <w:tc>
          <w:tcPr>
            <w:tcW w:w="890" w:type="pct"/>
            <w:tcBorders>
              <w:top w:val="single" w:color="auto" w:sz="4" w:space="0"/>
              <w:left w:val="nil"/>
              <w:bottom w:val="single" w:color="auto" w:sz="4" w:space="0"/>
              <w:right w:val="single" w:color="auto" w:sz="4" w:space="0"/>
            </w:tcBorders>
            <w:noWrap w:val="0"/>
            <w:vAlign w:val="center"/>
          </w:tcPr>
          <w:p w14:paraId="5146160A">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100/108</w:t>
            </w:r>
          </w:p>
        </w:tc>
        <w:tc>
          <w:tcPr>
            <w:tcW w:w="717" w:type="pct"/>
            <w:tcBorders>
              <w:top w:val="single" w:color="auto" w:sz="4" w:space="0"/>
              <w:left w:val="nil"/>
              <w:bottom w:val="single" w:color="auto" w:sz="4" w:space="0"/>
              <w:right w:val="single" w:color="auto" w:sz="4" w:space="0"/>
            </w:tcBorders>
            <w:noWrap w:val="0"/>
            <w:vAlign w:val="center"/>
          </w:tcPr>
          <w:p w14:paraId="23BB88D7">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100/108</w:t>
            </w:r>
          </w:p>
        </w:tc>
      </w:tr>
      <w:tr w14:paraId="452BF39A">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08745E70">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377"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03686AD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577" w:type="pct"/>
            <w:tcBorders>
              <w:top w:val="single" w:color="auto" w:sz="4" w:space="0"/>
              <w:left w:val="nil"/>
              <w:bottom w:val="single" w:color="auto" w:sz="4" w:space="0"/>
              <w:right w:val="single" w:color="auto" w:sz="4" w:space="0"/>
            </w:tcBorders>
            <w:shd w:val="clear" w:color="000000" w:fill="FFFFFF"/>
            <w:noWrap w:val="0"/>
            <w:vAlign w:val="center"/>
          </w:tcPr>
          <w:p w14:paraId="00B269C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临近道路状况</w:t>
            </w:r>
          </w:p>
        </w:tc>
        <w:tc>
          <w:tcPr>
            <w:tcW w:w="890" w:type="pct"/>
            <w:tcBorders>
              <w:top w:val="single" w:color="auto" w:sz="4" w:space="0"/>
              <w:left w:val="nil"/>
              <w:bottom w:val="single" w:color="auto" w:sz="4" w:space="0"/>
              <w:right w:val="single" w:color="auto" w:sz="4" w:space="0"/>
            </w:tcBorders>
            <w:noWrap w:val="0"/>
            <w:vAlign w:val="center"/>
          </w:tcPr>
          <w:p w14:paraId="6A24DBE2">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100/100</w:t>
            </w:r>
          </w:p>
        </w:tc>
        <w:tc>
          <w:tcPr>
            <w:tcW w:w="890" w:type="pct"/>
            <w:tcBorders>
              <w:top w:val="single" w:color="auto" w:sz="4" w:space="0"/>
              <w:left w:val="nil"/>
              <w:bottom w:val="single" w:color="auto" w:sz="4" w:space="0"/>
              <w:right w:val="single" w:color="auto" w:sz="4" w:space="0"/>
            </w:tcBorders>
            <w:noWrap w:val="0"/>
            <w:vAlign w:val="center"/>
          </w:tcPr>
          <w:p w14:paraId="114505BE">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100/100</w:t>
            </w:r>
          </w:p>
        </w:tc>
        <w:tc>
          <w:tcPr>
            <w:tcW w:w="717" w:type="pct"/>
            <w:tcBorders>
              <w:top w:val="single" w:color="auto" w:sz="4" w:space="0"/>
              <w:left w:val="nil"/>
              <w:bottom w:val="single" w:color="auto" w:sz="4" w:space="0"/>
              <w:right w:val="single" w:color="auto" w:sz="4" w:space="0"/>
            </w:tcBorders>
            <w:noWrap w:val="0"/>
            <w:vAlign w:val="center"/>
          </w:tcPr>
          <w:p w14:paraId="3874E543">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100/100</w:t>
            </w:r>
          </w:p>
        </w:tc>
      </w:tr>
      <w:tr w14:paraId="3CA71291">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0E3D4BA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14:paraId="13D72521">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产业集聚程度</w:t>
            </w:r>
          </w:p>
        </w:tc>
        <w:tc>
          <w:tcPr>
            <w:tcW w:w="890" w:type="pct"/>
            <w:tcBorders>
              <w:top w:val="single" w:color="auto" w:sz="4" w:space="0"/>
              <w:left w:val="nil"/>
              <w:bottom w:val="single" w:color="auto" w:sz="4" w:space="0"/>
              <w:right w:val="single" w:color="auto" w:sz="4" w:space="0"/>
            </w:tcBorders>
            <w:noWrap w:val="0"/>
            <w:vAlign w:val="center"/>
          </w:tcPr>
          <w:p w14:paraId="3E3B4F3D">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100/103</w:t>
            </w:r>
          </w:p>
        </w:tc>
        <w:tc>
          <w:tcPr>
            <w:tcW w:w="890" w:type="pct"/>
            <w:tcBorders>
              <w:top w:val="single" w:color="auto" w:sz="4" w:space="0"/>
              <w:left w:val="nil"/>
              <w:bottom w:val="single" w:color="auto" w:sz="4" w:space="0"/>
              <w:right w:val="single" w:color="auto" w:sz="4" w:space="0"/>
            </w:tcBorders>
            <w:noWrap w:val="0"/>
            <w:vAlign w:val="center"/>
          </w:tcPr>
          <w:p w14:paraId="7E657FD6">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100/103</w:t>
            </w:r>
          </w:p>
        </w:tc>
        <w:tc>
          <w:tcPr>
            <w:tcW w:w="717" w:type="pct"/>
            <w:tcBorders>
              <w:top w:val="single" w:color="auto" w:sz="4" w:space="0"/>
              <w:left w:val="nil"/>
              <w:bottom w:val="single" w:color="auto" w:sz="4" w:space="0"/>
              <w:right w:val="single" w:color="auto" w:sz="4" w:space="0"/>
            </w:tcBorders>
            <w:noWrap w:val="0"/>
            <w:vAlign w:val="center"/>
          </w:tcPr>
          <w:p w14:paraId="4AD22BB0">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100/103</w:t>
            </w:r>
          </w:p>
        </w:tc>
      </w:tr>
      <w:tr w14:paraId="03E6252F">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498F2E80">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14:paraId="1210E3CC">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公共配套设施完善度</w:t>
            </w:r>
          </w:p>
        </w:tc>
        <w:tc>
          <w:tcPr>
            <w:tcW w:w="890" w:type="pct"/>
            <w:tcBorders>
              <w:top w:val="single" w:color="auto" w:sz="4" w:space="0"/>
              <w:left w:val="nil"/>
              <w:bottom w:val="single" w:color="auto" w:sz="4" w:space="0"/>
              <w:right w:val="single" w:color="auto" w:sz="4" w:space="0"/>
            </w:tcBorders>
            <w:noWrap w:val="0"/>
            <w:vAlign w:val="center"/>
          </w:tcPr>
          <w:p w14:paraId="450D3C3C">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100/101</w:t>
            </w:r>
          </w:p>
        </w:tc>
        <w:tc>
          <w:tcPr>
            <w:tcW w:w="890" w:type="pct"/>
            <w:tcBorders>
              <w:top w:val="single" w:color="auto" w:sz="4" w:space="0"/>
              <w:left w:val="nil"/>
              <w:bottom w:val="single" w:color="auto" w:sz="4" w:space="0"/>
              <w:right w:val="single" w:color="auto" w:sz="4" w:space="0"/>
            </w:tcBorders>
            <w:noWrap w:val="0"/>
            <w:vAlign w:val="center"/>
          </w:tcPr>
          <w:p w14:paraId="432BD89F">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100/101</w:t>
            </w:r>
          </w:p>
        </w:tc>
        <w:tc>
          <w:tcPr>
            <w:tcW w:w="717" w:type="pct"/>
            <w:tcBorders>
              <w:top w:val="single" w:color="auto" w:sz="4" w:space="0"/>
              <w:left w:val="nil"/>
              <w:bottom w:val="single" w:color="auto" w:sz="4" w:space="0"/>
              <w:right w:val="single" w:color="auto" w:sz="4" w:space="0"/>
            </w:tcBorders>
            <w:noWrap w:val="0"/>
            <w:vAlign w:val="center"/>
          </w:tcPr>
          <w:p w14:paraId="7E3B2516">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100/101</w:t>
            </w:r>
          </w:p>
        </w:tc>
      </w:tr>
      <w:tr w14:paraId="5590B399">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61EEAE1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14:paraId="23C57487">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环境质量优劣度</w:t>
            </w:r>
          </w:p>
        </w:tc>
        <w:tc>
          <w:tcPr>
            <w:tcW w:w="890" w:type="pct"/>
            <w:tcBorders>
              <w:top w:val="single" w:color="auto" w:sz="4" w:space="0"/>
              <w:left w:val="nil"/>
              <w:bottom w:val="single" w:color="auto" w:sz="4" w:space="0"/>
              <w:right w:val="single" w:color="auto" w:sz="4" w:space="0"/>
            </w:tcBorders>
            <w:noWrap w:val="0"/>
            <w:vAlign w:val="center"/>
          </w:tcPr>
          <w:p w14:paraId="73FD6450">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100/100</w:t>
            </w:r>
          </w:p>
        </w:tc>
        <w:tc>
          <w:tcPr>
            <w:tcW w:w="890" w:type="pct"/>
            <w:tcBorders>
              <w:top w:val="single" w:color="auto" w:sz="4" w:space="0"/>
              <w:left w:val="nil"/>
              <w:bottom w:val="single" w:color="auto" w:sz="4" w:space="0"/>
              <w:right w:val="single" w:color="auto" w:sz="4" w:space="0"/>
            </w:tcBorders>
            <w:noWrap w:val="0"/>
            <w:vAlign w:val="center"/>
          </w:tcPr>
          <w:p w14:paraId="52322F5C">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100/100</w:t>
            </w:r>
          </w:p>
        </w:tc>
        <w:tc>
          <w:tcPr>
            <w:tcW w:w="717" w:type="pct"/>
            <w:tcBorders>
              <w:top w:val="single" w:color="auto" w:sz="4" w:space="0"/>
              <w:left w:val="nil"/>
              <w:bottom w:val="single" w:color="auto" w:sz="4" w:space="0"/>
              <w:right w:val="single" w:color="auto" w:sz="4" w:space="0"/>
            </w:tcBorders>
            <w:noWrap w:val="0"/>
            <w:vAlign w:val="center"/>
          </w:tcPr>
          <w:p w14:paraId="188871C1">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100/100</w:t>
            </w:r>
          </w:p>
        </w:tc>
      </w:tr>
      <w:tr w14:paraId="15E13646">
        <w:tblPrEx>
          <w:tblCellMar>
            <w:top w:w="0" w:type="dxa"/>
            <w:left w:w="108" w:type="dxa"/>
            <w:bottom w:w="0" w:type="dxa"/>
            <w:right w:w="108" w:type="dxa"/>
          </w:tblCellMar>
        </w:tblPrEx>
        <w:trPr>
          <w:trHeight w:val="223" w:hRule="atLeast"/>
        </w:trPr>
        <w:tc>
          <w:tcPr>
            <w:tcW w:w="545" w:type="pct"/>
            <w:vMerge w:val="restart"/>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5D6D5E4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个别因素</w:t>
            </w: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14:paraId="30432DEC">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宗地规模（</w:t>
            </w:r>
            <w:r>
              <w:rPr>
                <w:rFonts w:hint="default"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m²</w:t>
            </w: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w:t>
            </w:r>
          </w:p>
        </w:tc>
        <w:tc>
          <w:tcPr>
            <w:tcW w:w="890" w:type="pct"/>
            <w:tcBorders>
              <w:top w:val="single" w:color="auto" w:sz="4" w:space="0"/>
              <w:left w:val="nil"/>
              <w:bottom w:val="single" w:color="auto" w:sz="4" w:space="0"/>
              <w:right w:val="single" w:color="auto" w:sz="4" w:space="0"/>
            </w:tcBorders>
            <w:noWrap w:val="0"/>
            <w:vAlign w:val="center"/>
          </w:tcPr>
          <w:p w14:paraId="6469D9F6">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100/102</w:t>
            </w:r>
          </w:p>
        </w:tc>
        <w:tc>
          <w:tcPr>
            <w:tcW w:w="890" w:type="pct"/>
            <w:tcBorders>
              <w:top w:val="single" w:color="auto" w:sz="4" w:space="0"/>
              <w:left w:val="nil"/>
              <w:bottom w:val="single" w:color="auto" w:sz="4" w:space="0"/>
              <w:right w:val="single" w:color="auto" w:sz="4" w:space="0"/>
            </w:tcBorders>
            <w:noWrap w:val="0"/>
            <w:vAlign w:val="center"/>
          </w:tcPr>
          <w:p w14:paraId="6119A43A">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100/103</w:t>
            </w:r>
          </w:p>
        </w:tc>
        <w:tc>
          <w:tcPr>
            <w:tcW w:w="717" w:type="pct"/>
            <w:tcBorders>
              <w:top w:val="single" w:color="auto" w:sz="4" w:space="0"/>
              <w:left w:val="nil"/>
              <w:bottom w:val="single" w:color="auto" w:sz="4" w:space="0"/>
              <w:right w:val="single" w:color="auto" w:sz="4" w:space="0"/>
            </w:tcBorders>
            <w:noWrap w:val="0"/>
            <w:vAlign w:val="center"/>
          </w:tcPr>
          <w:p w14:paraId="027ED2CE">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100/101</w:t>
            </w:r>
          </w:p>
        </w:tc>
      </w:tr>
      <w:tr w14:paraId="5CA7FD50">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4AC8D2A7">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14:paraId="2D29A469">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宗地形状</w:t>
            </w:r>
          </w:p>
        </w:tc>
        <w:tc>
          <w:tcPr>
            <w:tcW w:w="890" w:type="pct"/>
            <w:tcBorders>
              <w:top w:val="single" w:color="auto" w:sz="4" w:space="0"/>
              <w:left w:val="nil"/>
              <w:bottom w:val="single" w:color="auto" w:sz="4" w:space="0"/>
              <w:right w:val="single" w:color="auto" w:sz="4" w:space="0"/>
            </w:tcBorders>
            <w:noWrap w:val="0"/>
            <w:vAlign w:val="center"/>
          </w:tcPr>
          <w:p w14:paraId="4B54C36E">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100/101</w:t>
            </w:r>
          </w:p>
        </w:tc>
        <w:tc>
          <w:tcPr>
            <w:tcW w:w="890" w:type="pct"/>
            <w:tcBorders>
              <w:top w:val="single" w:color="auto" w:sz="4" w:space="0"/>
              <w:left w:val="nil"/>
              <w:bottom w:val="single" w:color="auto" w:sz="4" w:space="0"/>
              <w:right w:val="single" w:color="auto" w:sz="4" w:space="0"/>
            </w:tcBorders>
            <w:noWrap w:val="0"/>
            <w:vAlign w:val="center"/>
          </w:tcPr>
          <w:p w14:paraId="0046DA2F">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100/101</w:t>
            </w:r>
          </w:p>
        </w:tc>
        <w:tc>
          <w:tcPr>
            <w:tcW w:w="717" w:type="pct"/>
            <w:tcBorders>
              <w:top w:val="single" w:color="auto" w:sz="4" w:space="0"/>
              <w:left w:val="nil"/>
              <w:bottom w:val="single" w:color="auto" w:sz="4" w:space="0"/>
              <w:right w:val="single" w:color="auto" w:sz="4" w:space="0"/>
            </w:tcBorders>
            <w:noWrap w:val="0"/>
            <w:vAlign w:val="center"/>
          </w:tcPr>
          <w:p w14:paraId="2B7A8A42">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100/101</w:t>
            </w:r>
          </w:p>
        </w:tc>
      </w:tr>
      <w:tr w14:paraId="72302FF3">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5799D9D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14:paraId="0D21E92D">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地势</w:t>
            </w:r>
          </w:p>
        </w:tc>
        <w:tc>
          <w:tcPr>
            <w:tcW w:w="890" w:type="pct"/>
            <w:tcBorders>
              <w:top w:val="single" w:color="auto" w:sz="4" w:space="0"/>
              <w:left w:val="nil"/>
              <w:bottom w:val="single" w:color="auto" w:sz="4" w:space="0"/>
              <w:right w:val="single" w:color="auto" w:sz="4" w:space="0"/>
            </w:tcBorders>
            <w:noWrap w:val="0"/>
            <w:vAlign w:val="center"/>
          </w:tcPr>
          <w:p w14:paraId="2A1EC55D">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100/100</w:t>
            </w:r>
          </w:p>
        </w:tc>
        <w:tc>
          <w:tcPr>
            <w:tcW w:w="890" w:type="pct"/>
            <w:tcBorders>
              <w:top w:val="single" w:color="auto" w:sz="4" w:space="0"/>
              <w:left w:val="nil"/>
              <w:bottom w:val="single" w:color="auto" w:sz="4" w:space="0"/>
              <w:right w:val="single" w:color="auto" w:sz="4" w:space="0"/>
            </w:tcBorders>
            <w:noWrap w:val="0"/>
            <w:vAlign w:val="center"/>
          </w:tcPr>
          <w:p w14:paraId="46EA27E6">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100/100</w:t>
            </w:r>
          </w:p>
        </w:tc>
        <w:tc>
          <w:tcPr>
            <w:tcW w:w="717" w:type="pct"/>
            <w:tcBorders>
              <w:top w:val="single" w:color="auto" w:sz="4" w:space="0"/>
              <w:left w:val="nil"/>
              <w:bottom w:val="single" w:color="auto" w:sz="4" w:space="0"/>
              <w:right w:val="single" w:color="auto" w:sz="4" w:space="0"/>
            </w:tcBorders>
            <w:noWrap w:val="0"/>
            <w:vAlign w:val="center"/>
          </w:tcPr>
          <w:p w14:paraId="3824180E">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100/100</w:t>
            </w:r>
          </w:p>
        </w:tc>
      </w:tr>
      <w:tr w14:paraId="1B58767A">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79E4311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14:paraId="58D32458">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地质（吨</w:t>
            </w:r>
            <w:r>
              <w:rPr>
                <w:rFonts w:hint="default"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w:t>
            </w: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平方米）</w:t>
            </w:r>
          </w:p>
        </w:tc>
        <w:tc>
          <w:tcPr>
            <w:tcW w:w="890" w:type="pct"/>
            <w:tcBorders>
              <w:top w:val="single" w:color="auto" w:sz="4" w:space="0"/>
              <w:left w:val="nil"/>
              <w:bottom w:val="single" w:color="auto" w:sz="4" w:space="0"/>
              <w:right w:val="single" w:color="auto" w:sz="4" w:space="0"/>
            </w:tcBorders>
            <w:noWrap w:val="0"/>
            <w:vAlign w:val="center"/>
          </w:tcPr>
          <w:p w14:paraId="4FB4549C">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100/100</w:t>
            </w:r>
          </w:p>
        </w:tc>
        <w:tc>
          <w:tcPr>
            <w:tcW w:w="890" w:type="pct"/>
            <w:tcBorders>
              <w:top w:val="single" w:color="auto" w:sz="4" w:space="0"/>
              <w:left w:val="nil"/>
              <w:bottom w:val="single" w:color="auto" w:sz="4" w:space="0"/>
              <w:right w:val="single" w:color="auto" w:sz="4" w:space="0"/>
            </w:tcBorders>
            <w:noWrap w:val="0"/>
            <w:vAlign w:val="center"/>
          </w:tcPr>
          <w:p w14:paraId="364BC289">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100/100</w:t>
            </w:r>
          </w:p>
        </w:tc>
        <w:tc>
          <w:tcPr>
            <w:tcW w:w="717" w:type="pct"/>
            <w:tcBorders>
              <w:top w:val="single" w:color="auto" w:sz="4" w:space="0"/>
              <w:left w:val="nil"/>
              <w:bottom w:val="single" w:color="auto" w:sz="4" w:space="0"/>
              <w:right w:val="single" w:color="auto" w:sz="4" w:space="0"/>
            </w:tcBorders>
            <w:noWrap w:val="0"/>
            <w:vAlign w:val="center"/>
          </w:tcPr>
          <w:p w14:paraId="11FC3C1B">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100/100</w:t>
            </w:r>
          </w:p>
        </w:tc>
      </w:tr>
      <w:tr w14:paraId="2724103E">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28C1E33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14:paraId="29F377C1">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规划限制</w:t>
            </w:r>
          </w:p>
        </w:tc>
        <w:tc>
          <w:tcPr>
            <w:tcW w:w="890" w:type="pct"/>
            <w:tcBorders>
              <w:top w:val="single" w:color="auto" w:sz="4" w:space="0"/>
              <w:left w:val="nil"/>
              <w:bottom w:val="single" w:color="auto" w:sz="4" w:space="0"/>
              <w:right w:val="single" w:color="auto" w:sz="4" w:space="0"/>
            </w:tcBorders>
            <w:noWrap w:val="0"/>
            <w:vAlign w:val="center"/>
          </w:tcPr>
          <w:p w14:paraId="600E0B31">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100/100</w:t>
            </w:r>
          </w:p>
        </w:tc>
        <w:tc>
          <w:tcPr>
            <w:tcW w:w="890" w:type="pct"/>
            <w:tcBorders>
              <w:top w:val="single" w:color="auto" w:sz="4" w:space="0"/>
              <w:left w:val="nil"/>
              <w:bottom w:val="single" w:color="auto" w:sz="4" w:space="0"/>
              <w:right w:val="single" w:color="auto" w:sz="4" w:space="0"/>
            </w:tcBorders>
            <w:noWrap w:val="0"/>
            <w:vAlign w:val="center"/>
          </w:tcPr>
          <w:p w14:paraId="1E6370F3">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100/100</w:t>
            </w:r>
          </w:p>
        </w:tc>
        <w:tc>
          <w:tcPr>
            <w:tcW w:w="717" w:type="pct"/>
            <w:tcBorders>
              <w:top w:val="single" w:color="auto" w:sz="4" w:space="0"/>
              <w:left w:val="nil"/>
              <w:bottom w:val="single" w:color="auto" w:sz="4" w:space="0"/>
              <w:right w:val="single" w:color="auto" w:sz="4" w:space="0"/>
            </w:tcBorders>
            <w:noWrap w:val="0"/>
            <w:vAlign w:val="center"/>
          </w:tcPr>
          <w:p w14:paraId="544C29EB">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100/100</w:t>
            </w:r>
          </w:p>
        </w:tc>
      </w:tr>
      <w:tr w14:paraId="77839D7C">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noWrap w:val="0"/>
            <w:vAlign w:val="center"/>
          </w:tcPr>
          <w:p w14:paraId="5FC85DF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综合因素修正系数</w:t>
            </w:r>
          </w:p>
        </w:tc>
        <w:tc>
          <w:tcPr>
            <w:tcW w:w="890" w:type="pct"/>
            <w:tcBorders>
              <w:top w:val="single" w:color="auto" w:sz="4" w:space="0"/>
              <w:left w:val="nil"/>
              <w:bottom w:val="single" w:color="auto" w:sz="4" w:space="0"/>
              <w:right w:val="single" w:color="auto" w:sz="4" w:space="0"/>
            </w:tcBorders>
            <w:noWrap w:val="0"/>
            <w:vAlign w:val="center"/>
          </w:tcPr>
          <w:p w14:paraId="40E46E94">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0.645</w:t>
            </w:r>
          </w:p>
        </w:tc>
        <w:tc>
          <w:tcPr>
            <w:tcW w:w="890" w:type="pct"/>
            <w:tcBorders>
              <w:top w:val="single" w:color="auto" w:sz="4" w:space="0"/>
              <w:left w:val="nil"/>
              <w:bottom w:val="single" w:color="auto" w:sz="4" w:space="0"/>
              <w:right w:val="single" w:color="auto" w:sz="4" w:space="0"/>
            </w:tcBorders>
            <w:noWrap w:val="0"/>
            <w:vAlign w:val="center"/>
          </w:tcPr>
          <w:p w14:paraId="6776907A">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0.8635</w:t>
            </w:r>
          </w:p>
        </w:tc>
        <w:tc>
          <w:tcPr>
            <w:tcW w:w="717" w:type="pct"/>
            <w:tcBorders>
              <w:top w:val="single" w:color="auto" w:sz="4" w:space="0"/>
              <w:left w:val="nil"/>
              <w:bottom w:val="single" w:color="auto" w:sz="4" w:space="0"/>
              <w:right w:val="single" w:color="auto" w:sz="4" w:space="0"/>
            </w:tcBorders>
            <w:noWrap w:val="0"/>
            <w:vAlign w:val="center"/>
          </w:tcPr>
          <w:p w14:paraId="792C53F2">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0.8723</w:t>
            </w:r>
          </w:p>
        </w:tc>
      </w:tr>
      <w:tr w14:paraId="4398242D">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noWrap w:val="0"/>
            <w:vAlign w:val="center"/>
          </w:tcPr>
          <w:p w14:paraId="0D486753">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比准价格（元/㎡）</w:t>
            </w:r>
          </w:p>
        </w:tc>
        <w:tc>
          <w:tcPr>
            <w:tcW w:w="890" w:type="pct"/>
            <w:tcBorders>
              <w:top w:val="single" w:color="auto" w:sz="4" w:space="0"/>
              <w:left w:val="nil"/>
              <w:bottom w:val="single" w:color="auto" w:sz="4" w:space="0"/>
              <w:right w:val="single" w:color="auto" w:sz="4" w:space="0"/>
            </w:tcBorders>
            <w:noWrap w:val="0"/>
            <w:vAlign w:val="center"/>
          </w:tcPr>
          <w:p w14:paraId="2E345554">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125.35</w:t>
            </w:r>
          </w:p>
        </w:tc>
        <w:tc>
          <w:tcPr>
            <w:tcW w:w="890" w:type="pct"/>
            <w:tcBorders>
              <w:top w:val="single" w:color="auto" w:sz="4" w:space="0"/>
              <w:left w:val="nil"/>
              <w:bottom w:val="single" w:color="auto" w:sz="4" w:space="0"/>
              <w:right w:val="single" w:color="auto" w:sz="4" w:space="0"/>
            </w:tcBorders>
            <w:noWrap w:val="0"/>
            <w:vAlign w:val="center"/>
          </w:tcPr>
          <w:p w14:paraId="12E5089F">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129.53</w:t>
            </w:r>
          </w:p>
        </w:tc>
        <w:tc>
          <w:tcPr>
            <w:tcW w:w="717" w:type="pct"/>
            <w:tcBorders>
              <w:top w:val="single" w:color="auto" w:sz="4" w:space="0"/>
              <w:left w:val="nil"/>
              <w:bottom w:val="single" w:color="auto" w:sz="4" w:space="0"/>
              <w:right w:val="single" w:color="auto" w:sz="4" w:space="0"/>
            </w:tcBorders>
            <w:noWrap w:val="0"/>
            <w:vAlign w:val="center"/>
          </w:tcPr>
          <w:p w14:paraId="7F10867E">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129.97</w:t>
            </w:r>
          </w:p>
        </w:tc>
      </w:tr>
      <w:tr w14:paraId="1024B4D2">
        <w:tblPrEx>
          <w:tblCellMar>
            <w:top w:w="0" w:type="dxa"/>
            <w:left w:w="108" w:type="dxa"/>
            <w:bottom w:w="0" w:type="dxa"/>
            <w:right w:w="108" w:type="dxa"/>
          </w:tblCellMar>
        </w:tblPrEx>
        <w:trPr>
          <w:trHeight w:val="231" w:hRule="atLeast"/>
        </w:trPr>
        <w:tc>
          <w:tcPr>
            <w:tcW w:w="2500" w:type="pct"/>
            <w:gridSpan w:val="3"/>
            <w:tcBorders>
              <w:top w:val="single" w:color="auto" w:sz="4" w:space="0"/>
              <w:left w:val="single" w:color="auto" w:sz="4" w:space="0"/>
              <w:bottom w:val="single" w:color="auto" w:sz="4" w:space="0"/>
              <w:right w:val="single" w:color="auto" w:sz="4" w:space="0"/>
            </w:tcBorders>
            <w:noWrap w:val="0"/>
            <w:vAlign w:val="center"/>
          </w:tcPr>
          <w:p w14:paraId="056FFE0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土地单价（元/㎡）</w:t>
            </w:r>
          </w:p>
        </w:tc>
        <w:tc>
          <w:tcPr>
            <w:tcW w:w="2499" w:type="pct"/>
            <w:gridSpan w:val="3"/>
            <w:tcBorders>
              <w:top w:val="single" w:color="auto" w:sz="4" w:space="0"/>
              <w:left w:val="single" w:color="auto" w:sz="4" w:space="0"/>
              <w:bottom w:val="single" w:color="auto" w:sz="4" w:space="0"/>
              <w:right w:val="single" w:color="auto" w:sz="4" w:space="0"/>
            </w:tcBorders>
            <w:noWrap w:val="0"/>
            <w:vAlign w:val="center"/>
          </w:tcPr>
          <w:p w14:paraId="73E4F662">
            <w:pPr>
              <w:keepNext w:val="0"/>
              <w:keepLines w:val="0"/>
              <w:widowControl/>
              <w:suppressLineNumbers w:val="0"/>
              <w:spacing w:before="0" w:beforeAutospacing="0" w:after="0" w:afterAutospacing="0"/>
              <w:ind w:left="0" w:right="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128.3</w:t>
            </w:r>
          </w:p>
        </w:tc>
      </w:tr>
    </w:tbl>
    <w:p w14:paraId="67574E8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经过比较分析，采用各因素修正系数连乘法，求算各比较实例经因素修正后达到估价对象条件时的比准价格。经过比较分析，三个比准价格中价格相近。故取三个比准价格的简单算术平均值作为市场比较法的评估结果，即：（</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125.35+129.53+129.97</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÷3≈128.3</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元/平方米。</w:t>
      </w:r>
    </w:p>
    <w:p w14:paraId="5AFC7AAE">
      <w:pPr>
        <w:pStyle w:val="2"/>
        <w:ind w:left="0" w:leftChars="0" w:firstLine="560" w:firstLineChars="200"/>
        <w:rPr>
          <w:rFonts w:hint="eastAsia" w:ascii="仿宋_GB2312" w:hAnsi="仿宋_GB2312" w:eastAsia="仿宋_GB2312" w:cs="仿宋_GB2312"/>
          <w:b/>
          <w:bCs w:val="0"/>
          <w:color w:val="000000" w:themeColor="text1"/>
          <w:sz w:val="28"/>
          <w:szCs w:val="22"/>
          <w:highlight w:val="none"/>
          <w14:textFill>
            <w14:solidFill>
              <w14:schemeClr w14:val="tx1"/>
            </w14:solidFill>
          </w14:textFill>
        </w:rPr>
      </w:pPr>
      <w:r>
        <w:rPr>
          <w:rFonts w:hint="eastAsia" w:ascii="仿宋_GB2312" w:hAnsi="仿宋_GB2312" w:eastAsia="仿宋_GB2312" w:cs="仿宋_GB2312"/>
          <w:bCs/>
          <w:color w:val="auto"/>
          <w:sz w:val="28"/>
          <w:szCs w:val="28"/>
          <w:highlight w:val="none"/>
          <w:lang w:val="en-US" w:eastAsia="zh-CN"/>
        </w:rPr>
        <w:t>根据检验核算，比较实例的修正幅度≤30%，各比较实例修正后的比准价格之间相差幅度≤40%，故最终确定市场比较法测算结果为128.3元/平方米。</w:t>
      </w:r>
    </w:p>
    <w:p w14:paraId="4A47F4FD">
      <w:pPr>
        <w:widowControl/>
        <w:spacing w:line="500" w:lineRule="exact"/>
        <w:ind w:firstLine="562" w:firstLineChars="200"/>
        <w:textAlignment w:val="baseline"/>
        <w:outlineLvl w:val="2"/>
        <w:rPr>
          <w:rFonts w:hint="eastAsia" w:ascii="仿宋_GB2312" w:hAnsi="仿宋_GB2312" w:eastAsia="仿宋_GB2312" w:cs="仿宋_GB2312"/>
          <w:b/>
          <w:bCs w:val="0"/>
          <w:color w:val="000000" w:themeColor="text1"/>
          <w:sz w:val="28"/>
          <w:szCs w:val="22"/>
          <w:highlight w:val="none"/>
          <w14:textFill>
            <w14:solidFill>
              <w14:schemeClr w14:val="tx1"/>
            </w14:solidFill>
          </w14:textFill>
        </w:rPr>
      </w:pPr>
      <w:r>
        <w:rPr>
          <w:rFonts w:hint="eastAsia" w:ascii="仿宋_GB2312" w:hAnsi="仿宋_GB2312" w:eastAsia="仿宋_GB2312" w:cs="仿宋_GB2312"/>
          <w:b/>
          <w:bCs w:val="0"/>
          <w:color w:val="000000" w:themeColor="text1"/>
          <w:sz w:val="28"/>
          <w:szCs w:val="22"/>
          <w:highlight w:val="none"/>
          <w14:textFill>
            <w14:solidFill>
              <w14:schemeClr w14:val="tx1"/>
            </w14:solidFill>
          </w14:textFill>
        </w:rPr>
        <w:t>三、地价的确定</w:t>
      </w:r>
    </w:p>
    <w:p w14:paraId="3A56CC1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1.地价确定的方法</w:t>
      </w:r>
    </w:p>
    <w:p w14:paraId="2D41320E">
      <w:pPr>
        <w:spacing w:line="480" w:lineRule="exact"/>
        <w:ind w:firstLine="560"/>
      </w:pPr>
      <w:r>
        <w:rPr>
          <w:rFonts w:ascii="仿宋_GB2312" w:hAnsi="仿宋_GB2312" w:eastAsia="仿宋_GB2312" w:cs="仿宋_GB2312"/>
          <w:sz w:val="28"/>
        </w:rPr>
        <w:t>根据以上评估过程，本次评估采用了成本逼近法和市场比较法进行测算。各估价方法测算情况如下：</w:t>
      </w:r>
    </w:p>
    <w:p w14:paraId="16191AE9">
      <w:pPr>
        <w:spacing w:line="480" w:lineRule="exact"/>
        <w:ind w:firstLine="560"/>
      </w:pPr>
      <w:r>
        <w:rPr>
          <w:rFonts w:ascii="仿宋_GB2312" w:hAnsi="仿宋_GB2312" w:eastAsia="仿宋_GB2312" w:cs="仿宋_GB2312"/>
          <w:sz w:val="28"/>
        </w:rPr>
        <w:t>【成本逼近法】成本逼近法是以开发土地所耗费的各项客观费用之和为主要依据，再加上一定的利润、利息、应缴纳的税金和土地增值收益来确定土地价格的方法。考虑到估价对象所在区域有类似征地案例，能够通过征地案例的调查分析，对各项土地取得成本进行量化得出土地价格。</w:t>
      </w:r>
    </w:p>
    <w:p w14:paraId="48FE89E3">
      <w:pPr>
        <w:spacing w:line="480" w:lineRule="exact"/>
        <w:ind w:firstLine="560"/>
      </w:pPr>
      <w:r>
        <w:rPr>
          <w:rFonts w:ascii="仿宋_GB2312" w:hAnsi="仿宋_GB2312" w:eastAsia="仿宋_GB2312" w:cs="仿宋_GB2312"/>
          <w:sz w:val="28"/>
        </w:rPr>
        <w:t>【市场比较法】市场比较法是根据替代原理，将待估宗地与具有替代性的，且在估价期日近期市场上交易的类似地产进行比较，对类似地产成交价格作适当修正，以此得到待估宗地比准价格的一种方法。该方法选择的比较案例是市场搜集的比较客观的真实交易，修正体系科学合理.</w:t>
      </w:r>
    </w:p>
    <w:p w14:paraId="37ED94F3">
      <w:pPr>
        <w:spacing w:line="480" w:lineRule="exact"/>
        <w:ind w:firstLine="560"/>
      </w:pPr>
    </w:p>
    <w:p w14:paraId="479070C5">
      <w:pPr>
        <w:spacing w:line="480" w:lineRule="exact"/>
        <w:ind w:firstLine="560"/>
      </w:pPr>
    </w:p>
    <w:p w14:paraId="1AC464F2">
      <w:pPr>
        <w:spacing w:line="480" w:lineRule="exact"/>
        <w:ind w:firstLine="560"/>
      </w:pPr>
    </w:p>
    <w:p w14:paraId="2110483E">
      <w:pPr>
        <w:spacing w:line="480" w:lineRule="exact"/>
        <w:ind w:firstLine="560"/>
      </w:pPr>
      <w:r>
        <w:rPr>
          <w:rFonts w:ascii="仿宋_GB2312" w:hAnsi="仿宋_GB2312" w:eastAsia="仿宋_GB2312" w:cs="仿宋_GB2312"/>
          <w:sz w:val="28"/>
        </w:rPr>
        <w:t>综上所述，通过对当地土地市场和土地价格的分析和各方法的可靠性综合分析，根据项目特点，综合考虑宗地所在区域的地价水平，确定以成本逼近法和市场比较法评估结果的简单算术平均值[成本逼近法×50%+市场比较法×50%]作为本次评估的最终结果。</w:t>
      </w:r>
    </w:p>
    <w:p w14:paraId="456FA94C">
      <w:pPr>
        <w:spacing w:line="480" w:lineRule="exact"/>
        <w:ind w:firstLine="560"/>
      </w:pPr>
      <w:r>
        <w:rPr>
          <w:rFonts w:ascii="仿宋_GB2312" w:hAnsi="仿宋_GB2312" w:eastAsia="仿宋_GB2312" w:cs="仿宋_GB2312"/>
          <w:sz w:val="28"/>
        </w:rPr>
        <w:t>具体地价结果确定及各方法测算数值详见“地价结果确定表”。</w:t>
      </w:r>
    </w:p>
    <w:p w14:paraId="11DF4AFC">
      <w:pPr>
        <w:spacing w:line="460" w:lineRule="exact"/>
        <w:jc w:val="center"/>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表3-15 估价对象地价结果表</w:t>
      </w:r>
    </w:p>
    <w:tbl>
      <w:tblPr>
        <w:tblStyle w:val="9"/>
        <w:tblW w:w="502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02"/>
        <w:gridCol w:w="1391"/>
        <w:gridCol w:w="781"/>
        <w:gridCol w:w="1144"/>
        <w:gridCol w:w="778"/>
        <w:gridCol w:w="1215"/>
        <w:gridCol w:w="1547"/>
      </w:tblGrid>
      <w:tr w14:paraId="15AE8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7" w:hRule="atLeast"/>
          <w:jc w:val="center"/>
        </w:trPr>
        <w:tc>
          <w:tcPr>
            <w:tcW w:w="1702" w:type="dxa"/>
            <w:vMerge w:val="restart"/>
            <w:shd w:val="clear" w:color="auto" w:fill="auto"/>
            <w:vAlign w:val="center"/>
          </w:tcPr>
          <w:p w14:paraId="36FE622B">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_GB2312" w:hAnsi="仿宋_GB2312" w:eastAsia="仿宋_GB2312" w:cs="仿宋_GB2312"/>
                <w:bCs/>
                <w:color w:val="000000" w:themeColor="text1"/>
                <w:szCs w:val="21"/>
                <w:highlight w:val="none"/>
                <w:lang w:val="en-US" w:eastAsia="zh-CN"/>
                <w14:textFill>
                  <w14:solidFill>
                    <w14:schemeClr w14:val="tx1"/>
                  </w14:solidFill>
                </w14:textFill>
              </w:rPr>
              <w:t>宗地名称</w:t>
            </w:r>
          </w:p>
        </w:tc>
        <w:tc>
          <w:tcPr>
            <w:tcW w:w="2172" w:type="dxa"/>
            <w:gridSpan w:val="2"/>
            <w:shd w:val="clear" w:color="auto" w:fill="auto"/>
            <w:vAlign w:val="center"/>
          </w:tcPr>
          <w:p w14:paraId="78571F57">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14:textFill>
                  <w14:solidFill>
                    <w14:schemeClr w14:val="tx1"/>
                  </w14:solidFill>
                </w14:textFill>
              </w:rPr>
            </w:pPr>
            <w:r>
              <w:rPr>
                <w:rFonts w:hint="eastAsia" w:ascii="仿宋_GB2312" w:hAnsi="仿宋_GB2312" w:eastAsia="仿宋_GB2312" w:cs="仿宋_GB2312"/>
                <w:bCs/>
                <w:color w:val="000000" w:themeColor="text1"/>
                <w:szCs w:val="21"/>
                <w:highlight w:val="none"/>
                <w:lang w:val="en-US" w:eastAsia="zh-CN"/>
                <w14:textFill>
                  <w14:solidFill>
                    <w14:schemeClr w14:val="tx1"/>
                  </w14:solidFill>
                </w14:textFill>
              </w:rPr>
              <w:t>成本逼近法</w:t>
            </w:r>
          </w:p>
        </w:tc>
        <w:tc>
          <w:tcPr>
            <w:tcW w:w="1922" w:type="dxa"/>
            <w:gridSpan w:val="2"/>
            <w:shd w:val="clear" w:color="auto" w:fill="auto"/>
            <w:vAlign w:val="center"/>
          </w:tcPr>
          <w:p w14:paraId="40D6C184">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_GB2312" w:hAnsi="仿宋_GB2312" w:eastAsia="仿宋_GB2312" w:cs="仿宋_GB2312"/>
                <w:bCs/>
                <w:color w:val="000000" w:themeColor="text1"/>
                <w:szCs w:val="21"/>
                <w:highlight w:val="none"/>
                <w:lang w:val="en-US" w:eastAsia="zh-CN"/>
                <w14:textFill>
                  <w14:solidFill>
                    <w14:schemeClr w14:val="tx1"/>
                  </w14:solidFill>
                </w14:textFill>
              </w:rPr>
              <w:t>市场比较法</w:t>
            </w:r>
          </w:p>
        </w:tc>
        <w:tc>
          <w:tcPr>
            <w:tcW w:w="1215" w:type="dxa"/>
            <w:vMerge w:val="restart"/>
            <w:shd w:val="clear" w:color="auto" w:fill="auto"/>
            <w:vAlign w:val="center"/>
          </w:tcPr>
          <w:p w14:paraId="77F4F568">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_GB2312" w:hAnsi="仿宋_GB2312" w:eastAsia="仿宋_GB2312" w:cs="仿宋_GB2312"/>
                <w:bCs/>
                <w:color w:val="000000" w:themeColor="text1"/>
                <w:szCs w:val="21"/>
                <w:highlight w:val="none"/>
                <w:lang w:val="en-US" w:eastAsia="zh-CN"/>
                <w14:textFill>
                  <w14:solidFill>
                    <w14:schemeClr w14:val="tx1"/>
                  </w14:solidFill>
                </w14:textFill>
              </w:rPr>
              <w:t>最终评估地面单价（元/㎡）</w:t>
            </w:r>
          </w:p>
        </w:tc>
        <w:tc>
          <w:tcPr>
            <w:tcW w:w="1547" w:type="dxa"/>
            <w:vMerge w:val="restart"/>
            <w:shd w:val="clear" w:color="auto" w:fill="auto"/>
            <w:vAlign w:val="center"/>
          </w:tcPr>
          <w:p w14:paraId="1105B5B9">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Cs w:val="21"/>
                <w:highlight w:val="none"/>
                <w:lang w:val="en-US" w:eastAsia="zh-CN"/>
                <w14:textFill>
                  <w14:solidFill>
                    <w14:schemeClr w14:val="tx1"/>
                  </w14:solidFill>
                </w14:textFill>
              </w:rPr>
              <w:t>总价（万元）</w:t>
            </w:r>
          </w:p>
        </w:tc>
      </w:tr>
      <w:tr w14:paraId="67092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7" w:hRule="atLeast"/>
          <w:jc w:val="center"/>
        </w:trPr>
        <w:tc>
          <w:tcPr>
            <w:tcW w:w="1702" w:type="dxa"/>
            <w:vMerge w:val="continue"/>
            <w:shd w:val="clear" w:color="auto" w:fill="auto"/>
            <w:vAlign w:val="center"/>
          </w:tcPr>
          <w:p w14:paraId="35D1D65D">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c>
          <w:tcPr>
            <w:tcW w:w="1391" w:type="dxa"/>
            <w:shd w:val="clear" w:color="auto" w:fill="auto"/>
            <w:vAlign w:val="center"/>
          </w:tcPr>
          <w:p w14:paraId="37C6694C">
            <w:pPr>
              <w:keepNext w:val="0"/>
              <w:keepLines w:val="0"/>
              <w:suppressLineNumbers w:val="0"/>
              <w:spacing w:before="0" w:beforeAutospacing="0" w:after="0" w:afterAutospacing="0"/>
              <w:ind w:left="0" w:right="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Cs w:val="21"/>
                <w:highlight w:val="none"/>
                <w:lang w:val="en-US" w:eastAsia="zh-CN"/>
                <w14:textFill>
                  <w14:solidFill>
                    <w14:schemeClr w14:val="tx1"/>
                  </w14:solidFill>
                </w14:textFill>
              </w:rPr>
              <w:t>地面单价</w:t>
            </w:r>
          </w:p>
          <w:p w14:paraId="167E3BA0">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_GB2312" w:hAnsi="仿宋_GB2312" w:eastAsia="仿宋_GB2312" w:cs="仿宋_GB2312"/>
                <w:bCs/>
                <w:color w:val="000000" w:themeColor="text1"/>
                <w:szCs w:val="21"/>
                <w:highlight w:val="none"/>
                <w:lang w:val="en-US" w:eastAsia="zh-CN"/>
                <w14:textFill>
                  <w14:solidFill>
                    <w14:schemeClr w14:val="tx1"/>
                  </w14:solidFill>
                </w14:textFill>
              </w:rPr>
              <w:t>（元/㎡）</w:t>
            </w:r>
          </w:p>
        </w:tc>
        <w:tc>
          <w:tcPr>
            <w:tcW w:w="781" w:type="dxa"/>
            <w:shd w:val="clear" w:color="auto" w:fill="auto"/>
            <w:vAlign w:val="center"/>
          </w:tcPr>
          <w:p w14:paraId="348ED81C">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_GB2312" w:hAnsi="仿宋_GB2312" w:eastAsia="仿宋_GB2312" w:cs="仿宋_GB2312"/>
                <w:bCs/>
                <w:color w:val="000000" w:themeColor="text1"/>
                <w:szCs w:val="21"/>
                <w:highlight w:val="none"/>
                <w:lang w:val="en-US" w:eastAsia="zh-CN"/>
                <w14:textFill>
                  <w14:solidFill>
                    <w14:schemeClr w14:val="tx1"/>
                  </w14:solidFill>
                </w14:textFill>
              </w:rPr>
              <w:t>权重</w:t>
            </w:r>
          </w:p>
        </w:tc>
        <w:tc>
          <w:tcPr>
            <w:tcW w:w="1144" w:type="dxa"/>
            <w:shd w:val="clear" w:color="auto" w:fill="auto"/>
            <w:vAlign w:val="center"/>
          </w:tcPr>
          <w:p w14:paraId="545C8DD3">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_GB2312" w:hAnsi="仿宋_GB2312" w:eastAsia="仿宋_GB2312" w:cs="仿宋_GB2312"/>
                <w:bCs/>
                <w:color w:val="000000" w:themeColor="text1"/>
                <w:szCs w:val="21"/>
                <w:highlight w:val="none"/>
                <w:lang w:val="en-US" w:eastAsia="zh-CN"/>
                <w14:textFill>
                  <w14:solidFill>
                    <w14:schemeClr w14:val="tx1"/>
                  </w14:solidFill>
                </w14:textFill>
              </w:rPr>
              <w:t>地面单价（元/㎡）</w:t>
            </w:r>
          </w:p>
        </w:tc>
        <w:tc>
          <w:tcPr>
            <w:tcW w:w="778" w:type="dxa"/>
            <w:shd w:val="clear" w:color="auto" w:fill="auto"/>
            <w:vAlign w:val="center"/>
          </w:tcPr>
          <w:p w14:paraId="30F53B81">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_GB2312" w:hAnsi="仿宋_GB2312" w:eastAsia="仿宋_GB2312" w:cs="仿宋_GB2312"/>
                <w:bCs/>
                <w:color w:val="000000" w:themeColor="text1"/>
                <w:szCs w:val="21"/>
                <w:highlight w:val="none"/>
                <w:lang w:val="en-US" w:eastAsia="zh-CN"/>
                <w14:textFill>
                  <w14:solidFill>
                    <w14:schemeClr w14:val="tx1"/>
                  </w14:solidFill>
                </w14:textFill>
              </w:rPr>
              <w:t>权重</w:t>
            </w:r>
          </w:p>
        </w:tc>
        <w:tc>
          <w:tcPr>
            <w:tcW w:w="1215" w:type="dxa"/>
            <w:vMerge w:val="continue"/>
            <w:shd w:val="clear" w:color="auto" w:fill="auto"/>
            <w:vAlign w:val="center"/>
          </w:tcPr>
          <w:p w14:paraId="5233A959">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c>
          <w:tcPr>
            <w:tcW w:w="1547" w:type="dxa"/>
            <w:vMerge w:val="continue"/>
            <w:shd w:val="clear" w:color="auto" w:fill="auto"/>
            <w:vAlign w:val="center"/>
          </w:tcPr>
          <w:p w14:paraId="5164A0A2">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r>
      <w:tr w14:paraId="69674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4" w:hRule="atLeast"/>
          <w:jc w:val="center"/>
        </w:trPr>
        <w:tc>
          <w:tcPr>
            <w:tcW w:w="1702" w:type="dxa"/>
            <w:shd w:val="clear" w:color="auto" w:fill="auto"/>
            <w:vAlign w:val="center"/>
          </w:tcPr>
          <w:p w14:paraId="6A9762E7">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ascii="仿宋_GB2312" w:hAnsi="仿宋_GB2312" w:eastAsia="仿宋_GB2312" w:cs="仿宋_GB2312"/>
                <w:color w:val="000000"/>
                <w:sz w:val="28"/>
              </w:rPr>
              <w:t>通道县双江镇城南街</w:t>
            </w:r>
          </w:p>
        </w:tc>
        <w:tc>
          <w:tcPr>
            <w:tcW w:w="1391" w:type="dxa"/>
            <w:shd w:val="clear" w:color="auto" w:fill="auto"/>
            <w:vAlign w:val="center"/>
          </w:tcPr>
          <w:p w14:paraId="1267EF5E">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Cs w:val="21"/>
                <w:highlight w:val="none"/>
                <w:lang w:val="en-US" w:eastAsia="zh-CN"/>
                <w14:textFill>
                  <w14:solidFill>
                    <w14:schemeClr w14:val="tx1"/>
                  </w14:solidFill>
                </w14:textFill>
              </w:rPr>
              <w:t>189.9</w:t>
            </w:r>
          </w:p>
        </w:tc>
        <w:tc>
          <w:tcPr>
            <w:tcW w:w="781" w:type="dxa"/>
            <w:shd w:val="clear" w:color="auto" w:fill="auto"/>
            <w:vAlign w:val="center"/>
          </w:tcPr>
          <w:p w14:paraId="45C495F4">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_GB2312" w:hAnsi="仿宋_GB2312" w:eastAsia="仿宋_GB2312" w:cs="仿宋_GB2312"/>
                <w:bCs/>
                <w:color w:val="000000" w:themeColor="text1"/>
                <w:szCs w:val="21"/>
                <w:highlight w:val="none"/>
                <w:lang w:val="en-US" w:eastAsia="zh-CN"/>
                <w14:textFill>
                  <w14:solidFill>
                    <w14:schemeClr w14:val="tx1"/>
                  </w14:solidFill>
                </w14:textFill>
              </w:rPr>
              <w:t>50%</w:t>
            </w:r>
          </w:p>
        </w:tc>
        <w:tc>
          <w:tcPr>
            <w:tcW w:w="1144" w:type="dxa"/>
            <w:shd w:val="clear" w:color="auto" w:fill="auto"/>
            <w:vAlign w:val="center"/>
          </w:tcPr>
          <w:p w14:paraId="5CB8A432">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Cs w:val="21"/>
                <w:highlight w:val="none"/>
                <w:lang w:val="en-US" w:eastAsia="zh-CN"/>
                <w14:textFill>
                  <w14:solidFill>
                    <w14:schemeClr w14:val="tx1"/>
                  </w14:solidFill>
                </w14:textFill>
              </w:rPr>
              <w:t>127.7</w:t>
            </w:r>
          </w:p>
        </w:tc>
        <w:tc>
          <w:tcPr>
            <w:tcW w:w="778" w:type="dxa"/>
            <w:shd w:val="clear" w:color="auto" w:fill="auto"/>
            <w:vAlign w:val="center"/>
          </w:tcPr>
          <w:p w14:paraId="474D5C17">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Cs w:val="21"/>
                <w:highlight w:val="none"/>
                <w:lang w:val="en-US" w:eastAsia="zh-CN"/>
                <w14:textFill>
                  <w14:solidFill>
                    <w14:schemeClr w14:val="tx1"/>
                  </w14:solidFill>
                </w14:textFill>
              </w:rPr>
              <w:t>50%</w:t>
            </w:r>
          </w:p>
        </w:tc>
        <w:tc>
          <w:tcPr>
            <w:tcW w:w="1215" w:type="dxa"/>
            <w:shd w:val="clear" w:color="auto" w:fill="auto"/>
            <w:vAlign w:val="center"/>
          </w:tcPr>
          <w:p w14:paraId="0C2B8619">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Cs w:val="21"/>
                <w:highlight w:val="none"/>
                <w:lang w:val="en-US" w:eastAsia="zh-CN"/>
                <w14:textFill>
                  <w14:solidFill>
                    <w14:schemeClr w14:val="tx1"/>
                  </w14:solidFill>
                </w14:textFill>
              </w:rPr>
              <w:t>159</w:t>
            </w:r>
          </w:p>
        </w:tc>
        <w:tc>
          <w:tcPr>
            <w:tcW w:w="1547" w:type="dxa"/>
            <w:shd w:val="clear" w:color="auto" w:fill="auto"/>
            <w:vAlign w:val="center"/>
          </w:tcPr>
          <w:p w14:paraId="7487E7C6">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Cs w:val="21"/>
                <w:highlight w:val="none"/>
                <w:lang w:val="en-US" w:eastAsia="zh-CN"/>
                <w14:textFill>
                  <w14:solidFill>
                    <w14:schemeClr w14:val="tx1"/>
                  </w14:solidFill>
                </w14:textFill>
              </w:rPr>
              <w:t>76.79</w:t>
            </w:r>
          </w:p>
        </w:tc>
      </w:tr>
    </w:tbl>
    <w:p w14:paraId="196F8A4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2.确定估价结果</w:t>
      </w:r>
    </w:p>
    <w:p w14:paraId="0BC4855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eastAsia="仿宋_GB2312"/>
          <w:b/>
          <w:bCs/>
          <w:color w:val="000000" w:themeColor="text1"/>
          <w:sz w:val="28"/>
          <w:szCs w:val="22"/>
          <w:highlight w:val="none"/>
          <w:lang w:val="en-US" w:eastAsia="zh-CN"/>
          <w14:textFill>
            <w14:solidFill>
              <w14:schemeClr w14:val="tx1"/>
            </w14:solidFill>
          </w14:textFill>
        </w:rPr>
      </w:pPr>
      <w:r>
        <w:rPr>
          <w:rFonts w:ascii="仿宋_GB2312" w:hAnsi="仿宋_GB2312" w:eastAsia="仿宋_GB2312" w:cs="仿宋_GB2312"/>
          <w:color w:val="000000"/>
          <w:sz w:val="28"/>
        </w:rPr>
        <w:t>通道侗族自治县自然资源局委托评估的，位于通道县双江镇城南街的一宗国有土地，土地面积25.32平方米，于估价期日2026年04月23日，在评估设定土地用途为城镇住宅用地，设定土地使用年期为70年，设定容积率为4.23，设定土地开发程度为宗地红线内外“五通”（通路、通电、供水、排水、通讯）及红线内场地平整，规划利用条件下的土地使用权出让价格如下（币种：人民币）：</w:t>
      </w:r>
    </w:p>
    <w:p w14:paraId="0816B658">
      <w:pPr>
        <w:keepNext w:val="0"/>
        <w:keepLines w:val="0"/>
        <w:pageBreakBefore w:val="0"/>
        <w:widowControl w:val="0"/>
        <w:kinsoku/>
        <w:wordWrap/>
        <w:overflowPunct/>
        <w:topLinePunct w:val="0"/>
        <w:autoSpaceDE/>
        <w:autoSpaceDN/>
        <w:bidi w:val="0"/>
        <w:adjustRightInd w:val="0"/>
        <w:snapToGrid w:val="0"/>
        <w:spacing w:line="460" w:lineRule="exact"/>
        <w:ind w:firstLine="562" w:firstLineChars="200"/>
        <w:textAlignment w:val="auto"/>
        <w:rPr>
          <w:rFonts w:hint="default"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t>宗地数量：共一宗</w:t>
      </w:r>
    </w:p>
    <w:p w14:paraId="64FF2632">
      <w:pPr>
        <w:keepNext w:val="0"/>
        <w:keepLines w:val="0"/>
        <w:pageBreakBefore w:val="0"/>
        <w:widowControl w:val="0"/>
        <w:kinsoku/>
        <w:wordWrap/>
        <w:overflowPunct/>
        <w:topLinePunct w:val="0"/>
        <w:autoSpaceDE/>
        <w:autoSpaceDN/>
        <w:bidi w:val="0"/>
        <w:adjustRightInd w:val="0"/>
        <w:snapToGrid w:val="0"/>
        <w:spacing w:line="460" w:lineRule="exact"/>
        <w:ind w:firstLine="562" w:firstLineChars="200"/>
        <w:textAlignment w:val="auto"/>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t>估价对象</w:t>
      </w:r>
      <w:r>
        <w:rPr>
          <w:rFonts w:hint="eastAsia" w:ascii="仿宋_GB2312" w:hAnsi="仿宋_GB2312" w:eastAsia="仿宋_GB2312" w:cs="仿宋_GB2312"/>
          <w:b/>
          <w:bCs w:val="0"/>
          <w:color w:val="000000" w:themeColor="text1"/>
          <w:sz w:val="28"/>
          <w:szCs w:val="28"/>
          <w:highlight w:val="none"/>
          <w:lang w:eastAsia="zh-CN"/>
          <w14:textFill>
            <w14:solidFill>
              <w14:schemeClr w14:val="tx1"/>
            </w14:solidFill>
          </w14:textFill>
        </w:rPr>
        <w:t>土地</w:t>
      </w:r>
      <w:r>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t>总</w:t>
      </w:r>
      <w:r>
        <w:rPr>
          <w:rFonts w:hint="eastAsia" w:ascii="仿宋_GB2312" w:hAnsi="仿宋_GB2312" w:eastAsia="仿宋_GB2312" w:cs="仿宋_GB2312"/>
          <w:b/>
          <w:bCs w:val="0"/>
          <w:color w:val="000000" w:themeColor="text1"/>
          <w:sz w:val="28"/>
          <w:szCs w:val="28"/>
          <w:highlight w:val="none"/>
          <w:lang w:eastAsia="zh-CN"/>
          <w14:textFill>
            <w14:solidFill>
              <w14:schemeClr w14:val="tx1"/>
            </w14:solidFill>
          </w14:textFill>
        </w:rPr>
        <w:t>面积：25.32平方米</w:t>
      </w:r>
    </w:p>
    <w:p w14:paraId="4E841106">
      <w:pPr>
        <w:keepNext w:val="0"/>
        <w:keepLines w:val="0"/>
        <w:pageBreakBefore w:val="0"/>
        <w:widowControl w:val="0"/>
        <w:kinsoku/>
        <w:wordWrap/>
        <w:overflowPunct/>
        <w:topLinePunct w:val="0"/>
        <w:autoSpaceDE/>
        <w:autoSpaceDN/>
        <w:bidi w:val="0"/>
        <w:adjustRightInd w:val="0"/>
        <w:snapToGrid w:val="0"/>
        <w:spacing w:line="460" w:lineRule="exact"/>
        <w:ind w:firstLine="562" w:firstLineChars="200"/>
        <w:textAlignment w:val="auto"/>
        <w:rPr>
          <w:rFonts w:hint="default"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t>估价对象土地单价：159元/平方米</w:t>
      </w:r>
    </w:p>
    <w:p w14:paraId="79907F5A">
      <w:pPr>
        <w:keepNext w:val="0"/>
        <w:keepLines w:val="0"/>
        <w:pageBreakBefore w:val="0"/>
        <w:widowControl w:val="0"/>
        <w:kinsoku/>
        <w:wordWrap/>
        <w:overflowPunct/>
        <w:topLinePunct w:val="0"/>
        <w:autoSpaceDE/>
        <w:autoSpaceDN/>
        <w:bidi w:val="0"/>
        <w:adjustRightInd w:val="0"/>
        <w:snapToGrid w:val="0"/>
        <w:spacing w:line="460" w:lineRule="exact"/>
        <w:ind w:firstLine="562" w:firstLineChars="200"/>
        <w:textAlignment w:val="auto"/>
        <w:rPr>
          <w:rFonts w:hint="eastAsia" w:ascii="仿宋_GB2312" w:hAnsi="仿宋_GB2312" w:eastAsia="仿宋_GB2312" w:cs="仿宋_GB2312"/>
          <w:b/>
          <w:bCs w:val="0"/>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t>估计对象土地</w:t>
      </w:r>
      <w:r>
        <w:rPr>
          <w:rFonts w:hint="eastAsia" w:ascii="仿宋_GB2312" w:hAnsi="仿宋_GB2312" w:eastAsia="仿宋_GB2312" w:cs="仿宋_GB2312"/>
          <w:b/>
          <w:bCs w:val="0"/>
          <w:color w:val="000000" w:themeColor="text1"/>
          <w:sz w:val="28"/>
          <w:szCs w:val="28"/>
          <w:highlight w:val="none"/>
          <w:lang w:eastAsia="zh-CN"/>
          <w14:textFill>
            <w14:solidFill>
              <w14:schemeClr w14:val="tx1"/>
            </w14:solidFill>
          </w14:textFill>
        </w:rPr>
        <w:t>总价：</w:t>
      </w:r>
      <w:r>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t>76.79</w:t>
      </w:r>
      <w:r>
        <w:rPr>
          <w:rFonts w:hint="eastAsia" w:ascii="仿宋_GB2312" w:hAnsi="仿宋_GB2312" w:eastAsia="仿宋_GB2312" w:cs="仿宋_GB2312"/>
          <w:b/>
          <w:bCs w:val="0"/>
          <w:color w:val="000000" w:themeColor="text1"/>
          <w:sz w:val="28"/>
          <w:szCs w:val="28"/>
          <w:highlight w:val="none"/>
          <w:lang w:eastAsia="zh-CN"/>
          <w14:textFill>
            <w14:solidFill>
              <w14:schemeClr w14:val="tx1"/>
            </w14:solidFill>
          </w14:textFill>
        </w:rPr>
        <w:t>万元</w:t>
      </w:r>
    </w:p>
    <w:p w14:paraId="144C91A7">
      <w:pPr>
        <w:keepNext w:val="0"/>
        <w:keepLines w:val="0"/>
        <w:pageBreakBefore w:val="0"/>
        <w:widowControl w:val="0"/>
        <w:kinsoku/>
        <w:wordWrap/>
        <w:overflowPunct/>
        <w:topLinePunct w:val="0"/>
        <w:autoSpaceDE/>
        <w:autoSpaceDN/>
        <w:bidi w:val="0"/>
        <w:adjustRightInd w:val="0"/>
        <w:snapToGrid w:val="0"/>
        <w:spacing w:line="460" w:lineRule="exact"/>
        <w:ind w:firstLine="562" w:firstLineChars="200"/>
        <w:textAlignment w:val="auto"/>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bCs w:val="0"/>
          <w:color w:val="000000" w:themeColor="text1"/>
          <w:sz w:val="28"/>
          <w:szCs w:val="28"/>
          <w:highlight w:val="none"/>
          <w:lang w:eastAsia="zh-CN"/>
          <w14:textFill>
            <w14:solidFill>
              <w14:schemeClr w14:val="tx1"/>
            </w14:solidFill>
          </w14:textFill>
        </w:rPr>
        <w:t>大写：</w:t>
      </w:r>
      <w:r>
        <w:rPr>
          <w:rFonts w:hint="eastAsia" w:ascii="仿宋_GB2312" w:hAnsi="仿宋_GB2312" w:eastAsia="仿宋_GB2312" w:cs="仿宋_GB2312"/>
          <w:b/>
          <w:bCs/>
          <w:color w:val="000000" w:themeColor="text1"/>
          <w:sz w:val="28"/>
          <w:szCs w:val="22"/>
          <w:highlight w:val="none"/>
          <w14:textFill>
            <w14:solidFill>
              <w14:schemeClr w14:val="tx1"/>
            </w14:solidFill>
          </w14:textFill>
        </w:rPr>
        <w:t>人民币</w:t>
      </w:r>
      <w:r>
        <w:rPr>
          <w:rFonts w:hint="eastAsia" w:ascii="仿宋_GB2312" w:hAnsi="仿宋_GB2312" w:eastAsia="仿宋_GB2312" w:cs="仿宋_GB2312"/>
          <w:b/>
          <w:bCs/>
          <w:color w:val="000000" w:themeColor="text1"/>
          <w:sz w:val="28"/>
          <w:szCs w:val="22"/>
          <w:highlight w:val="none"/>
          <w:lang w:val="en-US" w:eastAsia="zh-CN"/>
          <w14:textFill>
            <w14:solidFill>
              <w14:schemeClr w14:val="tx1"/>
            </w14:solidFill>
          </w14:textFill>
        </w:rPr>
        <w:t>柒拾陆万柒仟玖佰</w:t>
      </w:r>
      <w:r>
        <w:rPr>
          <w:rFonts w:hint="eastAsia" w:ascii="仿宋_GB2312" w:hAnsi="仿宋_GB2312" w:eastAsia="仿宋_GB2312" w:cs="仿宋_GB2312"/>
          <w:b/>
          <w:bCs/>
          <w:color w:val="000000" w:themeColor="text1"/>
          <w:sz w:val="28"/>
          <w:szCs w:val="22"/>
          <w:highlight w:val="none"/>
          <w14:textFill>
            <w14:solidFill>
              <w14:schemeClr w14:val="tx1"/>
            </w14:solidFill>
          </w14:textFill>
        </w:rPr>
        <w:t>元整</w:t>
      </w:r>
      <w:r>
        <w:rPr>
          <w:rFonts w:hint="eastAsia" w:ascii="仿宋_GB2312" w:hAnsi="仿宋_GB2312" w:eastAsia="仿宋_GB2312" w:cs="仿宋_GB2312"/>
          <w:b/>
          <w:bCs w:val="0"/>
          <w:color w:val="000000" w:themeColor="text1"/>
          <w:sz w:val="28"/>
          <w:szCs w:val="28"/>
          <w:highlight w:val="none"/>
          <w:lang w:eastAsia="zh-CN"/>
          <w14:textFill>
            <w14:solidFill>
              <w14:schemeClr w14:val="tx1"/>
            </w14:solidFill>
          </w14:textFill>
        </w:rPr>
        <w:t>；</w:t>
      </w:r>
    </w:p>
    <w:p w14:paraId="035DDF0E">
      <w:pPr>
        <w:keepNext w:val="0"/>
        <w:keepLines w:val="0"/>
        <w:pageBreakBefore w:val="0"/>
        <w:widowControl w:val="0"/>
        <w:kinsoku/>
        <w:wordWrap/>
        <w:overflowPunct/>
        <w:topLinePunct w:val="0"/>
        <w:autoSpaceDE/>
        <w:autoSpaceDN/>
        <w:bidi w:val="0"/>
        <w:adjustRightInd w:val="0"/>
        <w:snapToGrid w:val="0"/>
        <w:spacing w:line="460" w:lineRule="exact"/>
        <w:ind w:firstLine="562" w:firstLineChars="200"/>
        <w:textAlignment w:val="auto"/>
        <w:rPr>
          <w:rFonts w:hint="eastAsia" w:ascii="仿宋_GB2312" w:hAnsi="仿宋_GB2312" w:eastAsia="仿宋_GB2312" w:cs="仿宋_GB2312"/>
          <w:b/>
          <w:bCs w:val="0"/>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
          <w:bCs w:val="0"/>
          <w:color w:val="000000" w:themeColor="text1"/>
          <w:sz w:val="28"/>
          <w:szCs w:val="28"/>
          <w:highlight w:val="none"/>
          <w:lang w:eastAsia="zh-CN"/>
          <w14:textFill>
            <w14:solidFill>
              <w14:schemeClr w14:val="tx1"/>
            </w14:solidFill>
          </w14:textFill>
        </w:rPr>
        <w:t>详见《土地估价结果一览表》。</w:t>
      </w:r>
    </w:p>
    <w:p w14:paraId="1169F41C">
      <w:pPr>
        <w:bidi w:val="0"/>
        <w:jc w:val="left"/>
        <w:rPr>
          <w:rFonts w:ascii="Times New Roman" w:hAnsi="Times New Roman" w:eastAsia="宋体" w:cs="Times New Roman"/>
          <w:color w:val="000000" w:themeColor="text1"/>
          <w:kern w:val="2"/>
          <w:sz w:val="21"/>
          <w:highlight w:val="none"/>
          <w:lang w:val="en-US" w:eastAsia="zh-CN" w:bidi="ar-SA"/>
          <w14:textFill>
            <w14:solidFill>
              <w14:schemeClr w14:val="tx1"/>
            </w14:solidFill>
          </w14:textFill>
        </w:rPr>
      </w:pPr>
    </w:p>
    <w:p w14:paraId="774AC345">
      <w:pPr>
        <w:adjustRightInd/>
        <w:snapToGrid/>
        <w:spacing w:line="240" w:lineRule="auto"/>
        <w:jc w:val="left"/>
        <w:outlineLvl w:val="9"/>
        <w:rPr>
          <w:rFonts w:hint="eastAsia" w:ascii="宋体" w:hAnsi="宋体" w:cs="仿宋_GB2312"/>
          <w:b/>
          <w:color w:val="000000" w:themeColor="text1"/>
          <w:sz w:val="32"/>
          <w:szCs w:val="32"/>
          <w:highlight w:val="none"/>
          <w14:textFill>
            <w14:solidFill>
              <w14:schemeClr w14:val="tx1"/>
            </w14:solidFill>
          </w14:textFill>
        </w:rPr>
      </w:pPr>
      <w:r>
        <w:rPr>
          <w:rFonts w:hint="eastAsia" w:ascii="仿宋_GB2312" w:hAnsi="仿宋_GB2312" w:eastAsia="仿宋_GB2312" w:cs="仿宋_GB2312"/>
          <w:b/>
          <w:color w:val="000000" w:themeColor="text1"/>
          <w:sz w:val="32"/>
          <w:szCs w:val="32"/>
          <w:highlight w:val="none"/>
          <w14:textFill>
            <w14:solidFill>
              <w14:schemeClr w14:val="tx1"/>
            </w14:solidFill>
          </w14:textFill>
        </w:rPr>
        <w:br w:type="page"/>
      </w:r>
    </w:p>
    <w:p w14:paraId="414F5B82">
      <w:pPr>
        <w:tabs>
          <w:tab w:val="left" w:pos="-105"/>
          <w:tab w:val="left" w:pos="735"/>
          <w:tab w:val="left" w:pos="1785"/>
        </w:tabs>
        <w:adjustRightInd w:val="0"/>
        <w:snapToGrid w:val="0"/>
        <w:spacing w:line="400" w:lineRule="exact"/>
        <w:jc w:val="center"/>
        <w:outlineLvl w:val="1"/>
        <w:rPr>
          <w:rFonts w:ascii="宋体" w:hAnsi="宋体" w:cs="仿宋_GB2312"/>
          <w:b/>
          <w:color w:val="000000" w:themeColor="text1"/>
          <w:sz w:val="32"/>
          <w:szCs w:val="32"/>
          <w:highlight w:val="none"/>
          <w14:textFill>
            <w14:solidFill>
              <w14:schemeClr w14:val="tx1"/>
            </w14:solidFill>
          </w14:textFill>
        </w:rPr>
      </w:pPr>
      <w:r>
        <w:rPr>
          <w:rFonts w:hint="eastAsia" w:ascii="仿宋_GB2312" w:hAnsi="仿宋_GB2312" w:eastAsia="仿宋_GB2312" w:cs="仿宋_GB2312"/>
          <w:b/>
          <w:color w:val="000000" w:themeColor="text1"/>
          <w:sz w:val="32"/>
          <w:szCs w:val="32"/>
          <w:highlight w:val="none"/>
          <w14:textFill>
            <w14:solidFill>
              <w14:schemeClr w14:val="tx1"/>
            </w14:solidFill>
          </w14:textFill>
        </w:rPr>
        <w:t>第四部分    附   件</w:t>
      </w:r>
    </w:p>
    <w:p w14:paraId="532421ED">
      <w:pPr>
        <w:tabs>
          <w:tab w:val="left" w:pos="-105"/>
          <w:tab w:val="left" w:pos="735"/>
          <w:tab w:val="left" w:pos="1785"/>
        </w:tabs>
        <w:adjustRightInd w:val="0"/>
        <w:snapToGrid w:val="0"/>
        <w:spacing w:line="400" w:lineRule="exact"/>
        <w:rPr>
          <w:rFonts w:ascii="仿宋_GB2312" w:eastAsia="仿宋_GB2312"/>
          <w:bCs/>
          <w:color w:val="000000" w:themeColor="text1"/>
          <w:sz w:val="28"/>
          <w:szCs w:val="22"/>
          <w:highlight w:val="none"/>
          <w14:textFill>
            <w14:solidFill>
              <w14:schemeClr w14:val="tx1"/>
            </w14:solidFill>
          </w14:textFill>
        </w:rPr>
      </w:pPr>
      <w:r>
        <w:rPr>
          <w:rFonts w:hint="eastAsia" w:ascii="仿宋_GB2312" w:hAnsi="仿宋_GB2312" w:eastAsia="仿宋_GB2312" w:cs="仿宋_GB2312"/>
          <w:b/>
          <w:color w:val="000000" w:themeColor="text1"/>
          <w:sz w:val="32"/>
          <w:szCs w:val="32"/>
          <w:highlight w:val="none"/>
          <w14:textFill>
            <w14:solidFill>
              <w14:schemeClr w14:val="tx1"/>
            </w14:solidFill>
          </w14:textFill>
        </w:rPr>
        <w:t xml:space="preserve"> </w:t>
      </w:r>
    </w:p>
    <w:p w14:paraId="41DB365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1.《评估委托书》；</w:t>
      </w:r>
    </w:p>
    <w:p w14:paraId="4ABB72F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2.委托方《统一社会信用代码证书》复印件；</w:t>
      </w:r>
    </w:p>
    <w:p w14:paraId="1BD9A759">
      <w:pPr>
        <w:keepNext w:val="0"/>
        <w:keepLines w:val="0"/>
        <w:pageBreakBefore w:val="0"/>
        <w:widowControl w:val="0"/>
        <w:kinsoku/>
        <w:wordWrap/>
        <w:overflowPunct/>
        <w:topLinePunct w:val="0"/>
        <w:autoSpaceDE/>
        <w:autoSpaceDN/>
        <w:bidi w:val="0"/>
        <w:adjustRightInd w:val="0"/>
        <w:snapToGrid w:val="0"/>
        <w:spacing w:line="460" w:lineRule="exact"/>
        <w:ind w:firstLine="42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t>3.《关于通道县2002年第七批次建设用地农用地转用和土地征收的批复》（湘政地〔2002〕1205号，2002年9月5日）、《通道县房屋登记核发权证申请表》（2002年12月30日）；</w:t>
      </w:r>
    </w:p>
    <w:p w14:paraId="2B0E6F2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4.《关于国有建设用地的规划条件的函》（2025年9月11日）；</w:t>
      </w:r>
    </w:p>
    <w:p w14:paraId="549BA52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5.《通道县房屋登记核发权证申请表》；</w:t>
      </w:r>
    </w:p>
    <w:p w14:paraId="1ABF9B8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6.估价对象宗地区域位置示意图；</w:t>
      </w:r>
    </w:p>
    <w:p w14:paraId="2FCF6B5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7.现场勘查照片；</w:t>
      </w:r>
    </w:p>
    <w:p w14:paraId="401D1AE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8.现场勘查记录表；</w:t>
      </w:r>
    </w:p>
    <w:p w14:paraId="285238A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9.土地评估中介机构企业营业执照；</w:t>
      </w:r>
    </w:p>
    <w:p w14:paraId="2C03AEC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10.土地评估中介机构备案证明；</w:t>
      </w:r>
    </w:p>
    <w:p w14:paraId="31128BA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11.土地估价师资质证书。</w:t>
      </w:r>
    </w:p>
    <w:p w14:paraId="5AF61568">
      <w:pPr>
        <w:jc w:val="right"/>
        <w:rPr>
          <w:color w:val="000000" w:themeColor="text1"/>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（以上资料均为复印件）</w:t>
      </w:r>
    </w:p>
    <w:p w14:paraId="562BE5F1">
      <w:pPr>
        <w:rPr>
          <w:highlight w:val="none"/>
        </w:rPr>
      </w:pPr>
    </w:p>
    <w:p w14:paraId="1D15EEF6">
      <w:pPr>
        <w:spacing w:before="240"/>
      </w:pPr>
      <w:r>
        <w:rPr>
          <w:rFonts w:ascii="仿宋_GB2312" w:hAnsi="仿宋_GB2312" w:eastAsia="仿宋_GB2312" w:cs="仿宋_GB2312"/>
          <w:color w:val="808080"/>
          <w:sz w:val="19"/>
        </w:rPr>
        <w:br w:type="textWrapping"/>
      </w:r>
      <w:r>
        <w:rPr>
          <w:rFonts w:ascii="仿宋_GB2312" w:hAnsi="仿宋_GB2312" w:eastAsia="仿宋_GB2312" w:cs="仿宋_GB2312"/>
          <w:color w:val="808080"/>
          <w:sz w:val="19"/>
        </w:rPr>
        <w:t>--- [数据溯源指纹] ---</w:t>
      </w:r>
      <w:r>
        <w:rPr>
          <w:rFonts w:ascii="仿宋_GB2312" w:hAnsi="仿宋_GB2312" w:eastAsia="仿宋_GB2312" w:cs="仿宋_GB2312"/>
          <w:color w:val="808080"/>
          <w:sz w:val="19"/>
        </w:rPr>
        <w:br w:type="textWrapping"/>
      </w:r>
      <w:r>
        <w:rPr>
          <w:rFonts w:ascii="仿宋_GB2312" w:hAnsi="仿宋_GB2312" w:eastAsia="仿宋_GB2312" w:cs="仿宋_GB2312"/>
          <w:color w:val="808080"/>
          <w:sz w:val="19"/>
        </w:rPr>
        <w:t>源数据文件: 桌面端手工微调填报</w:t>
      </w:r>
      <w:r>
        <w:rPr>
          <w:rFonts w:ascii="仿宋_GB2312" w:hAnsi="仿宋_GB2312" w:eastAsia="仿宋_GB2312" w:cs="仿宋_GB2312"/>
          <w:color w:val="808080"/>
          <w:sz w:val="19"/>
        </w:rPr>
        <w:br w:type="textWrapping"/>
      </w:r>
      <w:r>
        <w:rPr>
          <w:rFonts w:ascii="仿宋_GB2312" w:hAnsi="仿宋_GB2312" w:eastAsia="仿宋_GB2312" w:cs="仿宋_GB2312"/>
          <w:color w:val="808080"/>
          <w:sz w:val="19"/>
        </w:rPr>
        <w:t>文件MD5校验码: MANUAL_VER_NO_CHECKSUM</w:t>
      </w:r>
      <w:r>
        <w:rPr>
          <w:rFonts w:ascii="仿宋_GB2312" w:hAnsi="仿宋_GB2312" w:eastAsia="仿宋_GB2312" w:cs="仿宋_GB2312"/>
          <w:color w:val="808080"/>
          <w:sz w:val="19"/>
        </w:rPr>
        <w:br w:type="textWrapping"/>
      </w:r>
      <w:r>
        <w:rPr>
          <w:rFonts w:ascii="仿宋_GB2312" w:hAnsi="仿宋_GB2312" w:eastAsia="仿宋_GB2312" w:cs="仿宋_GB2312"/>
          <w:color w:val="808080"/>
          <w:sz w:val="19"/>
        </w:rPr>
        <w:t>生成时间: 2026-05-27 14:47:58</w:t>
      </w:r>
      <w:r>
        <w:rPr>
          <w:rFonts w:ascii="仿宋_GB2312" w:hAnsi="仿宋_GB2312" w:eastAsia="仿宋_GB2312" w:cs="仿宋_GB2312"/>
          <w:color w:val="808080"/>
          <w:sz w:val="19"/>
        </w:rPr>
        <w:br w:type="textWrapping"/>
      </w:r>
      <w:r>
        <w:rPr>
          <w:rFonts w:ascii="仿宋_GB2312" w:hAnsi="仿宋_GB2312" w:eastAsia="仿宋_GB2312" w:cs="仿宋_GB2312"/>
          <w:color w:val="808080"/>
          <w:sz w:val="19"/>
        </w:rPr>
        <w:t>平台版本: 2.0.0 (桌面可视化双轨制)</w:t>
      </w:r>
      <w:r>
        <w:rPr>
          <w:rFonts w:ascii="仿宋_GB2312" w:hAnsi="仿宋_GB2312" w:eastAsia="仿宋_GB2312" w:cs="仿宋_GB2312"/>
          <w:color w:val="808080"/>
          <w:sz w:val="19"/>
        </w:rPr>
        <w:br w:type="textWrapping"/>
      </w:r>
      <w:r>
        <w:rPr>
          <w:rFonts w:ascii="仿宋_GB2312" w:hAnsi="仿宋_GB2312" w:eastAsia="仿宋_GB2312" w:cs="仿宋_GB2312"/>
          <w:color w:val="808080"/>
          <w:sz w:val="19"/>
        </w:rPr>
        <w:t>-----------------------</w:t>
      </w:r>
    </w:p>
    <w:sectPr>
      <w:footerReference r:id="rId28"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昆仑仿宋">
    <w:altName w:val="仿宋"/>
    <w:panose1 w:val="00000000000000000000"/>
    <w:charset w:val="86"/>
    <w:family w:val="auto"/>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00" w:usb3="00000000" w:csb0="00040000"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A7F603">
    <w:pPr>
      <w:pStyle w:val="7"/>
      <w:pBdr>
        <w:bottom w:val="single" w:color="auto" w:sz="6" w:space="1"/>
      </w:pBdr>
      <w:rPr>
        <w:rFonts w:ascii="仿宋_GB2312" w:eastAsia="仿宋_GB2312"/>
        <w:sz w:val="21"/>
        <w:szCs w:val="21"/>
      </w:rPr>
    </w:pPr>
  </w:p>
  <w:p w14:paraId="39535968">
    <w:pPr>
      <w:pStyle w:val="7"/>
    </w:pPr>
    <w:r>
      <w:rPr>
        <w:sz w:val="21"/>
      </w:rPr>
      <mc:AlternateContent>
        <mc:Choice Requires="wps">
          <w:drawing>
            <wp:anchor distT="0" distB="0" distL="114300" distR="114300" simplePos="0" relativeHeight="251675648" behindDoc="0" locked="0" layoutInCell="1" allowOverlap="1">
              <wp:simplePos x="0" y="0"/>
              <wp:positionH relativeFrom="margin">
                <wp:align>right</wp:align>
              </wp:positionH>
              <wp:positionV relativeFrom="paragraph">
                <wp:posOffset>0</wp:posOffset>
              </wp:positionV>
              <wp:extent cx="1828800" cy="1828800"/>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EDD1FF">
                          <w:pPr>
                            <w:pStyle w:val="7"/>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56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k3PuszAgAAYwQAAA4AAABkcnMvZTJvRG9jLnhtbK1UzY7TMBC+I/EO&#10;lu80aRdWVd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PUVJYZpVPz0/dvp&#10;x6/Tz68EZxCocWGGuAeHyNi+tS3aZjgPOEy828rr9AUjAj/kPV7kFW0kPF2aTqbTHC4O37ABfvZ4&#10;3fkQ3wmrSTIK6lG/TlZ22ITYhw4hKZuxa6lUV0NlSFPQ66s3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Kk3PuszAgAAYwQAAA4AAAAAAAAAAQAgAAAAHwEAAGRycy9lMm9Eb2MueG1sUEsF&#10;BgAAAAAGAAYAWQEAAMQFAAAAAA==&#10;">
              <v:fill on="f" focussize="0,0"/>
              <v:stroke on="f" weight="0.5pt"/>
              <v:imagedata o:title=""/>
              <o:lock v:ext="edit" aspectratio="f"/>
              <v:textbox inset="0mm,0mm,0mm,0mm" style="mso-fit-shape-to-text:t;">
                <w:txbxContent>
                  <w:p w14:paraId="3CEDD1FF">
                    <w:pPr>
                      <w:pStyle w:val="7"/>
                    </w:pPr>
                    <w:r>
                      <w:fldChar w:fldCharType="begin"/>
                    </w:r>
                    <w:r>
                      <w:instrText xml:space="preserve"> PAGE  \* MERGEFORMAT </w:instrText>
                    </w:r>
                    <w:r>
                      <w:fldChar w:fldCharType="separate"/>
                    </w:r>
                    <w:r>
                      <w:t>2</w:t>
                    </w:r>
                    <w:r>
                      <w:fldChar w:fldCharType="end"/>
                    </w:r>
                  </w:p>
                </w:txbxContent>
              </v:textbox>
            </v:shape>
          </w:pict>
        </mc:Fallback>
      </mc:AlternateContent>
    </w:r>
    <w:r>
      <w:rPr>
        <w:rFonts w:hint="eastAsia" w:ascii="仿宋_GB2312" w:eastAsia="仿宋_GB2312"/>
        <w:sz w:val="21"/>
        <w:szCs w:val="21"/>
      </w:rPr>
      <w:t xml:space="preserve"> 湖南兆财不动产规划评估有限公司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07175C">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E25BEE">
    <w:pPr>
      <w:pStyle w:val="7"/>
    </w:pPr>
    <w:r>
      <w:rPr>
        <w:sz w:val="18"/>
      </w:rPr>
      <mc:AlternateContent>
        <mc:Choice Requires="wps">
          <w:drawing>
            <wp:anchor distT="0" distB="0" distL="114300" distR="114300" simplePos="0" relativeHeight="251672576" behindDoc="0" locked="0" layoutInCell="1" allowOverlap="1">
              <wp:simplePos x="0" y="0"/>
              <wp:positionH relativeFrom="margin">
                <wp:align>right</wp:align>
              </wp:positionH>
              <wp:positionV relativeFrom="paragraph">
                <wp:posOffset>0</wp:posOffset>
              </wp:positionV>
              <wp:extent cx="1828800" cy="1828800"/>
              <wp:effectExtent l="0" t="0" r="0" b="0"/>
              <wp:wrapNone/>
              <wp:docPr id="39" name="文本框 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9A5A05">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YzS4AzAgAAYwQAAA4AAABkcnMvZTJvRG9jLnhtbK1UzY7TMBC+I/EO&#10;lu80aVesSt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OoNJYZpVPz0/dvp&#10;x6/Tz68EZxCocWGGuAeHyNi+tS3aZjgPOEy828rr9AUjAj/kPV7kFW0kPF2aTqbTHC4O37ABfvZ4&#10;3fkQ3wmrSTIK6lG/TlZ22ITYhw4hKZuxa6lUV0NlSFPQ66vX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JYzS4AzAgAAYwQAAA4AAAAAAAAAAQAgAAAAHwEAAGRycy9lMm9Eb2MueG1sUEsF&#10;BgAAAAAGAAYAWQEAAMQFAAAAAA==&#10;">
              <v:fill on="f" focussize="0,0"/>
              <v:stroke on="f" weight="0.5pt"/>
              <v:imagedata o:title=""/>
              <o:lock v:ext="edit" aspectratio="f"/>
              <v:textbox inset="0mm,0mm,0mm,0mm" style="mso-fit-shape-to-text:t;">
                <w:txbxContent>
                  <w:p w14:paraId="5E9A5A05">
                    <w:pPr>
                      <w:pStyle w:val="7"/>
                    </w:pPr>
                    <w:r>
                      <w:fldChar w:fldCharType="begin"/>
                    </w:r>
                    <w:r>
                      <w:instrText xml:space="preserve"> PAGE  \* MERGEFORMAT </w:instrText>
                    </w:r>
                    <w:r>
                      <w:fldChar w:fldCharType="separate"/>
                    </w:r>
                    <w:r>
                      <w:t>1</w:t>
                    </w:r>
                    <w:r>
                      <w:fldChar w:fldCharType="end"/>
                    </w:r>
                  </w:p>
                </w:txbxContent>
              </v:textbox>
            </v:shape>
          </w:pict>
        </mc:Fallback>
      </mc:AlternateContent>
    </w:r>
    <w: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57785" cy="131445"/>
              <wp:effectExtent l="0" t="0" r="0" b="0"/>
              <wp:wrapNone/>
              <wp:docPr id="9" name="文本框 13"/>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6D1EA53C">
                          <w:pPr>
                            <w:snapToGrid w:val="0"/>
                            <w:rPr>
                              <w:sz w:val="18"/>
                            </w:rPr>
                          </w:pPr>
                        </w:p>
                      </w:txbxContent>
                    </wps:txbx>
                    <wps:bodyPr wrap="square" lIns="0" tIns="0" rIns="0" bIns="0"/>
                  </wps:wsp>
                </a:graphicData>
              </a:graphic>
            </wp:anchor>
          </w:drawing>
        </mc:Choice>
        <mc:Fallback>
          <w:pict>
            <v:shape id="文本框 13" o:spid="_x0000_s1026" o:spt="202" type="#_x0000_t202" style="position:absolute;left:0pt;margin-top:0pt;height:10.35pt;width:4.55pt;mso-position-horizontal:right;mso-position-horizontal-relative:margin;z-index:251662336;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KOoCma+AQAAcwMAAA4AAAAAAAAAAQAgAAAAIgEAAGRycy9lMm9Eb2MueG1sUEsF&#10;BgAAAAAGAAYAWQEAAFIFAAAAAA==&#10;">
              <v:fill on="f" focussize="0,0"/>
              <v:stroke on="f"/>
              <v:imagedata o:title=""/>
              <o:lock v:ext="edit" aspectratio="f"/>
              <v:textbox inset="0mm,0mm,0mm,0mm">
                <w:txbxContent>
                  <w:p w14:paraId="6D1EA53C">
                    <w:pPr>
                      <w:snapToGrid w:val="0"/>
                      <w:rPr>
                        <w:sz w:val="18"/>
                      </w:rPr>
                    </w:pP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margin">
                <wp:posOffset>5715000</wp:posOffset>
              </wp:positionH>
              <wp:positionV relativeFrom="paragraph">
                <wp:posOffset>13335</wp:posOffset>
              </wp:positionV>
              <wp:extent cx="114935" cy="131445"/>
              <wp:effectExtent l="0" t="0" r="0" b="0"/>
              <wp:wrapNone/>
              <wp:docPr id="7" name="文本框 10"/>
              <wp:cNvGraphicFramePr/>
              <a:graphic xmlns:a="http://schemas.openxmlformats.org/drawingml/2006/main">
                <a:graphicData uri="http://schemas.microsoft.com/office/word/2010/wordprocessingShape">
                  <wps:wsp>
                    <wps:cNvSpPr txBox="1"/>
                    <wps:spPr>
                      <a:xfrm>
                        <a:off x="0" y="0"/>
                        <a:ext cx="114935" cy="131445"/>
                      </a:xfrm>
                      <a:prstGeom prst="rect">
                        <a:avLst/>
                      </a:prstGeom>
                      <a:noFill/>
                      <a:ln>
                        <a:noFill/>
                      </a:ln>
                    </wps:spPr>
                    <wps:txbx>
                      <w:txbxContent>
                        <w:p w14:paraId="793EDD3D">
                          <w:pPr>
                            <w:snapToGrid w:val="0"/>
                            <w:rPr>
                              <w:sz w:val="18"/>
                            </w:rPr>
                          </w:pPr>
                        </w:p>
                      </w:txbxContent>
                    </wps:txbx>
                    <wps:bodyPr wrap="square" lIns="0" tIns="0" rIns="0" bIns="0" upright="1"/>
                  </wps:wsp>
                </a:graphicData>
              </a:graphic>
            </wp:anchor>
          </w:drawing>
        </mc:Choice>
        <mc:Fallback>
          <w:pict>
            <v:shape id="文本框 10" o:spid="_x0000_s1026" o:spt="202" type="#_x0000_t202" style="position:absolute;left:0pt;margin-left:450pt;margin-top:1.05pt;height:10.35pt;width:9.05pt;mso-position-horizontal-relative:margin;z-index:251660288;mso-width-relative:page;mso-height-relative:page;" filled="f" stroked="f" coordsize="21600,21600" o:gfxdata="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Q6m0J1gAAAAgBAAAPAAAAAAAAAAEAIAAAACIAAABkcnMvZG93bnJldi54&#10;bWxQSwECFAAUAAAACACHTuJAvV5v3cMBAACAAwAADgAAAAAAAAABACAAAAAlAQAAZHJzL2Uyb0Rv&#10;Yy54bWxQSwUGAAAAAAYABgBZAQAAWgUAAAAA&#10;">
              <v:fill on="f" focussize="0,0"/>
              <v:stroke on="f"/>
              <v:imagedata o:title=""/>
              <o:lock v:ext="edit" aspectratio="f"/>
              <v:textbox inset="0mm,0mm,0mm,0mm">
                <w:txbxContent>
                  <w:p w14:paraId="793EDD3D">
                    <w:pPr>
                      <w:snapToGrid w:val="0"/>
                      <w:rPr>
                        <w:sz w:val="18"/>
                      </w:rPr>
                    </w:pP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4C7D12">
    <w:pPr>
      <w:pStyle w:val="7"/>
      <w:pBdr>
        <w:bottom w:val="single" w:color="auto" w:sz="6" w:space="1"/>
      </w:pBdr>
      <w:rPr>
        <w:rFonts w:ascii="仿宋_GB2312" w:eastAsia="仿宋_GB2312"/>
        <w:sz w:val="21"/>
        <w:szCs w:val="21"/>
      </w:rPr>
    </w:pPr>
    <w:r>
      <w:rPr>
        <w:sz w:val="21"/>
      </w:rPr>
      <mc:AlternateContent>
        <mc:Choice Requires="wps">
          <w:drawing>
            <wp:anchor distT="0" distB="0" distL="114300" distR="114300" simplePos="0" relativeHeight="251663360" behindDoc="0" locked="0" layoutInCell="1" allowOverlap="1">
              <wp:simplePos x="0" y="0"/>
              <wp:positionH relativeFrom="margin">
                <wp:align>right</wp:align>
              </wp:positionH>
              <wp:positionV relativeFrom="paragraph">
                <wp:posOffset>195580</wp:posOffset>
              </wp:positionV>
              <wp:extent cx="212090" cy="143510"/>
              <wp:effectExtent l="0" t="0" r="0" b="0"/>
              <wp:wrapNone/>
              <wp:docPr id="10" name="文本框 9"/>
              <wp:cNvGraphicFramePr/>
              <a:graphic xmlns:a="http://schemas.openxmlformats.org/drawingml/2006/main">
                <a:graphicData uri="http://schemas.microsoft.com/office/word/2010/wordprocessingShape">
                  <wps:wsp>
                    <wps:cNvSpPr txBox="1"/>
                    <wps:spPr>
                      <a:xfrm>
                        <a:off x="0" y="0"/>
                        <a:ext cx="212090" cy="143510"/>
                      </a:xfrm>
                      <a:prstGeom prst="rect">
                        <a:avLst/>
                      </a:prstGeom>
                      <a:noFill/>
                      <a:ln>
                        <a:noFill/>
                      </a:ln>
                    </wps:spPr>
                    <wps:txbx>
                      <w:txbxContent>
                        <w:p w14:paraId="0697E14A">
                          <w:pPr>
                            <w:snapToGrid w:val="0"/>
                            <w:rPr>
                              <w:sz w:val="18"/>
                            </w:rPr>
                          </w:pPr>
                        </w:p>
                      </w:txbxContent>
                    </wps:txbx>
                    <wps:bodyPr wrap="square" lIns="0" tIns="0" rIns="0" bIns="0"/>
                  </wps:wsp>
                </a:graphicData>
              </a:graphic>
            </wp:anchor>
          </w:drawing>
        </mc:Choice>
        <mc:Fallback>
          <w:pict>
            <v:shape id="文本框 9" o:spid="_x0000_s1026" o:spt="202" type="#_x0000_t202" style="position:absolute;left:0pt;margin-top:15.4pt;height:11.3pt;width:16.7pt;mso-position-horizontal:right;mso-position-horizontal-relative:margin;z-index:251663360;mso-width-relative:page;mso-height-relative:page;" filled="f" stroked="f" coordsize="21600,21600" o:gfxdata="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BnWKSh1AAAAAUBAAAPAAAAAAAAAAEAIAAAACIAAABkcnMvZG93bnJldi54bWxQSwECFAAU&#10;AAAACACHTuJA83Oqc7wBAAB0AwAADgAAAAAAAAABACAAAAAjAQAAZHJzL2Uyb0RvYy54bWxQSwUG&#10;AAAAAAYABgBZAQAAUQUAAAAA&#10;">
              <v:fill on="f" focussize="0,0"/>
              <v:stroke on="f"/>
              <v:imagedata o:title=""/>
              <o:lock v:ext="edit" aspectratio="f"/>
              <v:textbox inset="0mm,0mm,0mm,0mm">
                <w:txbxContent>
                  <w:p w14:paraId="0697E14A">
                    <w:pPr>
                      <w:snapToGrid w:val="0"/>
                      <w:rPr>
                        <w:sz w:val="18"/>
                      </w:rPr>
                    </w:pPr>
                  </w:p>
                </w:txbxContent>
              </v:textbox>
            </v:shape>
          </w:pict>
        </mc:Fallback>
      </mc:AlternateContent>
    </w:r>
  </w:p>
  <w:p w14:paraId="68931304">
    <w:pPr>
      <w:pStyle w:val="7"/>
      <w:pBdr>
        <w:top w:val="none" w:color="auto" w:sz="0" w:space="0"/>
        <w:left w:val="none" w:color="auto" w:sz="0" w:space="0"/>
        <w:bottom w:val="none" w:color="auto" w:sz="0" w:space="0"/>
        <w:right w:val="none" w:color="auto" w:sz="0" w:space="0"/>
        <w:between w:val="none" w:color="auto" w:sz="0" w:space="0"/>
      </w:pBdr>
      <w:jc w:val="both"/>
    </w:pPr>
    <w:r>
      <w:rPr>
        <w:sz w:val="21"/>
      </w:rPr>
      <mc:AlternateContent>
        <mc:Choice Requires="wps">
          <w:drawing>
            <wp:anchor distT="0" distB="0" distL="114300" distR="114300" simplePos="0" relativeHeight="251673600" behindDoc="0" locked="0" layoutInCell="1" allowOverlap="1">
              <wp:simplePos x="0" y="0"/>
              <wp:positionH relativeFrom="margin">
                <wp:align>right</wp:align>
              </wp:positionH>
              <wp:positionV relativeFrom="paragraph">
                <wp:posOffset>0</wp:posOffset>
              </wp:positionV>
              <wp:extent cx="1828800" cy="1828800"/>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F11EFC">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7J9wA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C7J9wAzAgAAYwQAAA4AAAAAAAAAAQAgAAAAHwEAAGRycy9lMm9Eb2MueG1sUEsF&#10;BgAAAAAGAAYAWQEAAMQFAAAAAA==&#10;">
              <v:fill on="f" focussize="0,0"/>
              <v:stroke on="f" weight="0.5pt"/>
              <v:imagedata o:title=""/>
              <o:lock v:ext="edit" aspectratio="f"/>
              <v:textbox inset="0mm,0mm,0mm,0mm" style="mso-fit-shape-to-text:t;">
                <w:txbxContent>
                  <w:p w14:paraId="1CF11EFC">
                    <w:pPr>
                      <w:pStyle w:val="7"/>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ascii="仿宋_GB2312" w:hAnsi="仿宋_GB2312" w:eastAsia="仿宋_GB2312" w:cs="仿宋_GB2312"/>
        <w:spacing w:val="14"/>
        <w:sz w:val="21"/>
        <w:szCs w:val="21"/>
        <w:lang w:val="en-US" w:eastAsia="zh-CN"/>
      </w:rPr>
      <w:t>湖</w:t>
    </w:r>
    <w:r>
      <w:rPr>
        <w:rFonts w:hint="eastAsia" w:ascii="仿宋_GB2312" w:hAnsi="仿宋_GB2312" w:eastAsia="仿宋_GB2312" w:cs="仿宋_GB2312"/>
        <w:spacing w:val="14"/>
        <w:sz w:val="21"/>
        <w:szCs w:val="21"/>
        <w:lang w:eastAsia="zh-CN"/>
      </w:rPr>
      <w:t>南兆财不动产规划评估有限公司</w:t>
    </w: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9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14:paraId="30FD40D0">
                          <w:pPr>
                            <w:pStyle w:val="7"/>
                            <w:jc w:val="left"/>
                          </w:pPr>
                          <w:r>
                            <w:rPr>
                              <w:rFonts w:hint="eastAsia" w:ascii="仿宋_GB2312" w:eastAsia="仿宋_GB2312"/>
                              <w:sz w:val="21"/>
                              <w:szCs w:val="21"/>
                            </w:rPr>
                            <w:t>　　</w:t>
                          </w:r>
                        </w:p>
                      </w:txbxContent>
                    </wps:txbx>
                    <wps:bodyPr vert="horz" wrap="none" lIns="0" tIns="0" rIns="0" bIns="0" anchor="t">
                      <a:spAutoFit/>
                    </wps:bodyPr>
                  </wps:wsp>
                </a:graphicData>
              </a:graphic>
            </wp:anchor>
          </w:drawing>
        </mc:Choice>
        <mc:Fallback>
          <w:pict>
            <v:shape id="文本框 93"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GhpgkvTAAAABQEAAA8AAAAAAAAAAQAg&#10;AAAAIgAAAGRycy9kb3ducmV2LnhtbFBLAQIUABQAAAAIAIdO4kB+9joV2gEAALADAAAOAAAAAAAA&#10;AAEAIAAAACIBAABkcnMvZTJvRG9jLnhtbFBLBQYAAAAABgAGAFkBAABuBQAAAAA=&#10;">
              <v:fill on="f" focussize="0,0"/>
              <v:stroke on="f" weight="1.25pt"/>
              <v:imagedata o:title=""/>
              <o:lock v:ext="edit" aspectratio="f"/>
              <v:textbox inset="0mm,0mm,0mm,0mm" style="mso-fit-shape-to-text:t;">
                <w:txbxContent>
                  <w:p w14:paraId="30FD40D0">
                    <w:pPr>
                      <w:pStyle w:val="7"/>
                      <w:jc w:val="left"/>
                    </w:pPr>
                    <w:r>
                      <w:rPr>
                        <w:rFonts w:hint="eastAsia" w:ascii="仿宋_GB2312" w:eastAsia="仿宋_GB2312"/>
                        <w:sz w:val="21"/>
                        <w:szCs w:val="21"/>
                      </w:rPr>
                      <w:t>　　</w:t>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A6C785">
    <w:pPr>
      <w:pStyle w:val="7"/>
      <w:pBdr>
        <w:bottom w:val="single" w:color="auto" w:sz="6" w:space="1"/>
      </w:pBdr>
      <w:rPr>
        <w:rFonts w:ascii="仿宋_GB2312" w:eastAsia="仿宋_GB2312"/>
        <w:sz w:val="21"/>
        <w:szCs w:val="21"/>
      </w:rPr>
    </w:pPr>
  </w:p>
  <w:p w14:paraId="21E1C8DA">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57785" cy="131445"/>
              <wp:effectExtent l="0" t="0" r="0" b="0"/>
              <wp:wrapNone/>
              <wp:docPr id="5"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72A5AB9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70528;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KYuouS+AQAAcgMAAA4AAAAAAAAAAQAgAAAAIgEAAGRycy9lMm9Eb2MueG1sUEsF&#10;BgAAAAAGAAYAWQEAAFIFAAAAAA==&#10;">
              <v:fill on="f" focussize="0,0"/>
              <v:stroke on="f"/>
              <v:imagedata o:title=""/>
              <o:lock v:ext="edit" aspectratio="f"/>
              <v:textbox inset="0mm,0mm,0mm,0mm">
                <w:txbxContent>
                  <w:p w14:paraId="72A5AB9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EF68C">
    <w:pPr>
      <w:pStyle w:val="7"/>
      <w:pBdr>
        <w:bottom w:val="single" w:color="auto" w:sz="6" w:space="1"/>
      </w:pBdr>
      <w:rPr>
        <w:rFonts w:ascii="仿宋_GB2312" w:eastAsia="仿宋_GB2312"/>
        <w:sz w:val="21"/>
        <w:szCs w:val="21"/>
      </w:rPr>
    </w:pPr>
  </w:p>
  <w:p w14:paraId="43511147">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57785" cy="131445"/>
              <wp:effectExtent l="0" t="0" r="0" b="0"/>
              <wp:wrapNone/>
              <wp:docPr id="30"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20F7DCC7">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68480;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P7d5Y2+AQAAcwMAAA4AAAAAAAAAAQAgAAAAIgEAAGRycy9lMm9Eb2MueG1sUEsF&#10;BgAAAAAGAAYAWQEAAFIFAAAAAA==&#10;">
              <v:fill on="f" focussize="0,0"/>
              <v:stroke on="f"/>
              <v:imagedata o:title=""/>
              <o:lock v:ext="edit" aspectratio="f"/>
              <v:textbox inset="0mm,0mm,0mm,0mm">
                <w:txbxContent>
                  <w:p w14:paraId="20F7DCC7">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08D0CA">
    <w:pPr>
      <w:pStyle w:val="7"/>
      <w:pBdr>
        <w:bottom w:val="single" w:color="auto" w:sz="6" w:space="1"/>
      </w:pBdr>
      <w:rPr>
        <w:rFonts w:ascii="仿宋_GB2312" w:eastAsia="仿宋_GB2312"/>
        <w:sz w:val="21"/>
        <w:szCs w:val="21"/>
      </w:rPr>
    </w:pPr>
  </w:p>
  <w:p w14:paraId="40CDE9F3">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57785" cy="131445"/>
              <wp:effectExtent l="0" t="0" r="0" b="0"/>
              <wp:wrapNone/>
              <wp:docPr id="11"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4B06D9BE">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65408;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Br0NBN0wAAAAIBAAAPAAAAAAAAAAEAIAAAACIAAABkcnMvZG93bnJldi54bWxQSwECFAAU&#10;AAAACACHTuJAgEtshL0BAABzAwAADgAAAAAAAAABACAAAAAiAQAAZHJzL2Uyb0RvYy54bWxQSwUG&#10;AAAAAAYABgBZAQAAUQUAAAAA&#10;">
              <v:fill on="f" focussize="0,0"/>
              <v:stroke on="f"/>
              <v:imagedata o:title=""/>
              <o:lock v:ext="edit" aspectratio="f"/>
              <v:textbox inset="0mm,0mm,0mm,0mm">
                <w:txbxContent>
                  <w:p w14:paraId="4B06D9BE">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04F0B1">
    <w:pPr>
      <w:pStyle w:val="7"/>
      <w:pBdr>
        <w:bottom w:val="single" w:color="auto" w:sz="6" w:space="1"/>
      </w:pBdr>
      <w:rPr>
        <w:rFonts w:ascii="仿宋_GB2312" w:eastAsia="仿宋_GB2312"/>
        <w:sz w:val="21"/>
        <w:szCs w:val="21"/>
      </w:rPr>
    </w:pPr>
    <w:r>
      <w:rPr>
        <w:sz w:val="21"/>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281305" cy="214630"/>
              <wp:effectExtent l="0" t="0" r="0" b="0"/>
              <wp:wrapNone/>
              <wp:docPr id="15" name="文本框 9"/>
              <wp:cNvGraphicFramePr/>
              <a:graphic xmlns:a="http://schemas.openxmlformats.org/drawingml/2006/main">
                <a:graphicData uri="http://schemas.microsoft.com/office/word/2010/wordprocessingShape">
                  <wps:wsp>
                    <wps:cNvSpPr txBox="1"/>
                    <wps:spPr>
                      <a:xfrm>
                        <a:off x="0" y="0"/>
                        <a:ext cx="281305" cy="214630"/>
                      </a:xfrm>
                      <a:prstGeom prst="rect">
                        <a:avLst/>
                      </a:prstGeom>
                      <a:noFill/>
                      <a:ln>
                        <a:noFill/>
                      </a:ln>
                    </wps:spPr>
                    <wps:txbx>
                      <w:txbxContent>
                        <w:p w14:paraId="5158947C">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6.9pt;width:22.15pt;mso-position-horizontal:right;mso-position-horizontal-relative:margin;z-index:251660288;mso-width-relative:page;mso-height-relative:page;" filled="f" stroked="f" coordsize="21600,21600" o:gfxdata="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CYRikJ1AAAAAMBAAAPAAAAAAAAAAEAIAAAACIAAABkcnMvZG93bnJldi54bWxQSwEC&#10;FAAUAAAACACHTuJAMezP4L8BAAB0AwAADgAAAAAAAAABACAAAAAjAQAAZHJzL2Uyb0RvYy54bWxQ&#10;SwUGAAAAAAYABgBZAQAAVAUAAAAA&#10;">
              <v:fill on="f" focussize="0,0"/>
              <v:stroke on="f"/>
              <v:imagedata o:title=""/>
              <o:lock v:ext="edit" aspectratio="f"/>
              <v:textbox inset="0mm,0mm,0mm,0mm">
                <w:txbxContent>
                  <w:p w14:paraId="5158947C">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w:t>
                    </w:r>
                    <w:r>
                      <w:rPr>
                        <w:rFonts w:hint="eastAsia"/>
                        <w:sz w:val="18"/>
                      </w:rPr>
                      <w:fldChar w:fldCharType="end"/>
                    </w:r>
                  </w:p>
                </w:txbxContent>
              </v:textbox>
            </v:shape>
          </w:pict>
        </mc:Fallback>
      </mc:AlternateContent>
    </w:r>
  </w:p>
  <w:p w14:paraId="63E5D906">
    <w:pPr>
      <w:pStyle w:val="7"/>
    </w:pPr>
    <w:r>
      <w:rPr>
        <w:rFonts w:hint="eastAsia" w:ascii="仿宋_GB2312" w:eastAsia="仿宋_GB2312"/>
        <w:sz w:val="21"/>
        <w:szCs w:val="21"/>
      </w:rPr>
      <w:t xml:space="preserve"> 湖南兆财不动产规划评估有限公司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5CC552">
    <w:pPr>
      <w:pStyle w:val="7"/>
      <w:pBdr>
        <w:top w:val="none" w:color="auto" w:sz="0" w:space="0"/>
        <w:left w:val="none" w:color="auto" w:sz="0" w:space="0"/>
        <w:bottom w:val="none" w:color="auto" w:sz="0" w:space="1"/>
        <w:right w:val="none" w:color="auto" w:sz="0" w:space="0"/>
        <w:between w:val="none" w:color="auto" w:sz="0" w:space="0"/>
      </w:pBdr>
    </w:pPr>
    <w:r>
      <w:rPr>
        <w:sz w:val="18"/>
      </w:rPr>
      <mc:AlternateContent>
        <mc:Choice Requires="wps">
          <w:drawing>
            <wp:anchor distT="0" distB="0" distL="114300" distR="114300" simplePos="0" relativeHeight="251676672" behindDoc="0" locked="0" layoutInCell="1" allowOverlap="1">
              <wp:simplePos x="0" y="0"/>
              <wp:positionH relativeFrom="column">
                <wp:posOffset>-5080</wp:posOffset>
              </wp:positionH>
              <wp:positionV relativeFrom="paragraph">
                <wp:posOffset>-135890</wp:posOffset>
              </wp:positionV>
              <wp:extent cx="5285105" cy="0"/>
              <wp:effectExtent l="0" t="6350" r="0" b="6350"/>
              <wp:wrapNone/>
              <wp:docPr id="46" name="直接连接符 46"/>
              <wp:cNvGraphicFramePr/>
              <a:graphic xmlns:a="http://schemas.openxmlformats.org/drawingml/2006/main">
                <a:graphicData uri="http://schemas.microsoft.com/office/word/2010/wordprocessingShape">
                  <wps:wsp>
                    <wps:cNvCnPr/>
                    <wps:spPr>
                      <a:xfrm>
                        <a:off x="1137920" y="9776460"/>
                        <a:ext cx="5285105"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4pt;margin-top:-10.7pt;height:0pt;width:416.15pt;z-index:251676672;mso-width-relative:page;mso-height-relative:page;" filled="f" stroked="t" coordsize="21600,21600" o:gfxdata="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0hfuqNgAAAAJAQAADwAAAAAAAAABACAAAAAiAAAAZHJzL2Rvd25yZXYueG1sUEsBAhQA&#10;FAAAAAgAh07iQDnUrenyAQAAwAMAAA4AAAAAAAAAAQAgAAAAJwEAAGRycy9lMm9Eb2MueG1sUEsF&#10;BgAAAAAGAAYAWQEAAIsFAAAAAA==&#10;">
              <v:fill on="f" focussize="0,0"/>
              <v:stroke weight="1pt" color="#000000 [3213]" miterlimit="8" joinstyle="miter"/>
              <v:imagedata o:title=""/>
              <o:lock v:ext="edit" aspectratio="f"/>
            </v:line>
          </w:pict>
        </mc:Fallback>
      </mc:AlternateContent>
    </w:r>
    <w:r>
      <w:rPr>
        <w:rFonts w:hint="eastAsia" w:ascii="仿宋_GB2312" w:eastAsia="仿宋_GB2312"/>
        <w:sz w:val="21"/>
        <w:szCs w:val="21"/>
      </w:rPr>
      <w:t xml:space="preserve"> 湖南兆财不动产规划评估有限公司</w:t>
    </w:r>
    <w:r>
      <w:rPr>
        <w:sz w:val="21"/>
      </w:rPr>
      <mc:AlternateContent>
        <mc:Choice Requires="wps">
          <w:drawing>
            <wp:anchor distT="0" distB="0" distL="114300" distR="114300" simplePos="0" relativeHeight="251674624" behindDoc="0" locked="0" layoutInCell="1" allowOverlap="1">
              <wp:simplePos x="0" y="0"/>
              <wp:positionH relativeFrom="margin">
                <wp:align>right</wp:align>
              </wp:positionH>
              <wp:positionV relativeFrom="paragraph">
                <wp:posOffset>0</wp:posOffset>
              </wp:positionV>
              <wp:extent cx="1828800" cy="1828800"/>
              <wp:effectExtent l="0" t="0" r="0" b="0"/>
              <wp:wrapNone/>
              <wp:docPr id="41" name="文本框 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91BF884">
                          <w:pPr>
                            <w:pStyle w:val="7"/>
                          </w:pPr>
                          <w:r>
                            <w:fldChar w:fldCharType="begin"/>
                          </w:r>
                          <w:r>
                            <w:instrText xml:space="preserve"> PAGE  \* MERGEFORMAT </w:instrText>
                          </w:r>
                          <w:r>
                            <w:fldChar w:fldCharType="separate"/>
                          </w:r>
                          <w:r>
                            <w:t>59</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46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xhYO8zAgAAYwQAAA4AAAAAAAAAAQAgAAAAHwEAAGRycy9lMm9Eb2MueG1sUEsF&#10;BgAAAAAGAAYAWQEAAMQFAAAAAA==&#10;">
              <v:fill on="f" focussize="0,0"/>
              <v:stroke on="f" weight="0.5pt"/>
              <v:imagedata o:title=""/>
              <o:lock v:ext="edit" aspectratio="f"/>
              <v:textbox inset="0mm,0mm,0mm,0mm" style="mso-fit-shape-to-text:t;">
                <w:txbxContent>
                  <w:p w14:paraId="091BF884">
                    <w:pPr>
                      <w:pStyle w:val="7"/>
                    </w:pPr>
                    <w:r>
                      <w:fldChar w:fldCharType="begin"/>
                    </w:r>
                    <w:r>
                      <w:instrText xml:space="preserve"> PAGE  \* MERGEFORMAT </w:instrText>
                    </w:r>
                    <w:r>
                      <w:fldChar w:fldCharType="separate"/>
                    </w:r>
                    <w:r>
                      <w:t>59</w:t>
                    </w:r>
                    <w: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A249C1">
    <w:pPr>
      <w:pStyle w:val="7"/>
    </w:pPr>
    <w:r>
      <w:rPr>
        <w:sz w:val="18"/>
      </w:rPr>
      <w:t>湖南兆财不动产规划评估有限公司</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6E49B3">
    <w:pPr>
      <w:pStyle w:val="7"/>
      <w:pBdr>
        <w:bottom w:val="single" w:color="auto" w:sz="6" w:space="1"/>
      </w:pBdr>
      <w:rPr>
        <w:rFonts w:ascii="仿宋_GB2312" w:eastAsia="仿宋_GB2312"/>
        <w:sz w:val="21"/>
        <w:szCs w:val="21"/>
      </w:rPr>
    </w:pPr>
  </w:p>
  <w:p w14:paraId="42053632">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57785" cy="131445"/>
              <wp:effectExtent l="0" t="0" r="0" b="0"/>
              <wp:wrapNone/>
              <wp:docPr id="18"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1E11956D">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70528;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HVFfIG+AQAAcwMAAA4AAAAAAAAAAQAgAAAAIgEAAGRycy9lMm9Eb2MueG1sUEsF&#10;BgAAAAAGAAYAWQEAAFIFAAAAAA==&#10;">
              <v:fill on="f" focussize="0,0"/>
              <v:stroke on="f"/>
              <v:imagedata o:title=""/>
              <o:lock v:ext="edit" aspectratio="f"/>
              <v:textbox inset="0mm,0mm,0mm,0mm">
                <w:txbxContent>
                  <w:p w14:paraId="1E11956D">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86724A">
    <w:pPr>
      <w:pStyle w:val="7"/>
      <w:pBdr>
        <w:bottom w:val="single" w:color="auto" w:sz="6" w:space="1"/>
      </w:pBdr>
      <w:rPr>
        <w:rFonts w:ascii="仿宋_GB2312" w:eastAsia="仿宋_GB2312"/>
        <w:sz w:val="21"/>
        <w:szCs w:val="21"/>
      </w:rPr>
    </w:pPr>
  </w:p>
  <w:p w14:paraId="2783410E">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57785" cy="131445"/>
              <wp:effectExtent l="0" t="0" r="0" b="0"/>
              <wp:wrapNone/>
              <wp:docPr id="34"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1292AE7C">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68480;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JH/J8q+AQAAcwMAAA4AAAAAAAAAAQAgAAAAIgEAAGRycy9lMm9Eb2MueG1sUEsF&#10;BgAAAAAGAAYAWQEAAFIFAAAAAA==&#10;">
              <v:fill on="f" focussize="0,0"/>
              <v:stroke on="f"/>
              <v:imagedata o:title=""/>
              <o:lock v:ext="edit" aspectratio="f"/>
              <v:textbox inset="0mm,0mm,0mm,0mm">
                <w:txbxContent>
                  <w:p w14:paraId="1292AE7C">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C226F">
    <w:pPr>
      <w:pStyle w:val="7"/>
      <w:pBdr>
        <w:bottom w:val="single" w:color="auto" w:sz="6" w:space="1"/>
      </w:pBdr>
      <w:rPr>
        <w:rFonts w:ascii="仿宋_GB2312" w:eastAsia="仿宋_GB2312"/>
        <w:sz w:val="21"/>
        <w:szCs w:val="21"/>
      </w:rPr>
    </w:pPr>
  </w:p>
  <w:p w14:paraId="70C3430A">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57785" cy="131445"/>
              <wp:effectExtent l="0" t="0" r="0" b="0"/>
              <wp:wrapNone/>
              <wp:docPr id="27"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03158153">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67456;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KdK3CK+AQAAcwMAAA4AAAAAAAAAAQAgAAAAIgEAAGRycy9lMm9Eb2MueG1sUEsF&#10;BgAAAAAGAAYAWQEAAFIFAAAAAA==&#10;">
              <v:fill on="f" focussize="0,0"/>
              <v:stroke on="f"/>
              <v:imagedata o:title=""/>
              <o:lock v:ext="edit" aspectratio="f"/>
              <v:textbox inset="0mm,0mm,0mm,0mm">
                <w:txbxContent>
                  <w:p w14:paraId="03158153">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A42AA8">
    <w:pPr>
      <w:pStyle w:val="7"/>
      <w:pBdr>
        <w:bottom w:val="single" w:color="auto" w:sz="6" w:space="1"/>
      </w:pBdr>
      <w:rPr>
        <w:rFonts w:ascii="仿宋_GB2312" w:eastAsia="仿宋_GB2312"/>
        <w:sz w:val="21"/>
        <w:szCs w:val="21"/>
      </w:rPr>
    </w:pPr>
  </w:p>
  <w:p w14:paraId="7B874CD7">
    <w:pPr>
      <w:pStyle w:val="7"/>
    </w:pPr>
    <w:r>
      <w:rPr>
        <w:sz w:val="21"/>
      </w:rPr>
      <w:t>湖南兆财不动产规划评估有限公司</w:t>
    </w:r>
    <w:r>
      <w:rPr>
        <w:rFonts w:hint="eastAsia" w:ascii="仿宋_GB2312" w:eastAsia="仿宋_GB2312"/>
        <w:sz w:val="21"/>
        <w:szCs w:val="21"/>
      </w:rPr>
      <w:t>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B3C14F">
    <w:pPr>
      <w:pStyle w:val="8"/>
      <w:keepNext w:val="0"/>
      <w:keepLines w:val="0"/>
      <w:pageBreakBefore w:val="0"/>
      <w:widowControl w:val="0"/>
      <w:pBdr>
        <w:top w:val="none" w:color="auto" w:sz="0" w:space="0"/>
        <w:left w:val="none" w:color="auto" w:sz="0" w:space="0"/>
        <w:bottom w:val="single" w:color="auto" w:sz="4" w:space="1"/>
        <w:right w:val="none" w:color="auto" w:sz="0" w:space="0"/>
        <w:between w:val="none" w:color="auto" w:sz="0" w:space="0"/>
      </w:pBdr>
      <w:kinsoku/>
      <w:wordWrap/>
      <w:overflowPunct/>
      <w:topLinePunct w:val="0"/>
      <w:bidi w:val="0"/>
      <w:adjustRightInd/>
      <w:snapToGrid w:val="0"/>
      <w:spacing w:before="0" w:beforeLines="50"/>
      <w:jc w:val="center"/>
      <w:textAlignment w:val="auto"/>
    </w:pPr>
    <w:r>
      <w:rPr>
        <w:rFonts w:hint="eastAsia" w:ascii="仿宋_GB2312" w:hAnsi="仿宋_GB2312" w:eastAsia="仿宋_GB2312" w:cs="仿宋_GB2312"/>
        <w:sz w:val="21"/>
        <w:szCs w:val="21"/>
        <w:lang w:val="en-US" w:eastAsia="zh-CN"/>
      </w:rPr>
      <w:t>土地估价报告编号：（湖南）湘兆财土地[2026]（估）字第ZC0005号</w:t>
    </w:r>
  </w:p>
  <w:p w14:paraId="3ABBC4BB">
    <w:pPr>
      <w:pStyle w:val="8"/>
      <w:pBdr>
        <w:top w:val="none" w:color="auto" w:sz="0" w:space="0"/>
        <w:left w:val="none" w:color="auto" w:sz="0" w:space="0"/>
        <w:bottom w:val="none" w:color="auto" w:sz="0" w:space="1"/>
        <w:right w:val="none" w:color="auto" w:sz="0" w:space="0"/>
        <w:between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F92CF">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E640FF">
    <w:pPr>
      <w:pStyle w:val="8"/>
      <w:pBdr>
        <w:bottom w:val="none" w:color="auto" w:sz="0" w:space="1"/>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AAD5A6">
    <w:pPr>
      <w:pStyle w:val="8"/>
      <w:keepNext w:val="0"/>
      <w:keepLines w:val="0"/>
      <w:pageBreakBefore w:val="0"/>
      <w:widowControl w:val="0"/>
      <w:pBdr>
        <w:top w:val="none" w:color="auto" w:sz="0" w:space="0"/>
        <w:left w:val="none" w:color="auto" w:sz="0" w:space="0"/>
        <w:bottom w:val="single" w:color="auto" w:sz="4" w:space="1"/>
        <w:right w:val="none" w:color="auto" w:sz="0" w:space="0"/>
        <w:between w:val="none" w:color="auto" w:sz="0" w:space="0"/>
      </w:pBdr>
      <w:kinsoku/>
      <w:wordWrap/>
      <w:overflowPunct/>
      <w:topLinePunct w:val="0"/>
      <w:bidi w:val="0"/>
      <w:adjustRightInd/>
      <w:snapToGrid w:val="0"/>
      <w:spacing w:before="0" w:beforeLines="50"/>
      <w:jc w:val="center"/>
      <w:textAlignment w:val="auto"/>
    </w:pPr>
    <w:r>
      <w:rPr>
        <w:rFonts w:hint="eastAsia" w:ascii="仿宋_GB2312" w:hAnsi="仿宋_GB2312" w:eastAsia="仿宋_GB2312" w:cs="仿宋_GB2312"/>
        <w:sz w:val="21"/>
        <w:szCs w:val="21"/>
        <w:lang w:val="en-US" w:eastAsia="zh-CN"/>
      </w:rPr>
      <w:t>土地估价报告编号：</w:t>
    </w:r>
    <w:r>
      <w:rPr>
        <w:rFonts w:hint="eastAsia" w:ascii="仿宋_GB2312" w:hAnsi="仿宋_GB2312" w:eastAsia="仿宋_GB2312" w:cs="仿宋_GB2312"/>
        <w:sz w:val="21"/>
        <w:szCs w:val="21"/>
      </w:rPr>
      <w:t>（湖南）湘兆财土地[2025]（</w:t>
    </w:r>
    <w:r>
      <w:rPr>
        <w:rFonts w:hint="eastAsia" w:ascii="仿宋_GB2312" w:hAnsi="仿宋_GB2312" w:eastAsia="仿宋_GB2312" w:cs="仿宋_GB2312"/>
        <w:sz w:val="21"/>
        <w:szCs w:val="21"/>
        <w:lang w:val="en-US" w:eastAsia="zh-CN"/>
      </w:rPr>
      <w:t>估</w:t>
    </w:r>
    <w:r>
      <w:rPr>
        <w:rFonts w:hint="eastAsia" w:ascii="仿宋_GB2312" w:hAnsi="仿宋_GB2312" w:eastAsia="仿宋_GB2312" w:cs="仿宋_GB2312"/>
        <w:sz w:val="21"/>
        <w:szCs w:val="21"/>
      </w:rPr>
      <w:t>）字第ZC00</w:t>
    </w:r>
    <w:r>
      <w:rPr>
        <w:rFonts w:hint="eastAsia" w:ascii="仿宋_GB2312" w:hAnsi="仿宋_GB2312" w:eastAsia="仿宋_GB2312" w:cs="仿宋_GB2312"/>
        <w:sz w:val="21"/>
        <w:szCs w:val="21"/>
        <w:lang w:val="en-US" w:eastAsia="zh-CN"/>
      </w:rPr>
      <w:t>34</w:t>
    </w:r>
    <w:r>
      <w:rPr>
        <w:rFonts w:hint="eastAsia" w:ascii="仿宋_GB2312" w:hAnsi="仿宋_GB2312" w:eastAsia="仿宋_GB2312" w:cs="仿宋_GB2312"/>
        <w:sz w:val="21"/>
        <w:szCs w:val="21"/>
      </w:rPr>
      <w:t>号</w:t>
    </w:r>
  </w:p>
  <w:p w14:paraId="603F9CA6">
    <w:pPr>
      <w:pStyle w:val="8"/>
      <w:pBdr>
        <w:top w:val="none" w:color="auto" w:sz="0" w:space="0"/>
        <w:left w:val="none" w:color="auto" w:sz="0" w:space="0"/>
        <w:bottom w:val="none" w:color="auto" w:sz="0" w:space="1"/>
        <w:right w:val="none" w:color="auto" w:sz="0" w:space="0"/>
        <w:between w:val="none" w:color="auto" w:sz="0" w:space="0"/>
      </w:pBd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B0470B">
    <w:pPr>
      <w:pStyle w:val="8"/>
      <w:jc w:val="both"/>
    </w:pPr>
    <w:r>
      <w:drawing>
        <wp:anchor distT="0" distB="0" distL="114300" distR="114300" simplePos="0" relativeHeight="251671552" behindDoc="0" locked="0" layoutInCell="1" allowOverlap="1">
          <wp:simplePos x="0" y="0"/>
          <wp:positionH relativeFrom="margin">
            <wp:posOffset>-364490</wp:posOffset>
          </wp:positionH>
          <wp:positionV relativeFrom="paragraph">
            <wp:posOffset>-56515</wp:posOffset>
          </wp:positionV>
          <wp:extent cx="391795" cy="354965"/>
          <wp:effectExtent l="0" t="0" r="8255" b="6985"/>
          <wp:wrapNone/>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446AB9">
    <w:pPr>
      <w:pStyle w:val="8"/>
      <w:jc w:val="both"/>
    </w:pPr>
    <w:r>
      <w:drawing>
        <wp:anchor distT="0" distB="0" distL="114300" distR="114300" simplePos="0" relativeHeight="251669504" behindDoc="0" locked="0" layoutInCell="1" allowOverlap="1">
          <wp:simplePos x="0" y="0"/>
          <wp:positionH relativeFrom="margin">
            <wp:posOffset>-364490</wp:posOffset>
          </wp:positionH>
          <wp:positionV relativeFrom="paragraph">
            <wp:posOffset>-56515</wp:posOffset>
          </wp:positionV>
          <wp:extent cx="391795" cy="354965"/>
          <wp:effectExtent l="0" t="0" r="8255" b="6985"/>
          <wp:wrapNone/>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43FE18">
    <w:pPr>
      <w:pStyle w:val="8"/>
      <w:jc w:val="both"/>
    </w:pPr>
    <w:r>
      <w:drawing>
        <wp:anchor distT="0" distB="0" distL="114300" distR="114300" simplePos="0" relativeHeight="251666432" behindDoc="0" locked="0" layoutInCell="1" allowOverlap="1">
          <wp:simplePos x="0" y="0"/>
          <wp:positionH relativeFrom="margin">
            <wp:posOffset>-364490</wp:posOffset>
          </wp:positionH>
          <wp:positionV relativeFrom="paragraph">
            <wp:posOffset>-56515</wp:posOffset>
          </wp:positionV>
          <wp:extent cx="391795" cy="354965"/>
          <wp:effectExtent l="0" t="0" r="4445" b="10795"/>
          <wp:wrapNone/>
          <wp:docPr id="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1DEBA5">
    <w:pPr>
      <w:pStyle w:val="8"/>
      <w:keepNext w:val="0"/>
      <w:keepLines w:val="0"/>
      <w:pageBreakBefore w:val="0"/>
      <w:widowControl w:val="0"/>
      <w:pBdr>
        <w:top w:val="none" w:color="auto" w:sz="0" w:space="0"/>
        <w:left w:val="none" w:color="auto" w:sz="0" w:space="0"/>
        <w:bottom w:val="single" w:color="auto" w:sz="4" w:space="1"/>
        <w:right w:val="none" w:color="auto" w:sz="0" w:space="0"/>
        <w:between w:val="none" w:color="auto" w:sz="0" w:space="0"/>
      </w:pBdr>
      <w:kinsoku/>
      <w:wordWrap/>
      <w:overflowPunct/>
      <w:topLinePunct w:val="0"/>
      <w:bidi w:val="0"/>
      <w:adjustRightInd/>
      <w:snapToGrid w:val="0"/>
      <w:spacing w:before="0" w:beforeLines="50"/>
      <w:jc w:val="center"/>
      <w:textAlignment w:val="auto"/>
    </w:pPr>
    <w:r>
      <w:rPr>
        <w:rFonts w:hint="eastAsia" w:ascii="仿宋_GB2312" w:hAnsi="仿宋_GB2312" w:eastAsia="仿宋_GB2312" w:cs="仿宋_GB2312"/>
        <w:sz w:val="21"/>
        <w:szCs w:val="21"/>
        <w:lang w:val="en-US" w:eastAsia="zh-CN"/>
      </w:rPr>
      <w:t>土地估价报告编号：（湖南）湘兆财土地[2026]（估）字第ZC0005号</w:t>
    </w:r>
  </w:p>
  <w:p w14:paraId="1607CD45">
    <w:pPr>
      <w:pStyle w:val="8"/>
      <w:pBdr>
        <w:top w:val="none" w:color="auto" w:sz="0" w:space="0"/>
        <w:left w:val="none" w:color="auto" w:sz="0" w:space="0"/>
        <w:bottom w:val="none" w:color="auto" w:sz="0" w:space="0"/>
        <w:right w:val="none" w:color="auto" w:sz="0" w:space="0"/>
        <w:between w:val="none" w:color="auto" w:sz="0" w:space="0"/>
      </w:pBdr>
      <w:jc w:val="cent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282A6F">
    <w:pPr>
      <w:pStyle w:val="8"/>
      <w:keepNext w:val="0"/>
      <w:keepLines w:val="0"/>
      <w:pageBreakBefore w:val="0"/>
      <w:widowControl w:val="0"/>
      <w:pBdr>
        <w:top w:val="none" w:color="auto" w:sz="0" w:space="0"/>
        <w:left w:val="none" w:color="auto" w:sz="0" w:space="0"/>
        <w:bottom w:val="single" w:color="auto" w:sz="4" w:space="1"/>
        <w:right w:val="none" w:color="auto" w:sz="0" w:space="0"/>
        <w:between w:val="none" w:color="auto" w:sz="0" w:space="0"/>
      </w:pBdr>
      <w:kinsoku/>
      <w:wordWrap/>
      <w:overflowPunct/>
      <w:topLinePunct w:val="0"/>
      <w:bidi w:val="0"/>
      <w:adjustRightInd/>
      <w:snapToGrid w:val="0"/>
      <w:spacing w:before="0" w:beforeLines="50"/>
      <w:jc w:val="center"/>
      <w:textAlignment w:val="auto"/>
    </w:pPr>
    <w:r>
      <w:rPr>
        <w:rFonts w:hint="eastAsia" w:ascii="仿宋_GB2312" w:hAnsi="仿宋_GB2312" w:eastAsia="仿宋_GB2312" w:cs="仿宋_GB2312"/>
        <w:sz w:val="21"/>
        <w:szCs w:val="21"/>
        <w:lang w:val="en-US" w:eastAsia="zh-CN"/>
      </w:rPr>
      <w:t>土地估价报告编号：（湖南）湘兆财土地[2026]（技）字第ZC0005号</w:t>
    </w:r>
  </w:p>
  <w:p w14:paraId="16860AF1">
    <w:pPr>
      <w:pStyle w:val="8"/>
      <w:pBdr>
        <w:top w:val="none" w:color="auto" w:sz="0" w:space="0"/>
        <w:left w:val="none" w:color="auto" w:sz="0" w:space="0"/>
        <w:bottom w:val="none" w:color="auto" w:sz="0" w:space="0"/>
        <w:right w:val="none" w:color="auto" w:sz="0" w:space="0"/>
        <w:between w:val="none" w:color="auto" w:sz="0" w:space="0"/>
      </w:pBdr>
      <w:jc w:val="cent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81DA0B">
    <w:pPr>
      <w:pStyle w:val="8"/>
      <w:jc w:val="both"/>
    </w:pPr>
    <w:r>
      <w:drawing>
        <wp:anchor distT="0" distB="0" distL="114300" distR="114300" simplePos="0" relativeHeight="251671552" behindDoc="0" locked="0" layoutInCell="1" allowOverlap="1">
          <wp:simplePos x="0" y="0"/>
          <wp:positionH relativeFrom="margin">
            <wp:posOffset>-364490</wp:posOffset>
          </wp:positionH>
          <wp:positionV relativeFrom="paragraph">
            <wp:posOffset>-56515</wp:posOffset>
          </wp:positionV>
          <wp:extent cx="391795" cy="354965"/>
          <wp:effectExtent l="0" t="0" r="8255" b="6985"/>
          <wp:wrapNone/>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2816DA">
    <w:pPr>
      <w:pStyle w:val="8"/>
      <w:jc w:val="both"/>
    </w:pPr>
    <w:r>
      <w:drawing>
        <wp:anchor distT="0" distB="0" distL="114300" distR="114300" simplePos="0" relativeHeight="251669504" behindDoc="0" locked="0" layoutInCell="1" allowOverlap="1">
          <wp:simplePos x="0" y="0"/>
          <wp:positionH relativeFrom="margin">
            <wp:posOffset>-364490</wp:posOffset>
          </wp:positionH>
          <wp:positionV relativeFrom="paragraph">
            <wp:posOffset>-56515</wp:posOffset>
          </wp:positionV>
          <wp:extent cx="391795" cy="354965"/>
          <wp:effectExtent l="0" t="0" r="8255" b="6985"/>
          <wp:wrapNone/>
          <wp:docPr id="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DCB22F">
    <w:pPr>
      <w:pStyle w:val="8"/>
      <w:jc w:val="both"/>
    </w:pPr>
    <w:r>
      <w:drawing>
        <wp:anchor distT="0" distB="0" distL="114300" distR="114300" simplePos="0" relativeHeight="251668480" behindDoc="0" locked="0" layoutInCell="1" allowOverlap="1">
          <wp:simplePos x="0" y="0"/>
          <wp:positionH relativeFrom="margin">
            <wp:posOffset>-364490</wp:posOffset>
          </wp:positionH>
          <wp:positionV relativeFrom="paragraph">
            <wp:posOffset>-56515</wp:posOffset>
          </wp:positionV>
          <wp:extent cx="391795" cy="354965"/>
          <wp:effectExtent l="0" t="0" r="4445" b="10795"/>
          <wp:wrapNone/>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endnotePr>
    <w:numFmt w:val="decimal"/>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A0179B"/>
    <w:rsid w:val="069833AA"/>
    <w:rsid w:val="0FB82485"/>
    <w:rsid w:val="11553800"/>
    <w:rsid w:val="12531C9B"/>
    <w:rsid w:val="1A6D6AE8"/>
    <w:rsid w:val="1E07311D"/>
    <w:rsid w:val="1F210279"/>
    <w:rsid w:val="1F4B28C0"/>
    <w:rsid w:val="205E3D7E"/>
    <w:rsid w:val="22DF7BFA"/>
    <w:rsid w:val="2D224A15"/>
    <w:rsid w:val="31CF685F"/>
    <w:rsid w:val="3A44225D"/>
    <w:rsid w:val="3AB62A61"/>
    <w:rsid w:val="3F282F28"/>
    <w:rsid w:val="3FBA0B4E"/>
    <w:rsid w:val="428A3831"/>
    <w:rsid w:val="44452090"/>
    <w:rsid w:val="46A0179B"/>
    <w:rsid w:val="50C86CD0"/>
    <w:rsid w:val="51027B59"/>
    <w:rsid w:val="56313756"/>
    <w:rsid w:val="5C9719EC"/>
    <w:rsid w:val="5F6841AD"/>
    <w:rsid w:val="5FCF78A6"/>
    <w:rsid w:val="64351986"/>
    <w:rsid w:val="64672651"/>
    <w:rsid w:val="670A5468"/>
    <w:rsid w:val="693B342C"/>
    <w:rsid w:val="6C5D6B7B"/>
    <w:rsid w:val="6D833554"/>
    <w:rsid w:val="729F57FE"/>
    <w:rsid w:val="78DA75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99"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仿宋_GB2312" w:hAnsi="仿宋_GB2312" w:eastAsia="仿宋_GB2312" w:cs="Times New Roman"/>
      <w:kern w:val="2"/>
      <w:sz w:val="21"/>
      <w:lang w:val="en-US" w:eastAsia="zh-CN" w:bidi="ar-SA"/>
    </w:rPr>
  </w:style>
  <w:style w:type="character" w:default="1" w:styleId="11">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2">
    <w:name w:val="Body Text First Indent 2"/>
    <w:basedOn w:val="3"/>
    <w:qFormat/>
    <w:uiPriority w:val="99"/>
    <w:pPr>
      <w:spacing w:after="120"/>
      <w:ind w:left="420" w:leftChars="200" w:firstLine="420" w:firstLineChars="200"/>
    </w:pPr>
    <w:rPr>
      <w:sz w:val="21"/>
      <w:szCs w:val="24"/>
    </w:rPr>
  </w:style>
  <w:style w:type="paragraph" w:styleId="3">
    <w:name w:val="Body Text Indent"/>
    <w:basedOn w:val="1"/>
    <w:next w:val="4"/>
    <w:qFormat/>
    <w:uiPriority w:val="0"/>
    <w:pPr>
      <w:spacing w:line="520" w:lineRule="exact"/>
      <w:ind w:left="360"/>
    </w:pPr>
    <w:rPr>
      <w:sz w:val="28"/>
    </w:rPr>
  </w:style>
  <w:style w:type="paragraph" w:customStyle="1" w:styleId="4">
    <w:name w:val="标准"/>
    <w:basedOn w:val="1"/>
    <w:qFormat/>
    <w:uiPriority w:val="0"/>
    <w:pPr>
      <w:autoSpaceDE w:val="0"/>
      <w:autoSpaceDN w:val="0"/>
      <w:adjustRightInd w:val="0"/>
      <w:spacing w:line="480" w:lineRule="atLeast"/>
      <w:textAlignment w:val="bottom"/>
    </w:pPr>
    <w:rPr>
      <w:rFonts w:ascii="昆仑仿宋" w:eastAsia="昆仑仿宋"/>
      <w:spacing w:val="40"/>
      <w:kern w:val="0"/>
      <w:sz w:val="28"/>
      <w:szCs w:val="20"/>
    </w:rPr>
  </w:style>
  <w:style w:type="paragraph" w:styleId="5">
    <w:name w:val="annotation text"/>
    <w:basedOn w:val="1"/>
    <w:qFormat/>
    <w:uiPriority w:val="0"/>
    <w:pPr>
      <w:jc w:val="left"/>
    </w:pPr>
  </w:style>
  <w:style w:type="paragraph" w:styleId="6">
    <w:name w:val="Plain Text"/>
    <w:basedOn w:val="1"/>
    <w:qFormat/>
    <w:uiPriority w:val="0"/>
    <w:rPr>
      <w:rFonts w:ascii="宋体"/>
      <w:sz w:val="28"/>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bottom w:val="single" w:color="auto" w:sz="6" w:space="1"/>
      </w:pBdr>
      <w:tabs>
        <w:tab w:val="center" w:pos="4153"/>
        <w:tab w:val="right" w:pos="8306"/>
      </w:tabs>
      <w:snapToGrid w:val="0"/>
      <w:jc w:val="center"/>
    </w:pPr>
    <w:rPr>
      <w:sz w:val="18"/>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
    <w:name w:val="1表格文字压缩"/>
    <w:basedOn w:val="1"/>
    <w:next w:val="1"/>
    <w:autoRedefine/>
    <w:qFormat/>
    <w:uiPriority w:val="0"/>
    <w:pPr>
      <w:widowControl/>
      <w:spacing w:line="260" w:lineRule="exact"/>
      <w:jc w:val="center"/>
      <w:textAlignment w:val="center"/>
    </w:pPr>
    <w:rPr>
      <w:rFonts w:ascii="仿宋_GB2312" w:hAnsi="宋体" w:eastAsia="仿宋_GB2312" w:cs="宋体"/>
      <w:spacing w:val="-20"/>
      <w:kern w:val="0"/>
      <w:szCs w:val="21"/>
    </w:rPr>
  </w:style>
  <w:style w:type="paragraph" w:customStyle="1" w:styleId="13">
    <w:name w:val="四号仿宋28磅"/>
    <w:basedOn w:val="1"/>
    <w:autoRedefine/>
    <w:qFormat/>
    <w:uiPriority w:val="0"/>
    <w:pPr>
      <w:spacing w:line="560" w:lineRule="exact"/>
      <w:ind w:firstLine="200" w:firstLineChars="200"/>
    </w:pPr>
    <w:rPr>
      <w:rFonts w:ascii="仿宋_GB2312" w:eastAsia="仿宋_GB2312"/>
      <w:sz w:val="28"/>
    </w:rPr>
  </w:style>
  <w:style w:type="paragraph" w:customStyle="1" w:styleId="14">
    <w:name w:val="列出段落1"/>
    <w:basedOn w:val="15"/>
    <w:autoRedefine/>
    <w:qFormat/>
    <w:uiPriority w:val="0"/>
    <w:pPr>
      <w:ind w:firstLine="420" w:firstLineChars="200"/>
    </w:pPr>
  </w:style>
  <w:style w:type="paragraph" w:customStyle="1" w:styleId="15">
    <w:name w:val="正文_10_43"/>
    <w:autoRedefine/>
    <w:qFormat/>
    <w:uiPriority w:val="0"/>
    <w:pPr>
      <w:widowControl w:val="0"/>
      <w:jc w:val="both"/>
    </w:pPr>
    <w:rPr>
      <w:rFonts w:ascii="Times New Roman" w:hAnsi="Times New Roman" w:eastAsia="宋体" w:cs="Times New Roman"/>
      <w:kern w:val="2"/>
      <w:sz w:val="21"/>
      <w:szCs w:val="24"/>
      <w:lang w:val="en-US" w:eastAsia="zh-CN" w:bidi="ar-SA"/>
    </w:rPr>
  </w:style>
  <w:style w:type="character" w:customStyle="1" w:styleId="16">
    <w:name w:val="font81"/>
    <w:basedOn w:val="11"/>
    <w:qFormat/>
    <w:uiPriority w:val="0"/>
    <w:rPr>
      <w:rFonts w:hint="eastAsia" w:ascii="仿宋" w:hAnsi="仿宋" w:eastAsia="仿宋" w:cs="仿宋"/>
      <w:color w:val="000000"/>
      <w:sz w:val="21"/>
      <w:szCs w:val="21"/>
      <w:u w:val="none"/>
    </w:rPr>
  </w:style>
  <w:style w:type="character" w:customStyle="1" w:styleId="17">
    <w:name w:val="font91"/>
    <w:basedOn w:val="11"/>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5" Type="http://schemas.openxmlformats.org/officeDocument/2006/relationships/fontTable" Target="fontTable.xml"/><Relationship Id="rId44" Type="http://schemas.openxmlformats.org/officeDocument/2006/relationships/customXml" Target="../customXml/item1.xml"/><Relationship Id="rId43" Type="http://schemas.openxmlformats.org/officeDocument/2006/relationships/image" Target="media/image11.jpeg"/><Relationship Id="rId42" Type="http://schemas.openxmlformats.org/officeDocument/2006/relationships/image" Target="media/image10.jpeg"/><Relationship Id="rId41" Type="http://schemas.openxmlformats.org/officeDocument/2006/relationships/image" Target="media/image9.png"/><Relationship Id="rId40" Type="http://schemas.openxmlformats.org/officeDocument/2006/relationships/image" Target="media/image8.jpeg"/><Relationship Id="rId4" Type="http://schemas.openxmlformats.org/officeDocument/2006/relationships/header" Target="header2.xml"/><Relationship Id="rId39" Type="http://schemas.openxmlformats.org/officeDocument/2006/relationships/image" Target="media/image7.png"/><Relationship Id="rId38" Type="http://schemas.openxmlformats.org/officeDocument/2006/relationships/image" Target="media/image6.jpeg"/><Relationship Id="rId37" Type="http://schemas.openxmlformats.org/officeDocument/2006/relationships/image" Target="media/image5.jpeg"/><Relationship Id="rId36" Type="http://schemas.openxmlformats.org/officeDocument/2006/relationships/chart" Target="charts/chart4.xml"/><Relationship Id="rId35" Type="http://schemas.openxmlformats.org/officeDocument/2006/relationships/chart" Target="charts/chart3.xml"/><Relationship Id="rId34" Type="http://schemas.openxmlformats.org/officeDocument/2006/relationships/chart" Target="charts/chart2.xml"/><Relationship Id="rId33" Type="http://schemas.openxmlformats.org/officeDocument/2006/relationships/image" Target="media/image4.emf"/><Relationship Id="rId32" Type="http://schemas.openxmlformats.org/officeDocument/2006/relationships/chart" Target="charts/chart1.xml"/><Relationship Id="rId31" Type="http://schemas.openxmlformats.org/officeDocument/2006/relationships/image" Target="media/image3.jpeg"/><Relationship Id="rId30" Type="http://schemas.openxmlformats.org/officeDocument/2006/relationships/image" Target="media/image2.png"/><Relationship Id="rId3" Type="http://schemas.openxmlformats.org/officeDocument/2006/relationships/header" Target="header1.xml"/><Relationship Id="rId29" Type="http://schemas.openxmlformats.org/officeDocument/2006/relationships/theme" Target="theme/theme1.xml"/><Relationship Id="rId28" Type="http://schemas.openxmlformats.org/officeDocument/2006/relationships/footer" Target="footer14.xml"/><Relationship Id="rId27" Type="http://schemas.openxmlformats.org/officeDocument/2006/relationships/footer" Target="footer13.xml"/><Relationship Id="rId26" Type="http://schemas.openxmlformats.org/officeDocument/2006/relationships/header" Target="header12.xml"/><Relationship Id="rId25" Type="http://schemas.openxmlformats.org/officeDocument/2006/relationships/footer" Target="footer12.xml"/><Relationship Id="rId24" Type="http://schemas.openxmlformats.org/officeDocument/2006/relationships/header" Target="header11.xml"/><Relationship Id="rId23" Type="http://schemas.openxmlformats.org/officeDocument/2006/relationships/footer" Target="footer11.xml"/><Relationship Id="rId22" Type="http://schemas.openxmlformats.org/officeDocument/2006/relationships/header" Target="header10.xml"/><Relationship Id="rId21" Type="http://schemas.openxmlformats.org/officeDocument/2006/relationships/footer" Target="footer10.xml"/><Relationship Id="rId20" Type="http://schemas.openxmlformats.org/officeDocument/2006/relationships/footer" Target="footer9.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footer" Target="footer8.xml"/><Relationship Id="rId17" Type="http://schemas.openxmlformats.org/officeDocument/2006/relationships/header" Target="header8.xml"/><Relationship Id="rId16" Type="http://schemas.openxmlformats.org/officeDocument/2006/relationships/footer" Target="footer7.xml"/><Relationship Id="rId15" Type="http://schemas.openxmlformats.org/officeDocument/2006/relationships/header" Target="header7.xml"/><Relationship Id="rId14" Type="http://schemas.openxmlformats.org/officeDocument/2006/relationships/footer" Target="footer6.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file:///E:\&#22303;&#22320;&#25151;&#20135;&#35780;&#20272;&#25253;&#21578;\&#36947;&#21439;&#36164;&#26009;\&#20854;&#20182;&#36164;&#26009;\&#36947;&#21439;&#22303;&#22320;&#24066;&#22330;&#20998;&#26512;.xlsx"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E:\&#22303;&#22320;&#25151;&#20135;&#35780;&#20272;&#25253;&#21578;\&#36947;&#21439;&#36164;&#26009;\&#20854;&#20182;&#36164;&#26009;\&#36947;&#21439;&#22303;&#22320;&#24066;&#22330;&#20998;&#26512;.xlsx" TargetMode="External"/></Relationships>
</file>

<file path=word/charts/_rels/chart3.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E:\&#22303;&#22320;&#25151;&#20135;&#35780;&#20272;&#25253;&#21578;\&#36947;&#21439;&#36164;&#26009;\&#20854;&#20182;&#36164;&#26009;\&#36947;&#21439;&#22303;&#22320;&#24066;&#22330;&#20998;&#26512;.xlsx" TargetMode="External"/></Relationships>
</file>

<file path=word/charts/_rels/chart4.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E:\&#22303;&#22320;&#25151;&#20135;&#35780;&#20272;&#25253;&#21578;\&#36947;&#21439;&#36164;&#26009;\&#20854;&#20182;&#36164;&#26009;\&#36947;&#21439;&#22303;&#22320;&#24066;&#22330;&#20998;&#26512;.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土地供应总量</a:t>
            </a:r>
          </a:p>
        </c:rich>
      </c:tx>
      <c:layout/>
      <c:overlay val="0"/>
      <c:spPr>
        <a:noFill/>
        <a:ln>
          <a:noFill/>
        </a:ln>
        <a:effectLst/>
      </c:spPr>
    </c:title>
    <c:autoTitleDeleted val="0"/>
    <c:plotArea>
      <c:layout/>
      <c:barChart>
        <c:barDir val="col"/>
        <c:grouping val="clustered"/>
        <c:varyColors val="0"/>
        <c:ser>
          <c:idx val="0"/>
          <c:order val="0"/>
          <c:tx>
            <c:strRef>
              <c:f>"出让土地"</c:f>
              <c:strCache>
                <c:ptCount val="1"/>
                <c:pt idx="0">
                  <c:v>出让土地</c:v>
                </c:pt>
              </c:strCache>
            </c:strRef>
          </c:tx>
          <c:spPr>
            <a:solidFill>
              <a:schemeClr val="accent4">
                <a:lumMod val="75000"/>
              </a:schemeClr>
            </a:solidFill>
            <a:ln>
              <a:noFill/>
            </a:ln>
            <a:effectLst/>
          </c:spPr>
          <c:invertIfNegative val="0"/>
          <c:dLbls>
            <c:dLbl>
              <c:idx val="0"/>
              <c:layout>
                <c:manualLayout>
                  <c:x val="-0.0157894736842105"/>
                  <c:y val="0.0173611111111111"/>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157894736842105"/>
                  <c:y val="0.03125"/>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986842105263158"/>
                  <c:y val="0.0138888888888889"/>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0.0236842105263158"/>
                  <c:y val="0.0208333333333333"/>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197368421052632"/>
                  <c:y val="0"/>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[道县土地市场分析.xlsx]Sheet3!$B$22:$B$26</c:f>
              <c:numCache>
                <c:formatCode>0.00_ </c:formatCode>
                <c:ptCount val="5"/>
                <c:pt idx="0">
                  <c:v>91.77</c:v>
                </c:pt>
                <c:pt idx="1">
                  <c:v>100.84</c:v>
                </c:pt>
                <c:pt idx="2">
                  <c:v>67.23</c:v>
                </c:pt>
                <c:pt idx="3">
                  <c:v>20.42</c:v>
                </c:pt>
                <c:pt idx="4" c:formatCode="General">
                  <c:v>134.88</c:v>
                </c:pt>
              </c:numCache>
            </c:numRef>
          </c:val>
        </c:ser>
        <c:ser>
          <c:idx val="1"/>
          <c:order val="1"/>
          <c:tx>
            <c:strRef>
              <c:f>"划拨土地"</c:f>
              <c:strCache>
                <c:ptCount val="1"/>
                <c:pt idx="0">
                  <c:v>划拨土地</c:v>
                </c:pt>
              </c:strCache>
            </c:strRef>
          </c:tx>
          <c:spPr>
            <a:solidFill>
              <a:srgbClr val="C00000"/>
            </a:solidFill>
            <a:ln>
              <a:noFill/>
            </a:ln>
            <a:effectLst/>
          </c:spPr>
          <c:invertIfNegative val="0"/>
          <c:dLbls>
            <c:dLbl>
              <c:idx val="0"/>
              <c:layout>
                <c:manualLayout>
                  <c:x val="-0.0177631578947368"/>
                  <c:y val="0.0104166666666667"/>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0600237513338615"/>
                  <c:y val="0.0347222222222222"/>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197368421052632"/>
                  <c:y val="0.0277777777777778"/>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5.80875012908208e-5"/>
                  <c:y val="0.0347222222222222"/>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177631578947368"/>
                  <c:y val="0.0243055555555556"/>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[道县土地市场分析.xlsx]Sheet3!$C$22:$C$26</c:f>
              <c:numCache>
                <c:formatCode>0.00_ </c:formatCode>
                <c:ptCount val="5"/>
                <c:pt idx="0">
                  <c:v>164.63</c:v>
                </c:pt>
                <c:pt idx="1">
                  <c:v>83.89</c:v>
                </c:pt>
                <c:pt idx="2">
                  <c:v>94.4</c:v>
                </c:pt>
                <c:pt idx="3">
                  <c:v>181.51</c:v>
                </c:pt>
                <c:pt idx="4" c:formatCode="General">
                  <c:v>32.85</c:v>
                </c:pt>
              </c:numCache>
            </c:numRef>
          </c:val>
        </c:ser>
        <c:ser>
          <c:idx val="2"/>
          <c:order val="2"/>
          <c:tx>
            <c:strRef>
              <c:f>"总面积"</c:f>
              <c:strCache>
                <c:ptCount val="1"/>
                <c:pt idx="0">
                  <c:v>总面积</c:v>
                </c:pt>
              </c:strCache>
            </c:strRef>
          </c:tx>
          <c:spPr>
            <a:solidFill>
              <a:schemeClr val="accent1">
                <a:lumMod val="75000"/>
              </a:schemeClr>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[道县土地市场分析.xlsx]Sheet3!$D$22:$D$26</c:f>
              <c:numCache>
                <c:formatCode>0.00_ </c:formatCode>
                <c:ptCount val="5"/>
                <c:pt idx="0">
                  <c:v>256.4</c:v>
                </c:pt>
                <c:pt idx="1">
                  <c:v>184.73</c:v>
                </c:pt>
                <c:pt idx="2">
                  <c:v>161.63</c:v>
                </c:pt>
                <c:pt idx="3">
                  <c:v>201.93</c:v>
                </c:pt>
                <c:pt idx="4">
                  <c:v>167.73</c:v>
                </c:pt>
              </c:numCache>
            </c:numRef>
          </c:val>
        </c:ser>
        <c:dLbls>
          <c:showLegendKey val="0"/>
          <c:showVal val="1"/>
          <c:showCatName val="0"/>
          <c:showSerName val="0"/>
          <c:showPercent val="0"/>
          <c:showBubbleSize val="0"/>
        </c:dLbls>
        <c:gapWidth val="219"/>
        <c:overlap val="-27"/>
        <c:axId val="634919036"/>
        <c:axId val="120007239"/>
      </c:barChart>
      <c:catAx>
        <c:axId val="634919036"/>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20007239"/>
        <c:crosses val="autoZero"/>
        <c:auto val="1"/>
        <c:lblAlgn val="ctr"/>
        <c:lblOffset val="100"/>
        <c:noMultiLvlLbl val="0"/>
      </c:catAx>
      <c:valAx>
        <c:axId val="120007239"/>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单位：公顷</a:t>
                </a:r>
              </a:p>
            </c:rich>
          </c:tx>
          <c:layout>
            <c:manualLayout>
              <c:xMode val="edge"/>
              <c:yMode val="edge"/>
              <c:x val="0.0230263157894737"/>
              <c:y val="0.155023148148148"/>
            </c:manualLayout>
          </c:layout>
          <c:overlay val="0"/>
          <c:spPr>
            <a:noFill/>
            <a:ln>
              <a:noFill/>
            </a:ln>
            <a:effectLst/>
          </c:spPr>
        </c:title>
        <c:numFmt formatCode="0.00_ "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34919036"/>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d914df3f-6393-4c6f-9afc-c3972d61cdb5}"/>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forceAA="0"/>
          <a:lstStyle/>
          <a:p>
            <a:pPr defTabSz="914400">
              <a:defRPr lang="zh-CN" sz="1400" b="0" i="0" u="none" strike="noStrike" kern="1200" spc="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面积比例</a:t>
            </a:r>
          </a:p>
        </c:rich>
      </c:tx>
      <c:layout/>
      <c:overlay val="0"/>
      <c:spPr>
        <a:noFill/>
        <a:ln>
          <a:noFill/>
        </a:ln>
        <a:effectLst/>
      </c:spPr>
    </c:title>
    <c:autoTitleDeleted val="0"/>
    <c:plotArea>
      <c:layout>
        <c:manualLayout>
          <c:layoutTarget val="inner"/>
          <c:xMode val="edge"/>
          <c:yMode val="edge"/>
          <c:x val="0.136433056168336"/>
          <c:y val="0.152459954233409"/>
          <c:w val="0.497709146444935"/>
          <c:h val="0.83895881006865"/>
        </c:manualLayout>
      </c:layout>
      <c:doughnutChart>
        <c:varyColors val="1"/>
        <c:ser>
          <c:idx val="0"/>
          <c:order val="0"/>
          <c:spPr>
            <a:ln w="19050">
              <a:solidFill>
                <a:schemeClr val="bg1"/>
              </a:solidFill>
            </a:ln>
          </c:spPr>
          <c:explosion val="0"/>
          <c:dPt>
            <c:idx val="0"/>
            <c:bubble3D val="0"/>
            <c:spPr>
              <a:solidFill>
                <a:schemeClr val="accent6"/>
              </a:solidFill>
              <a:ln w="19050">
                <a:solidFill>
                  <a:schemeClr val="bg1"/>
                </a:solidFill>
              </a:ln>
              <a:effectLst/>
            </c:spPr>
          </c:dPt>
          <c:dPt>
            <c:idx val="1"/>
            <c:bubble3D val="0"/>
            <c:spPr>
              <a:solidFill>
                <a:schemeClr val="accent1"/>
              </a:solidFill>
              <a:ln w="19050">
                <a:solidFill>
                  <a:schemeClr val="bg1"/>
                </a:solidFill>
              </a:ln>
              <a:effectLst/>
            </c:spPr>
          </c:dPt>
          <c:dPt>
            <c:idx val="2"/>
            <c:bubble3D val="0"/>
            <c:spPr>
              <a:solidFill>
                <a:schemeClr val="accent2"/>
              </a:solidFill>
              <a:ln w="19050">
                <a:solidFill>
                  <a:schemeClr val="bg1"/>
                </a:solidFill>
              </a:ln>
              <a:effectLst/>
            </c:spPr>
          </c:dPt>
          <c:dPt>
            <c:idx val="3"/>
            <c:bubble3D val="0"/>
            <c:spPr>
              <a:solidFill>
                <a:schemeClr val="accent3"/>
              </a:solidFill>
              <a:ln w="19050">
                <a:solidFill>
                  <a:schemeClr val="bg1"/>
                </a:solidFill>
              </a:ln>
              <a:effectLst/>
            </c:spPr>
          </c:dPt>
          <c:dPt>
            <c:idx val="4"/>
            <c:bubble3D val="0"/>
            <c:spPr>
              <a:solidFill>
                <a:schemeClr val="accent4"/>
              </a:solidFill>
              <a:ln w="19050">
                <a:solidFill>
                  <a:schemeClr val="bg1"/>
                </a:solidFill>
              </a:ln>
              <a:effectLst/>
            </c:spPr>
          </c:dPt>
          <c:dPt>
            <c:idx val="5"/>
            <c:bubble3D val="0"/>
            <c:spPr>
              <a:solidFill>
                <a:schemeClr val="accent5"/>
              </a:solidFill>
              <a:ln w="19050">
                <a:solidFill>
                  <a:schemeClr val="bg1"/>
                </a:solidFill>
              </a:ln>
              <a:effectLst/>
            </c:spPr>
          </c:dPt>
          <c:dLbls>
            <c:dLbl>
              <c:idx val="0"/>
              <c:layout>
                <c:manualLayout>
                  <c:x val="0.134979746504639"/>
                  <c:y val="-0.0253583241455347"/>
                </c:manualLayout>
              </c:layout>
              <c:showLegendKey val="0"/>
              <c:showVal val="0"/>
              <c:showCatName val="0"/>
              <c:showSerName val="0"/>
              <c:showPercent val="1"/>
              <c:showBubbleSize val="0"/>
              <c:extLst>
                <c:ext xmlns:c15="http://schemas.microsoft.com/office/drawing/2012/chart" uri="{CE6537A1-D6FC-4f65-9D91-7224C49458BB}">
                  <c15:layout/>
                </c:ext>
              </c:extLst>
            </c:dLbl>
            <c:dLbl>
              <c:idx val="1"/>
              <c:layout>
                <c:manualLayout>
                  <c:x val="0.145955834313341"/>
                  <c:y val="0.0873208379272326"/>
                </c:manualLayout>
              </c:layout>
              <c:showLegendKey val="0"/>
              <c:showVal val="0"/>
              <c:showCatName val="0"/>
              <c:showSerName val="0"/>
              <c:showPercent val="1"/>
              <c:showBubbleSize val="0"/>
              <c:extLst>
                <c:ext xmlns:c15="http://schemas.microsoft.com/office/drawing/2012/chart" uri="{CE6537A1-D6FC-4f65-9D91-7224C49458BB}">
                  <c15:layout/>
                </c:ext>
              </c:extLst>
            </c:dLbl>
            <c:dLbl>
              <c:idx val="2"/>
              <c:layout>
                <c:manualLayout>
                  <c:x val="-0.0790539657650594"/>
                  <c:y val="0.117309812568908"/>
                </c:manualLayout>
              </c:layout>
              <c:showLegendKey val="0"/>
              <c:showVal val="0"/>
              <c:showCatName val="0"/>
              <c:showSerName val="0"/>
              <c:showPercent val="1"/>
              <c:showBubbleSize val="0"/>
              <c:extLst>
                <c:ext xmlns:c15="http://schemas.microsoft.com/office/drawing/2012/chart" uri="{CE6537A1-D6FC-4f65-9D91-7224C49458BB}">
                  <c15:layout/>
                </c:ext>
              </c:extLst>
            </c:dLbl>
            <c:dLbl>
              <c:idx val="3"/>
              <c:layout>
                <c:manualLayout>
                  <c:x val="-0.110544884359075"/>
                  <c:y val="0.0482910694597574"/>
                </c:manualLayout>
              </c:layout>
              <c:showLegendKey val="0"/>
              <c:showVal val="0"/>
              <c:showCatName val="0"/>
              <c:showSerName val="0"/>
              <c:showPercent val="1"/>
              <c:showBubbleSize val="0"/>
              <c:extLst>
                <c:ext xmlns:c15="http://schemas.microsoft.com/office/drawing/2012/chart" uri="{CE6537A1-D6FC-4f65-9D91-7224C49458BB}">
                  <c15:layout/>
                </c:ext>
              </c:extLst>
            </c:dLbl>
            <c:dLbl>
              <c:idx val="4"/>
              <c:layout>
                <c:manualLayout>
                  <c:x val="-0.125441003528028"/>
                  <c:y val="-0.124145534729879"/>
                </c:manualLayout>
              </c:layout>
              <c:showLegendKey val="0"/>
              <c:showVal val="0"/>
              <c:showCatName val="0"/>
              <c:showSerName val="0"/>
              <c:showPercent val="1"/>
              <c:showBubbleSize val="0"/>
              <c:extLst>
                <c:ext xmlns:c15="http://schemas.microsoft.com/office/drawing/2012/chart" uri="{CE6537A1-D6FC-4f65-9D91-7224C49458BB}">
                  <c15:layout/>
                </c:ext>
              </c:extLst>
            </c:dLbl>
            <c:dLbl>
              <c:idx val="5"/>
              <c:layout>
                <c:manualLayout>
                  <c:x val="0.0763099438128838"/>
                  <c:y val="-0.12877618522602"/>
                </c:manualLayout>
              </c:layout>
              <c:showLegendKey val="0"/>
              <c:showVal val="0"/>
              <c:showCatName val="0"/>
              <c:showSerName val="0"/>
              <c:showPercent val="1"/>
              <c:showBubbleSize val="0"/>
              <c:extLst>
                <c:ext xmlns:c15="http://schemas.microsoft.com/office/drawing/2012/chart" uri="{CE6537A1-D6FC-4f65-9D91-7224C49458BB}">
                  <c15:layout/>
                </c:ext>
              </c:extLst>
            </c:dLbl>
            <c:numFmt formatCode="General" sourceLinked="1"/>
            <c:spPr>
              <a:noFill/>
              <a:ln>
                <a:noFill/>
              </a:ln>
              <a:effectLst/>
            </c:spPr>
            <c:txPr>
              <a:bodyPr rot="0" spcFirstLastPara="0" vertOverflow="ellipsis" vert="horz" wrap="square" lIns="38100" tIns="19050" rIns="38100" bIns="19050"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[道县土地市场分析.xlsx]Sheet3!$O$22:$O$27</c:f>
              <c:strCache>
                <c:ptCount val="6"/>
                <c:pt idx="0">
                  <c:v>商服用地</c:v>
                </c:pt>
                <c:pt idx="1">
                  <c:v>住宅用地</c:v>
                </c:pt>
                <c:pt idx="2">
                  <c:v>工矿仓储用地</c:v>
                </c:pt>
                <c:pt idx="3">
                  <c:v>公共管理与公共服务用地</c:v>
                </c:pt>
                <c:pt idx="4">
                  <c:v>特殊用地</c:v>
                </c:pt>
                <c:pt idx="5">
                  <c:v>交通运输用地</c:v>
                </c:pt>
              </c:strCache>
            </c:strRef>
          </c:cat>
          <c:val>
            <c:numRef>
              <c:f>[道县土地市场分析.xlsx]Sheet3!$P$22:$P$27</c:f>
              <c:numCache>
                <c:formatCode>General</c:formatCode>
                <c:ptCount val="6"/>
              </c:numCache>
            </c:numRef>
          </c:val>
        </c:ser>
        <c:ser>
          <c:idx val="1"/>
          <c:order val="1"/>
          <c:spPr>
            <a:ln w="19050">
              <a:solidFill>
                <a:schemeClr val="bg1"/>
              </a:solidFill>
            </a:ln>
          </c:spPr>
          <c:explosion val="0"/>
          <c:dPt>
            <c:idx val="0"/>
            <c:bubble3D val="0"/>
            <c:spPr>
              <a:solidFill>
                <a:schemeClr val="accent6"/>
              </a:solidFill>
              <a:ln w="19050">
                <a:solidFill>
                  <a:schemeClr val="bg1"/>
                </a:solidFill>
              </a:ln>
              <a:effectLst/>
            </c:spPr>
          </c:dPt>
          <c:dPt>
            <c:idx val="1"/>
            <c:bubble3D val="0"/>
            <c:spPr>
              <a:solidFill>
                <a:schemeClr val="accent1"/>
              </a:solidFill>
              <a:ln w="19050">
                <a:solidFill>
                  <a:schemeClr val="bg1"/>
                </a:solidFill>
              </a:ln>
              <a:effectLst/>
            </c:spPr>
          </c:dPt>
          <c:dPt>
            <c:idx val="2"/>
            <c:bubble3D val="0"/>
            <c:spPr>
              <a:solidFill>
                <a:schemeClr val="accent2"/>
              </a:solidFill>
              <a:ln w="19050">
                <a:solidFill>
                  <a:schemeClr val="bg1"/>
                </a:solidFill>
              </a:ln>
              <a:effectLst/>
            </c:spPr>
          </c:dPt>
          <c:dPt>
            <c:idx val="3"/>
            <c:bubble3D val="0"/>
            <c:spPr>
              <a:solidFill>
                <a:schemeClr val="accent3"/>
              </a:solidFill>
              <a:ln w="19050">
                <a:solidFill>
                  <a:schemeClr val="bg1"/>
                </a:solidFill>
              </a:ln>
              <a:effectLst/>
            </c:spPr>
          </c:dPt>
          <c:dPt>
            <c:idx val="4"/>
            <c:bubble3D val="0"/>
            <c:spPr>
              <a:solidFill>
                <a:schemeClr val="accent4"/>
              </a:solidFill>
              <a:ln w="19050">
                <a:solidFill>
                  <a:schemeClr val="bg1"/>
                </a:solidFill>
              </a:ln>
              <a:effectLst/>
            </c:spPr>
          </c:dPt>
          <c:dPt>
            <c:idx val="5"/>
            <c:bubble3D val="0"/>
            <c:spPr>
              <a:solidFill>
                <a:schemeClr val="accent5"/>
              </a:solidFill>
              <a:ln w="19050">
                <a:solidFill>
                  <a:schemeClr val="bg1"/>
                </a:solidFill>
              </a:ln>
              <a:effectLst/>
            </c:spPr>
          </c:dPt>
          <c:dLbls>
            <c:dLbl>
              <c:idx val="0"/>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2.7</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1"/>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21</a:t>
                    </a:r>
                    <a:r>
                      <a:rPr lang="en-US" altLang="zh-CN"/>
                      <a:t>.42</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2"/>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10.6</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3"/>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26</a:t>
                    </a:r>
                    <a:r>
                      <a:rPr lang="en-US" altLang="zh-CN"/>
                      <a:t>.55</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4"/>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0.75</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5"/>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37.98</a:t>
                    </a:r>
                    <a:r>
                      <a:t>%</a:t>
                    </a:r>
                  </a:p>
                </c:rich>
              </c:tx>
              <c:showLegendKey val="0"/>
              <c:showVal val="0"/>
              <c:showCatName val="0"/>
              <c:showSerName val="0"/>
              <c:showPercent val="1"/>
              <c:showBubbleSize val="0"/>
              <c:separator>
</c:separator>
              <c:extLst>
                <c:ext xmlns:c15="http://schemas.microsoft.com/office/drawing/2012/chart" uri="{CE6537A1-D6FC-4f65-9D91-7224C49458BB}"/>
              </c:extLst>
            </c:dLbl>
            <c:numFmt formatCode="General" sourceLinked="1"/>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[道县土地市场分析.xlsx]Sheet3!$O$22:$O$27</c:f>
              <c:strCache>
                <c:ptCount val="6"/>
                <c:pt idx="0">
                  <c:v>商服用地</c:v>
                </c:pt>
                <c:pt idx="1">
                  <c:v>住宅用地</c:v>
                </c:pt>
                <c:pt idx="2">
                  <c:v>工矿仓储用地</c:v>
                </c:pt>
                <c:pt idx="3">
                  <c:v>公共管理与公共服务用地</c:v>
                </c:pt>
                <c:pt idx="4">
                  <c:v>特殊用地</c:v>
                </c:pt>
                <c:pt idx="5">
                  <c:v>交通运输用地</c:v>
                </c:pt>
              </c:strCache>
            </c:strRef>
          </c:cat>
          <c:val>
            <c:numRef>
              <c:f>[道县土地市场分析.xlsx]Sheet3!$Q$22:$Q$27</c:f>
              <c:numCache>
                <c:formatCode>0.00%</c:formatCode>
                <c:ptCount val="6"/>
                <c:pt idx="0">
                  <c:v>0.0325</c:v>
                </c:pt>
                <c:pt idx="1">
                  <c:v>0.1901</c:v>
                </c:pt>
                <c:pt idx="2">
                  <c:v>0.1224</c:v>
                </c:pt>
                <c:pt idx="3">
                  <c:v>0.295</c:v>
                </c:pt>
                <c:pt idx="4">
                  <c:v>0.009</c:v>
                </c:pt>
                <c:pt idx="5">
                  <c:v>0.351</c:v>
                </c:pt>
              </c:numCache>
            </c:numRef>
          </c:val>
        </c:ser>
        <c:dLbls>
          <c:showLegendKey val="0"/>
          <c:showVal val="1"/>
          <c:showCatName val="0"/>
          <c:showSerName val="0"/>
          <c:showPercent val="0"/>
          <c:showBubbleSize val="0"/>
          <c:showLeaderLines val="1"/>
        </c:dLbls>
        <c:firstSliceAng val="27"/>
        <c:holeSize val="52"/>
      </c:doughnutChart>
      <c:spPr>
        <a:noFill/>
        <a:ln>
          <a:noFill/>
        </a:ln>
        <a:effectLst/>
      </c:spPr>
    </c:plotArea>
    <c:legend>
      <c:legendPos val="b"/>
      <c:layout>
        <c:manualLayout>
          <c:xMode val="edge"/>
          <c:yMode val="edge"/>
          <c:x val="0.698625487866961"/>
          <c:y val="0.19279176201373"/>
          <c:w val="0.296283726455116"/>
          <c:h val="0.779462242562929"/>
        </c:manualLayout>
      </c:layout>
      <c:overlay val="0"/>
      <c:spPr>
        <a:noFill/>
        <a:ln>
          <a:noFill/>
        </a:ln>
        <a:effectLst/>
      </c:spPr>
      <c:txPr>
        <a:bodyPr rot="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
    <c:plotVisOnly val="1"/>
    <c:dispBlanksAs val="gap"/>
    <c:showDLblsOverMax val="0"/>
    <c:extLst>
      <c:ext uri="{0b15fc19-7d7d-44ad-8c2d-2c3a37ce22c3}">
        <chartProps xmlns="https://web.wps.cn/et/2018/main" chartId="{f101004f-e116-4afe-a5f6-04c3ec9023ab}"/>
      </c:ext>
    </c:extLst>
  </c:chart>
  <c:spPr>
    <a:solidFill>
      <a:schemeClr val="bg1"/>
    </a:solidFill>
    <a:ln w="6350" cap="flat" cmpd="sng" algn="ctr">
      <a:solidFill>
        <a:schemeClr val="tx1">
          <a:lumMod val="50000"/>
          <a:lumOff val="50000"/>
          <a:alpha val="25000"/>
        </a:schemeClr>
      </a:solidFill>
      <a:round/>
    </a:ln>
    <a:effectLst/>
  </c:spPr>
  <c:txPr>
    <a:bodyPr/>
    <a:lstStyle/>
    <a:p>
      <a:pPr>
        <a:defRPr lang="zh-CN">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土地供应总量</a:t>
            </a:r>
          </a:p>
        </c:rich>
      </c:tx>
      <c:layout/>
      <c:overlay val="0"/>
      <c:spPr>
        <a:noFill/>
        <a:ln>
          <a:noFill/>
        </a:ln>
        <a:effectLst/>
      </c:spPr>
    </c:title>
    <c:autoTitleDeleted val="0"/>
    <c:plotArea>
      <c:layout/>
      <c:barChart>
        <c:barDir val="col"/>
        <c:grouping val="clustered"/>
        <c:varyColors val="0"/>
        <c:ser>
          <c:idx val="0"/>
          <c:order val="0"/>
          <c:tx>
            <c:strRef>
              <c:f>"出让土地"</c:f>
              <c:strCache>
                <c:ptCount val="1"/>
                <c:pt idx="0">
                  <c:v>出让土地</c:v>
                </c:pt>
              </c:strCache>
            </c:strRef>
          </c:tx>
          <c:spPr>
            <a:solidFill>
              <a:schemeClr val="accent4">
                <a:lumMod val="75000"/>
              </a:schemeClr>
            </a:solidFill>
            <a:ln>
              <a:noFill/>
            </a:ln>
            <a:effectLst/>
          </c:spPr>
          <c:invertIfNegative val="0"/>
          <c:dLbls>
            <c:dLbl>
              <c:idx val="0"/>
              <c:layout>
                <c:manualLayout>
                  <c:x val="-0.0157894736842105"/>
                  <c:y val="0.0173611111111111"/>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157894736842105"/>
                  <c:y val="0.03125"/>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986842105263158"/>
                  <c:y val="0.0138888888888889"/>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0.0236842105263158"/>
                  <c:y val="0.0208333333333333"/>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197368421052632"/>
                  <c:y val="0"/>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[道县土地市场分析.xlsx]Sheet3!$B$22:$B$26</c:f>
              <c:numCache>
                <c:formatCode>0.00_ </c:formatCode>
                <c:ptCount val="5"/>
                <c:pt idx="0">
                  <c:v>91.77</c:v>
                </c:pt>
                <c:pt idx="1">
                  <c:v>100.84</c:v>
                </c:pt>
                <c:pt idx="2">
                  <c:v>67.23</c:v>
                </c:pt>
                <c:pt idx="3">
                  <c:v>20.42</c:v>
                </c:pt>
                <c:pt idx="4" c:formatCode="General">
                  <c:v>134.88</c:v>
                </c:pt>
              </c:numCache>
            </c:numRef>
          </c:val>
        </c:ser>
        <c:ser>
          <c:idx val="1"/>
          <c:order val="1"/>
          <c:tx>
            <c:strRef>
              <c:f>"划拨土地"</c:f>
              <c:strCache>
                <c:ptCount val="1"/>
                <c:pt idx="0">
                  <c:v>划拨土地</c:v>
                </c:pt>
              </c:strCache>
            </c:strRef>
          </c:tx>
          <c:spPr>
            <a:solidFill>
              <a:srgbClr val="C00000"/>
            </a:solidFill>
            <a:ln>
              <a:noFill/>
            </a:ln>
            <a:effectLst/>
          </c:spPr>
          <c:invertIfNegative val="0"/>
          <c:dLbls>
            <c:dLbl>
              <c:idx val="0"/>
              <c:layout>
                <c:manualLayout>
                  <c:x val="-0.0177631578947368"/>
                  <c:y val="0.0104166666666667"/>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0600237513338615"/>
                  <c:y val="0.0347222222222222"/>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197368421052632"/>
                  <c:y val="0.0277777777777778"/>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5.80875012908208e-5"/>
                  <c:y val="0.0347222222222222"/>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177631578947368"/>
                  <c:y val="0.0243055555555556"/>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[道县土地市场分析.xlsx]Sheet3!$C$22:$C$26</c:f>
              <c:numCache>
                <c:formatCode>0.00_ </c:formatCode>
                <c:ptCount val="5"/>
                <c:pt idx="0">
                  <c:v>164.63</c:v>
                </c:pt>
                <c:pt idx="1">
                  <c:v>83.89</c:v>
                </c:pt>
                <c:pt idx="2">
                  <c:v>94.4</c:v>
                </c:pt>
                <c:pt idx="3">
                  <c:v>181.51</c:v>
                </c:pt>
                <c:pt idx="4" c:formatCode="General">
                  <c:v>32.85</c:v>
                </c:pt>
              </c:numCache>
            </c:numRef>
          </c:val>
        </c:ser>
        <c:ser>
          <c:idx val="2"/>
          <c:order val="2"/>
          <c:tx>
            <c:strRef>
              <c:f>"总面积"</c:f>
              <c:strCache>
                <c:ptCount val="1"/>
                <c:pt idx="0">
                  <c:v>总面积</c:v>
                </c:pt>
              </c:strCache>
            </c:strRef>
          </c:tx>
          <c:spPr>
            <a:solidFill>
              <a:schemeClr val="accent1">
                <a:lumMod val="75000"/>
              </a:schemeClr>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[道县土地市场分析.xlsx]Sheet3!$D$22:$D$26</c:f>
              <c:numCache>
                <c:formatCode>0.00_ </c:formatCode>
                <c:ptCount val="5"/>
                <c:pt idx="0">
                  <c:v>256.4</c:v>
                </c:pt>
                <c:pt idx="1">
                  <c:v>184.73</c:v>
                </c:pt>
                <c:pt idx="2">
                  <c:v>161.63</c:v>
                </c:pt>
                <c:pt idx="3">
                  <c:v>201.93</c:v>
                </c:pt>
                <c:pt idx="4">
                  <c:v>167.73</c:v>
                </c:pt>
              </c:numCache>
            </c:numRef>
          </c:val>
        </c:ser>
        <c:dLbls>
          <c:showLegendKey val="0"/>
          <c:showVal val="1"/>
          <c:showCatName val="0"/>
          <c:showSerName val="0"/>
          <c:showPercent val="0"/>
          <c:showBubbleSize val="0"/>
        </c:dLbls>
        <c:gapWidth val="219"/>
        <c:overlap val="-27"/>
        <c:axId val="634919036"/>
        <c:axId val="120007239"/>
      </c:barChart>
      <c:catAx>
        <c:axId val="634919036"/>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20007239"/>
        <c:crosses val="autoZero"/>
        <c:auto val="1"/>
        <c:lblAlgn val="ctr"/>
        <c:lblOffset val="100"/>
        <c:noMultiLvlLbl val="0"/>
      </c:catAx>
      <c:valAx>
        <c:axId val="120007239"/>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单位：公顷</a:t>
                </a:r>
              </a:p>
            </c:rich>
          </c:tx>
          <c:layout>
            <c:manualLayout>
              <c:xMode val="edge"/>
              <c:yMode val="edge"/>
              <c:x val="0.0230263157894737"/>
              <c:y val="0.155023148148148"/>
            </c:manualLayout>
          </c:layout>
          <c:overlay val="0"/>
          <c:spPr>
            <a:noFill/>
            <a:ln>
              <a:noFill/>
            </a:ln>
            <a:effectLst/>
          </c:spPr>
        </c:title>
        <c:numFmt formatCode="0.00_ "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34919036"/>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d914df3f-6393-4c6f-9afc-c3972d61cdb5}"/>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forceAA="0"/>
          <a:lstStyle/>
          <a:p>
            <a:pPr defTabSz="914400">
              <a:defRPr lang="zh-CN" sz="1400" b="0" i="0" u="none" strike="noStrike" kern="1200" spc="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面积比例</a:t>
            </a:r>
          </a:p>
        </c:rich>
      </c:tx>
      <c:layout/>
      <c:overlay val="0"/>
      <c:spPr>
        <a:noFill/>
        <a:ln>
          <a:noFill/>
        </a:ln>
        <a:effectLst/>
      </c:spPr>
    </c:title>
    <c:autoTitleDeleted val="0"/>
    <c:plotArea>
      <c:layout>
        <c:manualLayout>
          <c:layoutTarget val="inner"/>
          <c:xMode val="edge"/>
          <c:yMode val="edge"/>
          <c:x val="0.145596470388597"/>
          <c:y val="0.152459954233409"/>
          <c:w val="0.497709146444935"/>
          <c:h val="0.83895881006865"/>
        </c:manualLayout>
      </c:layout>
      <c:doughnutChart>
        <c:varyColors val="1"/>
        <c:ser>
          <c:idx val="0"/>
          <c:order val="0"/>
          <c:spPr>
            <a:ln w="19050">
              <a:solidFill>
                <a:schemeClr val="bg1"/>
              </a:solidFill>
            </a:ln>
          </c:spPr>
          <c:explosion val="0"/>
          <c:dPt>
            <c:idx val="0"/>
            <c:bubble3D val="0"/>
            <c:spPr>
              <a:solidFill>
                <a:schemeClr val="accent6"/>
              </a:solidFill>
              <a:ln w="19050">
                <a:solidFill>
                  <a:schemeClr val="bg1"/>
                </a:solidFill>
              </a:ln>
              <a:effectLst/>
            </c:spPr>
          </c:dPt>
          <c:dPt>
            <c:idx val="1"/>
            <c:bubble3D val="0"/>
            <c:spPr>
              <a:solidFill>
                <a:schemeClr val="accent1"/>
              </a:solidFill>
              <a:ln w="19050">
                <a:solidFill>
                  <a:schemeClr val="bg1"/>
                </a:solidFill>
              </a:ln>
              <a:effectLst/>
            </c:spPr>
          </c:dPt>
          <c:dPt>
            <c:idx val="2"/>
            <c:bubble3D val="0"/>
            <c:spPr>
              <a:solidFill>
                <a:schemeClr val="accent2"/>
              </a:solidFill>
              <a:ln w="19050">
                <a:solidFill>
                  <a:schemeClr val="bg1"/>
                </a:solidFill>
              </a:ln>
              <a:effectLst/>
            </c:spPr>
          </c:dPt>
          <c:dPt>
            <c:idx val="3"/>
            <c:bubble3D val="0"/>
            <c:spPr>
              <a:solidFill>
                <a:schemeClr val="accent3"/>
              </a:solidFill>
              <a:ln w="19050">
                <a:solidFill>
                  <a:schemeClr val="bg1"/>
                </a:solidFill>
              </a:ln>
              <a:effectLst/>
            </c:spPr>
          </c:dPt>
          <c:dPt>
            <c:idx val="4"/>
            <c:bubble3D val="0"/>
            <c:spPr>
              <a:solidFill>
                <a:schemeClr val="accent4"/>
              </a:solidFill>
              <a:ln w="19050">
                <a:solidFill>
                  <a:schemeClr val="bg1"/>
                </a:solidFill>
              </a:ln>
              <a:effectLst/>
            </c:spPr>
          </c:dPt>
          <c:dPt>
            <c:idx val="5"/>
            <c:bubble3D val="0"/>
            <c:spPr>
              <a:solidFill>
                <a:schemeClr val="accent5"/>
              </a:solidFill>
              <a:ln w="19050">
                <a:solidFill>
                  <a:schemeClr val="bg1"/>
                </a:solidFill>
              </a:ln>
              <a:effectLst/>
            </c:spPr>
          </c:dPt>
          <c:dLbls>
            <c:dLbl>
              <c:idx val="0"/>
              <c:layout>
                <c:manualLayout>
                  <c:x val="0.134979746504639"/>
                  <c:y val="-0.0253583241455347"/>
                </c:manualLayout>
              </c:layout>
              <c:showLegendKey val="0"/>
              <c:showVal val="0"/>
              <c:showCatName val="0"/>
              <c:showSerName val="0"/>
              <c:showPercent val="1"/>
              <c:showBubbleSize val="0"/>
              <c:extLst>
                <c:ext xmlns:c15="http://schemas.microsoft.com/office/drawing/2012/chart" uri="{CE6537A1-D6FC-4f65-9D91-7224C49458BB}">
                  <c15:layout/>
                </c:ext>
              </c:extLst>
            </c:dLbl>
            <c:dLbl>
              <c:idx val="1"/>
              <c:layout>
                <c:manualLayout>
                  <c:x val="0.145955834313341"/>
                  <c:y val="0.0873208379272326"/>
                </c:manualLayout>
              </c:layout>
              <c:showLegendKey val="0"/>
              <c:showVal val="0"/>
              <c:showCatName val="0"/>
              <c:showSerName val="0"/>
              <c:showPercent val="1"/>
              <c:showBubbleSize val="0"/>
              <c:extLst>
                <c:ext xmlns:c15="http://schemas.microsoft.com/office/drawing/2012/chart" uri="{CE6537A1-D6FC-4f65-9D91-7224C49458BB}">
                  <c15:layout/>
                </c:ext>
              </c:extLst>
            </c:dLbl>
            <c:dLbl>
              <c:idx val="2"/>
              <c:layout>
                <c:manualLayout>
                  <c:x val="-0.0790539657650594"/>
                  <c:y val="0.117309812568908"/>
                </c:manualLayout>
              </c:layout>
              <c:showLegendKey val="0"/>
              <c:showVal val="0"/>
              <c:showCatName val="0"/>
              <c:showSerName val="0"/>
              <c:showPercent val="1"/>
              <c:showBubbleSize val="0"/>
              <c:extLst>
                <c:ext xmlns:c15="http://schemas.microsoft.com/office/drawing/2012/chart" uri="{CE6537A1-D6FC-4f65-9D91-7224C49458BB}">
                  <c15:layout/>
                </c:ext>
              </c:extLst>
            </c:dLbl>
            <c:dLbl>
              <c:idx val="3"/>
              <c:layout>
                <c:manualLayout>
                  <c:x val="-0.110544884359075"/>
                  <c:y val="0.0482910694597574"/>
                </c:manualLayout>
              </c:layout>
              <c:showLegendKey val="0"/>
              <c:showVal val="0"/>
              <c:showCatName val="0"/>
              <c:showSerName val="0"/>
              <c:showPercent val="1"/>
              <c:showBubbleSize val="0"/>
              <c:extLst>
                <c:ext xmlns:c15="http://schemas.microsoft.com/office/drawing/2012/chart" uri="{CE6537A1-D6FC-4f65-9D91-7224C49458BB}">
                  <c15:layout/>
                </c:ext>
              </c:extLst>
            </c:dLbl>
            <c:dLbl>
              <c:idx val="4"/>
              <c:layout>
                <c:manualLayout>
                  <c:x val="-0.125441003528028"/>
                  <c:y val="-0.124145534729879"/>
                </c:manualLayout>
              </c:layout>
              <c:showLegendKey val="0"/>
              <c:showVal val="0"/>
              <c:showCatName val="0"/>
              <c:showSerName val="0"/>
              <c:showPercent val="1"/>
              <c:showBubbleSize val="0"/>
              <c:extLst>
                <c:ext xmlns:c15="http://schemas.microsoft.com/office/drawing/2012/chart" uri="{CE6537A1-D6FC-4f65-9D91-7224C49458BB}">
                  <c15:layout/>
                </c:ext>
              </c:extLst>
            </c:dLbl>
            <c:dLbl>
              <c:idx val="5"/>
              <c:layout>
                <c:manualLayout>
                  <c:x val="0.0763099438128838"/>
                  <c:y val="-0.12877618522602"/>
                </c:manualLayout>
              </c:layout>
              <c:showLegendKey val="0"/>
              <c:showVal val="0"/>
              <c:showCatName val="0"/>
              <c:showSerName val="0"/>
              <c:showPercent val="1"/>
              <c:showBubbleSize val="0"/>
              <c:extLst>
                <c:ext xmlns:c15="http://schemas.microsoft.com/office/drawing/2012/chart" uri="{CE6537A1-D6FC-4f65-9D91-7224C49458BB}">
                  <c15:layout/>
                </c:ext>
              </c:extLst>
            </c:dLbl>
            <c:numFmt formatCode="General" sourceLinked="1"/>
            <c:spPr>
              <a:noFill/>
              <a:ln>
                <a:noFill/>
              </a:ln>
              <a:effectLst/>
            </c:spPr>
            <c:txPr>
              <a:bodyPr rot="0" spcFirstLastPara="0" vertOverflow="ellipsis" vert="horz" wrap="square" lIns="38100" tIns="19050" rIns="38100" bIns="19050"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[道县土地市场分析.xlsx]Sheet3!$O$22:$O$27</c:f>
              <c:strCache>
                <c:ptCount val="6"/>
                <c:pt idx="0">
                  <c:v>商服用地</c:v>
                </c:pt>
                <c:pt idx="1">
                  <c:v>住宅用地</c:v>
                </c:pt>
                <c:pt idx="2">
                  <c:v>工矿仓储用地</c:v>
                </c:pt>
                <c:pt idx="3">
                  <c:v>公共管理与公共服务用地</c:v>
                </c:pt>
                <c:pt idx="4">
                  <c:v>特殊用地</c:v>
                </c:pt>
                <c:pt idx="5">
                  <c:v>交通运输用地</c:v>
                </c:pt>
              </c:strCache>
            </c:strRef>
          </c:cat>
          <c:val>
            <c:numRef>
              <c:f>[道县土地市场分析.xlsx]Sheet3!$P$22:$P$27</c:f>
              <c:numCache>
                <c:formatCode>General</c:formatCode>
                <c:ptCount val="6"/>
              </c:numCache>
            </c:numRef>
          </c:val>
        </c:ser>
        <c:ser>
          <c:idx val="1"/>
          <c:order val="1"/>
          <c:spPr>
            <a:ln w="19050">
              <a:solidFill>
                <a:schemeClr val="bg1"/>
              </a:solidFill>
            </a:ln>
          </c:spPr>
          <c:explosion val="0"/>
          <c:dPt>
            <c:idx val="0"/>
            <c:bubble3D val="0"/>
            <c:spPr>
              <a:solidFill>
                <a:schemeClr val="accent6"/>
              </a:solidFill>
              <a:ln w="19050">
                <a:solidFill>
                  <a:schemeClr val="bg1"/>
                </a:solidFill>
              </a:ln>
              <a:effectLst/>
            </c:spPr>
          </c:dPt>
          <c:dPt>
            <c:idx val="1"/>
            <c:bubble3D val="0"/>
            <c:spPr>
              <a:solidFill>
                <a:schemeClr val="accent1"/>
              </a:solidFill>
              <a:ln w="19050">
                <a:solidFill>
                  <a:schemeClr val="bg1"/>
                </a:solidFill>
              </a:ln>
              <a:effectLst/>
            </c:spPr>
          </c:dPt>
          <c:dPt>
            <c:idx val="2"/>
            <c:bubble3D val="0"/>
            <c:spPr>
              <a:solidFill>
                <a:schemeClr val="accent2"/>
              </a:solidFill>
              <a:ln w="19050">
                <a:solidFill>
                  <a:schemeClr val="bg1"/>
                </a:solidFill>
              </a:ln>
              <a:effectLst/>
            </c:spPr>
          </c:dPt>
          <c:dPt>
            <c:idx val="3"/>
            <c:bubble3D val="0"/>
            <c:spPr>
              <a:solidFill>
                <a:schemeClr val="accent3"/>
              </a:solidFill>
              <a:ln w="19050">
                <a:solidFill>
                  <a:schemeClr val="bg1"/>
                </a:solidFill>
              </a:ln>
              <a:effectLst/>
            </c:spPr>
          </c:dPt>
          <c:dPt>
            <c:idx val="4"/>
            <c:bubble3D val="0"/>
            <c:spPr>
              <a:solidFill>
                <a:schemeClr val="accent4"/>
              </a:solidFill>
              <a:ln w="19050">
                <a:solidFill>
                  <a:schemeClr val="bg1"/>
                </a:solidFill>
              </a:ln>
              <a:effectLst/>
            </c:spPr>
          </c:dPt>
          <c:dPt>
            <c:idx val="5"/>
            <c:bubble3D val="0"/>
            <c:spPr>
              <a:solidFill>
                <a:schemeClr val="accent5"/>
              </a:solidFill>
              <a:ln w="19050">
                <a:solidFill>
                  <a:schemeClr val="bg1"/>
                </a:solidFill>
              </a:ln>
              <a:effectLst/>
            </c:spPr>
          </c:dPt>
          <c:dLbls>
            <c:dLbl>
              <c:idx val="0"/>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2.7</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1"/>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21</a:t>
                    </a:r>
                    <a:r>
                      <a:rPr lang="en-US" altLang="zh-CN"/>
                      <a:t>.42</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2"/>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10.6</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3"/>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26</a:t>
                    </a:r>
                    <a:r>
                      <a:rPr lang="en-US" altLang="zh-CN"/>
                      <a:t>.55</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4"/>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0.75</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5"/>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37.98</a:t>
                    </a:r>
                    <a:r>
                      <a:t>%</a:t>
                    </a:r>
                  </a:p>
                </c:rich>
              </c:tx>
              <c:showLegendKey val="0"/>
              <c:showVal val="0"/>
              <c:showCatName val="0"/>
              <c:showSerName val="0"/>
              <c:showPercent val="1"/>
              <c:showBubbleSize val="0"/>
              <c:separator>
</c:separator>
              <c:extLst>
                <c:ext xmlns:c15="http://schemas.microsoft.com/office/drawing/2012/chart" uri="{CE6537A1-D6FC-4f65-9D91-7224C49458BB}"/>
              </c:extLst>
            </c:dLbl>
            <c:numFmt formatCode="General" sourceLinked="1"/>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[道县土地市场分析.xlsx]Sheet3!$O$22:$O$27</c:f>
              <c:strCache>
                <c:ptCount val="6"/>
                <c:pt idx="0">
                  <c:v>商服用地</c:v>
                </c:pt>
                <c:pt idx="1">
                  <c:v>住宅用地</c:v>
                </c:pt>
                <c:pt idx="2">
                  <c:v>工矿仓储用地</c:v>
                </c:pt>
                <c:pt idx="3">
                  <c:v>公共管理与公共服务用地</c:v>
                </c:pt>
                <c:pt idx="4">
                  <c:v>特殊用地</c:v>
                </c:pt>
                <c:pt idx="5">
                  <c:v>交通运输用地</c:v>
                </c:pt>
              </c:strCache>
            </c:strRef>
          </c:cat>
          <c:val>
            <c:numRef>
              <c:f>[道县土地市场分析.xlsx]Sheet3!$Q$22:$Q$27</c:f>
              <c:numCache>
                <c:formatCode>0.00%</c:formatCode>
                <c:ptCount val="6"/>
                <c:pt idx="0">
                  <c:v>0.0325</c:v>
                </c:pt>
                <c:pt idx="1">
                  <c:v>0.1901</c:v>
                </c:pt>
                <c:pt idx="2">
                  <c:v>0.1224</c:v>
                </c:pt>
                <c:pt idx="3">
                  <c:v>0.295</c:v>
                </c:pt>
                <c:pt idx="4">
                  <c:v>0.009</c:v>
                </c:pt>
                <c:pt idx="5">
                  <c:v>0.351</c:v>
                </c:pt>
              </c:numCache>
            </c:numRef>
          </c:val>
        </c:ser>
        <c:dLbls>
          <c:showLegendKey val="0"/>
          <c:showVal val="1"/>
          <c:showCatName val="0"/>
          <c:showSerName val="0"/>
          <c:showPercent val="0"/>
          <c:showBubbleSize val="0"/>
          <c:showLeaderLines val="1"/>
        </c:dLbls>
        <c:firstSliceAng val="27"/>
        <c:holeSize val="52"/>
      </c:doughnutChart>
      <c:spPr>
        <a:noFill/>
        <a:ln>
          <a:noFill/>
        </a:ln>
        <a:effectLst/>
      </c:spPr>
    </c:plotArea>
    <c:legend>
      <c:legendPos val="b"/>
      <c:layout>
        <c:manualLayout>
          <c:xMode val="edge"/>
          <c:yMode val="edge"/>
          <c:x val="0.698625487866961"/>
          <c:y val="0.19279176201373"/>
          <c:w val="0.296283726455116"/>
          <c:h val="0.779462242562929"/>
        </c:manualLayout>
      </c:layout>
      <c:overlay val="0"/>
      <c:spPr>
        <a:noFill/>
        <a:ln>
          <a:noFill/>
        </a:ln>
        <a:effectLst/>
      </c:spPr>
      <c:txPr>
        <a:bodyPr rot="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
    <c:plotVisOnly val="1"/>
    <c:dispBlanksAs val="gap"/>
    <c:showDLblsOverMax val="0"/>
    <c:extLst>
      <c:ext uri="{0b15fc19-7d7d-44ad-8c2d-2c3a37ce22c3}">
        <chartProps xmlns="https://web.wps.cn/et/2018/main" chartId="{f101004f-e116-4afe-a5f6-04c3ec9023ab}"/>
      </c:ext>
    </c:extLst>
  </c:chart>
  <c:spPr>
    <a:solidFill>
      <a:schemeClr val="bg1"/>
    </a:solidFill>
    <a:ln w="6350" cap="flat" cmpd="sng" algn="ctr">
      <a:solidFill>
        <a:schemeClr val="tx1">
          <a:lumMod val="50000"/>
          <a:lumOff val="50000"/>
          <a:alpha val="25000"/>
        </a:schemeClr>
      </a:solidFill>
      <a:round/>
    </a:ln>
    <a:effectLst/>
  </c:spPr>
  <c:txPr>
    <a:bodyPr/>
    <a:lstStyle/>
    <a:p>
      <a:pPr>
        <a:defRPr lang="zh-CN">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1029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1029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127</Pages>
  <Words>10896</Words>
  <Characters>12710</Characters>
  <Lines>0</Lines>
  <Paragraphs>0</Paragraphs>
  <TotalTime>0</TotalTime>
  <ScaleCrop>false</ScaleCrop>
  <LinksUpToDate>false</LinksUpToDate>
  <CharactersWithSpaces>13236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2025-11-27T14:34:00Z</dcterms:created>
  <dc:creator>熙里处</dc:creator>
  <cp:lastModifiedBy>歪比八卜</cp:lastModifiedBy>
  <dcterms:modified xsi:type="dcterms:W3CDTF">2026-05-27T06:51:40Z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FEE8A1DF81A747979BECE88BABDE7DFB_13</vt:lpwstr>
  </property>
  <property fmtid="{D5CDD505-2E9C-101B-9397-08002B2CF9AE}" pid="4" name="KSOTemplateDocerSaveRecord">
    <vt:lpwstr>eyJoZGlkIjoiYzg2ZDFhZjAxODU1NmRlODQ1YThmY2VjYmViZjg0YjgiLCJ1c2VySWQiOiIyNTc4NTE1ODcifQ==</vt:lpwstr>
  </property>
</Properties>
</file>