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60" w:lineRule="exact" w:before="0" w:after="0"/>
        <w:jc w:val="center"/>
        <w:rPr>
          <w:rFonts w:ascii="宋体"/>
          <w:b/>
          <w:bCs/>
          <w:color w:val="000000" w:themeColor="text1"/>
          <w:sz w:val="44"/>
          <w:szCs w:val="44"/>
          <w:highlight w:val="none"/>
          <w14:textFill>
            <w14:solidFill>
              <w14:schemeClr w14:val="tx1"/>
            </w14:solidFill>
          </w14:textFill>
        </w:rPr>
      </w:pPr>
      <w:r>
        <w:rPr>
          <w:rFonts w:hint="eastAsia" w:ascii="宋体" w:hAnsi="宋体" w:eastAsia="宋体" w:cs="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project_name }}</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
              <w:rPr>
                <w:rFonts w:ascii="仿宋_GB2312" w:hAnsi="仿宋_GB2312" w:eastAsia="仿宋_GB2312" w:cs="仿宋_GB2312"/>
                <w:color w:val="000000"/>
                <w:sz w:val="32"/>
              </w:rPr>
              <w:t>{{ appraisal_org }}</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560" w:lineRule="exact" w:before="0" w:after="0"/>
        <w:jc w:val="center"/>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hAnsi="宋体" w:cs="宋体"/>
          <w:b/>
          <w:bCs/>
          <w:color w:val="000000" w:themeColor="text1"/>
          <w:sz w:val="44"/>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0" w:beforeLines="50" w:after="0" w:afterLines="100" w:line="560" w:lineRule="exact"/>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w:t>
      </w:r>
    </w:p>
    <w:p w14:paraId="0AB73EC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client_name }}</w:t>
      </w:r>
    </w:p>
    <w:p w14:paraId="5A8AA14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bCs/>
          <w:color w:val="000000" w:themeColor="text1"/>
          <w:sz w:val="28"/>
          <w:szCs w:val="28"/>
          <w:highlight w:val="none"/>
          <w14:textFill>
            <w14:solidFill>
              <w14:schemeClr w14:val="tx1"/>
            </w14:solidFill>
          </w14:textFill>
        </w:rPr>
        <w:t>三、</w:t>
      </w:r>
      <w:r>
        <w:rPr>
          <w:rFonts w:hint="eastAsia" w:ascii="宋体" w:eastAsia="宋体" w:hAnsi="宋体" w:cs="宋体"/>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3D67BC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60B2B325">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20A7FB4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valuation_work_date }}</w:t>
      </w:r>
    </w:p>
    <w:p w14:paraId="2CC98B2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483DD2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1F017B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31B7B5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2FB19EA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AC576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4BACEB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C2DE8B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80" w:lineRule="exact" w:before="0" w:after="0"/>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宋体" w:hAnsi="宋体" w:eastAsia="宋体" w:cs="宋体"/>
          <w:b/>
          <w:color w:val="000000" w:themeColor="text1"/>
          <w:kern w:val="2"/>
          <w:sz w:val="28"/>
          <w:szCs w:val="28"/>
          <w:highlight w:val="none"/>
          <w:lang w:val="en-US" w:eastAsia="zh-CN" w:bidi="ar-SA"/>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E5DA2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283DC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5B77391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80" w:lineRule="exact" w:after="0"/>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宋体" w:hAnsi="宋体" w:eastAsia="宋体" w:cs="宋体"/>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80" w:lineRule="exact" w:before="0" w:after="0"/>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九、土地估价机构</w:t>
      </w:r>
    </w:p>
    <w:p w14:paraId="53022D82">
      <w:pPr>
        <w:tabs>
          <w:tab w:val="left" w:pos="3780"/>
        </w:tabs>
        <w:spacing w:before="0" w:beforeLines="100" w:line="480" w:lineRule="exact" w:after="0"/>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1B0F9F6C">
      <w:pPr>
        <w:pStyle w:val="13"/>
        <w:keepNext w:val="0"/>
        <w:keepLines w:val="0"/>
        <w:pageBreakBefore w:val="0"/>
        <w:widowControl w:val="0"/>
        <w:kinsoku/>
        <w:wordWrap/>
        <w:overflowPunct/>
        <w:topLinePunct w:val="0"/>
        <w:autoSpaceDE/>
        <w:autoSpaceDN/>
        <w:bidi w:val="0"/>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ascii="仿宋_GB2312" w:hAnsi="仿宋_GB2312" w:eastAsia="仿宋_GB2312" w:cs="仿宋_GB2312"/>
          <w:color w:val="000000"/>
          <w:sz w:val="28"/>
        </w:rPr>
        <w:t xml:space="preserve">                              {{ report_date }}</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480" w:lineRule="exact" w:before="0" w:after="0"/>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p>
    <w:p w14:paraId="170F58C6">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44C42AC6">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report_no }}           估价目的：{{ transfer_purpose }}                    估价期日的土地使用权性质：{{ right_type }}</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Mar>
              <w:top w:w="35" w:type="dxa"/>
              <w:left w:w="35" w:type="dxa"/>
              <w:bottom w:w="35" w:type="dxa"/>
              <w:right w:w="35" w:type="dxa"/>
            </w:tcMa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5" w:type="pct"/>
            <w:vMerge w:val="restart"/>
            <w:vAlign w:val="center"/>
            <w:tcMar>
              <w:top w:w="35" w:type="dxa"/>
              <w:left w:w="35" w:type="dxa"/>
              <w:bottom w:w="35" w:type="dxa"/>
              <w:right w:w="35" w:type="dxa"/>
            </w:tcMa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63" w:type="pct"/>
            <w:vMerge w:val="restart"/>
            <w:vAlign w:val="center"/>
            <w:tcMar>
              <w:top w:w="35" w:type="dxa"/>
              <w:left w:w="35" w:type="dxa"/>
              <w:bottom w:w="35" w:type="dxa"/>
              <w:right w:w="35" w:type="dxa"/>
            </w:tcMa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7" w:type="pct"/>
            <w:vMerge w:val="restart"/>
            <w:vAlign w:val="center"/>
            <w:tcMar>
              <w:top w:w="35" w:type="dxa"/>
              <w:left w:w="35" w:type="dxa"/>
              <w:bottom w:w="35" w:type="dxa"/>
              <w:right w:w="35" w:type="dxa"/>
            </w:tcMa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41" w:type="pct"/>
            <w:gridSpan w:val="3"/>
            <w:vAlign w:val="center"/>
            <w:tcMar>
              <w:top w:w="35" w:type="dxa"/>
              <w:left w:w="35" w:type="dxa"/>
              <w:bottom w:w="35" w:type="dxa"/>
              <w:right w:w="35" w:type="dxa"/>
            </w:tcMa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628" w:type="pct"/>
            <w:gridSpan w:val="3"/>
            <w:vAlign w:val="center"/>
            <w:tcMar>
              <w:top w:w="35" w:type="dxa"/>
              <w:left w:w="35" w:type="dxa"/>
              <w:bottom w:w="35" w:type="dxa"/>
              <w:right w:w="35" w:type="dxa"/>
            </w:tcMa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5" w:type="pct"/>
            <w:vMerge w:val="restart"/>
            <w:vAlign w:val="center"/>
            <w:tcMar>
              <w:top w:w="35" w:type="dxa"/>
              <w:left w:w="35" w:type="dxa"/>
              <w:bottom w:w="35" w:type="dxa"/>
              <w:right w:w="35" w:type="dxa"/>
            </w:tcMa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8" w:type="pct"/>
            <w:vMerge w:val="restart"/>
            <w:vAlign w:val="center"/>
            <w:tcMar>
              <w:top w:w="35" w:type="dxa"/>
              <w:left w:w="35" w:type="dxa"/>
              <w:bottom w:w="35" w:type="dxa"/>
              <w:right w:w="35" w:type="dxa"/>
            </w:tcMa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72" w:type="pct"/>
            <w:vMerge w:val="restart"/>
            <w:vAlign w:val="center"/>
            <w:tcMar>
              <w:top w:w="35" w:type="dxa"/>
              <w:left w:w="35" w:type="dxa"/>
              <w:bottom w:w="35" w:type="dxa"/>
              <w:right w:w="35" w:type="dxa"/>
            </w:tcMa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5" w:type="pct"/>
            <w:vMerge w:val="restart"/>
            <w:vAlign w:val="center"/>
            <w:tcMar>
              <w:top w:w="35" w:type="dxa"/>
              <w:left w:w="35" w:type="dxa"/>
              <w:bottom w:w="35" w:type="dxa"/>
              <w:right w:w="35" w:type="dxa"/>
            </w:tcMa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24" w:type="pct"/>
            <w:vMerge w:val="restart"/>
            <w:vAlign w:val="center"/>
            <w:tcMar>
              <w:top w:w="35" w:type="dxa"/>
              <w:left w:w="35" w:type="dxa"/>
              <w:bottom w:w="35" w:type="dxa"/>
              <w:right w:w="35" w:type="dxa"/>
            </w:tcMa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35" w:type="pct"/>
            <w:vMerge w:val="restart"/>
            <w:vAlign w:val="center"/>
            <w:tcMar>
              <w:top w:w="35" w:type="dxa"/>
              <w:left w:w="35" w:type="dxa"/>
              <w:bottom w:w="35" w:type="dxa"/>
              <w:right w:w="35" w:type="dxa"/>
            </w:tcMa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8" w:type="pct"/>
            <w:vMerge w:val="restart"/>
            <w:vAlign w:val="center"/>
            <w:tcMar>
              <w:top w:w="35" w:type="dxa"/>
              <w:left w:w="35" w:type="dxa"/>
              <w:bottom w:w="35" w:type="dxa"/>
              <w:right w:w="35" w:type="dxa"/>
            </w:tcMa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22" w:type="pct"/>
            <w:vMerge w:val="restart"/>
            <w:vAlign w:val="center"/>
            <w:tcMar>
              <w:top w:w="35" w:type="dxa"/>
              <w:left w:w="35" w:type="dxa"/>
              <w:bottom w:w="35" w:type="dxa"/>
              <w:right w:w="35" w:type="dxa"/>
            </w:tcMa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Mar>
              <w:top w:w="35" w:type="dxa"/>
              <w:left w:w="35" w:type="dxa"/>
              <w:bottom w:w="35" w:type="dxa"/>
              <w:right w:w="35" w:type="dxa"/>
            </w:tcMa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81" w:type="pct"/>
            <w:vAlign w:val="center"/>
            <w:tcMar>
              <w:top w:w="35" w:type="dxa"/>
              <w:left w:w="35" w:type="dxa"/>
              <w:bottom w:w="35" w:type="dxa"/>
              <w:right w:w="35" w:type="dxa"/>
            </w:tcMa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7" w:type="pct"/>
            <w:vAlign w:val="center"/>
            <w:tcMar>
              <w:top w:w="35" w:type="dxa"/>
              <w:left w:w="35" w:type="dxa"/>
              <w:bottom w:w="35" w:type="dxa"/>
              <w:right w:w="35" w:type="dxa"/>
            </w:tcMa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171" w:type="pct"/>
            <w:vAlign w:val="center"/>
            <w:tcMar>
              <w:top w:w="35" w:type="dxa"/>
              <w:left w:w="35" w:type="dxa"/>
              <w:bottom w:w="35" w:type="dxa"/>
              <w:right w:w="35" w:type="dxa"/>
            </w:tcMa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53" w:type="pct"/>
            <w:vAlign w:val="center"/>
            <w:tcMar>
              <w:top w:w="35" w:type="dxa"/>
              <w:left w:w="35" w:type="dxa"/>
              <w:bottom w:w="35" w:type="dxa"/>
              <w:right w:w="35" w:type="dxa"/>
            </w:tcMa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3" w:type="pct"/>
            <w:vAlign w:val="center"/>
            <w:tcMar>
              <w:top w:w="35" w:type="dxa"/>
              <w:left w:w="35" w:type="dxa"/>
              <w:bottom w:w="35" w:type="dxa"/>
              <w:right w:w="35" w:type="dxa"/>
            </w:tcMa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Mar>
              <w:top w:w="35" w:type="dxa"/>
              <w:left w:w="35" w:type="dxa"/>
              <w:bottom w:w="35" w:type="dxa"/>
              <w:right w:w="35" w:type="dxa"/>
            </w:tcMa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5" w:type="pct"/>
            <w:vAlign w:val="center"/>
            <w:tcMar>
              <w:top w:w="35" w:type="dxa"/>
              <w:left w:w="35" w:type="dxa"/>
              <w:bottom w:w="35" w:type="dxa"/>
              <w:right w:w="35" w:type="dxa"/>
            </w:tcMa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63" w:type="pct"/>
            <w:vAlign w:val="center"/>
            <w:tcMar>
              <w:top w:w="35" w:type="dxa"/>
              <w:left w:w="35" w:type="dxa"/>
              <w:bottom w:w="35" w:type="dxa"/>
              <w:right w:w="35" w:type="dxa"/>
            </w:tcMa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7" w:type="pct"/>
            <w:vAlign w:val="center"/>
            <w:tcMar>
              <w:top w:w="35" w:type="dxa"/>
              <w:left w:w="35" w:type="dxa"/>
              <w:bottom w:w="35" w:type="dxa"/>
              <w:right w:w="35" w:type="dxa"/>
            </w:tcMa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62" w:type="pct"/>
            <w:vAlign w:val="center"/>
            <w:tcMar>
              <w:top w:w="35" w:type="dxa"/>
              <w:left w:w="35" w:type="dxa"/>
              <w:bottom w:w="35" w:type="dxa"/>
              <w:right w:w="35" w:type="dxa"/>
            </w:tcMa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81" w:type="pct"/>
            <w:vAlign w:val="center"/>
            <w:tcMar>
              <w:top w:w="35" w:type="dxa"/>
              <w:left w:w="35" w:type="dxa"/>
              <w:bottom w:w="35" w:type="dxa"/>
              <w:right w:w="35" w:type="dxa"/>
            </w:tcMa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7" w:type="pct"/>
            <w:vAlign w:val="center"/>
            <w:tcMar>
              <w:top w:w="35" w:type="dxa"/>
              <w:left w:w="35" w:type="dxa"/>
              <w:bottom w:w="35" w:type="dxa"/>
              <w:right w:w="35" w:type="dxa"/>
            </w:tcMa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1" w:type="pct"/>
            <w:vAlign w:val="center"/>
            <w:tcMar>
              <w:top w:w="35" w:type="dxa"/>
              <w:left w:w="35" w:type="dxa"/>
              <w:bottom w:w="35" w:type="dxa"/>
              <w:right w:w="35" w:type="dxa"/>
            </w:tcMa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53" w:type="pct"/>
            <w:vAlign w:val="center"/>
            <w:tcMar>
              <w:top w:w="35" w:type="dxa"/>
              <w:left w:w="35" w:type="dxa"/>
              <w:bottom w:w="35" w:type="dxa"/>
              <w:right w:w="35" w:type="dxa"/>
            </w:tcMa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3" w:type="pct"/>
            <w:vAlign w:val="center"/>
            <w:tcMar>
              <w:top w:w="35" w:type="dxa"/>
              <w:left w:w="35" w:type="dxa"/>
              <w:bottom w:w="35" w:type="dxa"/>
              <w:right w:w="35" w:type="dxa"/>
            </w:tcMa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5" w:type="pct"/>
            <w:vAlign w:val="center"/>
            <w:tcMar>
              <w:top w:w="35" w:type="dxa"/>
              <w:left w:w="35" w:type="dxa"/>
              <w:bottom w:w="35" w:type="dxa"/>
              <w:right w:w="35" w:type="dxa"/>
            </w:tcMa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8" w:type="pct"/>
            <w:vAlign w:val="center"/>
            <w:tcMar>
              <w:top w:w="35" w:type="dxa"/>
              <w:left w:w="35" w:type="dxa"/>
              <w:bottom w:w="35" w:type="dxa"/>
              <w:right w:w="35" w:type="dxa"/>
            </w:tcMa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72" w:type="pct"/>
            <w:vAlign w:val="center"/>
            <w:tcMar>
              <w:top w:w="35" w:type="dxa"/>
              <w:left w:w="35" w:type="dxa"/>
              <w:bottom w:w="35" w:type="dxa"/>
              <w:right w:w="35" w:type="dxa"/>
            </w:tcMa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5" w:type="pct"/>
            <w:vAlign w:val="center"/>
            <w:tcMar>
              <w:top w:w="35" w:type="dxa"/>
              <w:left w:w="35" w:type="dxa"/>
              <w:bottom w:w="35" w:type="dxa"/>
              <w:right w:w="35" w:type="dxa"/>
            </w:tcMa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24" w:type="pct"/>
            <w:vAlign w:val="center"/>
            <w:tcMar>
              <w:top w:w="35" w:type="dxa"/>
              <w:left w:w="35" w:type="dxa"/>
              <w:bottom w:w="35" w:type="dxa"/>
              <w:right w:w="35" w:type="dxa"/>
            </w:tcMa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35" w:type="pct"/>
            <w:vAlign w:val="center"/>
            <w:tcMar>
              <w:top w:w="35" w:type="dxa"/>
              <w:left w:w="35" w:type="dxa"/>
              <w:bottom w:w="35" w:type="dxa"/>
              <w:right w:w="35" w:type="dxa"/>
            </w:tcMa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8" w:type="pct"/>
            <w:shd w:val="clear" w:color="auto" w:fill="auto"/>
            <w:vAlign w:val="center"/>
            <w:tcMar>
              <w:top w:w="35" w:type="dxa"/>
              <w:left w:w="35" w:type="dxa"/>
              <w:bottom w:w="35" w:type="dxa"/>
              <w:right w:w="35" w:type="dxa"/>
            </w:tcMa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22" w:type="pct"/>
            <w:vAlign w:val="center"/>
            <w:tcMar>
              <w:top w:w="35" w:type="dxa"/>
              <w:left w:w="35" w:type="dxa"/>
              <w:bottom w:w="35" w:type="dxa"/>
              <w:right w:w="35" w:type="dxa"/>
            </w:tcMa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785B2A9">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72DFE86F">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459F75BC">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29D4C3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2B90C41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0" w:beforeLines="50" w:after="0" w:afterLines="100" w:line="56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210314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10EAE0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EA4EA1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023DB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0507BE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556188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441D6F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5639949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72789BC">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本次估价对象为{{ client_name }}{{ transfer_purpose }}涉及的位于{{ land_location_full }}的{{ parcel_count }}{{ land_usage }}国有建设用地使用权，根据《评估委托书》、{{ basis_docs_rendered }}、《{{ county_name }}{{ land_plot_number }}号地块建设用地规划红线图》等资料，估价对象土地面积为{{ land_area }}平方米，土地开发程度为{{ land_development_set }}，土地使用者为{{ land_user }}。</w:t>
      </w:r>
      <w:r>
        <w:rPr>
          <w:rFonts w:ascii="仿宋_GB2312" w:hAnsi="仿宋_GB2312" w:eastAsia="仿宋_GB2312" w:cs="仿宋_GB2312"/>
          <w:color w:val="000000"/>
          <w:sz w:val="28"/>
        </w:rPr>
      </w:r>
    </w:p>
    <w:p w14:paraId="5650E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3A3D5A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6EC8BC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3892FF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FB5FD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4D8F55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80" w:lineRule="exact" w:before="0" w:after="0"/>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宋体" w:ascii="宋体" w:hAnsi="宋体" w:cs="宋体"/>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spacing w:before="0" w:after="0" w:line="480" w:lineRule="exact"/>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6544F15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56CB68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044D550C">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089F9922">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1BB2278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5C1304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0FCC2F77">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849B2D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0" w:beforeLines="50" w:after="0" w:afterLines="100" w:line="56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80" w:lineRule="exact" w:before="0" w:after="0"/>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079C58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7A0635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80" w:lineRule="exact" w:before="0" w:after="0"/>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2D9A1B3A">
      <w:pPr>
        <w:keepNext w:val="0"/>
        <w:keepLines w:val="0"/>
        <w:pageBreakBefore w:val="0"/>
        <w:widowControl w:val="0"/>
        <w:kinsoku/>
        <w:wordWrap/>
        <w:overflowPunct w:val="0"/>
        <w:topLinePunct w:val="0"/>
        <w:autoSpaceDE w:val="0"/>
        <w:autoSpaceDN w:val="0"/>
        <w:bidi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keepNext/>
        <w:spacing w:before="0" w:after="0" w:line="480" w:lineRule="exact"/>
        <w:ind w:firstLine="561"/>
      </w:pPr>
      <w:r>
        <w:rPr>
          <w:rFonts w:ascii="仿宋_GB2312" w:hAnsi="仿宋_GB2312" w:eastAsia="仿宋_GB2312" w:cs="仿宋_GB2312"/>
          <w:b/>
          <w:sz w:val="28"/>
        </w:rPr>
        <w:t>★基准地价系数修正法</w:t>
      </w:r>
    </w:p>
    <w:p>
      <w:pPr>
        <w:keepNext/>
        <w:spacing w:before="0" w:after="0" w:line="480" w:lineRule="exact"/>
        <w:ind w:firstLine="561"/>
      </w:pPr>
      <w:r>
        <w:rPr>
          <w:rFonts w:ascii="仿宋_GB2312" w:hAnsi="仿宋_GB2312" w:eastAsia="仿宋_GB2312" w:cs="仿宋_GB2312"/>
          <w:b w:val="0"/>
          <w:sz w:val="28"/>
        </w:rPr>
        <w:t>基准地价系数修正法估价过程</w:t>
      </w:r>
    </w:p>
    <w:p>
      <w:pPr>
        <w:spacing w:before="0" w:after="0" w:line="480" w:lineRule="exact"/>
        <w:ind w:firstLine="561"/>
      </w:pPr>
      <w:r>
        <w:rPr>
          <w:rFonts w:ascii="仿宋_GB2312" w:hAnsi="仿宋_GB2312" w:eastAsia="仿宋_GB2312" w:cs="仿宋_GB2312"/>
          <w:b w:val="0"/>
          <w:sz w:val="28"/>
        </w:rPr>
        <w:t>基准地价系数修正法是利用城镇基准地价和基准地价修正系数表等评估成果，按照替代原则，对估价对象的区域条件和个别条件等与其所处区域的平均条件相比较，并对照修正系数表选取相应的修正系数对基准地价进行修正，进而求取估价对象在估价基准日价格的方法。</w:t>
      </w:r>
    </w:p>
    <w:p>
      <w:pPr>
        <w:spacing w:before="0" w:after="0" w:line="480" w:lineRule="exact"/>
        <w:ind w:firstLine="561"/>
      </w:pPr>
      <w:r>
        <w:rPr>
          <w:rFonts w:ascii="仿宋_GB2312" w:hAnsi="仿宋_GB2312" w:eastAsia="仿宋_GB2312" w:cs="仿宋_GB2312"/>
          <w:b w:val="0"/>
          <w:sz w:val="28"/>
        </w:rPr>
        <w:t>根据《城镇土地估价规程》（GB/T18508-2014），运用基准地价系数修正法评估宗地价格一般分以下几个步骤进行：</w:t>
      </w:r>
    </w:p>
    <w:p>
      <w:pPr>
        <w:spacing w:before="0" w:after="0" w:line="480" w:lineRule="exact"/>
        <w:ind w:firstLine="561"/>
      </w:pPr>
      <w:r>
        <w:rPr>
          <w:rFonts w:ascii="仿宋_GB2312" w:hAnsi="仿宋_GB2312" w:eastAsia="仿宋_GB2312" w:cs="仿宋_GB2312"/>
          <w:b w:val="0"/>
          <w:sz w:val="28"/>
        </w:rPr>
        <w:t>（1）具体说明本次评估所采用的基准地价的制定情况、内涵及其测算公式；</w:t>
      </w:r>
    </w:p>
    <w:p>
      <w:pPr>
        <w:spacing w:before="0" w:after="0" w:line="480" w:lineRule="exact"/>
        <w:ind w:firstLine="561"/>
      </w:pPr>
      <w:r>
        <w:rPr>
          <w:rFonts w:ascii="仿宋_GB2312" w:hAnsi="仿宋_GB2312" w:eastAsia="仿宋_GB2312" w:cs="仿宋_GB2312"/>
          <w:b w:val="0"/>
          <w:sz w:val="28"/>
        </w:rPr>
        <w:t>（2）根据估价对象的具体位置及当地城区土地级别图，确定估价对象所在土地级别和基准地价；</w:t>
      </w:r>
    </w:p>
    <w:p>
      <w:pPr>
        <w:spacing w:before="0" w:after="0" w:line="480" w:lineRule="exact"/>
        <w:ind w:firstLine="561"/>
      </w:pPr>
      <w:r>
        <w:rPr>
          <w:rFonts w:ascii="仿宋_GB2312" w:hAnsi="仿宋_GB2312" w:eastAsia="仿宋_GB2312" w:cs="仿宋_GB2312"/>
          <w:b w:val="0"/>
          <w:sz w:val="28"/>
        </w:rPr>
        <w:t>（3）根据估价对象具体用途、规划限制条件等，确定其容积率修正系数；</w:t>
      </w:r>
    </w:p>
    <w:p>
      <w:pPr>
        <w:spacing w:before="0" w:after="0" w:line="480" w:lineRule="exact"/>
        <w:ind w:firstLine="561"/>
      </w:pPr>
      <w:r>
        <w:rPr>
          <w:rFonts w:ascii="仿宋_GB2312" w:hAnsi="仿宋_GB2312" w:eastAsia="仿宋_GB2312" w:cs="仿宋_GB2312"/>
          <w:b w:val="0"/>
          <w:sz w:val="28"/>
        </w:rPr>
        <w:t>（4）根据估价对象具体土地使用年期，确定其年期修正系数；</w:t>
      </w:r>
    </w:p>
    <w:p>
      <w:pPr>
        <w:spacing w:before="0" w:after="0" w:line="480" w:lineRule="exact"/>
        <w:ind w:firstLine="561"/>
      </w:pPr>
      <w:r>
        <w:rPr>
          <w:rFonts w:ascii="仿宋_GB2312" w:hAnsi="仿宋_GB2312" w:eastAsia="仿宋_GB2312" w:cs="仿宋_GB2312"/>
          <w:b w:val="0"/>
          <w:sz w:val="28"/>
        </w:rPr>
        <w:t>（5）根据估价对象估价期日和基准地价基准日，确定期日修正系数；</w:t>
      </w:r>
    </w:p>
    <w:p>
      <w:pPr>
        <w:spacing w:before="0" w:after="0" w:line="480" w:lineRule="exact"/>
        <w:ind w:firstLine="561"/>
      </w:pPr>
      <w:r>
        <w:rPr>
          <w:rFonts w:ascii="仿宋_GB2312" w:hAnsi="仿宋_GB2312" w:eastAsia="仿宋_GB2312" w:cs="仿宋_GB2312"/>
          <w:b w:val="0"/>
          <w:sz w:val="28"/>
        </w:rPr>
        <w:t>（6）根据估价对象的实际情况以及基准地价修正体系，确定区域及个别因素修正值；</w:t>
      </w:r>
    </w:p>
    <w:p>
      <w:pPr>
        <w:spacing w:before="0" w:after="0" w:line="480" w:lineRule="exact"/>
        <w:ind w:firstLine="561"/>
      </w:pPr>
      <w:r>
        <w:rPr>
          <w:rFonts w:ascii="仿宋_GB2312" w:hAnsi="仿宋_GB2312" w:eastAsia="仿宋_GB2312" w:cs="仿宋_GB2312"/>
          <w:b w:val="0"/>
          <w:sz w:val="28"/>
        </w:rPr>
        <w:t>（7）根据估价对象实际开发程度和基准地价内涵开发程度，确定开发程度修正；</w:t>
      </w:r>
    </w:p>
    <w:p>
      <w:pPr>
        <w:spacing w:before="0" w:after="0" w:line="480" w:lineRule="exact"/>
        <w:ind w:firstLine="561"/>
      </w:pPr>
      <w:r>
        <w:rPr>
          <w:rFonts w:ascii="仿宋_GB2312" w:hAnsi="仿宋_GB2312" w:eastAsia="仿宋_GB2312" w:cs="仿宋_GB2312"/>
          <w:b w:val="0"/>
          <w:sz w:val="28"/>
        </w:rPr>
        <w:t>（8）根据基准地价内涵规定的公式，计算基准地价系数修正法测算结果。</w:t>
      </w:r>
    </w:p>
    <w:p>
      <w:pPr>
        <w:keepNext/>
        <w:spacing w:before="0" w:after="0" w:line="480" w:lineRule="exact"/>
        <w:ind w:firstLine="561"/>
      </w:pPr>
      <w:r>
        <w:rPr>
          <w:rFonts w:ascii="仿宋_GB2312" w:hAnsi="仿宋_GB2312" w:eastAsia="仿宋_GB2312" w:cs="仿宋_GB2312"/>
          <w:b w:val="0"/>
          <w:sz w:val="28"/>
        </w:rPr>
        <w:t>1、基准地价评估依据</w:t>
      </w:r>
    </w:p>
    <w:p>
      <w:pPr>
        <w:spacing w:before="0" w:after="0" w:line="480" w:lineRule="exact"/>
        <w:ind w:firstLine="561"/>
      </w:pPr>
      <w:r>
        <w:rPr>
          <w:rFonts w:ascii="仿宋_GB2312" w:hAnsi="仿宋_GB2312" w:eastAsia="仿宋_GB2312" w:cs="仿宋_GB2312"/>
          <w:b w:val="0"/>
          <w:sz w:val="28"/>
        </w:rPr>
        <w:t>根据估价对象区域因素及个别因素，按照《城镇土地估价规程》要求，结合通道县基准地价的执行情况。通道县基准地价的依据是《通道侗族自治县城镇基准地价更新技术报告》（2025年11月）。</w:t>
      </w:r>
    </w:p>
    <w:p>
      <w:pPr>
        <w:spacing w:before="0" w:after="0" w:line="480" w:lineRule="exact"/>
        <w:ind w:firstLine="561"/>
      </w:pPr>
      <w:r>
        <w:rPr>
          <w:rFonts w:ascii="仿宋_GB2312" w:hAnsi="仿宋_GB2312" w:eastAsia="仿宋_GB2312" w:cs="仿宋_GB2312"/>
          <w:b w:val="0"/>
          <w:sz w:val="28"/>
        </w:rPr>
        <w:t>出让土地使用权基准地价的内涵为：在估价基准日2025.04.01，各土地级别或均质区域内，现状平均土地开发程度和平均容积率下，同一用途的完整土地使用权的平均价格。</w:t>
      </w:r>
    </w:p>
    <w:p>
      <w:pPr>
        <w:spacing w:before="0" w:after="0" w:line="480" w:lineRule="exact"/>
        <w:ind w:firstLine="561"/>
      </w:pPr>
      <w:r>
        <w:rPr>
          <w:rFonts w:ascii="仿宋_GB2312" w:hAnsi="仿宋_GB2312" w:eastAsia="仿宋_GB2312" w:cs="仿宋_GB2312"/>
          <w:b w:val="0"/>
          <w:sz w:val="28"/>
        </w:rPr>
        <w:t>地类按商业服务业、居住、公共管理与公共服务、工矿、仓储、公用设施用地区分，各类用地的使用年期均为法定最高使用年限。通道县城区基准地价及其内涵具体情况见下表：</w:t>
      </w:r>
    </w:p>
    <w:p>
      <w:pPr>
        <w:keepNext/>
        <w:spacing w:before="157" w:after="10" w:line="480" w:lineRule="exact"/>
        <w:ind w:left="0" w:right="0" w:firstLine="0"/>
        <w:jc w:val="center"/>
      </w:pPr>
      <w:r>
        <w:rPr>
          <w:rFonts w:ascii="仿宋_GB2312" w:hAnsi="仿宋_GB2312" w:eastAsia="仿宋_GB2312" w:cs="仿宋_GB2312"/>
          <w:b w:val="0"/>
          <w:sz w:val="28"/>
        </w:rPr>
        <w:t>表3-1 通道县城区基准地价内涵</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9"/>
        <w:gridCol w:w="519"/>
        <w:gridCol w:w="519"/>
        <w:gridCol w:w="519"/>
        <w:gridCol w:w="519"/>
        <w:gridCol w:w="519"/>
        <w:gridCol w:w="519"/>
        <w:gridCol w:w="519"/>
        <w:gridCol w:w="519"/>
        <w:gridCol w:w="519"/>
        <w:gridCol w:w="519"/>
        <w:gridCol w:w="519"/>
        <w:gridCol w:w="519"/>
        <w:gridCol w:w="519"/>
        <w:gridCol w:w="519"/>
        <w:gridCol w:w="519"/>
      </w:tblGrid>
      <w:tr>
        <w:trPr>
          <w:tblHeader w:val="1"/>
          <w:cantSplit/>
        </w:trPr>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级别</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土地权利</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商业服务业用地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居住用地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工矿用地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仓储用地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公共管理与公共服务用地</w:t>
            </w:r>
          </w:p>
        </w:tc>
        <w:tc>
          <w:tcPr>
            <w:tcW w:type="dxa" w:w="570"/>
            <w:gridSpan w:val="2"/>
            <w:vAlign w:val="center"/>
          </w:tcPr>
          <w:p>
            <w:pPr>
              <w:spacing w:before="0" w:after="0" w:line="260" w:lineRule="exact"/>
              <w:ind w:left="0" w:right="0" w:firstLine="0"/>
              <w:jc w:val="center"/>
            </w:pPr>
            <w:r>
              <w:rPr>
                <w:rFonts w:ascii="仿宋_GB2312" w:hAnsi="仿宋_GB2312" w:eastAsia="仿宋_GB2312" w:cs="仿宋_GB2312"/>
                <w:b w:val="0"/>
                <w:sz w:val="18"/>
              </w:rPr>
              <w:t>公用设施用地</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开发程度</w:t>
            </w:r>
          </w:p>
        </w:tc>
        <w:tc>
          <w:tcPr>
            <w:tcW w:type="dxa" w:w="570"/>
            <w:vMerge w:val="restart"/>
            <w:vAlign w:val="center"/>
          </w:tcPr>
          <w:p>
            <w:pPr>
              <w:spacing w:before="0" w:after="0" w:line="260" w:lineRule="exact"/>
              <w:ind w:left="0" w:right="0" w:firstLine="0"/>
              <w:jc w:val="center"/>
            </w:pPr>
            <w:r>
              <w:rPr>
                <w:rFonts w:ascii="仿宋_GB2312" w:hAnsi="仿宋_GB2312" w:eastAsia="仿宋_GB2312" w:cs="仿宋_GB2312"/>
                <w:b w:val="0"/>
                <w:sz w:val="18"/>
              </w:rPr>
              <w:t>估价期日</w:t>
            </w:r>
          </w:p>
        </w:tc>
      </w:tr>
      <w:tr>
        <w:trPr>
          <w:tblHeader w:val="1"/>
          <w:cantSplit/>
        </w:trPr>
        <w:tc>
          <w:tcPr>
            <w:tcW w:type="dxa" w:w="519"/>
            <w:vMerge/>
          </w:tcPr>
          <w:p/>
        </w:tc>
        <w:tc>
          <w:tcPr>
            <w:tcW w:type="dxa" w:w="519"/>
            <w:vMerge/>
          </w:tcP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使用年期</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519"/>
            <w:vMerge/>
          </w:tcPr>
          <w:p/>
        </w:tc>
        <w:tc>
          <w:tcPr>
            <w:tcW w:type="dxa" w:w="519"/>
            <w:vMerge/>
          </w:tcP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出让土地使用权</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五通一平</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2025.4.1</w:t>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40年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70年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50年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r>
        <w:trPr>
          <w:cantSplit/>
        </w:trPr>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t>注：1、本次土地用途根据《国土空间调查、规划、用途管制用地用海分类指南》进行分类，商业服务业用地对应上轮基准地价用途中的商服用地，居住用地对应住宅用地，工矿用地、仓储用地对应工矿仓储用地，公共管理与公共服务用地、公用设施用地对应公共管理与公共服务用地，其中：(1)公共管理与公共服务用地指：机关团体、科研、文化、教育、体育、医疗卫生、社会福利用地；(2)公用设施用地指：供水、排水、供电、供燃气、通信、邮政、广播电视设施、环卫、消防、水工设施；2、五通一平指：红线外通路、通电、通讯、通上水、通下水，红线内场地平整。</w:t>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c>
          <w:tcPr>
            <w:tcW w:type="dxa" w:w="570"/>
            <w:vAlign w:val="center"/>
          </w:tcPr>
          <w:p>
            <w:pPr>
              <w:spacing w:before="0" w:after="0" w:line="260" w:lineRule="exact"/>
              <w:ind w:firstLine="0" w:left="0" w:right="0"/>
              <w:jc w:val="center"/>
            </w:pPr>
            <w:r>
              <w:rPr>
                <w:rFonts w:ascii="仿宋_GB2312" w:hAnsi="仿宋_GB2312" w:eastAsia="仿宋_GB2312" w:cs="仿宋_GB2312"/>
                <w:b w:val="0"/>
                <w:sz w:val="18"/>
              </w:rPr>
            </w:r>
          </w:p>
        </w:tc>
      </w:tr>
    </w:tbl>
    <w:p>
      <w:pPr>
        <w:keepNext/>
        <w:spacing w:before="157" w:after="10" w:line="480" w:lineRule="exact"/>
        <w:ind w:left="0" w:right="0" w:firstLine="0"/>
        <w:jc w:val="center"/>
      </w:pPr>
      <w:r>
        <w:rPr>
          <w:rFonts w:ascii="仿宋_GB2312" w:hAnsi="仿宋_GB2312" w:eastAsia="仿宋_GB2312" w:cs="仿宋_GB2312"/>
          <w:b w:val="0"/>
          <w:sz w:val="28"/>
        </w:rPr>
        <w:t>表3-2 通道县城区级别基准地价（元/平方米）</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2560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2080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950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750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工矿用地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305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265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仓储用地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340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公共管理与公共服务用地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425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公用设施用地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275</w:t>
            </w:r>
          </w:p>
        </w:tc>
      </w:tr>
    </w:tbl>
    <w:p>
      <w:pPr>
        <w:keepNext/>
        <w:spacing w:before="0" w:after="0" w:line="480" w:lineRule="exact"/>
        <w:ind w:firstLine="561"/>
      </w:pPr>
      <w:r>
        <w:rPr>
          <w:rFonts w:ascii="仿宋_GB2312" w:hAnsi="仿宋_GB2312" w:eastAsia="仿宋_GB2312" w:cs="仿宋_GB2312"/>
          <w:b w:val="0"/>
          <w:sz w:val="28"/>
        </w:rPr>
        <w:t>2、基准地价系数修正法的基本公式</w:t>
      </w:r>
    </w:p>
    <w:p>
      <w:pPr>
        <w:spacing w:before="0" w:after="0" w:line="480" w:lineRule="exact"/>
        <w:ind w:firstLine="561"/>
      </w:pPr>
      <w:r>
        <w:rPr>
          <w:rFonts w:ascii="仿宋_GB2312" w:hAnsi="仿宋_GB2312" w:eastAsia="仿宋_GB2312" w:cs="仿宋_GB2312"/>
          <w:b w:val="0"/>
          <w:sz w:val="28"/>
        </w:rPr>
        <w:t>根据估价对象实际情况，本次评估采用基准地价系数修正法评估商业服务业用地土地价格的基本计算公式为：</w:t>
      </w:r>
    </w:p>
    <w:p>
      <w:pPr>
        <w:spacing w:before="0" w:after="0" w:line="480" w:lineRule="exact"/>
        <w:ind w:firstLine="561"/>
      </w:pPr>
      <w:r>
        <w:rPr>
          <w:rFonts w:ascii="仿宋_GB2312" w:hAnsi="仿宋_GB2312" w:eastAsia="仿宋_GB2312" w:cs="仿宋_GB2312"/>
          <w:b w:val="0"/>
          <w:sz w:val="28"/>
        </w:rPr>
        <w:t>1、商业服务业用地（临街）</w:t>
      </w:r>
    </w:p>
    <w:p>
      <w:pPr>
        <w:keepLines/>
        <w:spacing w:before="0" w:after="0" w:line="480" w:lineRule="exact"/>
        <w:ind w:firstLine="0" w:left="561" w:right="0"/>
        <w:jc w:val="left"/>
      </w:pPr>
      <w:r>
        <w:rPr>
          <w:rFonts w:ascii="仿宋_GB2312" w:hAnsi="仿宋_GB2312" w:eastAsia="仿宋_GB2312" w:cs="仿宋_GB2312"/>
          <w:b w:val="0"/>
          <w:sz w:val="28"/>
        </w:rPr>
        <w:t>P商=路线价×Ky×Kv×Kt×Ks×Ka×Kc×Kk×Kd×Ku＋Kf</w:t>
      </w:r>
    </w:p>
    <w:p>
      <w:pPr>
        <w:spacing w:before="0" w:after="0" w:line="480" w:lineRule="exact"/>
        <w:ind w:firstLine="561"/>
      </w:pPr>
      <w:r>
        <w:rPr>
          <w:rFonts w:ascii="仿宋_GB2312" w:hAnsi="仿宋_GB2312" w:eastAsia="仿宋_GB2312" w:cs="仿宋_GB2312"/>
          <w:b w:val="0"/>
          <w:sz w:val="28"/>
        </w:rPr>
        <w:t>式中：</w:t>
      </w:r>
    </w:p>
    <w:p>
      <w:pPr>
        <w:spacing w:before="0" w:after="0" w:line="480" w:lineRule="exact"/>
        <w:ind w:firstLine="561"/>
      </w:pPr>
      <w:r>
        <w:rPr>
          <w:rFonts w:ascii="仿宋_GB2312" w:hAnsi="仿宋_GB2312" w:eastAsia="仿宋_GB2312" w:cs="仿宋_GB2312"/>
          <w:b w:val="0"/>
          <w:sz w:val="28"/>
        </w:rPr>
        <w:t>P商——估价对象设定开发程度条件下宗地地价</w:t>
      </w:r>
    </w:p>
    <w:p>
      <w:pPr>
        <w:spacing w:before="0" w:after="0" w:line="480" w:lineRule="exact"/>
        <w:ind w:firstLine="561"/>
      </w:pPr>
      <w:r>
        <w:rPr>
          <w:rFonts w:ascii="仿宋_GB2312" w:hAnsi="仿宋_GB2312" w:eastAsia="仿宋_GB2312" w:cs="仿宋_GB2312"/>
          <w:b w:val="0"/>
          <w:sz w:val="28"/>
        </w:rPr>
        <w:t>Po——估价对象所临路线价</w:t>
      </w:r>
    </w:p>
    <w:p>
      <w:pPr>
        <w:spacing w:before="0" w:after="0" w:line="480" w:lineRule="exact"/>
        <w:ind w:firstLine="561"/>
      </w:pPr>
      <w:r>
        <w:rPr>
          <w:rFonts w:ascii="仿宋_GB2312" w:hAnsi="仿宋_GB2312" w:eastAsia="仿宋_GB2312" w:cs="仿宋_GB2312"/>
          <w:b w:val="0"/>
          <w:sz w:val="28"/>
        </w:rPr>
        <w:t>Ky——年期修正系数</w:t>
      </w:r>
    </w:p>
    <w:p>
      <w:pPr>
        <w:spacing w:before="0" w:after="0" w:line="480" w:lineRule="exact"/>
        <w:ind w:firstLine="561"/>
      </w:pPr>
      <w:r>
        <w:rPr>
          <w:rFonts w:ascii="仿宋_GB2312" w:hAnsi="仿宋_GB2312" w:eastAsia="仿宋_GB2312" w:cs="仿宋_GB2312"/>
          <w:b w:val="0"/>
          <w:sz w:val="28"/>
        </w:rPr>
        <w:t>Kv——容积率修正系数</w:t>
      </w:r>
    </w:p>
    <w:p>
      <w:pPr>
        <w:spacing w:before="0" w:after="0" w:line="480" w:lineRule="exact"/>
        <w:ind w:firstLine="561"/>
      </w:pPr>
      <w:r>
        <w:rPr>
          <w:rFonts w:ascii="仿宋_GB2312" w:hAnsi="仿宋_GB2312" w:eastAsia="仿宋_GB2312" w:cs="仿宋_GB2312"/>
          <w:b w:val="0"/>
          <w:sz w:val="28"/>
        </w:rPr>
        <w:t>Kt——估价期日修正系数</w:t>
      </w:r>
    </w:p>
    <w:p>
      <w:pPr>
        <w:spacing w:before="0" w:after="0" w:line="480" w:lineRule="exact"/>
        <w:ind w:firstLine="561"/>
      </w:pPr>
      <w:r>
        <w:rPr>
          <w:rFonts w:ascii="仿宋_GB2312" w:hAnsi="仿宋_GB2312" w:eastAsia="仿宋_GB2312" w:cs="仿宋_GB2312"/>
          <w:b w:val="0"/>
          <w:sz w:val="28"/>
        </w:rPr>
        <w:t>Ks——宗地面积修正系数</w:t>
      </w:r>
    </w:p>
    <w:p>
      <w:pPr>
        <w:spacing w:before="0" w:after="0" w:line="480" w:lineRule="exact"/>
        <w:ind w:firstLine="561"/>
      </w:pPr>
      <w:r>
        <w:rPr>
          <w:rFonts w:ascii="仿宋_GB2312" w:hAnsi="仿宋_GB2312" w:eastAsia="仿宋_GB2312" w:cs="仿宋_GB2312"/>
          <w:b w:val="0"/>
          <w:sz w:val="28"/>
        </w:rPr>
        <w:t>Ka——宗地形状修正系数</w:t>
      </w:r>
    </w:p>
    <w:p>
      <w:pPr>
        <w:spacing w:before="0" w:after="0" w:line="480" w:lineRule="exact"/>
        <w:ind w:firstLine="561"/>
      </w:pPr>
      <w:r>
        <w:rPr>
          <w:rFonts w:ascii="仿宋_GB2312" w:hAnsi="仿宋_GB2312" w:eastAsia="仿宋_GB2312" w:cs="仿宋_GB2312"/>
          <w:b w:val="0"/>
          <w:sz w:val="28"/>
        </w:rPr>
        <w:t>Kc——街角地修正系数</w:t>
      </w:r>
    </w:p>
    <w:p>
      <w:pPr>
        <w:spacing w:before="0" w:after="0" w:line="480" w:lineRule="exact"/>
        <w:ind w:firstLine="561"/>
      </w:pPr>
      <w:r>
        <w:rPr>
          <w:rFonts w:ascii="仿宋_GB2312" w:hAnsi="仿宋_GB2312" w:eastAsia="仿宋_GB2312" w:cs="仿宋_GB2312"/>
          <w:b w:val="0"/>
          <w:sz w:val="28"/>
        </w:rPr>
        <w:t>Kk——临街宽度修正系数</w:t>
      </w:r>
    </w:p>
    <w:p>
      <w:pPr>
        <w:spacing w:before="0" w:after="0" w:line="480" w:lineRule="exact"/>
        <w:ind w:firstLine="561"/>
      </w:pPr>
      <w:r>
        <w:rPr>
          <w:rFonts w:ascii="仿宋_GB2312" w:hAnsi="仿宋_GB2312" w:eastAsia="仿宋_GB2312" w:cs="仿宋_GB2312"/>
          <w:b w:val="0"/>
          <w:sz w:val="28"/>
        </w:rPr>
        <w:t>Kd——临街深度修正系数</w:t>
      </w:r>
    </w:p>
    <w:p>
      <w:pPr>
        <w:spacing w:before="0" w:after="0" w:line="480" w:lineRule="exact"/>
        <w:ind w:firstLine="561"/>
      </w:pPr>
      <w:r>
        <w:rPr>
          <w:rFonts w:ascii="仿宋_GB2312" w:hAnsi="仿宋_GB2312" w:eastAsia="仿宋_GB2312" w:cs="仿宋_GB2312"/>
          <w:b w:val="0"/>
          <w:sz w:val="28"/>
        </w:rPr>
        <w:t>Ku——周边土地利用类型修正系数</w:t>
      </w:r>
    </w:p>
    <w:p>
      <w:pPr>
        <w:spacing w:before="0" w:after="0" w:line="480" w:lineRule="exact"/>
        <w:ind w:firstLine="561"/>
      </w:pPr>
      <w:r>
        <w:rPr>
          <w:rFonts w:ascii="仿宋_GB2312" w:hAnsi="仿宋_GB2312" w:eastAsia="仿宋_GB2312" w:cs="仿宋_GB2312"/>
          <w:b w:val="0"/>
          <w:sz w:val="28"/>
        </w:rPr>
        <w:t>Kf——开发程度修正额。</w:t>
      </w:r>
    </w:p>
    <w:p>
      <w:pPr>
        <w:keepNext/>
        <w:spacing w:before="0" w:after="0" w:line="480" w:lineRule="exact"/>
        <w:ind w:firstLine="561"/>
      </w:pPr>
      <w:r>
        <w:rPr>
          <w:rFonts w:ascii="仿宋_GB2312" w:hAnsi="仿宋_GB2312" w:eastAsia="仿宋_GB2312" w:cs="仿宋_GB2312"/>
          <w:b w:val="0"/>
          <w:sz w:val="28"/>
        </w:rPr>
        <w:t>3、确定基准地价（Po）</w:t>
      </w:r>
    </w:p>
    <w:p>
      <w:pPr>
        <w:spacing w:before="0" w:after="0" w:line="480" w:lineRule="exact"/>
        <w:ind w:firstLine="561"/>
      </w:pPr>
      <w:r>
        <w:rPr>
          <w:rFonts w:ascii="仿宋_GB2312" w:hAnsi="仿宋_GB2312" w:eastAsia="仿宋_GB2312" w:cs="仿宋_GB2312"/>
          <w:b w:val="0"/>
          <w:sz w:val="28"/>
        </w:rPr>
        <w:t>本次评估设定估价对象土地用途为商业服务业用地，估价对象位于待校核，估价对象按临街商业服务业用地路线价路径测算。根据《通道侗族自治县城镇基准地价更新技术报告》（2025年11月）、通道县城区商业服务业用地路线价表及估价对象临街条件，估价对象位于长征南路（双江大桥至内环路）路线价段内，该路线价为2150元/平方米，即Po=2150元/平方米。</w:t>
      </w:r>
    </w:p>
    <w:p>
      <w:pPr>
        <w:keepNext/>
        <w:spacing w:before="0" w:after="0" w:line="480" w:lineRule="exact"/>
        <w:ind w:firstLine="561"/>
      </w:pPr>
      <w:r>
        <w:rPr>
          <w:rFonts w:ascii="仿宋_GB2312" w:hAnsi="仿宋_GB2312" w:eastAsia="仿宋_GB2312" w:cs="仿宋_GB2312"/>
          <w:b w:val="0"/>
          <w:sz w:val="28"/>
        </w:rPr>
        <w:t>4、容积率修正系数（Kv）的确定</w:t>
      </w:r>
    </w:p>
    <w:p>
      <w:pPr>
        <w:spacing w:before="0" w:after="0" w:line="480" w:lineRule="exact"/>
        <w:ind w:firstLine="561"/>
      </w:pPr>
      <w:r>
        <w:rPr>
          <w:rFonts w:ascii="仿宋_GB2312" w:hAnsi="仿宋_GB2312" w:eastAsia="仿宋_GB2312" w:cs="仿宋_GB2312"/>
          <w:b w:val="0"/>
          <w:sz w:val="28"/>
        </w:rPr>
        <w:t>容积率的变化会影响地价的变化。在进行商业服务业用地宗地评估时，当实际容积率与平均容积率不同时，必须进行修正。本次评估设定容积率为2。根据《通道侗族自治县城镇基准地价更新技术报告》（2025年11月），查《通道县城区商业服务业用地容积率修正系数表》，采用内插法得估价对象容积率修正值为：Kv=1.0000。</w:t>
      </w:r>
    </w:p>
    <w:p>
      <w:pPr>
        <w:keepNext/>
        <w:spacing w:before="157" w:after="10" w:line="480" w:lineRule="exact"/>
        <w:ind w:left="0" w:right="0" w:firstLine="0"/>
        <w:jc w:val="center"/>
      </w:pPr>
      <w:r>
        <w:rPr>
          <w:rFonts w:ascii="仿宋_GB2312" w:hAnsi="仿宋_GB2312" w:eastAsia="仿宋_GB2312" w:cs="仿宋_GB2312"/>
          <w:b w:val="0"/>
          <w:sz w:val="28"/>
        </w:rPr>
        <w:t>表3-3 通道县城区商业服务业用地容积率修正系数表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容积率</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三级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四级</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五级</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0.6800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0.7326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0.8054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0.8633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0.8973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0.7170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0.7646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0.8342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0.8894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0.9204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0.7526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0.7951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0.8613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0.9140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0.9421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0.7869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0.8242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0.8871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0.9371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0.9625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0.8200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0.8521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0.9817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0.8521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0.8788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0.9351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0.8832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0.9046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0.9576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1.0174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0.9135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0.9296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0.9792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1.0191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1.0340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0.9431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0.9538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1.0499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0.9772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1.0552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1.0652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1.0799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1.0584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1.0887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1.0941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1.0545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1.0437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1.0767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1.1078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1.0809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1.0647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1.0945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1.1210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1.1068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1.1117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1.1338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1.1322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1.1053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1.1463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1.1572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1.1583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1.1442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1.1777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1.1701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1.2059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1.1767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1.1815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1.1815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1.1926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1.1996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1.2070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1.2035</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1.2761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1.2174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1.2142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1.2989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1.2359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1.2419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1.2244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1.2346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1.3434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1.2690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1.2657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1.2444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1.2855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1.2775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1.2771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1.2541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1.3869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1.2908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1.2885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1.2636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1.4082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1.2995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1.2729</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1.4292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1.2821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1.4500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1.3495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1.3294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1.3212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1.2910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1.4706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1.2997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1.4909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1.3541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1.3084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1.5111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1.3953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1.3661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1.3168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1.5310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1.3620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1.3250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1.5507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1.4247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1.3897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1.3719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1.3333</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1.5702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1.4391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1.4013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1.3816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1.3414</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1.5895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1.4533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1.4126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1.3910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1.3492</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1.6086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1.4676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1.4239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1.3570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1.6276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1.4815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1.4349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1.4096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1.3646</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1.6464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1.4952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1.4459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1.4188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1.3721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≥5</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1.6650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1.5088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1.4567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1.4278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1.3797</w:t>
            </w:r>
          </w:p>
        </w:tc>
      </w:tr>
    </w:tbl>
    <w:p>
      <w:pPr>
        <w:keepNext/>
        <w:spacing w:before="0" w:after="0" w:line="480" w:lineRule="exact"/>
        <w:ind w:firstLine="561"/>
      </w:pPr>
      <w:r>
        <w:rPr>
          <w:rFonts w:ascii="仿宋_GB2312" w:hAnsi="仿宋_GB2312" w:eastAsia="仿宋_GB2312" w:cs="仿宋_GB2312"/>
          <w:b w:val="0"/>
          <w:sz w:val="28"/>
        </w:rPr>
        <w:t>5、土地使用年期修正系数（Ky）的确定</w:t>
      </w:r>
    </w:p>
    <w:p>
      <w:pPr>
        <w:spacing w:before="0" w:after="0" w:line="480" w:lineRule="exact"/>
        <w:ind w:firstLine="561"/>
      </w:pPr>
      <w:r>
        <w:rPr>
          <w:rFonts w:ascii="仿宋_GB2312" w:hAnsi="仿宋_GB2312" w:eastAsia="仿宋_GB2312" w:cs="仿宋_GB2312"/>
          <w:b w:val="0"/>
          <w:sz w:val="28"/>
        </w:rPr>
        <w:t>通道县出让基准地价设定的土地使用年期为各用途土地法定出让最高使用年期，为商业服务业用地40年；此次评估设定宗地的出让土地使用权土地使用年期为商业服务业用地40年，与出让基准地价设定用途的内涵使用年期一致，故此次评估不需进行使用年期修正。</w:t>
      </w:r>
    </w:p>
    <w:p>
      <w:pPr>
        <w:spacing w:before="0" w:after="0" w:line="480" w:lineRule="exact"/>
        <w:ind w:firstLine="561"/>
      </w:pPr>
      <w:r>
        <w:rPr>
          <w:rFonts w:ascii="仿宋_GB2312" w:hAnsi="仿宋_GB2312" w:eastAsia="仿宋_GB2312" w:cs="仿宋_GB2312"/>
          <w:b w:val="0"/>
          <w:sz w:val="28"/>
        </w:rPr>
        <w:t>年期修正系数计算公式如下：</w:t>
      </w:r>
    </w:p>
    <w:p>
      <w:pPr>
        <w:keepLines/>
        <w:spacing w:before="0" w:after="0" w:line="480" w:lineRule="exact"/>
        <w:ind w:firstLine="0" w:left="561" w:right="0"/>
        <w:jc w:val="left"/>
      </w:pPr>
      <w:r>
        <w:rPr>
          <w:rFonts w:ascii="仿宋_GB2312" w:hAnsi="仿宋_GB2312" w:eastAsia="仿宋_GB2312" w:cs="仿宋_GB2312"/>
          <w:b w:val="0"/>
          <w:sz w:val="28"/>
        </w:rPr>
        <w:t>Ky=[1-1/(1+r)^m]/[1-1/(1+r)^n]</w:t>
      </w:r>
    </w:p>
    <w:p>
      <w:pPr>
        <w:spacing w:before="0" w:after="0" w:line="480" w:lineRule="exact"/>
        <w:ind w:firstLine="561"/>
      </w:pPr>
      <w:r>
        <w:rPr>
          <w:rFonts w:ascii="仿宋_GB2312" w:hAnsi="仿宋_GB2312" w:eastAsia="仿宋_GB2312" w:cs="仿宋_GB2312"/>
          <w:b w:val="0"/>
          <w:sz w:val="28"/>
        </w:rPr>
        <w:t>式中：</w:t>
      </w:r>
    </w:p>
    <w:p>
      <w:pPr>
        <w:spacing w:before="0" w:after="0" w:line="480" w:lineRule="exact"/>
        <w:ind w:firstLine="561"/>
      </w:pPr>
      <w:r>
        <w:rPr>
          <w:rFonts w:ascii="仿宋_GB2312" w:hAnsi="仿宋_GB2312" w:eastAsia="仿宋_GB2312" w:cs="仿宋_GB2312"/>
          <w:b w:val="0"/>
          <w:sz w:val="28"/>
        </w:rPr>
        <w:t>r——土地还原率；</w:t>
      </w:r>
    </w:p>
    <w:p>
      <w:pPr>
        <w:spacing w:before="0" w:after="0" w:line="480" w:lineRule="exact"/>
        <w:ind w:firstLine="561"/>
      </w:pPr>
      <w:r>
        <w:rPr>
          <w:rFonts w:ascii="仿宋_GB2312" w:hAnsi="仿宋_GB2312" w:eastAsia="仿宋_GB2312" w:cs="仿宋_GB2312"/>
          <w:b w:val="0"/>
          <w:sz w:val="28"/>
        </w:rPr>
        <w:t>m——估价对象设定土地使用年期；</w:t>
      </w:r>
    </w:p>
    <w:p>
      <w:pPr>
        <w:spacing w:before="0" w:after="0" w:line="480" w:lineRule="exact"/>
        <w:ind w:firstLine="561"/>
      </w:pPr>
      <w:r>
        <w:rPr>
          <w:rFonts w:ascii="仿宋_GB2312" w:hAnsi="仿宋_GB2312" w:eastAsia="仿宋_GB2312" w:cs="仿宋_GB2312"/>
          <w:b w:val="0"/>
          <w:sz w:val="28"/>
        </w:rPr>
        <w:t>n——基准地价内涵土地使用年期。</w:t>
      </w:r>
    </w:p>
    <w:p>
      <w:pPr>
        <w:spacing w:before="0" w:after="0" w:line="480" w:lineRule="exact"/>
        <w:ind w:firstLine="561"/>
      </w:pPr>
      <w:r>
        <w:rPr>
          <w:rFonts w:ascii="仿宋_GB2312" w:hAnsi="仿宋_GB2312" w:eastAsia="仿宋_GB2312" w:cs="仿宋_GB2312"/>
          <w:b w:val="0"/>
          <w:sz w:val="28"/>
        </w:rPr>
        <w:t>根据《通道侗族自治县城镇基准地价更新技术报告》（2025年11月），商业服务业用地土地还原率为7.7%。</w:t>
      </w:r>
    </w:p>
    <w:p>
      <w:pPr>
        <w:spacing w:before="0" w:after="0" w:line="480" w:lineRule="exact"/>
        <w:ind w:firstLine="561"/>
      </w:pPr>
      <w:r>
        <w:rPr>
          <w:rFonts w:ascii="仿宋_GB2312" w:hAnsi="仿宋_GB2312" w:eastAsia="仿宋_GB2312" w:cs="仿宋_GB2312"/>
          <w:b w:val="0"/>
          <w:sz w:val="28"/>
        </w:rPr>
        <w:t>则：Ky=1.0000。</w:t>
      </w:r>
    </w:p>
    <w:p>
      <w:pPr>
        <w:keepNext/>
        <w:spacing w:before="157" w:after="10" w:line="480" w:lineRule="exact"/>
        <w:ind w:left="0" w:right="0" w:firstLine="0"/>
        <w:jc w:val="center"/>
      </w:pPr>
      <w:r>
        <w:rPr>
          <w:rFonts w:ascii="仿宋_GB2312" w:hAnsi="仿宋_GB2312" w:eastAsia="仿宋_GB2312" w:cs="仿宋_GB2312"/>
          <w:b w:val="0"/>
          <w:sz w:val="28"/>
        </w:rPr>
        <w:t>表3-4 通道县商业服务业、居住用地土地还原率表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租售比法结果</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租售比法权重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投资收益法结果</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投资收益法权重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还原率</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7.38%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8.17%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7.70%</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6.80%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0.6</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6.67%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0.4</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6.75%</w:t>
            </w:r>
          </w:p>
        </w:tc>
      </w:tr>
    </w:tbl>
    <w:p>
      <w:pPr>
        <w:keepNext/>
        <w:spacing w:before="0" w:after="0" w:line="480" w:lineRule="exact"/>
        <w:ind w:firstLine="561"/>
      </w:pPr>
      <w:r>
        <w:rPr>
          <w:rFonts w:ascii="仿宋_GB2312" w:hAnsi="仿宋_GB2312" w:eastAsia="仿宋_GB2312" w:cs="仿宋_GB2312"/>
          <w:b w:val="0"/>
          <w:sz w:val="28"/>
        </w:rPr>
        <w:t>6、期日修正系数（Kt）的确定</w:t>
      </w:r>
    </w:p>
    <w:p>
      <w:pPr>
        <w:spacing w:before="0" w:after="0" w:line="480" w:lineRule="exact"/>
        <w:ind w:firstLine="561"/>
      </w:pPr>
      <w:r>
        <w:rPr>
          <w:rFonts w:ascii="仿宋_GB2312" w:hAnsi="仿宋_GB2312" w:eastAsia="仿宋_GB2312" w:cs="仿宋_GB2312"/>
          <w:b w:val="0"/>
          <w:sz w:val="28"/>
        </w:rPr>
        <w:t>根据《通道侗族自治县城镇基准地价更新技术报告》（2025年11月），通道县城镇基准地价基准日为2025.04.01，本次评估估价期日为2026-06-03，历时14.07个月，需进行估价期日修正。通道县目前尚未建立地价动态监测体系，经查询通道县土地成交信息及估价对象所在区域土地市场情况，同类型城镇商业服务业用地在此期间的地价月平均上涨率约为0.2%，本次评估结合宗地所在区域地价上涨幅度，确定估价对象估价期日修正系数Kt=1.0285。具体测算见下表：</w:t>
      </w:r>
    </w:p>
    <w:p>
      <w:pPr>
        <w:keepLines/>
        <w:spacing w:before="0" w:after="0" w:line="480" w:lineRule="exact"/>
        <w:ind w:firstLine="0" w:left="561" w:right="0"/>
        <w:jc w:val="left"/>
      </w:pPr>
      <w:r>
        <w:rPr>
          <w:rFonts w:ascii="仿宋_GB2312" w:hAnsi="仿宋_GB2312" w:eastAsia="仿宋_GB2312" w:cs="仿宋_GB2312"/>
          <w:b w:val="0"/>
          <w:sz w:val="28"/>
        </w:rPr>
        <w:t>Kt=(1+0.2%)^14.07=1.0285。</w:t>
      </w:r>
    </w:p>
    <w:p>
      <w:pPr>
        <w:keepNext/>
        <w:spacing w:before="157" w:after="10" w:line="480" w:lineRule="exact"/>
        <w:ind w:left="0" w:right="0" w:firstLine="0"/>
        <w:jc w:val="center"/>
      </w:pPr>
      <w:r>
        <w:rPr>
          <w:rFonts w:ascii="仿宋_GB2312" w:hAnsi="仿宋_GB2312" w:eastAsia="仿宋_GB2312" w:cs="仿宋_GB2312"/>
          <w:b w:val="0"/>
          <w:sz w:val="28"/>
        </w:rPr>
        <w:t>表3-5 估价对象商业服务业用地期日修正测算表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53"/>
        <w:gridCol w:w="4153"/>
      </w:tblGrid>
      <w:tr>
        <w:trPr>
          <w:tblHeader w:val="1"/>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项目</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内容</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土地用途</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商业服务业用地</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基准地价的基准日</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2025.04.01</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估价期日</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2026-06-03</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估价期日修正的上涨时间(月)</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14.07</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月上涨率</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0.2%</w:t>
            </w:r>
          </w:p>
        </w:tc>
      </w:tr>
      <w:tr>
        <w:trPr>
          <w:cantSplit/>
        </w:trPr>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估价对象期日修正系数</w:t>
            </w:r>
          </w:p>
        </w:tc>
        <w:tc>
          <w:tcPr>
            <w:tcW w:type="dxa" w:w="4564"/>
            <w:vAlign w:val="center"/>
          </w:tcPr>
          <w:p>
            <w:pPr>
              <w:spacing w:before="0" w:after="0" w:line="260" w:lineRule="exact"/>
              <w:ind w:firstLine="0" w:left="0" w:right="0"/>
              <w:jc w:val="center"/>
            </w:pPr>
            <w:r>
              <w:rPr>
                <w:rFonts w:ascii="仿宋_GB2312" w:hAnsi="仿宋_GB2312" w:eastAsia="仿宋_GB2312" w:cs="仿宋_GB2312"/>
                <w:b w:val="0"/>
                <w:sz w:val="21"/>
              </w:rPr>
              <w:t>1.0285</w:t>
            </w:r>
          </w:p>
        </w:tc>
      </w:tr>
    </w:tbl>
    <w:p>
      <w:pPr>
        <w:keepNext/>
        <w:spacing w:before="157" w:after="10" w:line="480" w:lineRule="exact"/>
        <w:ind w:left="0" w:right="0" w:firstLine="0"/>
        <w:jc w:val="center"/>
      </w:pPr>
      <w:r>
        <w:rPr>
          <w:rFonts w:ascii="仿宋_GB2312" w:hAnsi="仿宋_GB2312" w:eastAsia="仿宋_GB2312" w:cs="仿宋_GB2312"/>
          <w:b w:val="0"/>
          <w:sz w:val="28"/>
        </w:rPr>
        <w:t>表3-6 通道县城区商业服务业用地路线价</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38"/>
        <w:gridCol w:w="1038"/>
        <w:gridCol w:w="1038"/>
        <w:gridCol w:w="1038"/>
        <w:gridCol w:w="1038"/>
        <w:gridCol w:w="1038"/>
        <w:gridCol w:w="1038"/>
        <w:gridCol w:w="1038"/>
      </w:tblGrid>
      <w:tr>
        <w:trPr>
          <w:tblHeader w:val="1"/>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编号</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道路名称</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路线起点</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路线终点</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所属级别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道路类型</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标准深度</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路线价</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A01</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4320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4050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A03</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4150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A04</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3550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A05</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吉祥路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3470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妇幼保健院(含)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3300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A07</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内环路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通道汽车站(含)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3160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A08</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乐业路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一级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3250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B09</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平安街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滨江路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3550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迎宾街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滨江路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3680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B11</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友谊街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滨江路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3610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行政街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平安街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桥头</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3645</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B13</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滨江路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友谊街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3370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B14</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乐业路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玉带路尽端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2770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B15</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希望路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2570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城西街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杉山街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2220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B17</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杉山街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城西街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2180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B18</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转兵南路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佳惠超市(不含)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礼雅路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2900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B19</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玉带路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万佛桥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城东路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2480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2860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B21</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吉祥路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吉利路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2680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B22</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侗锦路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妇幼保健院(不含)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3080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B23</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杆梓路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2260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B24</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萨岁路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转兵中路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卓煌中学(含)</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2330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B25</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长征南路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内环路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2150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友谊街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杉山街</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16</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2240</w:t>
            </w:r>
          </w:p>
        </w:tc>
      </w:tr>
      <w:tr>
        <w:trPr>
          <w:cantSplit/>
        </w:trPr>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B27</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长征中路</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双江大桥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寨上桥</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二级</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20</w:t>
            </w:r>
          </w:p>
        </w:tc>
        <w:tc>
          <w:tcPr>
            <w:tcW w:type="dxa" w:w="1141"/>
            <w:vAlign w:val="center"/>
          </w:tcPr>
          <w:p>
            <w:pPr>
              <w:spacing w:before="0" w:after="0" w:line="260" w:lineRule="exact"/>
              <w:ind w:firstLine="0" w:left="0" w:right="0"/>
              <w:jc w:val="center"/>
            </w:pPr>
            <w:r>
              <w:rPr>
                <w:rFonts w:ascii="仿宋_GB2312" w:hAnsi="仿宋_GB2312" w:eastAsia="仿宋_GB2312" w:cs="仿宋_GB2312"/>
                <w:b w:val="0"/>
                <w:sz w:val="18"/>
              </w:rPr>
              <w:t>2200</w:t>
            </w:r>
          </w:p>
        </w:tc>
      </w:tr>
    </w:tbl>
    <w:p>
      <w:pPr>
        <w:keepNext/>
        <w:spacing w:before="0" w:after="0" w:line="480" w:lineRule="exact"/>
        <w:ind w:firstLine="561"/>
      </w:pPr>
      <w:r>
        <w:rPr>
          <w:rFonts w:ascii="仿宋_GB2312" w:hAnsi="仿宋_GB2312" w:eastAsia="仿宋_GB2312" w:cs="仿宋_GB2312"/>
          <w:b w:val="0"/>
          <w:sz w:val="28"/>
        </w:rPr>
        <w:t>商服用地临街宗地特别因素修正</w:t>
      </w:r>
    </w:p>
    <w:p>
      <w:pPr>
        <w:spacing w:before="0" w:after="0" w:line="480" w:lineRule="exact"/>
        <w:ind w:firstLine="561"/>
      </w:pPr>
      <w:r>
        <w:rPr>
          <w:rFonts w:ascii="仿宋_GB2312" w:hAnsi="仿宋_GB2312" w:eastAsia="仿宋_GB2312" w:cs="仿宋_GB2312"/>
          <w:b w:val="0"/>
          <w:sz w:val="28"/>
        </w:rPr>
        <w:t>商服用地临街宗地特别因素主要包括修正面积分配、街角地、临街深度、临街宽度等因素。本次评估估价对象全宗按临街路线价路径测算，不再另行拆分临街与不临街面积。估价对象宗地面积为80平方米，所临路线价道路类型为主干道，临街深度为20米，临街宽度为4米。</w:t>
      </w:r>
    </w:p>
    <w:p>
      <w:pPr>
        <w:keepNext/>
        <w:spacing w:before="0" w:after="0" w:line="480" w:lineRule="exact"/>
        <w:ind w:firstLine="561"/>
      </w:pPr>
      <w:r>
        <w:rPr>
          <w:rFonts w:ascii="仿宋_GB2312" w:hAnsi="仿宋_GB2312" w:eastAsia="仿宋_GB2312" w:cs="仿宋_GB2312"/>
          <w:b w:val="0"/>
          <w:sz w:val="28"/>
        </w:rPr>
        <w:t>街角地修正系数（Kc）的确定</w:t>
      </w:r>
    </w:p>
    <w:p>
      <w:pPr>
        <w:spacing w:before="0" w:after="0" w:line="480" w:lineRule="exact"/>
        <w:ind w:firstLine="561"/>
      </w:pPr>
      <w:r>
        <w:rPr>
          <w:rFonts w:ascii="仿宋_GB2312" w:hAnsi="仿宋_GB2312" w:eastAsia="仿宋_GB2312" w:cs="仿宋_GB2312"/>
          <w:b w:val="0"/>
          <w:sz w:val="28"/>
        </w:rPr>
        <w:t>街角地是指同时临两条相互交叉路段的宗地，街角条件是影响商业服务业用地价格的重要微观因素之一。街角地交通便利，人流、车流集聚程度通常较高，单位面积商业服务业用地收益能力相对较强。</w:t>
      </w:r>
    </w:p>
    <w:p>
      <w:pPr>
        <w:spacing w:before="0" w:after="0" w:line="480" w:lineRule="exact"/>
        <w:ind w:firstLine="561"/>
      </w:pPr>
      <w:r>
        <w:rPr>
          <w:rFonts w:ascii="仿宋_GB2312" w:hAnsi="仿宋_GB2312" w:eastAsia="仿宋_GB2312" w:cs="仿宋_GB2312"/>
          <w:b w:val="0"/>
          <w:sz w:val="28"/>
        </w:rPr>
        <w:t>在具体操作过程中，须注意以下几点：一是街角地修正范围为纵横里地线与临街线之间的区域；二是街角地第一宗地以路线价较高的街道为正街、路线价较低的街道为旁街，其余宗地以直接紧邻街道为正街；三是街角地地价计算公式为：Pml=Pz×Kc。</w:t>
      </w:r>
    </w:p>
    <w:p>
      <w:pPr>
        <w:spacing w:before="0" w:after="0" w:line="480" w:lineRule="exact"/>
        <w:ind w:firstLine="561"/>
      </w:pPr>
      <w:r>
        <w:rPr>
          <w:rFonts w:ascii="仿宋_GB2312" w:hAnsi="仿宋_GB2312" w:eastAsia="仿宋_GB2312" w:cs="仿宋_GB2312"/>
          <w:b w:val="0"/>
          <w:sz w:val="28"/>
        </w:rPr>
        <w:t>本次评估估价对象为街角地。相邻两条路线价分别为2150元/平方米、1000元/平方米，系统以较高者2150元/平方米为正街地价，较低者1000元/平方米为旁街地价，正街地价与旁街地价比例为2.15，需进行街角地修正。根据《通道侗族自治县城镇基准地价更新技术报告》（2025年11月）中《通道县商业服务业用地街角地修正系数表》，确定街角地修正系数Kc=1.1690。</w:t>
      </w:r>
    </w:p>
    <w:p>
      <w:pPr>
        <w:keepNext/>
        <w:spacing w:before="157" w:after="10" w:line="480" w:lineRule="exact"/>
        <w:ind w:left="0" w:right="0" w:firstLine="0"/>
        <w:jc w:val="center"/>
      </w:pPr>
      <w:r>
        <w:rPr>
          <w:rFonts w:ascii="仿宋_GB2312" w:hAnsi="仿宋_GB2312" w:eastAsia="仿宋_GB2312" w:cs="仿宋_GB2312"/>
          <w:b w:val="0"/>
          <w:sz w:val="28"/>
        </w:rPr>
        <w:t>表3-9 通道县商业服务业用地街角地修正系数表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正街地价/旁街地价</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(1/1,2/1]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(2/1,3/1]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(3/1,4/1]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(4/1,5/1]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&gt;5/1</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1.311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1.169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1.087</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1.058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1.028</w:t>
            </w:r>
          </w:p>
        </w:tc>
      </w:tr>
    </w:tbl>
    <w:p>
      <w:pPr>
        <w:keepNext/>
        <w:spacing w:before="0" w:after="0" w:line="480" w:lineRule="exact"/>
        <w:ind w:firstLine="561"/>
      </w:pPr>
      <w:r>
        <w:rPr>
          <w:rFonts w:ascii="仿宋_GB2312" w:hAnsi="仿宋_GB2312" w:eastAsia="仿宋_GB2312" w:cs="仿宋_GB2312"/>
          <w:b w:val="0"/>
          <w:sz w:val="28"/>
        </w:rPr>
        <w:t>临街深度修正系数（Kd）的确定</w:t>
      </w:r>
    </w:p>
    <w:p>
      <w:pPr>
        <w:spacing w:before="0" w:after="0" w:line="480" w:lineRule="exact"/>
        <w:ind w:firstLine="561"/>
      </w:pPr>
      <w:r>
        <w:rPr>
          <w:rFonts w:ascii="仿宋_GB2312" w:hAnsi="仿宋_GB2312" w:eastAsia="仿宋_GB2312" w:cs="仿宋_GB2312"/>
          <w:b w:val="0"/>
          <w:sz w:val="28"/>
        </w:rPr>
        <w:t>在同一路线价区段，各宗土地虽然临接同一街道，但因其深度、宽度、形状、面积、位置等不同，单位面积地价会有一定差别，其中对土地价格影响较大的是宗地临街深度。路线价估价法认为，距道路越近，受道路通达、人流集聚和商业展示影响越明显，地价相对越高；当宗地实际临街深度与路线价设定标准深度不一致时，应进行临街深度修正。</w:t>
      </w:r>
    </w:p>
    <w:p>
      <w:pPr>
        <w:spacing w:before="0" w:after="0" w:line="480" w:lineRule="exact"/>
        <w:ind w:firstLine="561"/>
      </w:pPr>
      <w:r>
        <w:rPr>
          <w:rFonts w:ascii="仿宋_GB2312" w:hAnsi="仿宋_GB2312" w:eastAsia="仿宋_GB2312" w:cs="仿宋_GB2312"/>
          <w:b w:val="0"/>
          <w:sz w:val="28"/>
        </w:rPr>
        <w:t>本次评估宗地所临路线价道路类型为主干道（由路线价段确定），标准深度为20米，估价对象临街深度为20米，临街深度等于主干道标准深度20米，故不需进行临街深度修正。根据《通道侗族自治县城镇基准地价更新技术报告》（2025年11月）中《通道县城区宗地地价临街深度修正系数表》，确定估价对象临街深度修正系数Kd=1.0000。</w:t>
      </w:r>
    </w:p>
    <w:p>
      <w:pPr>
        <w:keepNext/>
        <w:spacing w:before="157" w:after="10" w:line="480" w:lineRule="exact"/>
        <w:ind w:left="0" w:right="0" w:firstLine="0"/>
        <w:jc w:val="center"/>
      </w:pPr>
      <w:r>
        <w:rPr>
          <w:rFonts w:ascii="仿宋_GB2312" w:hAnsi="仿宋_GB2312" w:eastAsia="仿宋_GB2312" w:cs="仿宋_GB2312"/>
          <w:b w:val="0"/>
          <w:sz w:val="28"/>
        </w:rPr>
        <w:t>表3-7 通道县城区宗地地价临街深度修正系数表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31"/>
        <w:gridCol w:w="831"/>
        <w:gridCol w:w="831"/>
        <w:gridCol w:w="831"/>
        <w:gridCol w:w="831"/>
        <w:gridCol w:w="831"/>
        <w:gridCol w:w="831"/>
        <w:gridCol w:w="831"/>
        <w:gridCol w:w="831"/>
        <w:gridCol w:w="831"/>
      </w:tblGrid>
      <w:tr>
        <w:trPr>
          <w:tblHeader w:val="1"/>
          <w:cantSplit/>
        </w:trPr>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深度系数类型</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≤4</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4-6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6-8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8-10</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10-12</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12-14</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14-16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16-18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18-20</w:t>
            </w:r>
          </w:p>
        </w:tc>
      </w:tr>
      <w:tr>
        <w:trPr>
          <w:cantSplit/>
        </w:trPr>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1.596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1.533</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1.452</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1.376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1.304</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1.235</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1.17</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1.108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w:t>
            </w:r>
          </w:p>
        </w:tc>
      </w:tr>
      <w:tr>
        <w:trPr>
          <w:cantSplit/>
        </w:trPr>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1.558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1.483</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1.388</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1.217</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1.139</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1.067</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w:t>
            </w:r>
          </w:p>
        </w:tc>
      </w:tr>
      <w:tr>
        <w:trPr>
          <w:cantSplit/>
        </w:trPr>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1.491</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1.396</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1.279</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1.171</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1.073</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1</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w:t>
            </w:r>
          </w:p>
        </w:tc>
        <w:tc>
          <w:tcPr>
            <w:tcW w:type="dxa" w:w="913"/>
            <w:vAlign w:val="center"/>
          </w:tcPr>
          <w:p>
            <w:pPr>
              <w:spacing w:before="0" w:after="0" w:line="260" w:lineRule="exact"/>
              <w:ind w:firstLine="0" w:left="0" w:right="0"/>
              <w:jc w:val="center"/>
            </w:pPr>
            <w:r>
              <w:rPr>
                <w:rFonts w:ascii="仿宋_GB2312" w:hAnsi="仿宋_GB2312" w:eastAsia="仿宋_GB2312" w:cs="仿宋_GB2312"/>
                <w:b w:val="0"/>
                <w:sz w:val="18"/>
              </w:rPr>
              <w:t>/</w:t>
            </w:r>
          </w:p>
        </w:tc>
      </w:tr>
    </w:tbl>
    <w:p>
      <w:pPr>
        <w:keepNext/>
        <w:spacing w:before="0" w:after="0" w:line="480" w:lineRule="exact"/>
        <w:ind w:firstLine="561"/>
      </w:pPr>
      <w:r>
        <w:rPr>
          <w:rFonts w:ascii="仿宋_GB2312" w:hAnsi="仿宋_GB2312" w:eastAsia="仿宋_GB2312" w:cs="仿宋_GB2312"/>
          <w:b w:val="0"/>
          <w:sz w:val="28"/>
        </w:rPr>
        <w:t>临街宽度修正系数（Kk）的确定</w:t>
      </w:r>
    </w:p>
    <w:p>
      <w:pPr>
        <w:spacing w:before="0" w:after="0" w:line="480" w:lineRule="exact"/>
        <w:ind w:firstLine="561"/>
      </w:pPr>
      <w:r>
        <w:rPr>
          <w:rFonts w:ascii="仿宋_GB2312" w:hAnsi="仿宋_GB2312" w:eastAsia="仿宋_GB2312" w:cs="仿宋_GB2312"/>
          <w:b w:val="0"/>
          <w:sz w:val="28"/>
        </w:rPr>
        <w:t>临街宽度会影响商业服务业用地的展示面、可达性和实际利用价值。本次评估估价对象临街宽度为4米，根据《通道侗族自治县城镇基准地价更新技术报告》（2025年11月）中《通道县城区临街宽度修正系数表》，确定估价对象临街宽度修正系数Kk=1.0000。</w:t>
      </w:r>
    </w:p>
    <w:p>
      <w:pPr>
        <w:keepNext/>
        <w:spacing w:before="157" w:after="10" w:line="480" w:lineRule="exact"/>
        <w:ind w:left="0" w:right="0" w:firstLine="0"/>
        <w:jc w:val="center"/>
      </w:pPr>
      <w:r>
        <w:rPr>
          <w:rFonts w:ascii="仿宋_GB2312" w:hAnsi="仿宋_GB2312" w:eastAsia="仿宋_GB2312" w:cs="仿宋_GB2312"/>
          <w:b w:val="0"/>
          <w:sz w:val="28"/>
        </w:rPr>
        <w:t>表3-8 通道县城区临街宽度修正系数表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宗地临街宽度</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8-12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12-16</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16-20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&gt;20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主干道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1.04</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1.20</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次干道</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1.06</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1.15</w:t>
            </w:r>
          </w:p>
        </w:tc>
      </w:tr>
      <w:tr>
        <w:trPr>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支路</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1.05</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1.12</w:t>
            </w:r>
          </w:p>
        </w:tc>
      </w:tr>
    </w:tbl>
    <w:p>
      <w:pPr>
        <w:keepNext/>
        <w:spacing w:before="0" w:after="0" w:line="480" w:lineRule="exact"/>
        <w:ind w:firstLine="561"/>
      </w:pPr>
      <w:r>
        <w:rPr>
          <w:rFonts w:ascii="仿宋_GB2312" w:hAnsi="仿宋_GB2312" w:eastAsia="仿宋_GB2312" w:cs="仿宋_GB2312"/>
          <w:b w:val="0"/>
          <w:sz w:val="28"/>
        </w:rPr>
        <w:t>8、宗地面积修正系数（Ks）的确定</w:t>
      </w:r>
    </w:p>
    <w:p>
      <w:pPr>
        <w:spacing w:before="0" w:after="0" w:line="480" w:lineRule="exact"/>
        <w:ind w:firstLine="561"/>
      </w:pPr>
      <w:r>
        <w:rPr>
          <w:rFonts w:ascii="仿宋_GB2312" w:hAnsi="仿宋_GB2312" w:eastAsia="仿宋_GB2312" w:cs="仿宋_GB2312"/>
          <w:b w:val="0"/>
          <w:sz w:val="28"/>
        </w:rPr>
        <w:t>土地面积对土地的利用有一定影响，过大或者过小均对土地的最佳利用产生不良影响。估价对象宗地面积为80平方米。根据《通道侗族自治县城镇基准地价更新技术报告》（2025年11月），查《宗地面积修正系数表》，得估价对象宗地面积修正系数Ks=1。</w:t>
      </w:r>
    </w:p>
    <w:p>
      <w:pPr>
        <w:keepNext/>
        <w:spacing w:before="157" w:after="10" w:line="480" w:lineRule="exact"/>
        <w:ind w:left="0" w:right="0" w:firstLine="0"/>
        <w:jc w:val="center"/>
      </w:pPr>
      <w:r>
        <w:rPr>
          <w:rFonts w:ascii="仿宋_GB2312" w:hAnsi="仿宋_GB2312" w:eastAsia="仿宋_GB2312" w:cs="仿宋_GB2312"/>
          <w:b w:val="0"/>
          <w:sz w:val="28"/>
        </w:rPr>
        <w:t>表3-8 宗地面积修正系数表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87"/>
        <w:gridCol w:w="1187"/>
        <w:gridCol w:w="1187"/>
        <w:gridCol w:w="1187"/>
        <w:gridCol w:w="1187"/>
        <w:gridCol w:w="1187"/>
        <w:gridCol w:w="1187"/>
      </w:tblGrid>
      <w:tr>
        <w:trPr>
          <w:tblHeader w:val="1"/>
          <w:cantSplit/>
        </w:trPr>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用地类型</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项目</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304"/>
            <w:gridSpan w:val="2"/>
            <w:vAlign w:val="center"/>
          </w:tcPr>
          <w:p>
            <w:pPr>
              <w:spacing w:before="0" w:after="0" w:line="260" w:lineRule="exact"/>
              <w:ind w:left="0" w:right="0" w:firstLine="0"/>
              <w:jc w:val="center"/>
            </w:pPr>
            <w:r>
              <w:rPr>
                <w:rFonts w:ascii="仿宋_GB2312" w:hAnsi="仿宋_GB2312" w:eastAsia="仿宋_GB2312" w:cs="仿宋_GB2312"/>
                <w:b w:val="0"/>
                <w:sz w:val="18"/>
              </w:rPr>
              <w:t>指标说明</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面积适中，有利于宗地利用</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面积较适中，较有利于宗地利用</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面积一般，对宗地利用基本无影响</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面积偏小或偏大，对宗地利用有一定影响</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面积过小或过大，对宗地利用影响明显</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商业服务业用地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[800,1200)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[500,800)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居住用地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[1500,2000)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[1000,1500)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[500,1000)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&lt;500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工矿用地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[2000,4000)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仓储用地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[4000,6000)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[2000,4000)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公共管理与公共服务用地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[6000,9000)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[3000,6000)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[1000,3000)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&lt;1000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1.04</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0.96</w:t>
            </w:r>
          </w:p>
        </w:tc>
      </w:tr>
      <w:tr>
        <w:trPr>
          <w:cantSplit/>
        </w:trPr>
        <w:tc>
          <w:tcPr>
            <w:tcW w:type="dxa" w:w="1304"/>
            <w:vMerge w:val="restart"/>
            <w:vAlign w:val="center"/>
          </w:tcPr>
          <w:p>
            <w:pPr>
              <w:spacing w:before="0" w:after="0" w:line="260" w:lineRule="exact"/>
              <w:ind w:left="0" w:right="0" w:firstLine="0"/>
              <w:jc w:val="center"/>
            </w:pPr>
            <w:r>
              <w:rPr>
                <w:rFonts w:ascii="仿宋_GB2312" w:hAnsi="仿宋_GB2312" w:eastAsia="仿宋_GB2312" w:cs="仿宋_GB2312"/>
                <w:b w:val="0"/>
                <w:sz w:val="18"/>
              </w:rPr>
              <w:t>公用设施用地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指标范围</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[800,1200)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[500,800)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[200,500)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&lt;200</w:t>
            </w:r>
          </w:p>
        </w:tc>
      </w:tr>
      <w:tr>
        <w:trPr>
          <w:cantSplit/>
        </w:trPr>
        <w:tc>
          <w:tcPr>
            <w:tcW w:type="dxa" w:w="1187"/>
            <w:vMerge/>
          </w:tcP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304"/>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9、宗地形状修正系数（Ka）的确定</w:t>
      </w:r>
    </w:p>
    <w:p>
      <w:pPr>
        <w:spacing w:before="0" w:after="0" w:line="480" w:lineRule="exact"/>
        <w:ind w:firstLine="561"/>
      </w:pPr>
      <w:r>
        <w:rPr>
          <w:rFonts w:ascii="仿宋_GB2312" w:hAnsi="仿宋_GB2312" w:eastAsia="仿宋_GB2312" w:cs="仿宋_GB2312"/>
          <w:b w:val="0"/>
          <w:sz w:val="28"/>
        </w:rPr>
        <w:t>宗地形状对土地利用效率有一定影响。根据估价对象宗地形状条件，结合《通道侗族自治县城镇基准地价更新技术报告》（2025年11月）中《宗地形状修正系数表》，确定估价对象宗地形状优劣度为一般，宗地形状修正系数Ka=1。</w:t>
      </w:r>
    </w:p>
    <w:p>
      <w:pPr>
        <w:keepNext/>
        <w:spacing w:before="157" w:after="10" w:line="480" w:lineRule="exact"/>
        <w:ind w:left="0" w:right="0" w:firstLine="0"/>
        <w:jc w:val="center"/>
      </w:pPr>
      <w:r>
        <w:rPr>
          <w:rFonts w:ascii="仿宋_GB2312" w:hAnsi="仿宋_GB2312" w:eastAsia="仿宋_GB2312" w:cs="仿宋_GB2312"/>
          <w:b w:val="0"/>
          <w:sz w:val="28"/>
        </w:rPr>
        <w:t>表3-9 宗地形状修正系数表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指标标准</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指标说明</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长方形或正方形</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规则，有利于宗地利用</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基本规则，不影响宗地利用</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不规则，对利用有一定影响</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不规则，对利用有严重影响</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工矿用地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仓储用地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公共管理与公共服务用地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1.03</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0.97</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公用设施用地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周边土地利用类型修正系数（Ku）的确定</w:t>
      </w:r>
    </w:p>
    <w:p>
      <w:pPr>
        <w:spacing w:before="0" w:after="0" w:line="480" w:lineRule="exact"/>
        <w:ind w:firstLine="561"/>
      </w:pPr>
      <w:r>
        <w:rPr>
          <w:rFonts w:ascii="仿宋_GB2312" w:hAnsi="仿宋_GB2312" w:eastAsia="仿宋_GB2312" w:cs="仿宋_GB2312"/>
          <w:b w:val="0"/>
          <w:sz w:val="28"/>
        </w:rPr>
        <w:t>商业服务业用地价值还受周边土地利用类型及商业集聚状况影响。本次评估估价对象周边土地利用类型优劣度为一般，根据《通道侗族自治县城镇基准地价更新技术报告》（2025年11月）中《宗地周边土地利用类型修正系数表》，确定周边土地利用类型修正系数Ku=1.0000。</w:t>
      </w:r>
    </w:p>
    <w:p>
      <w:pPr>
        <w:keepNext/>
        <w:spacing w:before="157" w:after="10" w:line="480" w:lineRule="exact"/>
        <w:ind w:left="0" w:right="0" w:firstLine="0"/>
        <w:jc w:val="center"/>
      </w:pPr>
      <w:r>
        <w:rPr>
          <w:rFonts w:ascii="仿宋_GB2312" w:hAnsi="仿宋_GB2312" w:eastAsia="仿宋_GB2312" w:cs="仿宋_GB2312"/>
          <w:b w:val="0"/>
          <w:sz w:val="28"/>
        </w:rPr>
        <w:t>表3-10 宗地周边土地利用类型修正系数表</w:t>
      </w:r>
    </w:p>
    <w:tbl>
      <w:tblPr>
        <w:tblStyle w:val="10"/>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gridCol w:w="1384"/>
      </w:tblGrid>
      <w:tr>
        <w:trPr>
          <w:tblHeader w:val="1"/>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指标标准</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较优</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一般</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较劣</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劣</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指标说明</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商业服务业用地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商服与公建混合</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商服与居住混合</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居住用地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其他用地</w:t>
            </w:r>
          </w:p>
        </w:tc>
      </w:tr>
      <w:tr>
        <w:trPr>
          <w:cantSplit/>
        </w:trPr>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修正系数</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1.02</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1.01</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1.00</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0.99</w:t>
            </w:r>
          </w:p>
        </w:tc>
        <w:tc>
          <w:tcPr>
            <w:tcW w:type="dxa" w:w="1521"/>
            <w:vAlign w:val="center"/>
          </w:tcPr>
          <w:p>
            <w:pPr>
              <w:spacing w:before="0" w:after="0" w:line="260" w:lineRule="exact"/>
              <w:ind w:firstLine="0" w:left="0" w:right="0"/>
              <w:jc w:val="center"/>
            </w:pPr>
            <w:r>
              <w:rPr>
                <w:rFonts w:ascii="仿宋_GB2312" w:hAnsi="仿宋_GB2312" w:eastAsia="仿宋_GB2312" w:cs="仿宋_GB2312"/>
                <w:b w:val="0"/>
                <w:sz w:val="18"/>
              </w:rPr>
              <w:t>0.98</w:t>
            </w:r>
          </w:p>
        </w:tc>
      </w:tr>
    </w:tbl>
    <w:p>
      <w:pPr>
        <w:keepNext/>
        <w:spacing w:before="0" w:after="0" w:line="480" w:lineRule="exact"/>
        <w:ind w:firstLine="561"/>
      </w:pPr>
      <w:r>
        <w:rPr>
          <w:rFonts w:ascii="仿宋_GB2312" w:hAnsi="仿宋_GB2312" w:eastAsia="仿宋_GB2312" w:cs="仿宋_GB2312"/>
          <w:b w:val="0"/>
          <w:sz w:val="28"/>
        </w:rPr>
        <w:t>12、开发程度修正额（Kf）的确定</w:t>
      </w:r>
    </w:p>
    <w:p>
      <w:pPr>
        <w:spacing w:before="0" w:after="0" w:line="480" w:lineRule="exact"/>
        <w:ind w:firstLine="561"/>
      </w:pPr>
      <w:r>
        <w:rPr>
          <w:rFonts w:ascii="仿宋_GB2312" w:hAnsi="仿宋_GB2312" w:eastAsia="仿宋_GB2312" w:cs="仿宋_GB2312"/>
          <w:b w:val="0"/>
          <w:sz w:val="28"/>
        </w:rPr>
        <w:t>本次评估待估宗地设定开发程度与基准地价内涵开发程度一致，故不需进行宗地开发程度修正，即 Kf=0。</w:t>
      </w:r>
    </w:p>
    <w:p>
      <w:pPr>
        <w:keepNext/>
        <w:spacing w:before="0" w:after="0" w:line="480" w:lineRule="exact"/>
        <w:ind w:firstLine="561"/>
      </w:pPr>
      <w:r>
        <w:rPr>
          <w:rFonts w:ascii="仿宋_GB2312" w:hAnsi="仿宋_GB2312" w:eastAsia="仿宋_GB2312" w:cs="仿宋_GB2312"/>
          <w:b w:val="0"/>
          <w:sz w:val="28"/>
        </w:rPr>
        <w:t>13、基准地价系数修正法地价计算</w:t>
      </w:r>
    </w:p>
    <w:p>
      <w:pPr>
        <w:keepLines/>
        <w:spacing w:before="0" w:after="0" w:line="480" w:lineRule="exact"/>
        <w:ind w:firstLine="0" w:left="561" w:right="0"/>
        <w:jc w:val="left"/>
      </w:pPr>
      <w:r>
        <w:rPr>
          <w:rFonts w:ascii="仿宋_GB2312" w:hAnsi="仿宋_GB2312" w:eastAsia="仿宋_GB2312" w:cs="仿宋_GB2312"/>
          <w:b w:val="0"/>
          <w:sz w:val="28"/>
        </w:rPr>
        <w:t>临街商业服务业用地P商=路线价×Ky×Kv×Kt×Ks×Ka×Kc×Kk×Kd×Ku＋Kf=2150×1.0000×1.0000×1.0285×1×1×1.1690×1.0000×1.0000×1.0000+0</w:t>
      </w:r>
    </w:p>
    <w:p>
      <w:pPr>
        <w:keepLines/>
        <w:spacing w:before="0" w:after="0" w:line="480" w:lineRule="exact"/>
        <w:ind w:firstLine="0" w:left="561" w:right="0"/>
        <w:jc w:val="left"/>
      </w:pPr>
      <w:r>
        <w:rPr>
          <w:rFonts w:ascii="仿宋_GB2312" w:hAnsi="仿宋_GB2312" w:eastAsia="仿宋_GB2312" w:cs="仿宋_GB2312"/>
          <w:b w:val="0"/>
          <w:sz w:val="28"/>
        </w:rPr>
        <w:t>=2585元/平方米。</w:t>
      </w:r>
    </w:p>
    <w:p>
      <w:pPr>
        <w:keepNext/>
        <w:spacing w:before="0" w:after="0" w:line="480" w:lineRule="exact"/>
        <w:ind w:firstLine="561"/>
      </w:pPr>
      <w:r>
        <w:rPr>
          <w:rFonts w:ascii="仿宋_GB2312" w:hAnsi="仿宋_GB2312" w:eastAsia="仿宋_GB2312" w:cs="仿宋_GB2312"/>
          <w:b/>
          <w:sz w:val="28"/>
        </w:rPr>
        <w:t>★剩余法</w:t>
      </w:r>
    </w:p>
    <w:p>
      <w:pPr>
        <w:spacing w:before="0" w:after="0" w:line="480" w:lineRule="exact"/>
      </w:pPr>
      <w:r>
        <w:rPr>
          <w:rFonts w:ascii="仿宋_GB2312" w:hAnsi="仿宋_GB2312" w:eastAsia="仿宋_GB2312" w:cs="仿宋_GB2312"/>
          <w:sz w:val="28"/>
        </w:rPr>
        <w:t>{{ residual_method_intro }}</w:t>
      </w:r>
    </w:p>
    <w:p>
      <w:pPr>
        <w:spacing w:before="0" w:after="0" w:line="480" w:lineRule="exact"/>
        <w:ind w:left="561" w:firstLine="0"/>
      </w:pPr>
      <w:r>
        <w:rPr>
          <w:rFonts w:ascii="仿宋_GB2312" w:hAnsi="仿宋_GB2312" w:eastAsia="仿宋_GB2312" w:cs="仿宋_GB2312"/>
          <w:sz w:val="28"/>
        </w:rPr>
        <w:t>{{ final_price_determination }}</w:t>
      </w:r>
    </w:p>
    <w:p w14:paraId="32C9FBCE">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2789BB6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0477BC2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宋体" w:eastAsia="宋体" w:hAnsi="宋体" w:cs="宋体"/>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1.本次估价中估价对象的土地权属、土地用途、使用权类型、土地面积、土地利用条件等以《关于国有建设用地的规划条件的函》（2025年9月11日）、{{ basis_docs_rendered }}、《{{ county_name }}{{ land_plot_number }}号地块建设用地规划红线图》等有关资料为重要依据，并以以上资料合法、真实、有效为前提条件；</w:t>
      </w:r>
      <w:r>
        <w:rPr>
          <w:rFonts w:ascii="仿宋_GB2312" w:hAnsi="仿宋_GB2312" w:eastAsia="仿宋_GB2312" w:cs="仿宋_GB2312"/>
          <w:sz w:val="28"/>
        </w:rPr>
      </w:r>
    </w:p>
    <w:p w14:paraId="403084A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5.本次评估的价格是指估价对象在公开市场条件下，于估价期日{{ valuation_date }}，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6.任何有关估价对象的运作方式及程序符合国家、湖南省、永州市和道县于估价期日{{ valuation_date }}的有关法律法规规章和技术性规范。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3.本估价报告和估价结果的有效使用期为一年，即{{ report_date }}至{{ report_valid_until }}；</w:t>
      </w:r>
    </w:p>
    <w:p w14:paraId="4EF99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4.本估价报告和估价结果的使用权归委托估价方所有，{{ appraisal_org }}对估价报告及估价结果拥有解释权。未经本公司书面同意，本估价报告书的全部或部分不得使用于公开的文件、通告或报告中，也不得以任何方式向第三者提供报告全文或其中内容；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5069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529FDBD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spacing w:before="0" w:after="0" w:line="480" w:lineRule="exact"/>
        <w:ind w:left="0" w:leftChars="0" w:firstLine="5320" w:firstLineChars="1900"/>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60" w:lineRule="exact" w:before="0" w:after="0"/>
        <w:jc w:val="center"/>
        <w:rPr>
          <w:rFonts w:ascii="宋体" w:hAnsi="宋体"/>
          <w:b/>
          <w:color w:val="000000" w:themeColor="text1"/>
          <w:sz w:val="44"/>
          <w:szCs w:val="44"/>
          <w:highlight w:val="none"/>
          <w14:textFill>
            <w14:solidFill>
              <w14:schemeClr w14:val="tx1"/>
            </w14:solidFill>
          </w14:textFill>
        </w:rPr>
      </w:pPr>
      <w:r>
        <w:rPr>
          <w:rFonts w:hint="eastAsia" w:ascii="宋体" w:hAnsi="宋体" w:eastAsia="宋体" w:cs="宋体"/>
          <w:b/>
          <w:color w:val="000000" w:themeColor="text1"/>
          <w:sz w:val="44"/>
          <w:szCs w:val="44"/>
          <w:highlight w:val="none"/>
          <w14:textFill>
            <w14:solidFill>
              <w14:schemeClr w14:val="tx1"/>
            </w14:solidFill>
          </w14:textFill>
        </w:rPr>
        <w:t>土地估价技术报告</w:t>
      </w:r>
    </w:p>
    <w:p w14:paraId="11F8E308">
      <w:pPr>
        <w:spacing w:line="480" w:lineRule="exact" w:before="0" w:after="0"/>
        <w:jc w:val="center"/>
        <w:rPr>
          <w:rFonts w:ascii="仿宋_GB2312" w:eastAsia="仿宋_GB2312"/>
          <w:color w:val="000000" w:themeColor="text1"/>
          <w:sz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ascii="仿宋_GB2312" w:hAnsi="仿宋_GB2312" w:eastAsia="仿宋_GB2312" w:cs="仿宋_GB2312"/>
              </w:rPr>
              <w:t>{{ project_name }}（{{ county_name }}）</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technical_report_no }}</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 county_name }}</w:t>
            </w:r>
            <w:r>
              <w:rPr>
                <w:rFonts w:hint="eastAsia" w:ascii="楷体" w:hAnsi="楷体" w:eastAsia="楷体"/>
                <w:color w:val="000000" w:themeColor="text1"/>
                <w:sz w:val="32"/>
                <w:szCs w:val="32"/>
                <w:highlight w:val="none"/>
                <w14:textFill>
                  <w14:solidFill>
                    <w14:schemeClr w14:val="tx1"/>
                  </w14:solidFill>
                </w14:textFill>
              </w:rPr>
            </w:r>
            <w:r>
              <w:rPr>
                <w:rFonts w:hint="eastAsia" w:ascii="楷体" w:hAnsi="楷体" w:eastAsia="楷体"/>
                <w:color w:val="000000" w:themeColor="text1"/>
                <w:sz w:val="32"/>
                <w:szCs w:val="32"/>
                <w:highlight w:val="none"/>
                <w:lang w:val="en-US" w:eastAsia="zh-CN"/>
                <w14:textFill>
                  <w14:solidFill>
                    <w14:schemeClr w14:val="tx1"/>
                  </w14:solidFill>
                </w14:textFill>
              </w:rPr>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report_year_text }}</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48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仿宋_GB2312" w:hAnsi="仿宋_GB2312" w:eastAsia="仿宋_GB2312" w:cs="仿宋_GB2312"/>
          <w:b/>
          <w:color w:val="000000" w:themeColor="text1"/>
          <w:sz w:val="28"/>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0" w:beforeLines="50" w:after="0" w:afterLines="100" w:line="56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project_name }}（{{ county_name }}）</w:t>
      </w:r>
    </w:p>
    <w:p w14:paraId="5CC112C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委托估价方：{{ client_name }} </w:t>
      </w:r>
    </w:p>
    <w:p w14:paraId="5A32024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37FE95B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61C797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257F81F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1F8602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r>
      <w:r>
        <w:rPr>
          <w:rFonts w:hint="eastAsia" w:ascii="仿宋_GB2312" w:eastAsia="仿宋_GB2312" w:hAnsi="仿宋_GB2312" w:cs="仿宋_GB2312"/>
          <w:color w:val="000000" w:themeColor="text1"/>
          <w:sz w:val="28"/>
          <w:szCs w:val="30"/>
          <w:highlight w:val="none"/>
          <w14:textFill>
            <w14:solidFill>
              <w14:schemeClr w14:val="tx1"/>
            </w14:solidFill>
          </w14:textFill>
        </w:rPr>
      </w:r>
    </w:p>
    <w:p w14:paraId="175360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联系电话：{{ client_phone }}</w:t>
      </w:r>
    </w:p>
    <w:p w14:paraId="24D25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0ACFDDA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p>
    <w:p w14:paraId="030F9BD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名    称：{{ appraisal_org }}</w:t>
      </w:r>
    </w:p>
    <w:p w14:paraId="5C5120B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71359E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ascii="仿宋_GB2312" w:hAnsi="仿宋_GB2312" w:eastAsia="仿宋_GB2312" w:cs="仿宋_GB2312"/>
          <w:sz w:val="28"/>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26074F7F">
      <w:pPr>
        <w:keepNext w:val="0"/>
        <w:keepLines w:val="0"/>
        <w:pageBreakBefore w:val="0"/>
        <w:widowControl w:val="0"/>
        <w:kinsoku/>
        <w:wordWrap/>
        <w:topLinePunct w:val="0"/>
        <w:bidi w:val="0"/>
        <w:spacing w:line="480" w:lineRule="exact" w:before="0" w:after="0"/>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4.《{{ county_name }}{{ land_plot_number }}号地块建设用地规划红线图》；</w:t>
      </w:r>
      <w:r>
        <w:rPr>
          <w:rFonts w:ascii="仿宋_GB2312" w:hAnsi="仿宋_GB2312" w:eastAsia="仿宋_GB2312" w:cs="仿宋_GB2312"/>
          <w:color w:val="000000"/>
          <w:sz w:val="28"/>
        </w:rPr>
      </w:r>
    </w:p>
    <w:p w14:paraId="442BA5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1F366D0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74BE4A5E">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七</w:t>
      </w:r>
      <w:r>
        <w:rPr>
          <w:rFonts w:hint="eastAsia" w:ascii="宋体" w:eastAsia="宋体" w:hAnsi="宋体" w:cs="宋体"/>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sz w:val="28"/>
        </w:rPr>
        <w:t>{{ valuation_work_date }}。</w:t>
      </w:r>
    </w:p>
    <w:p w14:paraId="6A96C30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八、</w:t>
      </w:r>
      <w:r>
        <w:rPr>
          <w:rFonts w:hint="eastAsia" w:ascii="宋体" w:eastAsia="宋体" w:hAnsi="宋体" w:cs="宋体"/>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0DE086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5CCE34A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2DAAE98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5291152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CF62B3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744985D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409DBE5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sz w:val="28"/>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2075FDA7">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w:t>
      </w:r>
      <w:r>
        <w:rPr>
          <w:rFonts w:hint="eastAsia" w:ascii="宋体" w:hAnsi="宋体" w:eastAsia="宋体" w:cs="宋体"/>
          <w:b/>
          <w:bCs/>
          <w:color w:val="000000" w:themeColor="text1"/>
          <w:sz w:val="28"/>
          <w:szCs w:val="28"/>
          <w:highlight w:val="none"/>
          <w:lang w:eastAsia="zh-CN"/>
          <w14:textFill>
            <w14:solidFill>
              <w14:schemeClr w14:val="tx1"/>
            </w14:solidFill>
          </w14:textFill>
        </w:rPr>
        <w:t>）</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估价结论</w:t>
      </w:r>
    </w:p>
    <w:p>
      <w:pPr>
        <w:spacing w:before="0" w:after="0" w:line="480" w:lineRule="exact"/>
        <w:ind w:left="561" w:firstLine="0"/>
      </w:pPr>
      <w:r>
        <w:rPr>
          <w:rFonts w:ascii="仿宋_GB2312" w:hAnsi="仿宋_GB2312" w:eastAsia="仿宋_GB2312" w:cs="仿宋_GB2312"/>
          <w:sz w:val="28"/>
        </w:rPr>
        <w:t>{{ valuation_result_statement }}</w:t>
      </w:r>
    </w:p>
    <w:p w14:paraId="52CF380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宋体" w:hAnsi="宋体" w:eastAsia="宋体" w:cs="宋体"/>
          <w:b/>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1C791D2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F12FB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b/>
          <w:color w:val="000000" w:themeColor="text1"/>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80" w:lineRule="exact" w:before="0" w:after="0"/>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lang w:val="en-US" w:eastAsia="zh-CN"/>
          <w14:textFill>
            <w14:solidFill>
              <w14:schemeClr w14:val="tx1"/>
            </w14:solidFill>
          </w14:textFill>
        </w:rPr>
        <w:t>十二</w:t>
      </w:r>
      <w:r>
        <w:rPr>
          <w:rFonts w:hint="eastAsia" w:ascii="宋体" w:eastAsia="宋体" w:hAnsi="宋体" w:cs="宋体"/>
          <w:b/>
          <w:color w:val="000000" w:themeColor="text1"/>
          <w:sz w:val="28"/>
          <w:szCs w:val="28"/>
          <w:highlight w:val="none"/>
          <w14:textFill>
            <w14:solidFill>
              <w14:schemeClr w14:val="tx1"/>
            </w14:solidFill>
          </w14:textFill>
        </w:rPr>
        <w:t>、土地估价机构</w:t>
      </w:r>
    </w:p>
    <w:p w14:paraId="29C8241E">
      <w:pPr>
        <w:tabs>
          <w:tab w:val="left" w:pos="3780"/>
        </w:tabs>
        <w:spacing w:before="0" w:beforeLines="100" w:line="480" w:lineRule="exact" w:after="0"/>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before="0" w:after="0"/>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appraisal_org }}</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before="0" w:after="0"/>
        <w:ind w:firstLine="560"/>
        <w:textAlignment w:val="auto"/>
        <w:rPr>
          <w:rFonts w:hint="eastAsia" w:eastAsia="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480" w:lineRule="exact" w:before="0" w:after="0"/>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highlight w:val="none"/>
          <w14:textFill>
            <w14:solidFill>
              <w14:schemeClr w14:val="tx1"/>
            </w14:solidFill>
          </w14:textFill>
        </w:rPr>
        <w:t xml:space="preserve"> </w:t>
      </w:r>
      <w:r>
        <w:rPr>
          <w:rFonts w:hint="eastAsia" w:ascii="仿宋_GB2312" w:eastAsia="仿宋_GB2312" w:hAnsi="仿宋_GB2312" w:cs="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hAnsi="仿宋_GB2312" w:cs="仿宋_GB2312"/>
          <w:b/>
          <w:bCs/>
          <w:color w:val="000000" w:themeColor="text1"/>
          <w:sz w:val="28"/>
          <w:highlight w:val="none"/>
          <w:lang w:val="en-US" w:eastAsia="zh-CN"/>
          <w14:textFill>
            <w14:solidFill>
              <w14:schemeClr w14:val="tx1"/>
            </w14:solidFill>
          </w14:textFill>
        </w:rPr>
        <w:t xml:space="preserve"> </w:t>
      </w:r>
    </w:p>
    <w:p w14:paraId="2D9E7F20">
      <w:pPr>
        <w:spacing w:line="480" w:lineRule="exact" w:before="0" w:after="0"/>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sz w:val="28"/>
        </w:rPr>
        <w:t>估价机构：{{ appraisal_org }}                                                                                估价期日：{{ valuation_date }}</w:t>
      </w:r>
    </w:p>
    <w:p w14:paraId="3F6401EE">
      <w:pPr>
        <w:spacing w:line="480" w:lineRule="exact" w:before="0" w:after="0"/>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估价报告编号：{{ technical_report_no }}                      估价目的：出让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Mar>
              <w:top w:w="35" w:type="dxa"/>
              <w:left w:w="35" w:type="dxa"/>
              <w:bottom w:w="35" w:type="dxa"/>
              <w:right w:w="35" w:type="dxa"/>
            </w:tcMa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0" w:type="pct"/>
            <w:vMerge w:val="restart"/>
            <w:vAlign w:val="center"/>
            <w:tcMar>
              <w:top w:w="35" w:type="dxa"/>
              <w:left w:w="35" w:type="dxa"/>
              <w:bottom w:w="35" w:type="dxa"/>
              <w:right w:w="35" w:type="dxa"/>
            </w:tcMa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58" w:type="pct"/>
            <w:vMerge w:val="restart"/>
            <w:vAlign w:val="center"/>
            <w:tcMar>
              <w:top w:w="35" w:type="dxa"/>
              <w:left w:w="35" w:type="dxa"/>
              <w:bottom w:w="35" w:type="dxa"/>
              <w:right w:w="35" w:type="dxa"/>
            </w:tcMa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2" w:type="pct"/>
            <w:vMerge w:val="restart"/>
            <w:vAlign w:val="center"/>
            <w:tcMar>
              <w:top w:w="35" w:type="dxa"/>
              <w:left w:w="35" w:type="dxa"/>
              <w:bottom w:w="35" w:type="dxa"/>
              <w:right w:w="35" w:type="dxa"/>
            </w:tcMa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26" w:type="pct"/>
            <w:gridSpan w:val="3"/>
            <w:vAlign w:val="center"/>
            <w:tcMar>
              <w:top w:w="35" w:type="dxa"/>
              <w:left w:w="35" w:type="dxa"/>
              <w:bottom w:w="35" w:type="dxa"/>
              <w:right w:w="35" w:type="dxa"/>
            </w:tcMa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706" w:type="pct"/>
            <w:gridSpan w:val="3"/>
            <w:vAlign w:val="center"/>
            <w:tcMar>
              <w:top w:w="35" w:type="dxa"/>
              <w:left w:w="35" w:type="dxa"/>
              <w:bottom w:w="35" w:type="dxa"/>
              <w:right w:w="35" w:type="dxa"/>
            </w:tcMa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1" w:type="pct"/>
            <w:vMerge w:val="restart"/>
            <w:vAlign w:val="center"/>
            <w:tcMar>
              <w:top w:w="35" w:type="dxa"/>
              <w:left w:w="35" w:type="dxa"/>
              <w:bottom w:w="35" w:type="dxa"/>
              <w:right w:w="35" w:type="dxa"/>
            </w:tcMa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3" w:type="pct"/>
            <w:vMerge w:val="restart"/>
            <w:vAlign w:val="center"/>
            <w:tcMar>
              <w:top w:w="35" w:type="dxa"/>
              <w:left w:w="35" w:type="dxa"/>
              <w:bottom w:w="35" w:type="dxa"/>
              <w:right w:w="35" w:type="dxa"/>
            </w:tcMa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67" w:type="pct"/>
            <w:vMerge w:val="restart"/>
            <w:vAlign w:val="center"/>
            <w:tcMar>
              <w:top w:w="35" w:type="dxa"/>
              <w:left w:w="35" w:type="dxa"/>
              <w:bottom w:w="35" w:type="dxa"/>
              <w:right w:w="35" w:type="dxa"/>
            </w:tcMa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0" w:type="pct"/>
            <w:vMerge w:val="restart"/>
            <w:vAlign w:val="center"/>
            <w:tcMar>
              <w:top w:w="35" w:type="dxa"/>
              <w:left w:w="35" w:type="dxa"/>
              <w:bottom w:w="35" w:type="dxa"/>
              <w:right w:w="35" w:type="dxa"/>
            </w:tcMa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19" w:type="pct"/>
            <w:vMerge w:val="restart"/>
            <w:vAlign w:val="center"/>
            <w:tcMar>
              <w:top w:w="35" w:type="dxa"/>
              <w:left w:w="35" w:type="dxa"/>
              <w:bottom w:w="35" w:type="dxa"/>
              <w:right w:w="35" w:type="dxa"/>
            </w:tcMa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29" w:type="pct"/>
            <w:vMerge w:val="restart"/>
            <w:vAlign w:val="center"/>
            <w:tcMar>
              <w:top w:w="35" w:type="dxa"/>
              <w:left w:w="35" w:type="dxa"/>
              <w:bottom w:w="35" w:type="dxa"/>
              <w:right w:w="35" w:type="dxa"/>
            </w:tcMa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3" w:type="pct"/>
            <w:vMerge w:val="restart"/>
            <w:vAlign w:val="center"/>
            <w:tcMar>
              <w:top w:w="35" w:type="dxa"/>
              <w:left w:w="35" w:type="dxa"/>
              <w:bottom w:w="35" w:type="dxa"/>
              <w:right w:w="35" w:type="dxa"/>
            </w:tcMa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17" w:type="pct"/>
            <w:vMerge w:val="restart"/>
            <w:vAlign w:val="center"/>
            <w:tcMar>
              <w:top w:w="35" w:type="dxa"/>
              <w:left w:w="35" w:type="dxa"/>
              <w:bottom w:w="35" w:type="dxa"/>
              <w:right w:w="35" w:type="dxa"/>
            </w:tcMa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Mar>
              <w:top w:w="35" w:type="dxa"/>
              <w:left w:w="35" w:type="dxa"/>
              <w:bottom w:w="35" w:type="dxa"/>
              <w:right w:w="35" w:type="dxa"/>
            </w:tcMa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75" w:type="pct"/>
            <w:vAlign w:val="center"/>
            <w:tcMar>
              <w:top w:w="35" w:type="dxa"/>
              <w:left w:w="35" w:type="dxa"/>
              <w:bottom w:w="35" w:type="dxa"/>
              <w:right w:w="35" w:type="dxa"/>
            </w:tcMa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4" w:type="pct"/>
            <w:vAlign w:val="center"/>
            <w:tcMar>
              <w:top w:w="35" w:type="dxa"/>
              <w:left w:w="35" w:type="dxa"/>
              <w:bottom w:w="35" w:type="dxa"/>
              <w:right w:w="35" w:type="dxa"/>
            </w:tcMa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257" w:type="pct"/>
            <w:vAlign w:val="center"/>
            <w:tcMar>
              <w:top w:w="35" w:type="dxa"/>
              <w:left w:w="35" w:type="dxa"/>
              <w:bottom w:w="35" w:type="dxa"/>
              <w:right w:w="35" w:type="dxa"/>
            </w:tcMa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47" w:type="pct"/>
            <w:vAlign w:val="center"/>
            <w:tcMar>
              <w:top w:w="35" w:type="dxa"/>
              <w:left w:w="35" w:type="dxa"/>
              <w:bottom w:w="35" w:type="dxa"/>
              <w:right w:w="35" w:type="dxa"/>
            </w:tcMa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0" w:type="pct"/>
            <w:vAlign w:val="center"/>
            <w:tcMar>
              <w:top w:w="35" w:type="dxa"/>
              <w:left w:w="35" w:type="dxa"/>
              <w:bottom w:w="35" w:type="dxa"/>
              <w:right w:w="35" w:type="dxa"/>
            </w:tcMa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Mar>
              <w:top w:w="35" w:type="dxa"/>
              <w:left w:w="35" w:type="dxa"/>
              <w:bottom w:w="35" w:type="dxa"/>
              <w:right w:w="35" w:type="dxa"/>
            </w:tcMa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0" w:type="pct"/>
            <w:vAlign w:val="center"/>
            <w:tcMar>
              <w:top w:w="35" w:type="dxa"/>
              <w:left w:w="35" w:type="dxa"/>
              <w:bottom w:w="35" w:type="dxa"/>
              <w:right w:w="35" w:type="dxa"/>
            </w:tcMa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58" w:type="pct"/>
            <w:vAlign w:val="center"/>
            <w:tcMar>
              <w:top w:w="35" w:type="dxa"/>
              <w:left w:w="35" w:type="dxa"/>
              <w:bottom w:w="35" w:type="dxa"/>
              <w:right w:w="35" w:type="dxa"/>
            </w:tcMa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2" w:type="pct"/>
            <w:vAlign w:val="center"/>
            <w:tcMar>
              <w:top w:w="35" w:type="dxa"/>
              <w:left w:w="35" w:type="dxa"/>
              <w:bottom w:w="35" w:type="dxa"/>
              <w:right w:w="35" w:type="dxa"/>
            </w:tcMa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57" w:type="pct"/>
            <w:vAlign w:val="center"/>
            <w:tcMar>
              <w:top w:w="35" w:type="dxa"/>
              <w:left w:w="35" w:type="dxa"/>
              <w:bottom w:w="35" w:type="dxa"/>
              <w:right w:w="35" w:type="dxa"/>
            </w:tcMa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5" w:type="pct"/>
            <w:vAlign w:val="center"/>
            <w:tcMar>
              <w:top w:w="35" w:type="dxa"/>
              <w:left w:w="35" w:type="dxa"/>
              <w:bottom w:w="35" w:type="dxa"/>
              <w:right w:w="35" w:type="dxa"/>
            </w:tcMa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4" w:type="pct"/>
            <w:vAlign w:val="center"/>
            <w:tcMar>
              <w:top w:w="35" w:type="dxa"/>
              <w:left w:w="35" w:type="dxa"/>
              <w:bottom w:w="35" w:type="dxa"/>
              <w:right w:w="35" w:type="dxa"/>
            </w:tcMa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257" w:type="pct"/>
            <w:vAlign w:val="center"/>
            <w:tcMar>
              <w:top w:w="35" w:type="dxa"/>
              <w:left w:w="35" w:type="dxa"/>
              <w:bottom w:w="35" w:type="dxa"/>
              <w:right w:w="35" w:type="dxa"/>
            </w:tcMa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47" w:type="pct"/>
            <w:vAlign w:val="center"/>
            <w:tcMar>
              <w:top w:w="35" w:type="dxa"/>
              <w:left w:w="35" w:type="dxa"/>
              <w:bottom w:w="35" w:type="dxa"/>
              <w:right w:w="35" w:type="dxa"/>
            </w:tcMa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0" w:type="pct"/>
            <w:vAlign w:val="center"/>
            <w:tcMar>
              <w:top w:w="35" w:type="dxa"/>
              <w:left w:w="35" w:type="dxa"/>
              <w:bottom w:w="35" w:type="dxa"/>
              <w:right w:w="35" w:type="dxa"/>
            </w:tcMa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1" w:type="pct"/>
            <w:vAlign w:val="center"/>
            <w:tcMar>
              <w:top w:w="35" w:type="dxa"/>
              <w:left w:w="35" w:type="dxa"/>
              <w:bottom w:w="35" w:type="dxa"/>
              <w:right w:w="35" w:type="dxa"/>
            </w:tcMa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3" w:type="pct"/>
            <w:vAlign w:val="center"/>
            <w:tcMar>
              <w:top w:w="35" w:type="dxa"/>
              <w:left w:w="35" w:type="dxa"/>
              <w:bottom w:w="35" w:type="dxa"/>
              <w:right w:w="35" w:type="dxa"/>
            </w:tcMa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67" w:type="pct"/>
            <w:vAlign w:val="center"/>
            <w:tcMar>
              <w:top w:w="35" w:type="dxa"/>
              <w:left w:w="35" w:type="dxa"/>
              <w:bottom w:w="35" w:type="dxa"/>
              <w:right w:w="35" w:type="dxa"/>
            </w:tcMa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0" w:type="pct"/>
            <w:vAlign w:val="center"/>
            <w:tcMar>
              <w:top w:w="35" w:type="dxa"/>
              <w:left w:w="35" w:type="dxa"/>
              <w:bottom w:w="35" w:type="dxa"/>
              <w:right w:w="35" w:type="dxa"/>
            </w:tcMa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19" w:type="pct"/>
            <w:vAlign w:val="center"/>
            <w:tcMar>
              <w:top w:w="35" w:type="dxa"/>
              <w:left w:w="35" w:type="dxa"/>
              <w:bottom w:w="35" w:type="dxa"/>
              <w:right w:w="35" w:type="dxa"/>
            </w:tcMa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29" w:type="pct"/>
            <w:vAlign w:val="center"/>
            <w:tcMar>
              <w:top w:w="35" w:type="dxa"/>
              <w:left w:w="35" w:type="dxa"/>
              <w:bottom w:w="35" w:type="dxa"/>
              <w:right w:w="35" w:type="dxa"/>
            </w:tcMa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3" w:type="pct"/>
            <w:shd w:val="clear" w:color="auto" w:fill="auto"/>
            <w:vAlign w:val="center"/>
            <w:tcMar>
              <w:top w:w="35" w:type="dxa"/>
              <w:left w:w="35" w:type="dxa"/>
              <w:bottom w:w="35" w:type="dxa"/>
              <w:right w:w="35" w:type="dxa"/>
            </w:tcMa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17" w:type="pct"/>
            <w:vAlign w:val="center"/>
            <w:tcMar>
              <w:top w:w="35" w:type="dxa"/>
              <w:left w:w="35" w:type="dxa"/>
              <w:bottom w:w="35" w:type="dxa"/>
              <w:right w:w="35" w:type="dxa"/>
            </w:tcMa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sz w:val="28"/>
        </w:rPr>
      </w:r>
    </w:p>
    <w:p w14:paraId="764C00F5">
      <w:pPr>
        <w:keepNext w:val="0"/>
        <w:keepLines w:val="0"/>
        <w:pageBreakBefore w:val="0"/>
        <w:widowControl w:val="0"/>
        <w:tabs>
          <w:tab w:val="left" w:pos="560"/>
        </w:tabs>
        <w:kinsoku/>
        <w:wordWrap/>
        <w:overflowPunct/>
        <w:topLinePunct w:val="0"/>
        <w:autoSpaceDE/>
        <w:autoSpaceDN/>
        <w:bidi w:val="0"/>
        <w:adjustRightInd/>
        <w:snapToGrid/>
        <w:spacing w:line="480" w:lineRule="exact" w:before="0" w:after="0"/>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 w:val="28"/>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sz w:val="28"/>
        </w:rPr>
      </w:r>
    </w:p>
    <w:p w14:paraId="09B67B4D">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宋体" w:hAnsi="宋体" w:eastAsia="宋体" w:cs="宋体"/>
          <w:b/>
          <w:color w:val="000000" w:themeColor="text1"/>
          <w:sz w:val="28"/>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sz w:val="28"/>
        </w:rPr>
        <w:t>2.本估价报告有效期自提交估价报告日{{ report_date }}至{{ report_valid_until }}一年内有效。</w:t>
      </w:r>
    </w:p>
    <w:p w14:paraId="0F35ED77">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sz w:val="28"/>
        </w:rPr>
      </w:r>
    </w:p>
    <w:p w14:paraId="3B160255">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5.依据{{ client_name }}《关于国有建设用地的规划条件的函》（2025年9月11日），用地面积{{ land_area }}平方米，本次评估面积以拟出让地块红线图的供应面积为准。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28"/>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 xml:space="preserve">{{ appraisal_org }}                                                                                                                                                                                                                    </w:t>
      </w:r>
    </w:p>
    <w:p w14:paraId="68903E91">
      <w:pPr>
        <w:keepNext w:val="0"/>
        <w:keepLines w:val="0"/>
        <w:pageBreakBefore w:val="0"/>
        <w:widowControl w:val="0"/>
        <w:kinsoku/>
        <w:wordWrap/>
        <w:overflowPunct/>
        <w:topLinePunct w:val="0"/>
        <w:autoSpaceDE/>
        <w:autoSpaceDN/>
        <w:bidi w:val="0"/>
        <w:adjustRightInd/>
        <w:snapToGrid/>
        <w:spacing w:line="480" w:lineRule="exact" w:before="0" w:after="0"/>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sz w:val="28"/>
        </w:rPr>
        <w:t xml:space="preserve">                                                                                                                   {{ report_date }}</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0" w:beforeLines="50" w:after="0" w:afterLines="100" w:line="56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（一）土地登记状况</w:t>
      </w:r>
    </w:p>
    <w:p>
      <w:pPr>
        <w:spacing w:before="0" w:after="0" w:line="480" w:lineRule="exact"/>
        <w:ind w:left="561" w:firstLine="0"/>
      </w:pPr>
      <w:r>
        <w:rPr>
          <w:rFonts w:ascii="仿宋_GB2312" w:hAnsi="仿宋_GB2312" w:eastAsia="仿宋_GB2312" w:cs="仿宋_GB2312"/>
          <w:sz w:val="28"/>
        </w:rPr>
        <w:t>{{ land_registration_desc }}</w:t>
      </w:r>
    </w:p>
    <w:p w14:paraId="647664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（二）土地权利状况</w:t>
      </w:r>
    </w:p>
    <w:p>
      <w:pPr>
        <w:spacing w:before="0" w:after="0" w:line="480" w:lineRule="exact"/>
        <w:ind w:left="561" w:firstLine="0"/>
      </w:pPr>
      <w:r>
        <w:rPr>
          <w:rFonts w:ascii="仿宋_GB2312" w:hAnsi="仿宋_GB2312" w:eastAsia="仿宋_GB2312" w:cs="仿宋_GB2312"/>
          <w:sz w:val="28"/>
        </w:rPr>
        <w:t>{{ land_right_desc }}</w:t>
      </w:r>
    </w:p>
    <w:p w14:paraId="4A6C838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80" w:lineRule="exact"/>
        <w:ind w:left="561" w:firstLine="0"/>
      </w:pPr>
      <w:r>
        <w:rPr>
          <w:rFonts w:ascii="仿宋_GB2312" w:hAnsi="仿宋_GB2312" w:eastAsia="仿宋_GB2312" w:cs="仿宋_GB2312"/>
          <w:sz w:val="28"/>
        </w:rPr>
        <w:t>{{ land_use_status_desc }}</w:t>
      </w:r>
    </w:p>
    <w:p>
      <w:pPr>
        <w:spacing w:before="0" w:after="0" w:line="480" w:lineRule="exact"/>
        <w:ind w:left="561" w:firstLine="0"/>
      </w:pPr>
      <w:r>
        <w:rPr>
          <w:rFonts w:ascii="仿宋_GB2312" w:hAnsi="仿宋_GB2312" w:eastAsia="仿宋_GB2312" w:cs="仿宋_GB2312"/>
          <w:sz w:val="28"/>
        </w:rPr>
        <w:t>估价对象利用现状如下：</w:t>
      </w:r>
    </w:p>
    <w:p w14:paraId="5DBDB51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3A8FFFC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53D714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宋体" w:hAnsi="宋体" w:eastAsia="宋体" w:cs="宋体"/>
          <w:b/>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80" w:lineRule="exact" w:before="0" w:after="0"/>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80" w:lineRule="exact" w:before="0" w:after="0"/>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80" w:lineRule="exact" w:before="0"/>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(二)区域因素</w:t>
      </w: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540109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4EFEB1A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（1）对内交通条件</w:t>
      </w:r>
    </w:p>
    <w:p w14:paraId="22A6A9A8">
      <w:pPr>
        <w:spacing w:line="480" w:lineRule="exact" w:before="0" w:after="0"/>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境内有县城到</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hAnsi="仿宋_GB2312" w:cs="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80" w:lineRule="exact" w:before="0" w:after="0"/>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hAnsi="仿宋_GB2312" w:cs="仿宋_GB2312"/>
          <w:color w:val="000000" w:themeColor="text1"/>
          <w:sz w:val="28"/>
          <w:szCs w:val="30"/>
          <w:highlight w:val="none"/>
          <w14:textFill>
            <w14:solidFill>
              <w14:schemeClr w14:val="tx1"/>
            </w14:solidFill>
          </w14:textFill>
        </w:rPr>
        <w:t>估价对象距四马桥镇客运站12km。</w:t>
      </w:r>
    </w:p>
    <w:p w14:paraId="3012DFBF">
      <w:pPr>
        <w:spacing w:line="480" w:lineRule="exact" w:before="0" w:after="0"/>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hAnsi="仿宋_GB2312" w:cs="仿宋_GB2312"/>
          <w:color w:val="000000" w:themeColor="text1"/>
          <w:sz w:val="28"/>
          <w:szCs w:val="30"/>
          <w:highlight w:val="none"/>
          <w14:textFill>
            <w14:solidFill>
              <w14:schemeClr w14:val="tx1"/>
            </w14:solidFill>
          </w14:textFill>
        </w:rPr>
        <w:t>区域的外联道路主要</w:t>
      </w:r>
      <w:r>
        <w:rPr>
          <w:rFonts w:hint="default" w:ascii="仿宋_GB2312" w:eastAsia="仿宋_GB2312" w:hAnsi="仿宋_GB2312" w:cs="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000000" w:themeColor="text1"/>
          <w:sz w:val="28"/>
          <w:szCs w:val="30"/>
          <w:highlight w:val="none"/>
          <w14:textFill>
            <w14:solidFill>
              <w14:schemeClr w14:val="tx1"/>
            </w14:solidFill>
          </w14:textFill>
        </w:rPr>
        <w:t>（2）自然环境</w:t>
      </w:r>
    </w:p>
    <w:p w14:paraId="301FE25B">
      <w:pPr>
        <w:spacing w:line="480" w:lineRule="exact" w:before="0" w:after="0"/>
        <w:ind w:firstLine="560" w:firstLineChars="200"/>
        <w:outlineLvl w:val="9"/>
        <w:rPr>
          <w:rFonts w:hint="default" w:ascii="仿宋_GB2312" w:eastAsia="仿宋_GB2312"/>
          <w:color w:val="auto"/>
          <w:sz w:val="28"/>
          <w:szCs w:val="30"/>
          <w:highlight w:val="none"/>
        </w:rPr>
      </w:pPr>
      <w:r>
        <w:rPr>
          <w:rFonts w:hint="default" w:ascii="仿宋_GB2312" w:eastAsia="仿宋_GB2312" w:hAnsi="仿宋_GB2312" w:cs="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80" w:lineRule="exact" w:before="0" w:after="0"/>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hAnsi="仿宋_GB2312" w:cs="仿宋_GB2312"/>
          <w:color w:val="auto"/>
          <w:sz w:val="28"/>
          <w:szCs w:val="30"/>
          <w:highlight w:val="none"/>
        </w:rPr>
        <w:t>宗地所在区域，地质条</w:t>
      </w:r>
      <w:r>
        <w:rPr>
          <w:rFonts w:hint="eastAsia" w:ascii="仿宋_GB2312" w:eastAsia="仿宋_GB2312" w:hAnsi="仿宋_GB2312" w:cs="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hAnsi="仿宋_GB2312" w:cs="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hAnsi="仿宋_GB2312" w:cs="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8A6E3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295C580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78B10F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80" w:lineRule="exact" w:before="0" w:after="0"/>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80" w:lineRule="exact" w:before="0" w:after="0"/>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560" w:lineRule="exact" w:before="0" w:after="0"/>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before="0" w:after="0"/>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宋体" w:eastAsia="宋体" w:hAnsi="宋体" w:cs="宋体"/>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80" w:lineRule="exact"/>
        <w:ind w:left="561" w:firstLine="0"/>
      </w:pPr>
      <w:r>
        <w:rPr>
          <w:rFonts w:ascii="仿宋_GB2312" w:hAnsi="仿宋_GB2312" w:eastAsia="仿宋_GB2312" w:cs="仿宋_GB2312"/>
          <w:sz w:val="28"/>
        </w:rPr>
        <w:t>{{ valuation_method_reasons }}</w:t>
      </w:r>
    </w:p>
    <w:p>
      <w:pPr>
        <w:spacing w:before="0" w:after="0" w:line="480" w:lineRule="exact"/>
        <w:ind w:left="561" w:firstLine="0"/>
      </w:pPr>
      <w:r>
        <w:rPr>
          <w:rFonts w:ascii="仿宋_GB2312" w:hAnsi="仿宋_GB2312" w:eastAsia="仿宋_GB2312" w:cs="仿宋_GB2312"/>
          <w:sz w:val="28"/>
        </w:rPr>
        <w:t>{{ valuation_method_applicability }}</w:t>
      </w:r>
    </w:p>
    <w:p w14:paraId="0745FAB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宋体" w:hAnsi="宋体" w:eastAsia="宋体" w:cs="宋体"/>
          <w:b/>
          <w:bCs/>
          <w:color w:val="000000" w:themeColor="text1"/>
          <w:sz w:val="28"/>
          <w:szCs w:val="28"/>
          <w:highlight w:val="none"/>
          <w:lang w:val="en-US" w:eastAsia="zh-CN"/>
          <w14:textFill>
            <w14:solidFill>
              <w14:schemeClr w14:val="tx1"/>
            </w14:solidFill>
          </w14:textFill>
        </w:rPr>
        <w:t>（二）估价过程</w:t>
      </w:r>
    </w:p>
    <w:p w14:paraId="467CA4EF">
      <w:pPr>
        <w:keepNext/>
        <w:keepLines w:val="0"/>
        <w:pageBreakBefore w:val="0"/>
        <w:widowControl w:val="0"/>
        <w:kinsoku/>
        <w:wordWrap/>
        <w:overflowPunct/>
        <w:topLinePunct w:val="0"/>
        <w:autoSpaceDE/>
        <w:autoSpaceDN/>
        <w:bidi w:val="0"/>
        <w:spacing w:line="480" w:lineRule="exact" w:before="0" w:after="0"/>
        <w:ind w:firstLineChars="200" w:firstLine="561"/>
        <w:textAlignment w:val="auto"/>
        <w:outlineLvl w:val="2"/>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b/>
          <w:bCs/>
          <w:color w:val="000000" w:themeColor="text1"/>
          <w:sz w:val="28"/>
          <w:szCs w:val="30"/>
          <w:highlight w:val="none"/>
          <w:lang w:val="en-US" w:eastAsia="zh-CN"/>
          <w14:textFill>
            <w14:solidFill>
              <w14:schemeClr w14:val="tx1"/>
            </w14:solidFill>
          </w14:textFill>
        </w:rPr>
        <w:t>成本逼近</w:t>
      </w:r>
      <w:r>
        <w:rPr>
          <w:rFonts w:hint="eastAsia" w:ascii="仿宋_GB2312" w:hAnsi="仿宋_GB2312" w:eastAsia="仿宋_GB2312" w:cs="仿宋_GB2312"/>
          <w:b/>
          <w:bCs/>
          <w:color w:val="000000" w:themeColor="text1"/>
          <w:sz w:val="28"/>
          <w:szCs w:val="30"/>
          <w:highlight w:val="none"/>
          <w:lang w:val="en-GB"/>
          <w14:textFill>
            <w14:solidFill>
              <w14:schemeClr w14:val="tx1"/>
            </w14:solidFill>
          </w14:textFill>
        </w:rPr>
        <w:t>法</w:t>
      </w:r>
    </w:p>
    <w:p w14:paraId="0910535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cost_approx_method_intro }}</w:t>
      </w:r>
    </w:p>
    <w:p w14:paraId="30B9D8A1">
      <w:pPr>
        <w:snapToGrid w:val="0"/>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计算过程：</w:t>
      </w:r>
    </w:p>
    <w:p w14:paraId="7B0008FE">
      <w:pPr>
        <w:spacing w:line="480" w:lineRule="exact" w:before="0" w:after="0"/>
        <w:ind w:firstLine="560" w:firstLineChars="200"/>
        <w:rPr>
          <w:rFonts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sz w:val="28"/>
        </w:rPr>
        <w:t>{{ cost_approx_land_class_intro }}</w:t>
      </w:r>
    </w:p>
    <w:p w14:paraId="12014A94">
      <w:pPr>
        <w:pStyle w:val="3"/>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pPr>
      <w:r>
        <w:rPr>
          <w:rFonts w:ascii="仿宋_GB2312" w:hAnsi="仿宋_GB2312" w:eastAsia="仿宋_GB2312" w:cs="仿宋_GB2312"/>
          <w:sz w:val="28"/>
        </w:rPr>
        <w:t>{{ cost_approx_process_intro }}</w:t>
      </w:r>
    </w:p>
    <w:p w14:paraId="7635C4C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7D86FBF2">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65BC3185">
      <w:pPr>
        <w:spacing w:line="480" w:lineRule="exact" w:before="0" w:after="0"/>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3413BDC6">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2024年2月1日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征地补偿区片</w:t>
      </w:r>
      <w:r>
        <w:rPr>
          <w:rFonts w:hint="default" w:ascii="仿宋_GB2312" w:hAnsi="仿宋_GB2312" w:eastAsia="仿宋_GB2312" w:cs="仿宋_GB2312"/>
          <w:color w:val="000000" w:themeColor="text1"/>
          <w:sz w:val="28"/>
          <w:szCs w:val="28"/>
          <w:highlight w:val="none"/>
          <w14:textFill>
            <w14:solidFill>
              <w14:schemeClr w14:val="tx1"/>
            </w14:solidFill>
          </w14:textFill>
        </w:rPr>
        <w:t>Ⅱ</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61800×0.67=41406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242E0789">
      <w:pPr>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1BD53A44">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29F2A19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color w:val="000000" w:themeColor="text1"/>
          <w:sz w:val="28"/>
          <w:highlight w:val="none"/>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的</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青苗补偿标准为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4000</w:t>
      </w:r>
      <w:r>
        <w:rPr>
          <w:rFonts w:hint="eastAsia" w:ascii="仿宋_GB2312" w:hAnsi="仿宋_GB2312" w:eastAsia="仿宋_GB2312" w:cs="仿宋_GB2312"/>
          <w:color w:val="000000" w:themeColor="text1"/>
          <w:sz w:val="28"/>
          <w:highlight w:val="none"/>
          <w14:textFill>
            <w14:solidFill>
              <w14:schemeClr w14:val="tx1"/>
            </w14:solidFill>
          </w14:textFill>
        </w:rPr>
        <w:t>元/亩，合</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元/㎡；</w:t>
      </w:r>
    </w:p>
    <w:p w14:paraId="712D0A6E">
      <w:pPr>
        <w:snapToGrid w:val="0"/>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故：土地取得费＝①＋②=</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68.11</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16C88B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2B82684F">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61A1A959">
      <w:pPr>
        <w:keepNext w:val="0"/>
        <w:keepLines w:val="0"/>
        <w:pageBreakBefore w:val="0"/>
        <w:widowControl w:val="0"/>
        <w:kinsoku/>
        <w:wordWrap/>
        <w:overflowPunct/>
        <w:topLinePunct w:val="0"/>
        <w:autoSpaceDE/>
        <w:autoSpaceDN/>
        <w:bidi w:val="0"/>
        <w:snapToGrid w:val="0"/>
        <w:spacing w:line="480" w:lineRule="exact" w:before="0" w:after="0"/>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B81009F">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6F59EDF5">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占用林地的，耕地占用税具体适用税额在当地适用税额的基础上降低百分之二十。</w:t>
      </w:r>
    </w:p>
    <w:p w14:paraId="63B4C807">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故此次评估取</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25×0.8=20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CE7E048">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7EDC0DA4">
      <w:pPr>
        <w:snapToGrid w:val="0"/>
        <w:spacing w:line="480" w:lineRule="exact" w:before="0" w:after="0"/>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32C700E3">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23693356">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3C617A5">
      <w:pPr>
        <w:snapToGrid w:val="0"/>
        <w:spacing w:line="480" w:lineRule="exact" w:before="0" w:after="0"/>
        <w:ind w:firstLine="560"/>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⑤新菜地开发基金或森林植被恢复费</w:t>
      </w:r>
    </w:p>
    <w:p w14:paraId="5A4263D9">
      <w:pPr>
        <w:snapToGrid w:val="0"/>
        <w:spacing w:line="480" w:lineRule="exact" w:before="0" w:after="0"/>
        <w:ind w:firstLine="560"/>
        <w:rPr>
          <w:rFonts w:hint="default" w:ascii="仿宋_GB2312" w:hAnsi="仿宋_GB2312" w:eastAsia="仿宋_GB2312" w:cs="仿宋_GB2312"/>
          <w:color w:val="000000" w:themeColor="text1"/>
          <w:sz w:val="28"/>
          <w:highlight w:val="none"/>
          <w:lang w:val="en-US" w:eastAsia="zh-CN"/>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根据</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关于印发&lt;湖南省森林植被恢复费征收使用管理实施办法&gt;的通知</w:t>
      </w:r>
      <w:r>
        <w:rPr>
          <w:rFonts w:hint="eastAsia" w:eastAsia="仿宋_GB2312" w:ascii="仿宋_GB2312" w:hAnsi="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（湘财税〔2024〕10号，2024年4月12日）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郁闭度0.2以上的乔木林地(含采伐迹地、火烧迹地)、竹林地、苗圃地,每平方米10元;灌木林地、疏林地、未成林造林地,每平方米6元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14:textFill>
            <w14:solidFill>
              <w14:schemeClr w14:val="tx1"/>
            </w14:solidFill>
          </w14:textFill>
        </w:rPr>
        <w:t>（二）国家和省级公益林林地，按照（一）款规定征收标准的2倍征收</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lang w:val="en-US" w:eastAsia="zh-CN"/>
          <w14:textFill>
            <w14:solidFill>
              <w14:schemeClr w14:val="tx1"/>
            </w14:solidFill>
          </w14:textFill>
        </w:rPr>
        <w:t>三</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城市规划区外的林地,按占用征收林地建设项目性质实行不同征收标准。</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属于公共基础设施、公共事业和国防建设项目的,按照(一)、(二)款规定征收标准征收;属于经营性建设项目的,按照第(一)、(二)款规定征收标准2倍征收。</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估计对象为乔木林地，确定估价对象森林植被恢复费为20元/平方米。</w:t>
      </w:r>
    </w:p>
    <w:p w14:paraId="1DC17F85">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71.6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5D7E92F">
      <w:pPr>
        <w:keepNext/>
        <w:snapToGrid w:val="0"/>
        <w:spacing w:line="480" w:lineRule="exact" w:before="157" w:after="10"/>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估价对象土地取得费及相关税费一览表</w:t>
      </w:r>
    </w:p>
    <w:tbl>
      <w:tblPr>
        <w:tblStyle w:val="9"/>
        <w:tblW w:w="4998" w:type="pct"/>
        <w:jc w:val="center"/>
        <w:tblLayout w:type="autofit"/>
        <w:tblCellMar>
          <w:top w:w="0" w:type="dxa"/>
          <w:left w:w="0" w:type="dxa"/>
          <w:bottom w:w="0" w:type="dxa"/>
          <w:right w:w="0" w:type="dxa"/>
        </w:tblCellMar>
      </w:tblPr>
      <w:tblGrid>
        <w:gridCol w:w="1051"/>
        <w:gridCol w:w="1154"/>
        <w:gridCol w:w="1228"/>
        <w:gridCol w:w="1206"/>
        <w:gridCol w:w="1178"/>
        <w:gridCol w:w="1351"/>
        <w:gridCol w:w="1351"/>
      </w:tblGrid>
      <w:tr w14:paraId="166BDAB5">
        <w:tblPrEx>
          <w:tblCellMar>
            <w:top w:w="0" w:type="dxa"/>
            <w:left w:w="0" w:type="dxa"/>
            <w:bottom w:w="0" w:type="dxa"/>
            <w:right w:w="0" w:type="dxa"/>
          </w:tblCellMar>
        </w:tblPrEx>
        <w:trPr>
          <w:trHeight w:val="850"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86D4F5F">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土地取得费（元/平方米）</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36201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水利建设基金（元/平方米）</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6576F3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耕地占用税</w:t>
            </w:r>
          </w:p>
          <w:p w14:paraId="3EFA2A95">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3484F5B">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耕地开垦费（元/平方米）</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8DDD68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社会保障费（元/平方米）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7F6D0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新菜地开发基金或森林植被恢复费（元/平方米）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13B58A">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合计</w:t>
            </w:r>
          </w:p>
          <w:p w14:paraId="3055255E">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r>
      <w:tr w14:paraId="177AC768">
        <w:tblPrEx>
          <w:tblCellMar>
            <w:top w:w="0" w:type="dxa"/>
            <w:left w:w="0" w:type="dxa"/>
            <w:bottom w:w="0" w:type="dxa"/>
            <w:right w:w="0" w:type="dxa"/>
          </w:tblCellMar>
        </w:tblPrEx>
        <w:trPr>
          <w:trHeight w:val="484"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3D0751D">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67.51</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0E4C79D">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1.6</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FCE92C3">
            <w:pPr>
              <w:snapToGrid w:val="0"/>
              <w:spacing w:line="240" w:lineRule="atLeast"/>
              <w:jc w:val="center"/>
              <w:rPr>
                <w:rFonts w:hint="eastAsia" w:ascii="仿宋_GB2312" w:hAnsi="仿宋_GB2312" w:eastAsia="仿宋_GB2312" w:cs="仿宋_GB2312"/>
                <w:color w:val="000000" w:themeColor="text1"/>
                <w:sz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2</w:t>
            </w: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F46105">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7F42363">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30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853DF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20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139.11</w:t>
            </w:r>
          </w:p>
        </w:tc>
      </w:tr>
    </w:tbl>
    <w:p w14:paraId="5D47A72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0DDA16D">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keepNext/>
        <w:spacing w:before="157" w:beforeLines="50" w:after="10" w:afterLines="50" w:line="480" w:lineRule="exact"/>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表3-</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2道县</w:t>
      </w:r>
      <w:r>
        <w:rPr>
          <w:rFonts w:hint="eastAsia" w:ascii="仿宋_GB2312" w:hAnsi="仿宋_GB2312" w:eastAsia="仿宋_GB2312" w:cs="仿宋_GB2312"/>
          <w:b w:val="0"/>
          <w:color w:val="000000" w:themeColor="text1"/>
          <w:sz w:val="28"/>
          <w:highlight w:val="none"/>
          <w14:textFill>
            <w14:solidFill>
              <w14:schemeClr w14:val="tx1"/>
            </w14:solidFill>
          </w14:textFill>
        </w:rPr>
        <w:t>城区土地开发费用分项一览表</w:t>
      </w:r>
    </w:p>
    <w:tbl>
      <w:tblPr>
        <w:tblStyle w:val="9"/>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128"/>
        <w:gridCol w:w="1050"/>
        <w:gridCol w:w="898"/>
        <w:gridCol w:w="837"/>
        <w:gridCol w:w="895"/>
        <w:gridCol w:w="1257"/>
        <w:gridCol w:w="771"/>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68134BC4">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土地开发项目</w:t>
            </w:r>
          </w:p>
        </w:tc>
        <w:tc>
          <w:tcPr>
            <w:tcW w:w="1128" w:type="dxa"/>
            <w:noWrap w:val="0"/>
            <w:vAlign w:val="center"/>
          </w:tcPr>
          <w:p w14:paraId="31346051">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通路</w:t>
            </w:r>
          </w:p>
        </w:tc>
        <w:tc>
          <w:tcPr>
            <w:tcW w:w="1050" w:type="dxa"/>
            <w:noWrap w:val="0"/>
            <w:vAlign w:val="center"/>
          </w:tcPr>
          <w:p w14:paraId="68F6FB98">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供水</w:t>
            </w:r>
          </w:p>
        </w:tc>
        <w:tc>
          <w:tcPr>
            <w:tcW w:w="898" w:type="dxa"/>
            <w:noWrap w:val="0"/>
            <w:vAlign w:val="center"/>
          </w:tcPr>
          <w:p w14:paraId="4EFA9600">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排水</w:t>
            </w:r>
          </w:p>
        </w:tc>
        <w:tc>
          <w:tcPr>
            <w:tcW w:w="837" w:type="dxa"/>
            <w:noWrap w:val="0"/>
            <w:vAlign w:val="center"/>
          </w:tcPr>
          <w:p w14:paraId="161F8D2D">
            <w:pPr>
              <w:snapToGrid w:val="0"/>
              <w:spacing w:line="440" w:lineRule="exact"/>
              <w:jc w:val="center"/>
              <w:rPr>
                <w:rFonts w:hint="eastAsia" w:ascii="仿宋_GB2312" w:hAnsi="仿宋_GB2312" w:eastAsia="仿宋_GB2312" w:cs="仿宋_GB2312"/>
                <w:color w:val="000000" w:themeColor="text1"/>
                <w:sz w:val="22"/>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通电</w:t>
            </w:r>
          </w:p>
        </w:tc>
        <w:tc>
          <w:tcPr>
            <w:tcW w:w="895" w:type="dxa"/>
            <w:noWrap w:val="0"/>
            <w:vAlign w:val="center"/>
          </w:tcPr>
          <w:p w14:paraId="0C6CDB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通讯</w:t>
            </w:r>
          </w:p>
        </w:tc>
        <w:tc>
          <w:tcPr>
            <w:tcW w:w="1257" w:type="dxa"/>
            <w:noWrap w:val="0"/>
            <w:vAlign w:val="center"/>
          </w:tcPr>
          <w:p w14:paraId="6F8B8199">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场地平整</w:t>
            </w:r>
          </w:p>
        </w:tc>
        <w:tc>
          <w:tcPr>
            <w:tcW w:w="771" w:type="dxa"/>
            <w:noWrap w:val="0"/>
            <w:vAlign w:val="center"/>
          </w:tcPr>
          <w:p w14:paraId="4ADDBA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28DA4D32">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费用（元/㎡）</w:t>
            </w:r>
          </w:p>
        </w:tc>
        <w:tc>
          <w:tcPr>
            <w:tcW w:w="1128" w:type="dxa"/>
            <w:noWrap w:val="0"/>
            <w:vAlign w:val="center"/>
          </w:tcPr>
          <w:p w14:paraId="6B904843">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1050" w:type="dxa"/>
            <w:noWrap w:val="0"/>
            <w:vAlign w:val="center"/>
          </w:tcPr>
          <w:p w14:paraId="37BD6B0B">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12-15</w:t>
            </w:r>
          </w:p>
        </w:tc>
        <w:tc>
          <w:tcPr>
            <w:tcW w:w="898" w:type="dxa"/>
            <w:noWrap w:val="0"/>
            <w:vAlign w:val="center"/>
          </w:tcPr>
          <w:p w14:paraId="16F0EF9D">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37" w:type="dxa"/>
            <w:noWrap w:val="0"/>
            <w:vAlign w:val="center"/>
          </w:tcPr>
          <w:p w14:paraId="553E14EC">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95" w:type="dxa"/>
            <w:noWrap w:val="0"/>
            <w:vAlign w:val="center"/>
          </w:tcPr>
          <w:p w14:paraId="75E0FCA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5-10</w:t>
            </w:r>
          </w:p>
        </w:tc>
        <w:tc>
          <w:tcPr>
            <w:tcW w:w="1257" w:type="dxa"/>
            <w:noWrap w:val="0"/>
            <w:vAlign w:val="center"/>
          </w:tcPr>
          <w:p w14:paraId="1036530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771" w:type="dxa"/>
            <w:noWrap w:val="0"/>
            <w:vAlign w:val="center"/>
          </w:tcPr>
          <w:p w14:paraId="4B57F1F8">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73-95</w:t>
            </w:r>
          </w:p>
        </w:tc>
      </w:tr>
    </w:tbl>
    <w:p w14:paraId="753AB5B3">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639EF8B8">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根据待估宗地的开发程度和开发规模及实际调查分析，确定土地开发周期为1年，中国人民银行授权全国银行间同业拆借中心公布，2025年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269FB4AD">
      <w:pPr>
        <w:tabs>
          <w:tab w:val="left" w:pos="8520"/>
        </w:tabs>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snapToGrid w:val="0"/>
        <w:spacing w:line="480" w:lineRule="exact" w:before="0" w:after="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45</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77753B0">
      <w:pPr>
        <w:spacing w:line="480" w:lineRule="exact" w:before="0" w:after="0"/>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04F82BA0">
      <w:pPr>
        <w:snapToGrid w:val="0"/>
        <w:spacing w:line="480" w:lineRule="exact" w:before="0" w:after="0"/>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06ED8042">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75B35539">
      <w:pPr>
        <w:keepNext w:val="0"/>
        <w:keepLines w:val="0"/>
        <w:pageBreakBefore w:val="0"/>
        <w:widowControl w:val="0"/>
        <w:kinsoku/>
        <w:wordWrap/>
        <w:overflowPunct/>
        <w:topLinePunct w:val="0"/>
        <w:autoSpaceDE/>
        <w:autoSpaceDN/>
        <w:bidi w:val="0"/>
        <w:snapToGrid w:val="0"/>
        <w:spacing w:line="480" w:lineRule="exact" w:before="0" w:after="0"/>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FC35A4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11.09</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483BD6CE">
      <w:pPr>
        <w:adjustRightInd w:val="0"/>
        <w:snapToGrid w:val="0"/>
        <w:spacing w:line="480" w:lineRule="exact" w:before="0" w:after="0"/>
        <w:ind w:left="561"/>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0CB1562C">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eastAsia="仿宋_GB2312" w:ascii="仿宋_GB2312" w:hAnsi="仿宋_GB2312" w:cs="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土地增值是待估土地因改变用途或进行土地开发，达到建设用地的某种利用条件而发生的价值增加，是土地开发后市场价格与成本价格之间的差额。估价人员通过对</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永州市道县工业</w:t>
      </w:r>
      <w:r>
        <w:rPr>
          <w:rFonts w:eastAsia="仿宋_GB2312" w:ascii="仿宋_GB2312" w:hAnsi="仿宋_GB2312" w:cs="仿宋_GB2312"/>
          <w:color w:val="000000" w:themeColor="text1"/>
          <w:sz w:val="28"/>
          <w:szCs w:val="28"/>
          <w:highlight w:val="none"/>
          <w14:textFill>
            <w14:solidFill>
              <w14:schemeClr w14:val="tx1"/>
            </w14:solidFill>
          </w14:textFill>
        </w:rPr>
        <w:t>用地的增值收益情况的调查，</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永州市道县</w:t>
      </w:r>
      <w:r>
        <w:rPr>
          <w:rFonts w:eastAsia="仿宋_GB2312" w:ascii="仿宋_GB2312" w:hAnsi="仿宋_GB2312" w:cs="仿宋_GB2312"/>
          <w:color w:val="000000" w:themeColor="text1"/>
          <w:sz w:val="28"/>
          <w:szCs w:val="28"/>
          <w:highlight w:val="none"/>
          <w14:textFill>
            <w14:solidFill>
              <w14:schemeClr w14:val="tx1"/>
            </w14:solidFill>
          </w14:textFill>
        </w:rPr>
        <w:t>公用</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工业用地</w:t>
      </w:r>
      <w:r>
        <w:rPr>
          <w:rFonts w:eastAsia="仿宋_GB2312" w:ascii="仿宋_GB2312" w:hAnsi="仿宋_GB2312" w:cs="仿宋_GB2312"/>
          <w:color w:val="000000" w:themeColor="text1"/>
          <w:sz w:val="28"/>
          <w:szCs w:val="28"/>
          <w:highlight w:val="none"/>
          <w14:textFill>
            <w14:solidFill>
              <w14:schemeClr w14:val="tx1"/>
            </w14:solidFill>
          </w14:textFill>
        </w:rPr>
        <w:t>增值收益率为土地成本价格的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%，结合宗地所在区域土地市场行情，此次评估确定取土地成本的</w:t>
      </w:r>
      <w:r>
        <w:rPr>
          <w:rFonts w:hint="eastAsia" w:eastAsia="仿宋_GB2312" w:ascii="仿宋_GB2312" w:hAnsi="仿宋_GB2312" w:cs="仿宋_GB2312"/>
          <w:color w:val="000000" w:themeColor="text1"/>
          <w:sz w:val="28"/>
          <w:szCs w:val="28"/>
          <w:highlight w:val="none"/>
          <w:lang w:val="en-US" w:eastAsia="zh-CN"/>
          <w14:textFill>
            <w14:solidFill>
              <w14:schemeClr w14:val="tx1"/>
            </w14:solidFill>
          </w14:textFill>
        </w:rPr>
        <w:t>5</w:t>
      </w:r>
      <w:r>
        <w:rPr>
          <w:rFonts w:eastAsia="仿宋_GB2312" w:ascii="仿宋_GB2312" w:hAnsi="仿宋_GB2312" w:cs="仿宋_GB2312"/>
          <w:color w:val="000000" w:themeColor="text1"/>
          <w:sz w:val="28"/>
          <w:szCs w:val="28"/>
          <w:highlight w:val="none"/>
          <w14:textFill>
            <w14:solidFill>
              <w14:schemeClr w14:val="tx1"/>
            </w14:solidFill>
          </w14:textFill>
        </w:rPr>
        <w:t>%为土地增值收益率</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4D61C400">
      <w:pPr>
        <w:adjustRightInd w:val="0"/>
        <w:snapToGrid w:val="0"/>
        <w:spacing w:line="480" w:lineRule="exact" w:before="0" w:after="0"/>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土地增值收益=土地成本价格×土地增值收益率</w:t>
      </w:r>
    </w:p>
    <w:p w14:paraId="756FEAF2">
      <w:pPr>
        <w:adjustRightInd w:val="0"/>
        <w:snapToGrid w:val="0"/>
        <w:spacing w:line="480" w:lineRule="exact" w:before="0" w:after="0"/>
        <w:ind w:firstLine="2240" w:firstLineChars="8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67.51+71.6+82+5.42+11.09</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3150796B">
      <w:pPr>
        <w:pStyle w:val="2"/>
        <w:spacing w:before="0" w:after="0" w:line="480" w:lineRule="exact"/>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11.91元</w:t>
      </w: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/平方米 </w:t>
      </w:r>
    </w:p>
    <w:p w14:paraId="05745F0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highlight w:val="none"/>
          <w14:textFill>
            <w14:solidFill>
              <w14:schemeClr w14:val="tx1"/>
            </w14:solidFill>
          </w14:textFill>
        </w:rPr>
        <w:t>、土地使用年期修正系数</w:t>
      </w:r>
    </w:p>
    <w:p w14:paraId="0B56739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土地使用年期</w:t>
      </w:r>
      <w:r>
        <w:rPr>
          <w:rFonts w:hint="eastAsia" w:ascii="仿宋_GB2312" w:hAnsi="仿宋_GB2312" w:eastAsia="仿宋_GB2312" w:cs="仿宋_GB2312"/>
          <w:bCs/>
          <w:color w:val="000000" w:themeColor="text1"/>
          <w:sz w:val="28"/>
          <w:highlight w:val="none"/>
          <w14:textFill>
            <w14:solidFill>
              <w14:schemeClr w14:val="tx1"/>
            </w14:solidFill>
          </w14:textFill>
        </w:rPr>
        <w:t>修正系数为：</w:t>
      </w:r>
    </w:p>
    <w:p w14:paraId="527D24A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年期修正系数=1－1/ (1+r)</w:t>
      </w:r>
      <w:r>
        <w:rPr>
          <w:rFonts w:hint="eastAsia" w:ascii="仿宋_GB2312" w:hAnsi="仿宋_GB2312" w:eastAsia="仿宋_GB2312" w:cs="仿宋_GB2312"/>
          <w:bCs/>
          <w:color w:val="000000" w:themeColor="text1"/>
          <w:sz w:val="28"/>
          <w:highlight w:val="none"/>
          <w:vertAlign w:val="superscript"/>
          <w14:textFill>
            <w14:solidFill>
              <w14:schemeClr w14:val="tx1"/>
            </w14:solidFill>
          </w14:textFill>
        </w:rPr>
        <w:t>n</w:t>
      </w:r>
    </w:p>
    <w:p w14:paraId="67179F0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其中: r─土地还原利率；</w:t>
      </w:r>
    </w:p>
    <w:p w14:paraId="13EB30C6">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 xml:space="preserve">     n─估价对象设定土地使用年期；</w:t>
      </w:r>
    </w:p>
    <w:p w14:paraId="2584B326">
      <w:pPr>
        <w:overflowPunct w:val="0"/>
        <w:autoSpaceDE w:val="0"/>
        <w:autoSpaceDN w:val="0"/>
        <w:snapToGrid w:val="0"/>
        <w:spacing w:line="480" w:lineRule="exact" w:before="0" w:after="0"/>
        <w:ind w:firstLine="565" w:firstLineChars="202"/>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土地还原率确定</w:t>
      </w:r>
      <w:r>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t>过程</w:t>
      </w: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w:t>
      </w:r>
    </w:p>
    <w:p w14:paraId="7870B36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还原利率的确定方法是安全利率加风险调整值法，安全利率采用中国外汇交易中心（全国银行间同业拆借中心）公布的一年期国债收益率1.4453%（2025年5月19日中国外汇交易中心（全国银行间同业拆借中心）），风险调整值根据各市场风险因素对土地市场的影响程度而确定。</w:t>
      </w:r>
    </w:p>
    <w:p w14:paraId="69F9C122">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①土地市场风险程度分析</w:t>
      </w:r>
    </w:p>
    <w:p w14:paraId="0B2D182F">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40074E14">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表3-3 风险因素因子对不同土地利用类型的影响程度分析</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3892"/>
        <w:gridCol w:w="2268"/>
      </w:tblGrid>
      <w:tr w14:paraId="7B57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noWrap w:val="0"/>
            <w:vAlign w:val="center"/>
          </w:tcPr>
          <w:p w14:paraId="5355725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风险因素</w:t>
            </w:r>
          </w:p>
        </w:tc>
        <w:tc>
          <w:tcPr>
            <w:tcW w:w="2284" w:type="pct"/>
            <w:noWrap w:val="0"/>
            <w:vAlign w:val="center"/>
          </w:tcPr>
          <w:p w14:paraId="223D972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风险因子</w:t>
            </w:r>
          </w:p>
        </w:tc>
        <w:tc>
          <w:tcPr>
            <w:tcW w:w="1331" w:type="pct"/>
            <w:noWrap w:val="0"/>
            <w:vAlign w:val="center"/>
          </w:tcPr>
          <w:p w14:paraId="0556CBD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7B60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64AF9BF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2284" w:type="pct"/>
            <w:noWrap w:val="0"/>
            <w:vAlign w:val="center"/>
          </w:tcPr>
          <w:p w14:paraId="5AF53C1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31" w:type="pct"/>
            <w:noWrap w:val="0"/>
            <w:vAlign w:val="center"/>
          </w:tcPr>
          <w:p w14:paraId="13A4D5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4D9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13A461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AF2E7A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31" w:type="pct"/>
            <w:noWrap w:val="0"/>
            <w:vAlign w:val="center"/>
          </w:tcPr>
          <w:p w14:paraId="4183A5D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C</w:t>
            </w:r>
          </w:p>
        </w:tc>
      </w:tr>
      <w:tr w14:paraId="338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200AC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0F7E52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31" w:type="pct"/>
            <w:noWrap w:val="0"/>
            <w:vAlign w:val="center"/>
          </w:tcPr>
          <w:p w14:paraId="2AD2B1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1897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EE8406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29BE88C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31" w:type="pct"/>
            <w:noWrap w:val="0"/>
            <w:vAlign w:val="center"/>
          </w:tcPr>
          <w:p w14:paraId="035CA1A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3B3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D2AD461">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2284" w:type="pct"/>
            <w:noWrap w:val="0"/>
            <w:vAlign w:val="center"/>
          </w:tcPr>
          <w:p w14:paraId="3429C2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31" w:type="pct"/>
            <w:noWrap w:val="0"/>
            <w:vAlign w:val="center"/>
          </w:tcPr>
          <w:p w14:paraId="4B19E27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8E9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EECAC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33F9A6A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31" w:type="pct"/>
            <w:noWrap w:val="0"/>
            <w:vAlign w:val="center"/>
          </w:tcPr>
          <w:p w14:paraId="470A4D1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346E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11EF3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3B5EE2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31" w:type="pct"/>
            <w:noWrap w:val="0"/>
            <w:vAlign w:val="center"/>
          </w:tcPr>
          <w:p w14:paraId="3EFA205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59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06B495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1043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31" w:type="pct"/>
            <w:noWrap w:val="0"/>
            <w:vAlign w:val="center"/>
          </w:tcPr>
          <w:p w14:paraId="0367518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827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4354B0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2284" w:type="pct"/>
            <w:noWrap w:val="0"/>
            <w:vAlign w:val="center"/>
          </w:tcPr>
          <w:p w14:paraId="490950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31" w:type="pct"/>
            <w:noWrap w:val="0"/>
            <w:vAlign w:val="center"/>
          </w:tcPr>
          <w:p w14:paraId="40F441B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0CF5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D3562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C00021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31" w:type="pct"/>
            <w:noWrap w:val="0"/>
            <w:vAlign w:val="center"/>
          </w:tcPr>
          <w:p w14:paraId="6AC202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E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A427C4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8BE599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31" w:type="pct"/>
            <w:noWrap w:val="0"/>
            <w:vAlign w:val="center"/>
          </w:tcPr>
          <w:p w14:paraId="43E4DD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bl>
    <w:p w14:paraId="509E1C1C">
      <w:pPr>
        <w:spacing w:line="480" w:lineRule="exact" w:before="0" w:after="0"/>
        <w:ind w:firstLine="600" w:firstLineChars="250"/>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注：A最严重；B较严重；C不严重；D无影响</w:t>
      </w:r>
    </w:p>
    <w:p w14:paraId="6AC84F1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②风险因素因子权重值的确定</w:t>
      </w:r>
    </w:p>
    <w:p w14:paraId="14A15A5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77CEFCC7">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表3-4 风险因素、因子权重值</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1508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48E8316">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影响因素</w:t>
            </w:r>
          </w:p>
        </w:tc>
        <w:tc>
          <w:tcPr>
            <w:tcW w:w="949" w:type="pct"/>
            <w:noWrap w:val="0"/>
            <w:vAlign w:val="center"/>
          </w:tcPr>
          <w:p w14:paraId="0B94524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c>
          <w:tcPr>
            <w:tcW w:w="1708" w:type="pct"/>
            <w:noWrap w:val="0"/>
            <w:vAlign w:val="center"/>
          </w:tcPr>
          <w:p w14:paraId="25701CF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影响因子</w:t>
            </w:r>
          </w:p>
        </w:tc>
        <w:tc>
          <w:tcPr>
            <w:tcW w:w="1308" w:type="pct"/>
            <w:noWrap w:val="0"/>
            <w:vAlign w:val="center"/>
          </w:tcPr>
          <w:p w14:paraId="649C724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r>
      <w:tr w14:paraId="3BFC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0047DB3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949" w:type="pct"/>
            <w:vMerge w:val="restart"/>
            <w:noWrap w:val="0"/>
            <w:vAlign w:val="center"/>
          </w:tcPr>
          <w:p w14:paraId="2E44153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0.3234</w:t>
            </w:r>
          </w:p>
        </w:tc>
        <w:tc>
          <w:tcPr>
            <w:tcW w:w="1708" w:type="pct"/>
            <w:noWrap w:val="0"/>
            <w:vAlign w:val="center"/>
          </w:tcPr>
          <w:p w14:paraId="3442FA0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08" w:type="pct"/>
            <w:noWrap w:val="0"/>
            <w:vAlign w:val="center"/>
          </w:tcPr>
          <w:p w14:paraId="6C4DD7A5">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0.2957</w:t>
            </w:r>
          </w:p>
        </w:tc>
      </w:tr>
      <w:tr w14:paraId="5873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6D268D0">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712AF12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538C23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08" w:type="pct"/>
            <w:noWrap w:val="0"/>
            <w:vAlign w:val="center"/>
          </w:tcPr>
          <w:p w14:paraId="1774CE8B">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0.2121</w:t>
            </w:r>
          </w:p>
        </w:tc>
      </w:tr>
      <w:tr w14:paraId="004B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76C6E48E">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20B243A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EEF866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08" w:type="pct"/>
            <w:noWrap w:val="0"/>
            <w:vAlign w:val="center"/>
          </w:tcPr>
          <w:p w14:paraId="344D36DD">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0.2734</w:t>
            </w:r>
          </w:p>
        </w:tc>
      </w:tr>
      <w:tr w14:paraId="039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38B7043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07879F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3D6EF28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08" w:type="pct"/>
            <w:noWrap w:val="0"/>
            <w:vAlign w:val="center"/>
          </w:tcPr>
          <w:p w14:paraId="5AAEE8D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0.2188</w:t>
            </w:r>
          </w:p>
        </w:tc>
      </w:tr>
      <w:tr w14:paraId="6EF5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493E1A0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949" w:type="pct"/>
            <w:vMerge w:val="restart"/>
            <w:noWrap w:val="0"/>
            <w:vAlign w:val="center"/>
          </w:tcPr>
          <w:p w14:paraId="1F96B4C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0.3922</w:t>
            </w:r>
          </w:p>
        </w:tc>
        <w:tc>
          <w:tcPr>
            <w:tcW w:w="1708" w:type="pct"/>
            <w:noWrap w:val="0"/>
            <w:vAlign w:val="center"/>
          </w:tcPr>
          <w:p w14:paraId="207551F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08" w:type="pct"/>
            <w:noWrap w:val="0"/>
            <w:vAlign w:val="center"/>
          </w:tcPr>
          <w:p w14:paraId="38CCEE7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0.3434</w:t>
            </w:r>
          </w:p>
        </w:tc>
      </w:tr>
      <w:tr w14:paraId="4593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D5EEDD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BF654D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09D614C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08" w:type="pct"/>
            <w:noWrap w:val="0"/>
            <w:vAlign w:val="center"/>
          </w:tcPr>
          <w:p w14:paraId="2E5C4B3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0.2119</w:t>
            </w:r>
          </w:p>
        </w:tc>
      </w:tr>
      <w:tr w14:paraId="6BE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29668AB3">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83D347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13E3F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08" w:type="pct"/>
            <w:noWrap w:val="0"/>
            <w:vAlign w:val="center"/>
          </w:tcPr>
          <w:p w14:paraId="492420C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0.2365</w:t>
            </w:r>
          </w:p>
        </w:tc>
      </w:tr>
      <w:tr w14:paraId="20A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1AB4AA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1D9ACE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4C3BE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08" w:type="pct"/>
            <w:noWrap w:val="0"/>
            <w:vAlign w:val="center"/>
          </w:tcPr>
          <w:p w14:paraId="18C0A46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0.2082</w:t>
            </w:r>
          </w:p>
        </w:tc>
      </w:tr>
      <w:tr w14:paraId="3651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F8B77A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949" w:type="pct"/>
            <w:vMerge w:val="restart"/>
            <w:noWrap w:val="0"/>
            <w:vAlign w:val="center"/>
          </w:tcPr>
          <w:p w14:paraId="7FD4373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0.2844</w:t>
            </w:r>
          </w:p>
        </w:tc>
        <w:tc>
          <w:tcPr>
            <w:tcW w:w="1708" w:type="pct"/>
            <w:noWrap w:val="0"/>
            <w:vAlign w:val="center"/>
          </w:tcPr>
          <w:p w14:paraId="655F35C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08" w:type="pct"/>
            <w:noWrap w:val="0"/>
            <w:vAlign w:val="center"/>
          </w:tcPr>
          <w:p w14:paraId="4636214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0.3762</w:t>
            </w:r>
          </w:p>
        </w:tc>
      </w:tr>
      <w:tr w14:paraId="7D0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7541114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73757C1">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67213B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08" w:type="pct"/>
            <w:noWrap w:val="0"/>
            <w:vAlign w:val="center"/>
          </w:tcPr>
          <w:p w14:paraId="241442BA">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0.3113</w:t>
            </w:r>
          </w:p>
        </w:tc>
      </w:tr>
      <w:tr w14:paraId="2F8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4143324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1ADDB8A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7B759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08" w:type="pct"/>
            <w:noWrap w:val="0"/>
            <w:vAlign w:val="center"/>
          </w:tcPr>
          <w:p w14:paraId="5602C21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0.3125</w:t>
            </w:r>
          </w:p>
        </w:tc>
      </w:tr>
    </w:tbl>
    <w:p w14:paraId="6221BD3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③风险调整值的确定</w:t>
      </w:r>
    </w:p>
    <w:p w14:paraId="5FB3484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风险调整值的大小由市场风险因素因子对土地市场的影响程度决定，本次评估将对市场风险影响程度赋值，即：风险因素对土地市场无影响时，风险调整值为0；风险因素对土地市场影响不严重时，风险调整值为2%；风险因素对土地市场影响较严重时，风险调整值为4%；风险因素对土地市场影响最严重时，风险调整值为6%。</w:t>
      </w:r>
    </w:p>
    <w:p w14:paraId="4EBE8394">
      <w:pPr>
        <w:keepNext/>
        <w:spacing w:before="157" w:after="10" w:line="480" w:lineRule="exact"/>
        <w:ind w:left="0" w:right="0" w:firstLine="0"/>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表3-5 风险调整值赋值表</w:t>
      </w:r>
    </w:p>
    <w:tbl>
      <w:tblPr>
        <w:tblStyle w:val="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60"/>
        <w:gridCol w:w="1611"/>
        <w:gridCol w:w="1716"/>
        <w:gridCol w:w="1717"/>
        <w:gridCol w:w="1718"/>
      </w:tblGrid>
      <w:tr w14:paraId="5AE4D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A8DC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pacing w:val="-20"/>
                <w:sz w:val="18"/>
                <w:szCs w:val="18"/>
                <w:highlight w:val="none"/>
                <w14:textFill>
                  <w14:solidFill>
                    <w14:schemeClr w14:val="tx1"/>
                  </w14:solidFill>
                </w14:textFill>
              </w:rPr>
            </w:pPr>
            <w:r>
              <w:rPr>
                <w:rFonts w:hint="eastAsia" w:ascii="仿宋" w:hAnsi="仿宋" w:eastAsia="仿宋"/>
                <w:color w:val="000000" w:themeColor="text1"/>
                <w:spacing w:val="-20"/>
                <w:sz w:val="18"/>
                <w:szCs w:val="18"/>
                <w:highlight w:val="none"/>
                <w14:textFill>
                  <w14:solidFill>
                    <w14:schemeClr w14:val="tx1"/>
                  </w14:solidFill>
                </w14:textFill>
              </w:rPr>
              <w:t>市场风险影响程度</w:t>
            </w:r>
          </w:p>
        </w:tc>
        <w:tc>
          <w:tcPr>
            <w:tcW w:w="1773" w:type="dxa"/>
            <w:noWrap w:val="0"/>
            <w:vAlign w:val="center"/>
          </w:tcPr>
          <w:p w14:paraId="69CC2E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无影响（D）</w:t>
            </w:r>
          </w:p>
        </w:tc>
        <w:tc>
          <w:tcPr>
            <w:tcW w:w="1896" w:type="dxa"/>
            <w:noWrap w:val="0"/>
            <w:vAlign w:val="center"/>
          </w:tcPr>
          <w:p w14:paraId="1A9439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不严重（C）</w:t>
            </w:r>
          </w:p>
        </w:tc>
        <w:tc>
          <w:tcPr>
            <w:tcW w:w="1897" w:type="dxa"/>
            <w:noWrap w:val="0"/>
            <w:vAlign w:val="center"/>
          </w:tcPr>
          <w:p w14:paraId="37F29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较严重（B）</w:t>
            </w:r>
          </w:p>
        </w:tc>
        <w:tc>
          <w:tcPr>
            <w:tcW w:w="1897" w:type="dxa"/>
            <w:noWrap w:val="0"/>
            <w:vAlign w:val="center"/>
          </w:tcPr>
          <w:p w14:paraId="1FE0A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最严重（A）</w:t>
            </w:r>
          </w:p>
        </w:tc>
      </w:tr>
      <w:tr w14:paraId="1047B9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12AA4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风险调整值</w:t>
            </w:r>
          </w:p>
        </w:tc>
        <w:tc>
          <w:tcPr>
            <w:tcW w:w="1773" w:type="dxa"/>
            <w:noWrap w:val="0"/>
            <w:vAlign w:val="center"/>
          </w:tcPr>
          <w:p w14:paraId="24A12C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0</w:t>
            </w:r>
          </w:p>
        </w:tc>
        <w:tc>
          <w:tcPr>
            <w:tcW w:w="1896" w:type="dxa"/>
            <w:noWrap w:val="0"/>
            <w:vAlign w:val="center"/>
          </w:tcPr>
          <w:p w14:paraId="026CD5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2%</w:t>
            </w:r>
          </w:p>
        </w:tc>
        <w:tc>
          <w:tcPr>
            <w:tcW w:w="1897" w:type="dxa"/>
            <w:noWrap w:val="0"/>
            <w:vAlign w:val="center"/>
          </w:tcPr>
          <w:p w14:paraId="067509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4%</w:t>
            </w:r>
          </w:p>
        </w:tc>
        <w:tc>
          <w:tcPr>
            <w:tcW w:w="1897" w:type="dxa"/>
            <w:noWrap w:val="0"/>
            <w:vAlign w:val="center"/>
          </w:tcPr>
          <w:p w14:paraId="2B8131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8%</w:t>
            </w:r>
          </w:p>
        </w:tc>
      </w:tr>
    </w:tbl>
    <w:p w14:paraId="390489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根据风险调整值赋值与道县风险因素、因子权重值，确定的道县风险调整值结果见下表。</w:t>
      </w:r>
    </w:p>
    <w:p w14:paraId="43385650">
      <w:pPr>
        <w:keepNext/>
        <w:spacing w:line="480" w:lineRule="exact" w:before="157" w:after="10"/>
        <w:ind w:firstLineChars="200" w:left="0" w:right="0" w:firstLine="0"/>
        <w:jc w:val="center"/>
        <w:rPr>
          <w:rFonts w:hint="eastAsia" w:ascii="仿宋" w:hAnsi="仿宋" w:eastAsia="仿宋"/>
          <w:color w:val="000000" w:themeColor="text1"/>
          <w:sz w:val="24"/>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lang w:val="en-US" w:eastAsia="zh-CN" w:bidi="ar-SA"/>
          <w14:textFill>
            <w14:solidFill>
              <w14:schemeClr w14:val="tx1"/>
            </w14:solidFill>
          </w14:textFill>
        </w:rPr>
        <w:t>表3-6 道县土地市场风险调整值结果</w:t>
      </w:r>
    </w:p>
    <w:tbl>
      <w:tblPr>
        <w:tblStyle w:val="9"/>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95"/>
        <w:gridCol w:w="6025"/>
      </w:tblGrid>
      <w:tr w14:paraId="10E3A5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43" w:hRule="atLeast"/>
        </w:trPr>
        <w:tc>
          <w:tcPr>
            <w:tcW w:w="1464" w:type="pct"/>
            <w:noWrap w:val="0"/>
            <w:vAlign w:val="center"/>
          </w:tcPr>
          <w:p w14:paraId="69340F59">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土地市场</w:t>
            </w:r>
          </w:p>
        </w:tc>
        <w:tc>
          <w:tcPr>
            <w:tcW w:w="3535" w:type="pct"/>
            <w:noWrap w:val="0"/>
            <w:vAlign w:val="center"/>
          </w:tcPr>
          <w:p w14:paraId="28FC1F2D">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5FA8B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64" w:type="pct"/>
            <w:noWrap w:val="0"/>
            <w:vAlign w:val="center"/>
          </w:tcPr>
          <w:p w14:paraId="34CE9705">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风险调整值</w:t>
            </w:r>
          </w:p>
        </w:tc>
        <w:tc>
          <w:tcPr>
            <w:tcW w:w="3535" w:type="pct"/>
            <w:noWrap w:val="0"/>
            <w:vAlign w:val="center"/>
          </w:tcPr>
          <w:p w14:paraId="512EC383">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3234×</w:t>
            </w:r>
            <w:r>
              <w:rPr>
                <w:rFonts w:hint="eastAsia" w:ascii="仿宋" w:hAnsi="仿宋" w:eastAsia="仿宋"/>
                <w:color w:val="000000" w:themeColor="text1"/>
                <w:szCs w:val="21"/>
                <w:highlight w:val="none"/>
                <w:lang w:val="en-US" w:eastAsia="zh-CN"/>
                <w14:textFill>
                  <w14:solidFill>
                    <w14:schemeClr w14:val="tx1"/>
                  </w14:solidFill>
                </w14:textFill>
              </w:rPr>
              <w:t>3.00</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ascii="仿宋" w:hAnsi="仿宋" w:eastAsia="仿宋"/>
                <w:color w:val="000000" w:themeColor="text1"/>
                <w:szCs w:val="21"/>
                <w:highlight w:val="none"/>
                <w14:textFill>
                  <w14:solidFill>
                    <w14:schemeClr w14:val="tx1"/>
                  </w14:solidFill>
                </w14:textFill>
              </w:rPr>
              <w:t>0.3922×</w:t>
            </w:r>
            <w:r>
              <w:rPr>
                <w:rFonts w:hint="eastAsia" w:ascii="仿宋" w:hAnsi="仿宋" w:eastAsia="仿宋"/>
                <w:color w:val="000000" w:themeColor="text1"/>
                <w:szCs w:val="21"/>
                <w:highlight w:val="none"/>
                <w:lang w:val="en-US" w:eastAsia="zh-CN"/>
                <w14:textFill>
                  <w14:solidFill>
                    <w14:schemeClr w14:val="tx1"/>
                  </w14:solidFill>
                </w14:textFill>
              </w:rPr>
              <w:t>4.00%</w:t>
            </w: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2844×</w:t>
            </w:r>
            <w:r>
              <w:rPr>
                <w:rFonts w:hint="eastAsia" w:ascii="仿宋" w:hAnsi="仿宋" w:eastAsia="仿宋"/>
                <w:color w:val="000000" w:themeColor="text1"/>
                <w:szCs w:val="21"/>
                <w:highlight w:val="none"/>
                <w:lang w:val="en-US" w:eastAsia="zh-CN"/>
                <w14:textFill>
                  <w14:solidFill>
                    <w14:schemeClr w14:val="tx1"/>
                  </w14:solidFill>
                </w14:textFill>
              </w:rPr>
              <w:t>5</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lang w:val="en-US" w:eastAsia="zh-CN"/>
                <w14:textFill>
                  <w14:solidFill>
                    <w14:schemeClr w14:val="tx1"/>
                  </w14:solidFill>
                </w14:textFill>
              </w:rPr>
              <w:t>3.96</w:t>
            </w:r>
            <w:r>
              <w:rPr>
                <w:rFonts w:ascii="仿宋" w:hAnsi="仿宋" w:eastAsia="仿宋"/>
                <w:color w:val="000000" w:themeColor="text1"/>
                <w:szCs w:val="21"/>
                <w:highlight w:val="none"/>
                <w14:textFill>
                  <w14:solidFill>
                    <w14:schemeClr w14:val="tx1"/>
                  </w14:solidFill>
                </w14:textFill>
              </w:rPr>
              <w:t>%</w:t>
            </w:r>
          </w:p>
        </w:tc>
      </w:tr>
    </w:tbl>
    <w:p w14:paraId="61D6513C">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④还原利率的确定</w:t>
      </w:r>
    </w:p>
    <w:p w14:paraId="7BAC3A4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根据安全利率加风险调整值法确定还原利率的公式，由于前文已经确定了商业用地及住宅用地的还原利率，因此，根据还原利率=安全利率+风险调整值。</w:t>
      </w:r>
    </w:p>
    <w:p w14:paraId="57B736C1">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default" w:ascii="仿宋" w:hAnsi="仿宋" w:eastAsia="仿宋"/>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工业用地还原利率＝1.4453%＋3.96%≈5.4%</w:t>
      </w:r>
    </w:p>
    <w:p w14:paraId="39F2CF99">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估价对象</w:t>
      </w:r>
      <w:r>
        <w:rPr>
          <w:rFonts w:hint="eastAsia" w:ascii="仿宋_GB2312" w:hAnsi="仿宋_GB2312" w:eastAsia="仿宋_GB2312" w:cs="仿宋_GB2312"/>
          <w:bCs/>
          <w:color w:val="000000" w:themeColor="text1"/>
          <w:sz w:val="28"/>
          <w:highlight w:val="none"/>
          <w:lang w:eastAsia="zh-CN"/>
          <w14:textFill>
            <w14:solidFill>
              <w14:schemeClr w14:val="tx1"/>
            </w14:solidFill>
          </w14:textFill>
        </w:rPr>
        <w:t>设定使用年期为</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工业用地30年，土地还原率为5.4%，则年期修正系数=1-（1/（1+5.4%）</w:t>
      </w:r>
      <w:r>
        <w:rPr>
          <w:rFonts w:hint="eastAsia" w:ascii="仿宋_GB2312" w:hAnsi="仿宋_GB2312" w:eastAsia="仿宋_GB2312" w:cs="仿宋_GB2312"/>
          <w:bCs/>
          <w:color w:val="000000" w:themeColor="text1"/>
          <w:sz w:val="28"/>
          <w:highlight w:val="none"/>
          <w:vertAlign w:val="superscript"/>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p>
    <w:p w14:paraId="3022FD43">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before="0" w:after="0"/>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CCB8F6E">
      <w:pPr>
        <w:keepNext/>
        <w:keepLines w:val="0"/>
        <w:pageBreakBefore w:val="0"/>
        <w:widowControl w:val="0"/>
        <w:kinsoku/>
        <w:wordWrap/>
        <w:overflowPunct/>
        <w:topLinePunct w:val="0"/>
        <w:autoSpaceDE/>
        <w:autoSpaceDN/>
        <w:bidi w:val="0"/>
        <w:adjustRightInd/>
        <w:spacing w:line="480" w:lineRule="exact" w:before="157" w:after="10"/>
        <w:ind w:left="0" w:right="0" w:firstLine="0"/>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3-7</w:t>
      </w:r>
      <w:r>
        <w:rPr>
          <w:rFonts w:hint="eastAsia" w:ascii="仿宋_GB2312" w:hAnsi="仿宋_GB2312" w:eastAsia="仿宋_GB2312" w:cs="仿宋_GB2312"/>
          <w:b w:val="0"/>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宗地地价区域因素修正系数表（%）</w:t>
      </w: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5"/>
        <w:gridCol w:w="1735"/>
        <w:gridCol w:w="928"/>
        <w:gridCol w:w="953"/>
        <w:gridCol w:w="1015"/>
        <w:gridCol w:w="701"/>
        <w:gridCol w:w="1066"/>
        <w:gridCol w:w="1066"/>
      </w:tblGrid>
      <w:tr w14:paraId="2B18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622E49C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61ACCCB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3DC31F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权重</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172F76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1F981F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632E391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DD67C4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CEA987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2C5B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F08F0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7EEFA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07E719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0.122</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E9AE4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2.2692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CC656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1.1346</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0FB0F92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C10DB5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-0.9638</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254574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-1.9276</w:t>
            </w:r>
          </w:p>
        </w:tc>
      </w:tr>
      <w:tr w14:paraId="68C3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03D3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477EF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138882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0.225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171F2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4.185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5B348BF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2.0925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0BCEFB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139D9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-1.7775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2CEEA4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-3.555</w:t>
            </w:r>
          </w:p>
        </w:tc>
      </w:tr>
      <w:tr w14:paraId="16C9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82CCBD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FE6ED7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7E9AAF5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0.148</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0F56F7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2.7528</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6399AD9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1.3764</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EB0765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9BCA8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-1.1692</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96752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-2.3384</w:t>
            </w:r>
          </w:p>
        </w:tc>
      </w:tr>
      <w:tr w14:paraId="6882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0A947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1A6541D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3ED0C6D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FDDD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2.325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91CC4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790884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B32C8C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-0.9875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D21F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-1.975</w:t>
            </w:r>
          </w:p>
        </w:tc>
      </w:tr>
      <w:tr w14:paraId="19CE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5ABE3A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491B10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5FA8B0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0.124</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48C5D6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2.3064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06BD6E9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1.1532</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389DB6B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D8AC2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-0.9796</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A2643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-1.9592</w:t>
            </w:r>
          </w:p>
        </w:tc>
      </w:tr>
      <w:tr w14:paraId="2F89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7F32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5295B13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4649AB8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0.117</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076E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2.1762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05B42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1.0881</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B6C56A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BC3B4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-0.9243</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8F9C7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-1.8486</w:t>
            </w:r>
          </w:p>
        </w:tc>
      </w:tr>
      <w:tr w14:paraId="73DE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41D1BFE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72D17DD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D1158D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0.139</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15A6851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2.5854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3D46A84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1.2927</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7F08D83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DE53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-1.0981</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5E065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-2.1962</w:t>
            </w:r>
          </w:p>
        </w:tc>
      </w:tr>
    </w:tbl>
    <w:p w14:paraId="1B48BDC2">
      <w:pPr>
        <w:keepNext/>
        <w:spacing w:before="157" w:after="10" w:line="480" w:lineRule="exact"/>
        <w:ind w:left="0" w:right="0" w:firstLine="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 w:val="0"/>
          <w:color w:val="000000" w:themeColor="text1"/>
          <w:sz w:val="28"/>
          <w:highlight w:val="none"/>
          <w14:textFill>
            <w14:solidFill>
              <w14:schemeClr w14:val="tx1"/>
            </w14:solidFill>
          </w14:textFill>
        </w:rPr>
        <w:t>表</w:t>
      </w:r>
      <w:r>
        <w:rPr>
          <w:rFonts w:hint="eastAsia" w:ascii="仿宋_GB2312" w:hAnsi="仿宋_GB2312" w:eastAsia="仿宋_GB2312" w:cs="仿宋_GB2312"/>
          <w:b w:val="0"/>
          <w:color w:val="000000" w:themeColor="text1"/>
          <w:sz w:val="28"/>
          <w:highlight w:val="none"/>
          <w:lang w:val="en-US" w:eastAsia="zh-CN"/>
          <w14:textFill>
            <w14:solidFill>
              <w14:schemeClr w14:val="tx1"/>
            </w14:solidFill>
          </w14:textFill>
        </w:rPr>
        <w:t>3-8道县工业用地</w:t>
      </w:r>
      <w:r>
        <w:rPr>
          <w:rFonts w:hint="eastAsia" w:ascii="仿宋_GB2312" w:hAnsi="仿宋_GB2312" w:eastAsia="仿宋_GB2312" w:cs="仿宋_GB2312"/>
          <w:b w:val="0"/>
          <w:color w:val="000000" w:themeColor="text1"/>
          <w:sz w:val="28"/>
          <w:highlight w:val="none"/>
          <w14:textFill>
            <w14:solidFill>
              <w14:schemeClr w14:val="tx1"/>
            </w14:solidFill>
          </w14:textFill>
        </w:rPr>
        <w:t>宗地地价区域因素修正系数指标说明表</w:t>
      </w:r>
    </w:p>
    <w:tbl>
      <w:tblPr>
        <w:tblStyle w:val="9"/>
        <w:tblW w:w="4985" w:type="pct"/>
        <w:tblInd w:w="0" w:type="dxa"/>
        <w:tblLayout w:type="fixed"/>
        <w:tblCellMar>
          <w:top w:w="0" w:type="dxa"/>
          <w:left w:w="108" w:type="dxa"/>
          <w:bottom w:w="0" w:type="dxa"/>
          <w:right w:w="108" w:type="dxa"/>
        </w:tblCellMar>
      </w:tblPr>
      <w:tblGrid>
        <w:gridCol w:w="850"/>
        <w:gridCol w:w="1303"/>
        <w:gridCol w:w="1247"/>
        <w:gridCol w:w="1423"/>
        <w:gridCol w:w="1658"/>
        <w:gridCol w:w="1076"/>
        <w:gridCol w:w="940"/>
      </w:tblGrid>
      <w:tr w14:paraId="5E4A0D5C">
        <w:tblPrEx>
          <w:tblCellMar>
            <w:top w:w="0" w:type="dxa"/>
            <w:left w:w="108" w:type="dxa"/>
            <w:bottom w:w="0" w:type="dxa"/>
            <w:right w:w="108" w:type="dxa"/>
          </w:tblCellMar>
        </w:tblPrEx>
        <w:trPr>
          <w:trHeight w:val="131"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A1CD2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F3EF90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D1E00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6625AFC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EADEDB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078F777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0DD75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08A1CE4A">
        <w:tblPrEx>
          <w:tblCellMar>
            <w:top w:w="0" w:type="dxa"/>
            <w:left w:w="108" w:type="dxa"/>
            <w:bottom w:w="0" w:type="dxa"/>
            <w:right w:w="108" w:type="dxa"/>
          </w:tblCellMar>
        </w:tblPrEx>
        <w:trPr>
          <w:trHeight w:val="257"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4BEF12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AAD4C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64F43AA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0E729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300-400</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025A01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400-500</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6FCF11A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500-800</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7C00F1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&gt;800</w:t>
            </w:r>
          </w:p>
        </w:tc>
      </w:tr>
      <w:tr w14:paraId="09180B2D">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563C1A6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F692B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2D05C1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临繁华主干道</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940A57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临主干道</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B9251F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临繁华次干道</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D4264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临次干道</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67DB4F3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r>
      <w:tr w14:paraId="3A9A22E2">
        <w:tblPrEx>
          <w:tblCellMar>
            <w:top w:w="0" w:type="dxa"/>
            <w:left w:w="108" w:type="dxa"/>
            <w:bottom w:w="0" w:type="dxa"/>
            <w:right w:w="108" w:type="dxa"/>
          </w:tblCellMar>
        </w:tblPrEx>
        <w:trPr>
          <w:trHeight w:val="144"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59A34E2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4BE3BA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5849B04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EA7B51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AAEB28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723A8F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2515E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04B9AF7C">
        <w:tblPrEx>
          <w:tblCellMar>
            <w:top w:w="0" w:type="dxa"/>
            <w:left w:w="108" w:type="dxa"/>
            <w:bottom w:w="0" w:type="dxa"/>
            <w:right w:w="108" w:type="dxa"/>
          </w:tblCellMar>
        </w:tblPrEx>
        <w:trPr>
          <w:trHeight w:val="131"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6EFC27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1DEF80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0F8955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BE4BA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5A482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F7E80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673791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11473675">
        <w:tblPrEx>
          <w:tblCellMar>
            <w:top w:w="0" w:type="dxa"/>
            <w:left w:w="108" w:type="dxa"/>
            <w:bottom w:w="0" w:type="dxa"/>
            <w:right w:w="108" w:type="dxa"/>
          </w:tblCellMar>
        </w:tblPrEx>
        <w:trPr>
          <w:trHeight w:val="509"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66AFB92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56E886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0AC4FF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地势平坦适合建筑</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D0523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86D575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地势较平坦影响建筑</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640603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1F24F88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地势有坡度影响建筑大</w:t>
            </w:r>
          </w:p>
        </w:tc>
      </w:tr>
      <w:tr w14:paraId="1346067A">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2F6C919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7AAABED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BABD9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31B25C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25-22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269EA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22-18</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EBC4F7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18-15</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8E61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&lt;15</w:t>
            </w:r>
          </w:p>
        </w:tc>
      </w:tr>
      <w:tr w14:paraId="66CDC16F">
        <w:tblPrEx>
          <w:tblCellMar>
            <w:top w:w="0" w:type="dxa"/>
            <w:left w:w="108" w:type="dxa"/>
            <w:bottom w:w="0" w:type="dxa"/>
            <w:right w:w="108" w:type="dxa"/>
          </w:tblCellMar>
        </w:tblPrEx>
        <w:trPr>
          <w:trHeight w:val="513"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C5C839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ADABAE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3C82412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高新技术产业联系紧密区</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12609FC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高新技术产业联系一般区，一般产业联系紧密区</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C8646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高新技术产业联系松散区，一般产业联系一般区</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0D8157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一般产业联系松散区</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ABAF0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r>
    </w:tbl>
    <w:p w14:paraId="2073112B">
      <w:pPr>
        <w:pStyle w:val="5"/>
        <w:keepNext/>
        <w:spacing w:before="157" w:after="10" w:line="480" w:lineRule="exact"/>
        <w:ind w:left="0" w:right="0" w:firstLine="0"/>
        <w:jc w:val="center"/>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表</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3</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w:t>
      </w:r>
      <w:r>
        <w:rPr>
          <w:rFonts w:hint="eastAsia" w:ascii="仿宋_GB2312" w:eastAsia="仿宋_GB2312" w:hAnsi="仿宋_GB2312" w:cs="仿宋_GB2312"/>
          <w:b w:val="0"/>
          <w:color w:val="000000" w:themeColor="text1"/>
          <w:sz w:val="28"/>
          <w:szCs w:val="28"/>
          <w:highlight w:val="none"/>
          <w:lang w:val="en-US" w:eastAsia="zh-CN"/>
          <w14:textFill>
            <w14:solidFill>
              <w14:schemeClr w14:val="tx1"/>
            </w14:solidFill>
          </w14:textFill>
        </w:rPr>
        <w:t>9</w:t>
      </w:r>
      <w:r>
        <w:rPr>
          <w:rFonts w:hint="eastAsia" w:ascii="仿宋_GB2312" w:eastAsia="仿宋_GB2312" w:hAnsi="仿宋_GB2312" w:cs="仿宋_GB2312"/>
          <w:b w:val="0"/>
          <w:color w:val="000000" w:themeColor="text1"/>
          <w:sz w:val="28"/>
          <w:szCs w:val="28"/>
          <w:highlight w:val="none"/>
          <w14:textFill>
            <w14:solidFill>
              <w14:schemeClr w14:val="tx1"/>
            </w14:solidFill>
          </w14:textFill>
        </w:rPr>
        <w:t xml:space="preserve"> 宗地地价影响因素条件说明、修正系数表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1"/>
        <w:gridCol w:w="2115"/>
        <w:gridCol w:w="3028"/>
        <w:gridCol w:w="1007"/>
        <w:gridCol w:w="961"/>
      </w:tblGrid>
      <w:tr w14:paraId="108B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3BD6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0638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7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5A0C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指标描述</w:t>
            </w:r>
          </w:p>
        </w:tc>
        <w:tc>
          <w:tcPr>
            <w:tcW w:w="5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A3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优劣度</w:t>
            </w:r>
          </w:p>
        </w:tc>
        <w:tc>
          <w:tcPr>
            <w:tcW w:w="5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DB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修正系数</w:t>
            </w:r>
          </w:p>
        </w:tc>
      </w:tr>
      <w:tr w14:paraId="325B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B080A">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9A3C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5AAD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距汽车站12KM</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3A246">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55A0FBA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-1.9276</w:t>
            </w:r>
          </w:p>
        </w:tc>
      </w:tr>
      <w:tr w14:paraId="2864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AF75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875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ACB7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5103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07AC2">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-3.555</w:t>
            </w:r>
          </w:p>
        </w:tc>
      </w:tr>
      <w:tr w14:paraId="742D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AAF4">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FF71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DCC9">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248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91F45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7E64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CEB4E">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4D49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9809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D632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7916F">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5F2A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156A6">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8E7D9">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14AA">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9E074">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FB796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1.1532</w:t>
            </w:r>
          </w:p>
        </w:tc>
      </w:tr>
      <w:tr w14:paraId="3613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EAA01">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E51F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CF7A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3F0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42EC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2.1762</w:t>
            </w:r>
          </w:p>
        </w:tc>
      </w:tr>
      <w:tr w14:paraId="5323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CE3B2">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3837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A27A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8162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6ABB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-2.1962</w:t>
            </w:r>
          </w:p>
        </w:tc>
      </w:tr>
      <w:tr w14:paraId="270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436"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1ACA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合计</w:t>
            </w:r>
          </w:p>
        </w:tc>
        <w:tc>
          <w:tcPr>
            <w:tcW w:w="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D453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-4.3494</w:t>
            </w:r>
          </w:p>
        </w:tc>
      </w:tr>
    </w:tbl>
    <w:p w14:paraId="39ABDD8D">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根据上述修正过程，确定区位条件修正系数为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-4.3494</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D274630">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highlight w:val="none"/>
          <w14:textFill>
            <w14:solidFill>
              <w14:schemeClr w14:val="tx1"/>
            </w14:solidFill>
          </w14:textFill>
        </w:rPr>
        <w:t>、成本逼近法价格计算</w:t>
      </w:r>
    </w:p>
    <w:p w14:paraId="65E8E0B4">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color w:val="000000" w:themeColor="text1"/>
          <w:sz w:val="28"/>
          <w:highlight w:val="none"/>
          <w14:textFill>
            <w14:solidFill>
              <w14:schemeClr w14:val="tx1"/>
            </w14:solidFill>
          </w14:textFill>
        </w:rPr>
        <w:t>（土地取得费+相关税费+土地开发费+投资利息+投资利润</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+土地增值收益</w:t>
      </w:r>
      <w:r>
        <w:rPr>
          <w:rFonts w:hint="eastAsia" w:ascii="仿宋_GB2312" w:hAnsi="仿宋_GB2312" w:eastAsia="仿宋_GB2312" w:cs="仿宋_GB2312"/>
          <w:color w:val="000000" w:themeColor="text1"/>
          <w:sz w:val="28"/>
          <w:highlight w:val="none"/>
          <w14:textFill>
            <w14:solidFill>
              <w14:schemeClr w14:val="tx1"/>
            </w14:solidFill>
          </w14:textFill>
        </w:rPr>
        <w:t>）×土地使用年期修正系数×区位修正系数</w:t>
      </w:r>
    </w:p>
    <w:p w14:paraId="0E378DA8">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P＝（67.51+71.6+82+5.42+11.09+11.91）×0.7936×（1-4.3494%）＝{{ cost_approx_price }}（元／平方米）</w:t>
      </w:r>
    </w:p>
    <w:p w14:paraId="12F594D5">
      <w:pPr>
        <w:pStyle w:val="3"/>
        <w:adjustRightInd w:val="0"/>
        <w:snapToGrid w:val="0"/>
        <w:spacing w:line="480" w:lineRule="exact" w:before="0" w:after="0"/>
        <w:ind w:left="0" w:firstLine="560" w:firstLineChars="200"/>
        <w:outlineLvl w:val="9"/>
        <w:rPr>
          <w:rFonts w:hint="eastAsia" w:ascii="仿宋_GB2312" w:hAnsi="仿宋_GB2312" w:eastAsia="仿宋_GB2312" w:cs="仿宋_GB2312"/>
          <w:color w:val="000000" w:themeColor="text1"/>
          <w:sz w:val="28"/>
          <w:highlight w:val="none"/>
          <w14:textFill>
            <w14:solidFill>
              <w14:schemeClr w14:val="tx1"/>
            </w14:solidFill>
          </w14:textFill>
        </w:rPr>
      </w:pPr>
      <w:r>
        <w:rPr>
          <w:rFonts w:ascii="仿宋_GB2312" w:hAnsi="仿宋_GB2312" w:eastAsia="仿宋_GB2312" w:cs="仿宋_GB2312"/>
          <w:color w:val="000000"/>
          <w:sz w:val="28"/>
        </w:rPr>
        <w:t>成本逼近法测算地价的结果为：估价对象于估价期日{{ valuation_date }}，在设定土地用途，设定土地使用年限，设定土地开发程度，规划利用条件下的国有土地出让使用权价格为{{ cost_approx_price }}元/平方米。</w:t>
      </w:r>
    </w:p>
    <w:p w14:paraId="67948662">
      <w:pPr>
        <w:pStyle w:val="3"/>
        <w:keepNext/>
        <w:keepLines w:val="0"/>
        <w:pageBreakBefore w:val="0"/>
        <w:widowControl w:val="0"/>
        <w:kinsoku/>
        <w:wordWrap/>
        <w:overflowPunct/>
        <w:topLinePunct w:val="0"/>
        <w:autoSpaceDE/>
        <w:autoSpaceDN/>
        <w:bidi w:val="0"/>
        <w:adjustRightInd w:val="0"/>
        <w:snapToGrid w:val="0"/>
        <w:spacing w:line="480" w:lineRule="exact" w:before="0" w:after="0"/>
        <w:ind w:left="0" w:firstLineChars="200" w:firstLine="561"/>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ascii="仿宋_GB2312" w:hAnsi="仿宋_GB2312" w:eastAsia="仿宋_GB2312" w:cs="仿宋_GB2312"/>
          <w:sz w:val="28"/>
        </w:rPr>
        <w:t>{{ market_comp_method_intro }}</w:t>
      </w:r>
    </w:p>
    <w:p w14:paraId="068C258E">
      <w:pPr>
        <w:keepNext w:val="0"/>
        <w:keepLines w:val="0"/>
        <w:pageBreakBefore w:val="0"/>
        <w:widowControl w:val="0"/>
        <w:kinsoku/>
        <w:wordWrap/>
        <w:overflowPunct/>
        <w:topLinePunct w:val="0"/>
        <w:autoSpaceDE/>
        <w:autoSpaceDN/>
        <w:bidi w:val="0"/>
        <w:spacing w:line="480" w:lineRule="exact" w:before="0" w:after="0"/>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2.比较实例选择</w:t>
      </w:r>
    </w:p>
    <w:p>
      <w:pPr>
        <w:spacing w:before="0" w:after="0" w:line="480" w:lineRule="exact"/>
      </w:pPr>
      <w:r>
        <w:rPr>
          <w:rFonts w:ascii="仿宋_GB2312" w:hAnsi="仿宋_GB2312" w:eastAsia="仿宋_GB2312" w:cs="仿宋_GB2312"/>
          <w:sz w:val="28"/>
        </w:rPr>
        <w:t>{{ market_comp_step1_instances }}</w:t>
      </w:r>
    </w:p>
    <w:p w14:paraId="0AC229D4">
      <w:pPr>
        <w:keepNext/>
        <w:overflowPunct w:val="0"/>
        <w:autoSpaceDE w:val="0"/>
        <w:autoSpaceDN w:val="0"/>
        <w:snapToGrid w:val="0"/>
        <w:spacing w:line="480" w:lineRule="exact" w:before="157" w:after="10"/>
        <w:ind w:left="0" w:right="0" w:firstLine="0"/>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b w:val="0"/>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b w:val="0"/>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before="0" w:after="0"/>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before="0" w:after="0"/>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03607D26">
      <w:pPr>
        <w:pStyle w:val="14"/>
        <w:spacing w:before="0" w:after="0" w:line="480" w:lineRule="exact"/>
        <w:ind w:firstLine="422"/>
        <w:jc w:val="center"/>
        <w:outlineLvl w:val="9"/>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before="0" w:after="0"/>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before="0" w:after="0"/>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比较实例B</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102E8177">
      <w:pPr>
        <w:pStyle w:val="14"/>
        <w:spacing w:before="0" w:after="0" w:line="480" w:lineRule="exact"/>
        <w:ind w:left="0" w:leftChars="0" w:firstLine="0" w:firstLineChars="0"/>
        <w:jc w:val="center"/>
        <w:rPr>
          <w:rFonts w:eastAsia="仿宋_GB2312"/>
          <w:b/>
          <w:color w:val="000000" w:themeColor="text1"/>
          <w:szCs w:val="21"/>
          <w:highlight w:val="none"/>
          <w14:textFill>
            <w14:solidFill>
              <w14:schemeClr w14:val="tx1"/>
            </w14:solidFill>
          </w14:textFill>
        </w:rPr>
      </w:pPr>
      <w:r>
        <w:rPr>
          <w:rFonts w:ascii="仿宋_GB2312" w:hAnsi="仿宋_GB2312" w:eastAsia="仿宋_GB2312" w:cs="仿宋_GB2312"/>
          <w:color w:val="000000" w:themeColor="text1"/>
          <w:sz w:val="28"/>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ascii="仿宋_GB2312" w:hAnsi="仿宋_GB2312" w:cs="仿宋_GB2312"/>
          <w:b/>
          <w:color w:val="000000" w:themeColor="text1"/>
          <w:sz w:val="28"/>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spacing w:before="0" w:after="0" w:line="480" w:lineRule="exact"/>
        <w:rPr>
          <w:rFonts w:eastAsia="仿宋_GB2312"/>
          <w:b/>
          <w:bCs/>
          <w:color w:val="000000" w:themeColor="text1"/>
          <w:sz w:val="28"/>
          <w:szCs w:val="28"/>
          <w:highlight w:val="none"/>
          <w14:textFill>
            <w14:solidFill>
              <w14:schemeClr w14:val="tx1"/>
            </w14:solidFill>
          </w14:textFill>
        </w:rPr>
      </w:pPr>
      <w:r>
        <w:rPr>
          <w:rFonts w:eastAsia="仿宋_GB2312" w:ascii="仿宋_GB2312" w:hAnsi="仿宋_GB2312" w:cs="仿宋_GB2312"/>
          <w:b/>
          <w:bCs/>
          <w:color w:val="000000" w:themeColor="text1"/>
          <w:sz w:val="28"/>
          <w:szCs w:val="28"/>
          <w:highlight w:val="none"/>
          <w14:textFill>
            <w14:solidFill>
              <w14:schemeClr w14:val="tx1"/>
            </w14:solidFill>
          </w14:textFill>
        </w:rPr>
        <w:br w:type="page"/>
      </w:r>
      <w:r>
        <w:rPr>
          <w:rFonts w:eastAsia="仿宋_GB2312" w:ascii="仿宋_GB2312" w:hAnsi="仿宋_GB2312" w:cs="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before="0" w:after="0"/>
        <w:ind w:firstLine="0" w:firstLineChars="0"/>
        <w:jc w:val="center"/>
        <w:rPr>
          <w:rFonts w:eastAsia="仿宋_GB2312"/>
          <w:b/>
          <w:bCs/>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w:t>
      </w:r>
      <w:r>
        <w:rPr>
          <w:rFonts w:eastAsia="仿宋_GB2312" w:ascii="仿宋_GB2312" w:hAnsi="仿宋_GB2312" w:cs="仿宋_GB2312"/>
          <w:b/>
          <w:bCs/>
          <w:color w:val="000000" w:themeColor="text1"/>
          <w:sz w:val="28"/>
          <w:highlight w:val="none"/>
          <w14:textFill>
            <w14:solidFill>
              <w14:schemeClr w14:val="tx1"/>
            </w14:solidFill>
          </w14:textFill>
        </w:rPr>
        <w:t>成交公告（来源：中国土地市场网）</w:t>
      </w:r>
    </w:p>
    <w:p w14:paraId="4ED4690A">
      <w:pPr>
        <w:pStyle w:val="14"/>
        <w:spacing w:before="0" w:after="0" w:line="480" w:lineRule="exact"/>
        <w:ind w:firstLine="422"/>
        <w:jc w:val="center"/>
        <w:rPr>
          <w:color w:val="000000" w:themeColor="text1"/>
          <w:highlight w:val="none"/>
          <w14:textFill>
            <w14:solidFill>
              <w14:schemeClr w14:val="tx1"/>
            </w14:solidFill>
          </w14:textFill>
        </w:rPr>
      </w:pPr>
      <w:r>
        <w:rPr>
          <w:rFonts w:eastAsia="仿宋_GB2312" w:ascii="仿宋_GB2312" w:hAnsi="仿宋_GB2312" w:cs="仿宋_GB2312"/>
          <w:b/>
          <w:color w:val="000000" w:themeColor="text1"/>
          <w:sz w:val="28"/>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3.建立价格可比基础</w:t>
      </w:r>
    </w:p>
    <w:p w14:paraId="55D9ACF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4.比较因素的选择</w:t>
      </w:r>
    </w:p>
    <w:p w14:paraId="30F02594">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⑤土地级别：级别相同、相近或可修正。</w:t>
      </w:r>
    </w:p>
    <w:p w14:paraId="2AB22DC3">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等。</w:t>
      </w:r>
    </w:p>
    <w:p w14:paraId="326EADCC">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begin"/>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separate"/>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⑧</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fldChar w:fldCharType="end"/>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规模</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、宗地形状、</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地势</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w:t>
      </w:r>
      <w:r>
        <w:rPr>
          <w:rFonts w:hint="eastAsia" w:ascii="仿宋_GB2312" w:eastAsia="仿宋_GB2312" w:cs="仿宋_GB2312" w:hAnsi="仿宋_GB2312"/>
          <w:color w:val="000000" w:themeColor="text1"/>
          <w:sz w:val="28"/>
          <w:szCs w:val="30"/>
          <w:highlight w:val="none"/>
          <w:lang w:val="en-US" w:eastAsia="zh-CN"/>
          <w14:textFill>
            <w14:solidFill>
              <w14:schemeClr w14:val="tx1"/>
            </w14:solidFill>
          </w14:textFill>
        </w:rPr>
        <w:t>地质</w:t>
      </w: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、规划限制等。</w:t>
      </w:r>
    </w:p>
    <w:p w14:paraId="61964A8D">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5.比较因素条件说明</w:t>
      </w:r>
    </w:p>
    <w:p w14:paraId="3B6B07B5">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keepNext/>
        <w:spacing w:line="480" w:lineRule="exact" w:before="157" w:after="10"/>
        <w:ind w:left="0" w:right="0" w:firstLine="0"/>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 w:val="0"/>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bl>
    <w:p w14:paraId="336907F7">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6.编制比较因素条件指数表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r/>
          </w:p>
        </w:tc>
        <w:tc>
          <w:tcPr>
            <w:tcW w:w="1828" w:type="dxa"/>
            <w:noWrap w:val="0"/>
            <w:vAlign w:val="center"/>
          </w:tcPr>
          <w:p>
            <w:r/>
          </w:p>
        </w:tc>
        <w:tc>
          <w:tcPr>
            <w:tcW w:w="1738" w:type="dxa"/>
            <w:noWrap w:val="0"/>
            <w:vAlign w:val="center"/>
          </w:tcPr>
          <w:p>
            <w:r/>
          </w:p>
        </w:tc>
        <w:tc>
          <w:tcPr>
            <w:tcW w:w="1723" w:type="dxa"/>
            <w:noWrap w:val="0"/>
            <w:vAlign w:val="center"/>
          </w:tcPr>
          <w:p>
            <w:r/>
          </w:p>
        </w:tc>
        <w:tc>
          <w:tcPr>
            <w:tcW w:w="1880" w:type="dxa"/>
            <w:noWrap w:val="0"/>
            <w:vAlign w:val="center"/>
          </w:tcPr>
          <w:p>
            <w:r/>
          </w:p>
        </w:tc>
      </w:tr>
    </w:tbl>
    <w:p>
      <w:pPr>
        <w:spacing w:before="0" w:after="0" w:line="480" w:lineRule="exact"/>
      </w:pPr>
      <w:r>
        <w:rPr>
          <w:rFonts w:ascii="仿宋_GB2312" w:hAnsi="仿宋_GB2312" w:eastAsia="仿宋_GB2312" w:cs="仿宋_GB2312"/>
          <w:sz w:val="28"/>
        </w:rPr>
        <w:t>比较因素条件指数及修正依据由当前报告冻结的结构化市场比较法分析生成。</w:t>
      </w:r>
    </w:p>
    <w:p w14:paraId="642DF68B">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881" w:type="pct"/>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r/>
          </w:p>
        </w:tc>
        <w:tc>
          <w:tcPr>
            <w:tcW w:w="338" w:type="pct"/>
            <w:vMerge w:val="restart"/>
            <w:shd w:val="clear" w:color="auto" w:fill="auto"/>
            <w:noWrap w:val="0"/>
            <w:vAlign w:val="center"/>
          </w:tcPr>
          <w:p>
            <w:r/>
          </w:p>
        </w:tc>
        <w:tc>
          <w:tcPr>
            <w:tcW w:w="923" w:type="pct"/>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bl>
    <w:p w14:paraId="22F5FFFA">
      <w:pPr>
        <w:spacing w:line="480" w:lineRule="exact" w:before="0" w:after="0"/>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r/>
          </w:p>
        </w:tc>
      </w:tr>
    </w:tbl>
    <w:p>
      <w:pPr>
        <w:spacing w:before="0" w:after="0" w:line="480" w:lineRule="exact"/>
      </w:pPr>
      <w:r>
        <w:rPr>
          <w:rFonts w:ascii="仿宋_GB2312" w:hAnsi="仿宋_GB2312" w:eastAsia="仿宋_GB2312" w:cs="仿宋_GB2312"/>
          <w:sz w:val="28"/>
        </w:rPr>
        <w:t>{{ market_comp_step4_solve }}</w:t>
      </w:r>
    </w:p>
    <w:p w14:paraId="13D1C3A9">
      <w:pPr>
        <w:pStyle w:val="6"/>
        <w:keepNext/>
        <w:keepLines w:val="0"/>
        <w:pageBreakBefore w:val="0"/>
        <w:widowControl w:val="0"/>
        <w:kinsoku/>
        <w:wordWrap/>
        <w:overflowPunct/>
        <w:topLinePunct w:val="0"/>
        <w:autoSpaceDE/>
        <w:autoSpaceDN/>
        <w:bidi w:val="0"/>
        <w:adjustRightInd/>
        <w:snapToGrid/>
        <w:spacing w:line="480" w:lineRule="exact" w:before="0" w:after="0"/>
        <w:ind w:firstLineChars="200" w:firstLine="561"/>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仿宋_GB2312" w:eastAsia="仿宋_GB2312" w:cs="仿宋_GB2312"/>
          <w:b/>
          <w:bCs/>
          <w:sz w:val="28"/>
          <w:szCs w:val="30"/>
          <w:highlight w:val="none"/>
          <w:lang w:val="en-GB"/>
        </w:rPr>
        <w:t>★</w:t>
      </w:r>
      <w:r>
        <w:rPr>
          <w:rFonts w:hint="eastAsia" w:ascii="仿宋_GB2312" w:hAnsi="仿宋_GB2312" w:eastAsia="仿宋_GB2312" w:cs="仿宋_GB2312"/>
          <w:b/>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before="0" w:after="0"/>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ascii="仿宋_GB2312" w:hAnsi="仿宋_GB2312" w:eastAsia="仿宋_GB2312" w:cs="仿宋_GB2312"/>
          <w:sz w:val="28"/>
        </w:rPr>
        <w:t>{{ income_cap_method_intro }}</w:t>
      </w:r>
    </w:p>
    <w:p w14:paraId="553F947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before="0" w:after="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before="0" w:after="0"/>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hAnsi="仿宋_GB2312" w:cs="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eastAsia="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before="0" w:after="0"/>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仿宋_GB2312" w:hAnsi="仿宋_GB2312"/>
          <w:sz w:val="28"/>
          <w:szCs w:val="30"/>
          <w:lang w:val="en-US" w:eastAsia="zh-CN"/>
        </w:rPr>
        <w:t>砖混</w:t>
      </w:r>
      <w:r>
        <w:rPr>
          <w:rFonts w:hint="eastAsia" w:ascii="仿宋_GB2312" w:hAnsi="仿宋_GB2312" w:eastAsia="仿宋_GB2312" w:cs="仿宋_GB2312"/>
          <w:sz w:val="28"/>
          <w:szCs w:val="30"/>
          <w:lang w:val="en-GB"/>
        </w:rPr>
        <w:t>结构</w:t>
      </w:r>
      <w:r>
        <w:rPr>
          <w:rFonts w:hint="eastAsia" w:ascii="仿宋_GB2312" w:eastAsia="仿宋_GB2312" w:cs="仿宋_GB2312" w:hAnsi="仿宋_GB2312"/>
          <w:sz w:val="28"/>
          <w:szCs w:val="30"/>
          <w:lang w:val="en-US" w:eastAsia="zh-CN"/>
        </w:rPr>
        <w:t>二等</w:t>
      </w:r>
      <w:r>
        <w:rPr>
          <w:rFonts w:hint="eastAsia" w:ascii="仿宋_GB2312" w:hAnsi="仿宋_GB2312" w:eastAsia="仿宋_GB2312" w:cs="仿宋_GB2312"/>
          <w:sz w:val="28"/>
          <w:szCs w:val="30"/>
          <w:lang w:val="en-GB"/>
        </w:rPr>
        <w:t>建设成本价格在1</w:t>
      </w:r>
      <w:r>
        <w:rPr>
          <w:rFonts w:hint="eastAsia" w:ascii="仿宋_GB2312" w:eastAsia="仿宋_GB2312" w:cs="仿宋_GB2312" w:hAnsi="仿宋_GB2312"/>
          <w:sz w:val="28"/>
          <w:szCs w:val="30"/>
          <w:lang w:val="en-US" w:eastAsia="zh-CN"/>
        </w:rPr>
        <w:t>2</w:t>
      </w:r>
      <w:r>
        <w:rPr>
          <w:rFonts w:hint="eastAsia" w:ascii="仿宋_GB2312" w:hAnsi="仿宋_GB2312" w:eastAsia="仿宋_GB2312" w:cs="仿宋_GB2312"/>
          <w:sz w:val="28"/>
          <w:szCs w:val="30"/>
          <w:lang w:val="en-GB"/>
        </w:rPr>
        <w:t>00-1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GB"/>
        </w:rPr>
        <w:t>00元/平方米</w:t>
      </w:r>
      <w:r>
        <w:rPr>
          <w:rFonts w:hint="eastAsia" w:ascii="仿宋_GB2312" w:hAnsi="仿宋_GB2312" w:eastAsia="仿宋_GB2312" w:cs="仿宋_GB2312"/>
          <w:sz w:val="28"/>
          <w:szCs w:val="30"/>
          <w:lang w:val="en-GB" w:eastAsia="zh-CN"/>
        </w:rPr>
        <w:t>，</w:t>
      </w:r>
      <w:r>
        <w:rPr>
          <w:rFonts w:hint="eastAsia" w:ascii="仿宋_GB2312" w:hAnsi="仿宋_GB2312" w:eastAsia="仿宋_GB2312" w:cs="仿宋_GB2312"/>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仿宋_GB2312" w:eastAsia="仿宋_GB2312" w:cs="仿宋_GB2312"/>
          <w:sz w:val="28"/>
          <w:szCs w:val="30"/>
          <w:lang w:val="en-US" w:eastAsia="zh-CN"/>
        </w:rPr>
        <w:t>道县</w:t>
      </w:r>
      <w:r>
        <w:rPr>
          <w:rFonts w:hint="eastAsia" w:ascii="仿宋_GB2312" w:hAnsi="仿宋_GB2312" w:eastAsia="仿宋_GB2312" w:cs="仿宋_GB2312"/>
          <w:sz w:val="28"/>
          <w:szCs w:val="30"/>
          <w:lang w:val="en-GB"/>
        </w:rPr>
        <w:t>，应进行利用系数修正，修正系数为</w:t>
      </w:r>
      <w:r>
        <w:rPr>
          <w:rFonts w:hint="eastAsia" w:ascii="仿宋_GB2312" w:hAnsi="仿宋_GB2312" w:eastAsia="仿宋_GB2312" w:cs="仿宋_GB2312"/>
          <w:sz w:val="28"/>
          <w:szCs w:val="30"/>
          <w:lang w:val="en-US" w:eastAsia="zh-CN"/>
        </w:rPr>
        <w:t>0.90</w:t>
      </w:r>
      <w:r>
        <w:rPr>
          <w:rFonts w:hint="eastAsia" w:ascii="仿宋_GB2312" w:hAnsi="仿宋_GB2312" w:eastAsia="仿宋_GB2312" w:cs="仿宋_GB2312"/>
          <w:sz w:val="28"/>
          <w:szCs w:val="30"/>
          <w:lang w:val="en-GB"/>
        </w:rPr>
        <w:t>，取</w:t>
      </w:r>
      <w:r>
        <w:rPr>
          <w:rFonts w:hint="eastAsia" w:ascii="仿宋_GB2312" w:eastAsia="仿宋_GB2312" w:cs="仿宋_GB2312" w:hAnsi="仿宋_GB2312"/>
          <w:sz w:val="28"/>
          <w:szCs w:val="30"/>
          <w:lang w:val="en-US" w:eastAsia="zh-CN"/>
        </w:rPr>
        <w:t>二等砖混</w:t>
      </w:r>
      <w:r>
        <w:rPr>
          <w:rFonts w:hint="eastAsia" w:ascii="仿宋_GB2312" w:hAnsi="仿宋_GB2312" w:eastAsia="仿宋_GB2312" w:cs="仿宋_GB2312"/>
          <w:sz w:val="28"/>
          <w:szCs w:val="30"/>
          <w:lang w:val="en-GB"/>
        </w:rPr>
        <w:t>结构住宅用房重置价格为</w:t>
      </w:r>
      <w:r>
        <w:rPr>
          <w:rFonts w:hint="eastAsia" w:ascii="仿宋_GB2312" w:hAnsi="仿宋_GB2312" w:eastAsia="仿宋_GB2312" w:cs="仿宋_GB2312"/>
          <w:sz w:val="28"/>
          <w:szCs w:val="30"/>
          <w:lang w:val="en-US" w:eastAsia="zh-CN"/>
        </w:rPr>
        <w:t>1</w:t>
      </w:r>
      <w:r>
        <w:rPr>
          <w:rFonts w:hint="eastAsia" w:ascii="仿宋_GB2312" w:eastAsia="仿宋_GB2312" w:cs="仿宋_GB2312" w:hAnsi="仿宋_GB2312"/>
          <w:sz w:val="28"/>
          <w:szCs w:val="30"/>
          <w:lang w:val="en-US" w:eastAsia="zh-CN"/>
        </w:rPr>
        <w:t>3</w:t>
      </w:r>
      <w:r>
        <w:rPr>
          <w:rFonts w:hint="eastAsia" w:ascii="仿宋_GB2312" w:hAnsi="仿宋_GB2312" w:eastAsia="仿宋_GB2312" w:cs="仿宋_GB2312"/>
          <w:sz w:val="28"/>
          <w:szCs w:val="30"/>
          <w:lang w:val="en-US" w:eastAsia="zh-CN"/>
        </w:rPr>
        <w:t>00</w:t>
      </w:r>
      <w:r>
        <w:rPr>
          <w:rFonts w:hint="eastAsia" w:ascii="仿宋_GB2312" w:hAnsi="仿宋_GB2312" w:eastAsia="仿宋_GB2312" w:cs="仿宋_GB2312"/>
          <w:sz w:val="28"/>
          <w:szCs w:val="30"/>
          <w:lang w:val="en-GB"/>
        </w:rPr>
        <w:t>元/平方米，</w:t>
      </w:r>
      <w:r>
        <w:rPr>
          <w:rFonts w:hint="eastAsia" w:ascii="仿宋_GB2312" w:eastAsia="仿宋_GB2312" w:cs="仿宋_GB2312" w:hAnsi="仿宋_GB2312"/>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before="0" w:after="0"/>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before="0" w:after="0"/>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before="0" w:after="0"/>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before="0" w:after="0"/>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before="0" w:after="0"/>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Chars="0" w:right="0" w:firstLine="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eastAsia="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80" w:lineRule="exact" w:before="0" w:after="0"/>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before="0" w:after="0"/>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eastAsia="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eastAsia="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eastAsia="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pPr>
        <w:spacing w:before="0" w:after="0"/>
      </w:pPr>
      <w:r>
        <w:t xml:space="preserve"/>
      </w:r>
    </w:p>
    <w:p w14:paraId="4A47F4FD">
      <w:pPr>
        <w:widowControl/>
        <w:spacing w:line="480" w:lineRule="exact" w:before="0" w:after="0"/>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宋体" w:hAnsi="宋体" w:eastAsia="宋体" w:cs="宋体"/>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spacing w:before="0" w:after="0" w:line="480" w:lineRule="exact"/>
        <w:ind w:left="561" w:firstLine="0"/>
      </w:pPr>
      <w:r>
        <w:rPr>
          <w:rFonts w:ascii="仿宋_GB2312" w:hAnsi="仿宋_GB2312" w:eastAsia="仿宋_GB2312" w:cs="仿宋_GB2312"/>
          <w:sz w:val="28"/>
        </w:rPr>
        <w:t>{{ final_price_determination }}</w:t>
      </w:r>
    </w:p>
    <w:p w14:paraId="11DF4AFC">
      <w:pPr>
        <w:keepNext/>
        <w:spacing w:line="480" w:lineRule="exact" w:before="157" w:after="10"/>
        <w:ind w:left="0" w:right="0" w:firstLine="0"/>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196F8A4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0" w:line="480" w:lineRule="exact"/>
        <w:ind w:left="561" w:firstLine="0"/>
      </w:pPr>
      <w:r>
        <w:rPr>
          <w:rFonts w:ascii="仿宋_GB2312" w:hAnsi="仿宋_GB2312" w:eastAsia="仿宋_GB2312" w:cs="仿宋_GB2312"/>
          <w:sz w:val="28"/>
        </w:rPr>
        <w:t>{{ valuation_result_statement }}</w:t>
      </w:r>
    </w:p>
    <w:p w14:paraId="414F5B82">
      <w:pPr>
        <w:pageBreakBefore/>
        <w:tabs>
          <w:tab w:val="left" w:pos="-105"/>
          <w:tab w:val="left" w:pos="735"/>
          <w:tab w:val="left" w:pos="1785"/>
        </w:tabs>
        <w:adjustRightInd w:val="0"/>
        <w:snapToGrid w:val="0"/>
        <w:spacing w:line="560" w:lineRule="exact" w:before="0" w:after="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宋体" w:eastAsia="宋体"/>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0E6F27">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county_name }}{{ land_plot_number }}号地块建设用地规划红线图》；</w:t>
      </w:r>
      <w:r>
        <w:rPr>
          <w:rFonts w:ascii="仿宋_GB2312" w:hAnsi="仿宋_GB2312" w:eastAsia="仿宋_GB2312" w:cs="仿宋_GB2312"/>
          <w:color w:val="000000"/>
          <w:sz w:val="28"/>
        </w:rPr>
      </w:r>
    </w:p>
    <w:p w14:paraId="1ABF9B84">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80" w:lineRule="exact" w:before="0" w:after="0"/>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spacing w:before="0" w:after="0" w:line="480" w:lineRule="exact"/>
        <w:jc w:val="right"/>
        <w:rPr>
          <w:color w:val="000000" w:themeColor="text1"/>
          <w:highlight w:val="none"/>
          <w14:textFill>
            <w14:solidFill>
              <w14:schemeClr w14:val="tx1"/>
            </w14:solidFill>
          </w14:textFill>
        </w:rPr>
      </w:pPr>
      <w:r>
        <w:rPr>
          <w:rFonts w:hint="eastAsia" w:ascii="仿宋_GB2312" w:eastAsia="仿宋_GB2312" w:hAnsi="仿宋_GB2312" w:cs="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
      <w:rPr>
        <w:rFonts w:ascii="仿宋_GB2312" w:hAnsi="仿宋_GB2312" w:eastAsia="仿宋_GB2312" w:cs="仿宋_GB2312"/>
        <w:sz w:val="21"/>
      </w:rPr>
      <w:t xml:space="preserve"> {{ appraisal_org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
      <w:rPr>
        <w:rFonts w:ascii="仿宋_GB2312" w:hAnsi="仿宋_GB2312" w:eastAsia="仿宋_GB2312" w:cs="仿宋_GB2312"/>
        <w:sz w:val="21"/>
      </w:rPr>
      <w:t xml:space="preserve"> {{ appraisal_org }}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
      <w:rPr>
        <w:rFonts w:ascii="仿宋_GB2312" w:hAnsi="仿宋_GB2312" w:eastAsia="仿宋_GB2312" w:cs="仿宋_GB2312"/>
        <w:sz w:val="18"/>
      </w:rPr>
      <w:t xml:space="preserve"> {{ appraisal_org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
      <w:rPr>
        <w:rFonts w:ascii="仿宋_GB2312" w:hAnsi="仿宋_GB2312" w:eastAsia="仿宋_GB2312" w:cs="仿宋_GB2312"/>
        <w:sz w:val="18"/>
      </w:rPr>
      <w:t>{{ appraisal_org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
      <w:rPr>
        <w:rFonts w:ascii="仿宋_GB2312" w:hAnsi="仿宋_GB2312" w:eastAsia="仿宋_GB2312" w:cs="仿宋_GB2312"/>
        <w:sz w:val="21"/>
      </w:rPr>
      <w:t xml:space="preserve">{{ appraisal_org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technical_report_no }}</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