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7BC51A">
      <w:pPr>
        <w:spacing w:line="520" w:lineRule="exact"/>
        <w:jc w:val="center"/>
        <w:rPr>
          <w:rFonts w:ascii="宋体"/>
          <w:b/>
          <w:color w:val="000000" w:themeColor="text1"/>
          <w:sz w:val="44"/>
          <w:szCs w:val="44"/>
          <w:highlight w:val="none"/>
          <w14:textFill>
            <w14:solidFill>
              <w14:schemeClr w14:val="tx1"/>
            </w14:solidFill>
          </w14:textFill>
        </w:rPr>
      </w:pPr>
      <w:bookmarkStart w:id="0" w:name="_GoBack"/>
      <w:bookmarkEnd w:id="0"/>
    </w:p>
    <w:p w14:paraId="6654ABD8">
      <w:pPr>
        <w:spacing w:line="520" w:lineRule="exact"/>
        <w:jc w:val="center"/>
        <w:rPr>
          <w:rFonts w:ascii="宋体"/>
          <w:b/>
          <w:color w:val="000000" w:themeColor="text1"/>
          <w:sz w:val="44"/>
          <w:szCs w:val="44"/>
          <w:highlight w:val="none"/>
          <w14:textFill>
            <w14:solidFill>
              <w14:schemeClr w14:val="tx1"/>
            </w14:solidFill>
          </w14:textFill>
        </w:rPr>
      </w:pPr>
    </w:p>
    <w:p w14:paraId="64D29931">
      <w:pPr>
        <w:spacing w:line="560" w:lineRule="exact" w:before="0" w:after="0"/>
        <w:jc w:val="center"/>
        <w:rPr>
          <w:rFonts w:ascii="宋体"/>
          <w:b/>
          <w:bCs/>
          <w:color w:val="000000" w:themeColor="text1"/>
          <w:sz w:val="44"/>
          <w:szCs w:val="44"/>
          <w:highlight w:val="none"/>
          <w14:textFill>
            <w14:solidFill>
              <w14:schemeClr w14:val="tx1"/>
            </w14:solidFill>
          </w14:textFill>
        </w:rPr>
      </w:pPr>
      <w:r>
        <w:rPr>
          <w:rFonts w:hint="eastAsia" w:ascii="宋体" w:hAnsi="宋体" w:eastAsia="宋体" w:cs="宋体"/>
          <w:b/>
          <w:bCs/>
          <w:color w:val="000000" w:themeColor="text1"/>
          <w:sz w:val="44"/>
          <w:szCs w:val="44"/>
          <w:highlight w:val="none"/>
          <w14:textFill>
            <w14:solidFill>
              <w14:schemeClr w14:val="tx1"/>
            </w14:solidFill>
          </w14:textFill>
        </w:rPr>
        <w:t>土 地 估 价 报 告</w:t>
      </w:r>
    </w:p>
    <w:p w14:paraId="76422A75">
      <w:pPr>
        <w:spacing w:line="520" w:lineRule="exact"/>
        <w:rPr>
          <w:color w:val="000000" w:themeColor="text1"/>
          <w:sz w:val="32"/>
          <w:highlight w:val="none"/>
          <w14:textFill>
            <w14:solidFill>
              <w14:schemeClr w14:val="tx1"/>
            </w14:solidFill>
          </w14:textFill>
        </w:rPr>
      </w:pPr>
    </w:p>
    <w:p w14:paraId="5BC0D033">
      <w:pPr>
        <w:spacing w:line="520" w:lineRule="exact"/>
        <w:rPr>
          <w:color w:val="000000" w:themeColor="text1"/>
          <w:sz w:val="32"/>
          <w:highlight w:val="none"/>
          <w14:textFill>
            <w14:solidFill>
              <w14:schemeClr w14:val="tx1"/>
            </w14:solidFill>
          </w14:textFill>
        </w:rPr>
      </w:pPr>
    </w:p>
    <w:p w14:paraId="6F2FBCBF">
      <w:pPr>
        <w:spacing w:line="520" w:lineRule="exact"/>
        <w:rPr>
          <w:color w:val="000000" w:themeColor="text1"/>
          <w:sz w:val="32"/>
          <w:highlight w:val="none"/>
          <w14:textFill>
            <w14:solidFill>
              <w14:schemeClr w14:val="tx1"/>
            </w14:solidFill>
          </w14:textFill>
        </w:rPr>
      </w:pPr>
    </w:p>
    <w:tbl>
      <w:tblPr>
        <w:tblStyle w:val="9"/>
        <w:tblW w:w="9560" w:type="dxa"/>
        <w:jc w:val="center"/>
        <w:tblLayout w:type="fixed"/>
        <w:tblCellMar>
          <w:top w:w="0" w:type="dxa"/>
          <w:left w:w="108" w:type="dxa"/>
          <w:bottom w:w="0" w:type="dxa"/>
          <w:right w:w="108" w:type="dxa"/>
        </w:tblCellMar>
      </w:tblPr>
      <w:tblGrid>
        <w:gridCol w:w="3364"/>
        <w:gridCol w:w="6196"/>
      </w:tblGrid>
      <w:tr w14:paraId="189AF926">
        <w:tblPrEx>
          <w:tblCellMar>
            <w:top w:w="0" w:type="dxa"/>
            <w:left w:w="108" w:type="dxa"/>
            <w:bottom w:w="0" w:type="dxa"/>
            <w:right w:w="108" w:type="dxa"/>
          </w:tblCellMar>
        </w:tblPrEx>
        <w:trPr>
          <w:trHeight w:val="1410" w:hRule="atLeast"/>
          <w:jc w:val="center"/>
        </w:trPr>
        <w:tc>
          <w:tcPr>
            <w:tcW w:w="3364" w:type="dxa"/>
            <w:vAlign w:val="center"/>
          </w:tcPr>
          <w:p w14:paraId="7922849E">
            <w:pPr>
              <w:pStyle w:val="6"/>
              <w:keepNext w:val="0"/>
              <w:keepLines w:val="0"/>
              <w:suppressLineNumbers w:val="0"/>
              <w:tabs>
                <w:tab w:val="left" w:pos="468"/>
                <w:tab w:val="left" w:pos="2340"/>
              </w:tabs>
              <w:adjustRightInd w:val="0"/>
              <w:snapToGrid w:val="0"/>
              <w:spacing w:before="0" w:beforeAutospacing="0" w:after="0" w:afterAutospacing="0" w:line="0" w:lineRule="atLeast"/>
              <w:ind w:left="1739" w:right="-78" w:rightChars="-37" w:hanging="1739" w:hangingChars="498"/>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项</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目</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名</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称：</w:t>
            </w:r>
          </w:p>
        </w:tc>
        <w:tc>
          <w:tcPr>
            <w:tcW w:w="6196" w:type="dxa"/>
            <w:vAlign w:val="center"/>
          </w:tcPr>
          <w:p w14:paraId="574CB272">
            <w:pPr>
              <w:pStyle w:val="6"/>
              <w:keepNext w:val="0"/>
              <w:keepLines w:val="0"/>
              <w:suppressLineNumbers w:val="0"/>
              <w:tabs>
                <w:tab w:val="left" w:pos="0"/>
                <w:tab w:val="left" w:pos="2340"/>
              </w:tabs>
              <w:adjustRightInd w:val="0"/>
              <w:snapToGrid w:val="0"/>
              <w:spacing w:before="0" w:beforeAutospacing="0" w:after="0" w:afterAutospacing="0" w:line="0" w:lineRule="atLeast"/>
              <w:ind w:left="2" w:right="0" w:hanging="2"/>
              <w:rPr>
                <w:rFonts w:hint="eastAsia" w:ascii="楷体" w:hAnsi="楷体" w:eastAsia="楷体"/>
                <w:color w:val="000000" w:themeColor="text1"/>
                <w:spacing w:val="14"/>
                <w:sz w:val="32"/>
                <w:szCs w:val="32"/>
                <w:highlight w:val="none"/>
                <w:lang w:eastAsia="zh-CN"/>
                <w14:textFill>
                  <w14:solidFill>
                    <w14:schemeClr w14:val="tx1"/>
                  </w14:solidFill>
                </w14:textFill>
              </w:rPr>
            </w:pPr>
            <w:r>
              <w:rPr>
                <w:rFonts w:ascii="仿宋_GB2312" w:hAnsi="仿宋_GB2312" w:eastAsia="仿宋_GB2312" w:cs="仿宋_GB2312"/>
              </w:rPr>
              <w:t>{{ project_name }}</w:t>
            </w:r>
          </w:p>
        </w:tc>
      </w:tr>
      <w:tr w14:paraId="08884643">
        <w:tblPrEx>
          <w:tblCellMar>
            <w:top w:w="0" w:type="dxa"/>
            <w:left w:w="108" w:type="dxa"/>
            <w:bottom w:w="0" w:type="dxa"/>
            <w:right w:w="108" w:type="dxa"/>
          </w:tblCellMar>
        </w:tblPrEx>
        <w:trPr>
          <w:trHeight w:val="1134" w:hRule="atLeast"/>
          <w:jc w:val="center"/>
        </w:trPr>
        <w:tc>
          <w:tcPr>
            <w:tcW w:w="3364" w:type="dxa"/>
            <w:vAlign w:val="center"/>
          </w:tcPr>
          <w:p w14:paraId="6713592C">
            <w:pPr>
              <w:pStyle w:val="6"/>
              <w:keepNext w:val="0"/>
              <w:keepLines w:val="0"/>
              <w:suppressLineNumbers w:val="0"/>
              <w:tabs>
                <w:tab w:val="left" w:pos="468"/>
                <w:tab w:val="left" w:pos="2340"/>
              </w:tabs>
              <w:adjustRightInd w:val="0"/>
              <w:snapToGrid w:val="0"/>
              <w:spacing w:before="0" w:beforeAutospacing="0" w:after="0" w:afterAutospacing="0" w:line="0" w:lineRule="atLeast"/>
              <w:ind w:left="1739"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受托估价单位：</w:t>
            </w:r>
          </w:p>
        </w:tc>
        <w:tc>
          <w:tcPr>
            <w:tcW w:w="6196" w:type="dxa"/>
            <w:vAlign w:val="center"/>
          </w:tcPr>
          <w:p w14:paraId="55C85EB9">
            <w:pPr>
              <w:pStyle w:val="6"/>
              <w:keepNext w:val="0"/>
              <w:keepLines w:val="0"/>
              <w:suppressLineNumbers w:val="0"/>
              <w:tabs>
                <w:tab w:val="left" w:pos="0"/>
                <w:tab w:val="left" w:pos="2340"/>
              </w:tabs>
              <w:adjustRightInd w:val="0"/>
              <w:snapToGrid w:val="0"/>
              <w:spacing w:before="0" w:beforeAutospacing="0" w:after="0" w:afterAutospacing="0" w:line="0" w:lineRule="atLeast"/>
              <w:ind w:left="-6" w:leftChars="-3" w:right="0"/>
              <w:jc w:val="left"/>
              <w:rPr>
                <w:rFonts w:ascii="楷体" w:hAnsi="楷体" w:eastAsia="楷体"/>
                <w:color w:val="000000" w:themeColor="text1"/>
                <w:spacing w:val="14"/>
                <w:sz w:val="32"/>
                <w:szCs w:val="32"/>
                <w:highlight w:val="none"/>
                <w14:textFill>
                  <w14:solidFill>
                    <w14:schemeClr w14:val="tx1"/>
                  </w14:solidFill>
                </w14:textFill>
              </w:rPr>
            </w:pPr>
            <w:r/>
            <w:r>
              <w:rPr>
                <w:rFonts w:ascii="仿宋_GB2312" w:hAnsi="仿宋_GB2312" w:eastAsia="仿宋_GB2312" w:cs="仿宋_GB2312"/>
                <w:color w:val="000000"/>
                <w:sz w:val="32"/>
              </w:rPr>
              <w:t>{{ appraisal_org }}</w:t>
            </w:r>
          </w:p>
        </w:tc>
      </w:tr>
      <w:tr w14:paraId="011EDA8E">
        <w:tblPrEx>
          <w:tblCellMar>
            <w:top w:w="0" w:type="dxa"/>
            <w:left w:w="108" w:type="dxa"/>
            <w:bottom w:w="0" w:type="dxa"/>
            <w:right w:w="108" w:type="dxa"/>
          </w:tblCellMar>
        </w:tblPrEx>
        <w:trPr>
          <w:trHeight w:val="1134" w:hRule="atLeast"/>
          <w:jc w:val="center"/>
        </w:trPr>
        <w:tc>
          <w:tcPr>
            <w:tcW w:w="3364" w:type="dxa"/>
            <w:vAlign w:val="center"/>
          </w:tcPr>
          <w:p w14:paraId="742A7F66">
            <w:pPr>
              <w:pStyle w:val="6"/>
              <w:keepNext w:val="0"/>
              <w:keepLines w:val="0"/>
              <w:suppressLineNumbers w:val="0"/>
              <w:tabs>
                <w:tab w:val="left" w:pos="2235"/>
                <w:tab w:val="left" w:pos="2340"/>
              </w:tabs>
              <w:adjustRightInd w:val="0"/>
              <w:snapToGrid w:val="0"/>
              <w:spacing w:before="0" w:beforeAutospacing="0" w:after="0" w:afterAutospacing="0" w:line="0" w:lineRule="atLeast"/>
              <w:ind w:left="1739"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土地估价报告编号：</w:t>
            </w:r>
          </w:p>
        </w:tc>
        <w:tc>
          <w:tcPr>
            <w:tcW w:w="6196" w:type="dxa"/>
            <w:vAlign w:val="center"/>
          </w:tcPr>
          <w:p w14:paraId="770D2DD8">
            <w:pPr>
              <w:pStyle w:val="6"/>
              <w:keepNext w:val="0"/>
              <w:keepLines w:val="0"/>
              <w:suppressLineNumbers w:val="0"/>
              <w:tabs>
                <w:tab w:val="left" w:pos="0"/>
                <w:tab w:val="left" w:pos="2340"/>
              </w:tabs>
              <w:adjustRightInd w:val="0"/>
              <w:snapToGrid w:val="0"/>
              <w:spacing w:before="0" w:beforeAutospacing="0" w:after="0" w:afterAutospacing="0" w:line="0" w:lineRule="atLeast"/>
              <w:ind w:left="0" w:right="0"/>
              <w:jc w:val="left"/>
              <w:rPr>
                <w:rFonts w:hint="eastAsia" w:ascii="楷体" w:hAnsi="楷体" w:eastAsia="楷体"/>
                <w:color w:val="000000" w:themeColor="text1"/>
                <w:spacing w:val="14"/>
                <w:sz w:val="32"/>
                <w:szCs w:val="32"/>
                <w:highlight w:val="none"/>
                <w:lang w:eastAsia="zh-CN"/>
                <w14:textFill>
                  <w14:solidFill>
                    <w14:schemeClr w14:val="tx1"/>
                  </w14:solidFill>
                </w14:textFill>
              </w:rPr>
            </w:pPr>
            <w:r>
              <w:rPr>
                <w:rFonts w:ascii="仿宋_GB2312" w:hAnsi="仿宋_GB2312" w:eastAsia="仿宋_GB2312" w:cs="仿宋_GB2312"/>
              </w:rPr>
              <w:t>{{ report_no }}</w:t>
            </w:r>
          </w:p>
        </w:tc>
      </w:tr>
      <w:tr w14:paraId="06059496">
        <w:tblPrEx>
          <w:tblCellMar>
            <w:top w:w="0" w:type="dxa"/>
            <w:left w:w="108" w:type="dxa"/>
            <w:bottom w:w="0" w:type="dxa"/>
            <w:right w:w="108" w:type="dxa"/>
          </w:tblCellMar>
        </w:tblPrEx>
        <w:trPr>
          <w:trHeight w:val="1134" w:hRule="atLeast"/>
          <w:jc w:val="center"/>
        </w:trPr>
        <w:tc>
          <w:tcPr>
            <w:tcW w:w="3364" w:type="dxa"/>
            <w:vAlign w:val="center"/>
          </w:tcPr>
          <w:p w14:paraId="7549ABCC">
            <w:pPr>
              <w:pStyle w:val="6"/>
              <w:keepNext w:val="0"/>
              <w:keepLines w:val="0"/>
              <w:suppressLineNumbers w:val="0"/>
              <w:tabs>
                <w:tab w:val="left" w:pos="2235"/>
                <w:tab w:val="left" w:pos="2340"/>
              </w:tabs>
              <w:adjustRightInd w:val="0"/>
              <w:snapToGrid w:val="0"/>
              <w:spacing w:before="0" w:beforeAutospacing="0" w:after="0" w:afterAutospacing="0" w:line="0" w:lineRule="atLeast"/>
              <w:ind w:left="0" w:right="-78" w:rightChars="-37"/>
              <w:jc w:val="left"/>
              <w:rPr>
                <w:rFonts w:ascii="楷体" w:hAnsi="楷体" w:eastAsia="楷体" w:cs="Times New Roman"/>
                <w:b/>
                <w:bCs/>
                <w:color w:val="000000" w:themeColor="text1"/>
                <w:spacing w:val="14"/>
                <w:kern w:val="2"/>
                <w:sz w:val="32"/>
                <w:szCs w:val="32"/>
                <w:highlight w:val="none"/>
                <w:lang w:val="en-US" w:eastAsia="zh-CN" w:bidi="ar-SA"/>
                <w14:textFill>
                  <w14:solidFill>
                    <w14:schemeClr w14:val="tx1"/>
                  </w14:solidFill>
                </w14:textFill>
              </w:rPr>
            </w:pPr>
            <w:r>
              <w:rPr>
                <w:rFonts w:hint="eastAsia" w:ascii="楷体" w:hAnsi="楷体" w:eastAsia="楷体"/>
                <w:b/>
                <w:bCs/>
                <w:color w:val="000000" w:themeColor="text1"/>
                <w:spacing w:val="14"/>
                <w:sz w:val="32"/>
                <w:szCs w:val="32"/>
                <w:highlight w:val="none"/>
                <w14:textFill>
                  <w14:solidFill>
                    <w14:schemeClr w14:val="tx1"/>
                  </w14:solidFill>
                </w14:textFill>
              </w:rPr>
              <w:t>电 子 备 案 编 号：</w:t>
            </w:r>
          </w:p>
        </w:tc>
        <w:tc>
          <w:tcPr>
            <w:tcW w:w="6196" w:type="dxa"/>
            <w:vAlign w:val="center"/>
          </w:tcPr>
          <w:p w14:paraId="5B193721">
            <w:pPr>
              <w:pStyle w:val="6"/>
              <w:keepNext w:val="0"/>
              <w:keepLines w:val="0"/>
              <w:suppressLineNumbers w:val="0"/>
              <w:tabs>
                <w:tab w:val="left" w:pos="0"/>
                <w:tab w:val="left" w:pos="2340"/>
                <w:tab w:val="left" w:pos="2745"/>
                <w:tab w:val="left" w:pos="3030"/>
                <w:tab w:val="left" w:pos="3180"/>
              </w:tabs>
              <w:adjustRightInd w:val="0"/>
              <w:snapToGrid w:val="0"/>
              <w:spacing w:before="0" w:beforeAutospacing="0" w:after="0" w:afterAutospacing="0" w:line="0" w:lineRule="atLeast"/>
              <w:ind w:left="0" w:right="0"/>
              <w:jc w:val="left"/>
              <w:rPr>
                <w:rFonts w:hint="default" w:ascii="楷体" w:hAnsi="楷体" w:eastAsia="楷体" w:cs="Times New Roman"/>
                <w:color w:val="000000" w:themeColor="text1"/>
                <w:spacing w:val="14"/>
                <w:kern w:val="2"/>
                <w:sz w:val="32"/>
                <w:szCs w:val="32"/>
                <w:highlight w:val="none"/>
                <w:lang w:val="en-US" w:eastAsia="zh-CN" w:bidi="ar-SA"/>
                <w14:textFill>
                  <w14:solidFill>
                    <w14:schemeClr w14:val="tx1"/>
                  </w14:solidFill>
                </w14:textFill>
              </w:rPr>
            </w:pPr>
            <w:r>
              <w:rPr>
                <w:rFonts w:hint="eastAsia" w:ascii="楷体" w:hAnsi="楷体" w:eastAsia="楷体" w:cs="Times New Roman"/>
                <w:color w:val="000000" w:themeColor="text1"/>
                <w:spacing w:val="14"/>
                <w:kern w:val="2"/>
                <w:sz w:val="32"/>
                <w:szCs w:val="32"/>
                <w:highlight w:val="none"/>
                <w:lang w:val="en-US" w:eastAsia="zh-CN" w:bidi="ar-SA"/>
                <w14:textFill>
                  <w14:solidFill>
                    <w14:schemeClr w14:val="tx1"/>
                  </w14:solidFill>
                </w14:textFill>
              </w:rPr>
              <w:t>详见备案页</w:t>
            </w:r>
          </w:p>
        </w:tc>
      </w:tr>
      <w:tr w14:paraId="28305D6E">
        <w:tblPrEx>
          <w:tblCellMar>
            <w:top w:w="0" w:type="dxa"/>
            <w:left w:w="108" w:type="dxa"/>
            <w:bottom w:w="0" w:type="dxa"/>
            <w:right w:w="108" w:type="dxa"/>
          </w:tblCellMar>
        </w:tblPrEx>
        <w:trPr>
          <w:trHeight w:val="1134" w:hRule="atLeast"/>
          <w:jc w:val="center"/>
        </w:trPr>
        <w:tc>
          <w:tcPr>
            <w:tcW w:w="3364" w:type="dxa"/>
            <w:vAlign w:val="center"/>
          </w:tcPr>
          <w:p w14:paraId="42D8D802">
            <w:pPr>
              <w:pStyle w:val="6"/>
              <w:keepNext w:val="0"/>
              <w:keepLines w:val="0"/>
              <w:suppressLineNumbers w:val="0"/>
              <w:tabs>
                <w:tab w:val="left" w:pos="2235"/>
                <w:tab w:val="left" w:pos="2340"/>
              </w:tabs>
              <w:adjustRightInd w:val="0"/>
              <w:snapToGrid w:val="0"/>
              <w:spacing w:before="0" w:beforeAutospacing="0" w:after="0" w:afterAutospacing="0" w:line="0" w:lineRule="atLeast"/>
              <w:ind w:left="1739" w:right="-78" w:rightChars="-37" w:hanging="1739" w:hangingChars="498"/>
              <w:jc w:val="left"/>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提交估价报告日期：</w:t>
            </w:r>
          </w:p>
        </w:tc>
        <w:tc>
          <w:tcPr>
            <w:tcW w:w="6196" w:type="dxa"/>
            <w:vAlign w:val="center"/>
          </w:tcPr>
          <w:p w14:paraId="42FEE57D">
            <w:pPr>
              <w:pStyle w:val="6"/>
              <w:keepNext w:val="0"/>
              <w:keepLines w:val="0"/>
              <w:suppressLineNumbers w:val="0"/>
              <w:tabs>
                <w:tab w:val="left" w:pos="0"/>
                <w:tab w:val="left" w:pos="2340"/>
                <w:tab w:val="left" w:pos="2745"/>
                <w:tab w:val="left" w:pos="3030"/>
                <w:tab w:val="left" w:pos="3180"/>
              </w:tabs>
              <w:adjustRightInd w:val="0"/>
              <w:snapToGrid w:val="0"/>
              <w:spacing w:before="0" w:beforeAutospacing="0" w:after="0" w:afterAutospacing="0" w:line="0" w:lineRule="atLeast"/>
              <w:ind w:left="0" w:right="0"/>
              <w:jc w:val="left"/>
              <w:rPr>
                <w:rFonts w:hint="eastAsia" w:ascii="楷体" w:hAnsi="楷体" w:eastAsia="楷体" w:cs="楷体"/>
                <w:color w:val="000000" w:themeColor="text1"/>
                <w:spacing w:val="-20"/>
                <w:sz w:val="32"/>
                <w:szCs w:val="32"/>
                <w:highlight w:val="none"/>
                <w:lang w:eastAsia="zh-CN"/>
                <w14:textFill>
                  <w14:solidFill>
                    <w14:schemeClr w14:val="tx1"/>
                  </w14:solidFill>
                </w14:textFill>
              </w:rPr>
            </w:pPr>
            <w:r>
              <w:rPr>
                <w:rFonts w:ascii="仿宋_GB2312" w:hAnsi="仿宋_GB2312" w:eastAsia="仿宋_GB2312" w:cs="仿宋_GB2312"/>
                <w:color w:val="000000"/>
                <w:sz w:val="32"/>
              </w:rPr>
              <w:t>{{ report_date }}</w:t>
            </w:r>
          </w:p>
        </w:tc>
      </w:tr>
    </w:tbl>
    <w:p w14:paraId="7F67BAAE">
      <w:pPr>
        <w:spacing w:line="520" w:lineRule="exact"/>
        <w:rPr>
          <w:color w:val="000000" w:themeColor="text1"/>
          <w:sz w:val="32"/>
          <w:highlight w:val="none"/>
          <w14:textFill>
            <w14:solidFill>
              <w14:schemeClr w14:val="tx1"/>
            </w14:solidFill>
          </w14:textFill>
        </w:rPr>
      </w:pPr>
    </w:p>
    <w:p w14:paraId="5D1D63C7">
      <w:pPr>
        <w:spacing w:line="520" w:lineRule="exact"/>
        <w:rPr>
          <w:color w:val="000000" w:themeColor="text1"/>
          <w:sz w:val="32"/>
          <w:highlight w:val="none"/>
          <w14:textFill>
            <w14:solidFill>
              <w14:schemeClr w14:val="tx1"/>
            </w14:solidFill>
          </w14:textFill>
        </w:rPr>
      </w:pPr>
    </w:p>
    <w:p w14:paraId="7C4572D0">
      <w:pPr>
        <w:spacing w:line="520" w:lineRule="exact"/>
        <w:rPr>
          <w:color w:val="000000" w:themeColor="text1"/>
          <w:sz w:val="32"/>
          <w:highlight w:val="none"/>
          <w14:textFill>
            <w14:solidFill>
              <w14:schemeClr w14:val="tx1"/>
            </w14:solidFill>
          </w14:textFill>
        </w:rPr>
      </w:pPr>
    </w:p>
    <w:p w14:paraId="424CEEA7">
      <w:pPr>
        <w:spacing w:line="520" w:lineRule="exact"/>
        <w:rPr>
          <w:color w:val="000000" w:themeColor="text1"/>
          <w:sz w:val="32"/>
          <w:highlight w:val="none"/>
          <w14:textFill>
            <w14:solidFill>
              <w14:schemeClr w14:val="tx1"/>
            </w14:solidFill>
          </w14:textFill>
        </w:rPr>
      </w:pPr>
    </w:p>
    <w:p w14:paraId="5F1F0DED">
      <w:pPr>
        <w:spacing w:line="520" w:lineRule="exact"/>
        <w:rPr>
          <w:color w:val="000000" w:themeColor="text1"/>
          <w:sz w:val="32"/>
          <w:highlight w:val="none"/>
          <w14:textFill>
            <w14:solidFill>
              <w14:schemeClr w14:val="tx1"/>
            </w14:solidFill>
          </w14:textFill>
        </w:rPr>
      </w:pPr>
    </w:p>
    <w:p w14:paraId="45A7C87E">
      <w:pPr>
        <w:spacing w:line="360" w:lineRule="auto"/>
        <w:rPr>
          <w:rFonts w:ascii="楷体_GB2312" w:eastAsia="楷体_GB2312"/>
          <w:b/>
          <w:bCs/>
          <w:color w:val="000000" w:themeColor="text1"/>
          <w:sz w:val="32"/>
          <w:highlight w:val="none"/>
          <w14:textFill>
            <w14:solidFill>
              <w14:schemeClr w14:val="tx1"/>
            </w14:solidFill>
          </w14:textFill>
        </w:rPr>
        <w:sectPr>
          <w:headerReference r:id="rId5" w:type="first"/>
          <w:footerReference r:id="rId8" w:type="first"/>
          <w:headerReference r:id="rId3" w:type="default"/>
          <w:footerReference r:id="rId6" w:type="default"/>
          <w:headerReference r:id="rId4" w:type="even"/>
          <w:footerReference r:id="rId7" w:type="even"/>
          <w:endnotePr>
            <w:numFmt w:val="decimal"/>
          </w:endnotePr>
          <w:pgSz w:w="11906" w:h="16838"/>
          <w:pgMar w:top="1440" w:right="1797" w:bottom="1440" w:left="1797" w:header="851" w:footer="992" w:gutter="0"/>
          <w:pgNumType w:fmt="decimal" w:start="1"/>
          <w:cols w:space="720" w:num="1"/>
          <w:titlePg/>
          <w:docGrid w:linePitch="312" w:charSpace="0"/>
        </w:sectPr>
      </w:pPr>
    </w:p>
    <w:p w14:paraId="768E58D4">
      <w:pPr>
        <w:pStyle w:val="12"/>
        <w:keepNext w:val="0"/>
        <w:keepLines w:val="0"/>
        <w:pageBreakBefore w:val="0"/>
        <w:kinsoku/>
        <w:wordWrap/>
        <w:overflowPunct/>
        <w:topLinePunct w:val="0"/>
        <w:autoSpaceDE/>
        <w:autoSpaceDN/>
        <w:bidi w:val="0"/>
        <w:adjustRightInd/>
        <w:snapToGrid w:val="0"/>
        <w:spacing w:line="560" w:lineRule="exact" w:before="0" w:after="0"/>
        <w:jc w:val="center"/>
        <w:outlineLvl w:val="0"/>
        <w:rPr>
          <w:rFonts w:ascii="宋体" w:eastAsia="宋体"/>
          <w:color w:val="000000" w:themeColor="text1"/>
          <w:sz w:val="32"/>
          <w:szCs w:val="32"/>
          <w:highlight w:val="none"/>
          <w14:textFill>
            <w14:solidFill>
              <w14:schemeClr w14:val="tx1"/>
            </w14:solidFill>
          </w14:textFill>
        </w:rPr>
      </w:pPr>
      <w:r>
        <w:rPr>
          <w:rFonts w:hint="eastAsia" w:ascii="宋体" w:eastAsia="宋体" w:hAnsi="宋体" w:cs="宋体"/>
          <w:b/>
          <w:bCs/>
          <w:color w:val="000000" w:themeColor="text1"/>
          <w:sz w:val="44"/>
          <w:szCs w:val="32"/>
          <w:highlight w:val="none"/>
          <w14:textFill>
            <w14:solidFill>
              <w14:schemeClr w14:val="tx1"/>
            </w14:solidFill>
          </w14:textFill>
        </w:rPr>
        <w:t>土 地 估 价 报 告</w:t>
      </w:r>
    </w:p>
    <w:p w14:paraId="0F89BD83">
      <w:pPr>
        <w:pStyle w:val="13"/>
        <w:keepNext w:val="0"/>
        <w:keepLines w:val="0"/>
        <w:pageBreakBefore w:val="0"/>
        <w:kinsoku/>
        <w:wordWrap/>
        <w:overflowPunct/>
        <w:topLinePunct w:val="0"/>
        <w:autoSpaceDE/>
        <w:autoSpaceDN/>
        <w:bidi w:val="0"/>
        <w:adjustRightInd/>
        <w:snapToGrid w:val="0"/>
        <w:spacing w:before="0" w:beforeLines="50" w:after="0" w:afterLines="100" w:line="560" w:lineRule="exact"/>
        <w:ind w:firstLine="0" w:firstLineChars="0"/>
        <w:jc w:val="center"/>
        <w:outlineLvl w:val="0"/>
        <w:rPr>
          <w:rFonts w:ascii="宋体" w:hAnsi="宋体" w:eastAsia="宋体" w:cs="宋体"/>
          <w:b/>
          <w:color w:val="000000" w:themeColor="text1"/>
          <w:sz w:val="32"/>
          <w:szCs w:val="32"/>
          <w:highlight w:val="none"/>
          <w14:textFill>
            <w14:solidFill>
              <w14:schemeClr w14:val="tx1"/>
            </w14:solidFill>
          </w14:textFill>
        </w:rPr>
      </w:pPr>
      <w:r>
        <w:rPr>
          <w:rFonts w:hint="eastAsia" w:ascii="宋体" w:hAnsi="宋体" w:eastAsia="宋体" w:cs="宋体"/>
          <w:b/>
          <w:color w:val="000000" w:themeColor="text1"/>
          <w:sz w:val="32"/>
          <w:szCs w:val="32"/>
          <w:highlight w:val="none"/>
          <w14:textFill>
            <w14:solidFill>
              <w14:schemeClr w14:val="tx1"/>
            </w14:solidFill>
          </w14:textFill>
        </w:rPr>
        <w:t>第一部分  摘要</w:t>
      </w:r>
    </w:p>
    <w:p w14:paraId="7A480F7C">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一、估价项目名称</w:t>
      </w:r>
    </w:p>
    <w:p w14:paraId="3263ECE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 project_name }}</w:t>
      </w:r>
    </w:p>
    <w:p w14:paraId="0AB73ECF">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二、委托估价方</w:t>
      </w:r>
    </w:p>
    <w:p w14:paraId="377B174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 client_name }}</w:t>
      </w:r>
    </w:p>
    <w:p w14:paraId="5A8AA147">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bCs/>
          <w:color w:val="000000" w:themeColor="text1"/>
          <w:sz w:val="28"/>
          <w:szCs w:val="28"/>
          <w:highlight w:val="none"/>
          <w14:textFill>
            <w14:solidFill>
              <w14:schemeClr w14:val="tx1"/>
            </w14:solidFill>
          </w14:textFill>
        </w:rPr>
        <w:t>三、</w:t>
      </w:r>
      <w:r>
        <w:rPr>
          <w:rFonts w:hint="eastAsia" w:ascii="宋体" w:eastAsia="宋体" w:hAnsi="宋体" w:cs="宋体"/>
          <w:b/>
          <w:color w:val="000000" w:themeColor="text1"/>
          <w:sz w:val="28"/>
          <w:szCs w:val="28"/>
          <w:highlight w:val="none"/>
          <w14:textFill>
            <w14:solidFill>
              <w14:schemeClr w14:val="tx1"/>
            </w14:solidFill>
          </w14:textFill>
        </w:rPr>
        <w:t>估价目的</w:t>
      </w:r>
    </w:p>
    <w:p w14:paraId="7ADA032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ascii="仿宋_GB2312" w:hAnsi="仿宋_GB2312" w:eastAsia="仿宋_GB2312" w:cs="仿宋_GB2312"/>
          <w:sz w:val="28"/>
        </w:rPr>
        <w:t>{{ client_name }}拟按《关于国有建设用地的规划条件的函》（2025年9月11日）确定的规划条件，对位于{{ land_location_full }}的{{ parcel_count }}{{ land_usage }}国有建设用地使用权开展{{ transfer_purpose }}相关工作。</w:t>
      </w:r>
      <w:r>
        <w:rPr>
          <w:rFonts w:ascii="仿宋_GB2312" w:hAnsi="仿宋_GB2312" w:eastAsia="仿宋_GB2312" w:cs="仿宋_GB2312"/>
          <w:color w:val="000000"/>
          <w:sz w:val="28"/>
        </w:rPr>
      </w:r>
    </w:p>
    <w:p w14:paraId="3D67BCC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00" w:themeColor="text1"/>
          <w:sz w:val="28"/>
          <w:szCs w:val="30"/>
          <w:highlight w:val="none"/>
          <w:lang w:eastAsia="zh-CN"/>
          <w14:textFill>
            <w14:solidFill>
              <w14:schemeClr w14:val="tx1"/>
            </w14:solidFill>
          </w14:textFill>
        </w:rPr>
      </w:pPr>
      <w:r>
        <w:rPr>
          <w:rFonts w:ascii="仿宋_GB2312" w:hAnsi="仿宋_GB2312" w:eastAsia="仿宋_GB2312" w:cs="仿宋_GB2312"/>
          <w:sz w:val="28"/>
        </w:rPr>
        <w:t>根据《中华人民共和国资产评估法》《中华人民共和国土地管理法》《中华人民共和国民法典》和《招标拍卖挂牌出让国有建设用地使用权规定》（自然资源部第39号令，2007年9月28日）、《招标拍卖挂牌出让国有土地使用权规范》（试行）（国土资发[2006]114号，2006年5月31日）、《关于印发&lt;国有建设用地使用权出让地价评估技术规范&gt;的通知》（国土资厅发（2018）4号，2018年3月9日）等有关规定及委托方提供的《评估委托书》，本次评估受{{ client_name }}委托，为委托方办理{{ transfer_purpose }}相关事项提供设定条件下国有建设用地使用权正常市场价格参考依据。</w:t>
      </w:r>
      <w:r>
        <w:rPr>
          <w:rFonts w:ascii="仿宋_GB2312" w:hAnsi="仿宋_GB2312" w:eastAsia="仿宋_GB2312" w:cs="仿宋_GB2312"/>
          <w:color w:val="000000"/>
          <w:sz w:val="28"/>
        </w:rPr>
      </w:r>
    </w:p>
    <w:p w14:paraId="60B2B325">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四、估价期日</w:t>
      </w:r>
    </w:p>
    <w:p w14:paraId="0AF12F2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color w:val="000000"/>
          <w:sz w:val="28"/>
        </w:rPr>
        <w:t>本次土地估价师现场勘查日期为{{ valuation_date }}，结合本次估价目的和委托估价方提供的《评估委托书》，本次估价设定估价期日为{{ valuation_date }}。</w:t>
      </w:r>
    </w:p>
    <w:p w14:paraId="20A7FB43">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五、估价日期</w:t>
      </w:r>
    </w:p>
    <w:p w14:paraId="40E3E99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color w:val="000000"/>
          <w:sz w:val="28"/>
        </w:rPr>
        <w:t>{{ valuation_work_date }}</w:t>
      </w:r>
    </w:p>
    <w:p w14:paraId="2CC98B2F">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六、地价定义</w:t>
      </w:r>
    </w:p>
    <w:p w14:paraId="1E93723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sz w:val="28"/>
        </w:rPr>
        <w:t>根据委托方出具的《关于国有建设用地的规划条件的函》（2025年9月11日）及现场勘查状况，估价对象总土地面积为{{ land_area }}平方米，估价对象规划用途为{{ land_usage }}，至估价期日，估价对象实际土地开发程度为{{ land_development_actual }}。</w:t>
      </w:r>
      <w:r>
        <w:rPr>
          <w:rFonts w:ascii="仿宋_GB2312" w:hAnsi="仿宋_GB2312" w:eastAsia="仿宋_GB2312" w:cs="仿宋_GB2312"/>
          <w:color w:val="000000"/>
          <w:sz w:val="28"/>
        </w:rPr>
      </w:r>
    </w:p>
    <w:p w14:paraId="483DD28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根据《城镇土地估价规程》（GB/T18508—2014）及</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此项目估价目的、土地的权属性质和用途特点，对</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地价定义</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中有关事项作以下设定</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p>
    <w:p w14:paraId="3A96644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1.估价期日的设定</w:t>
      </w:r>
    </w:p>
    <w:p w14:paraId="7667C50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color w:val="000000"/>
          <w:sz w:val="28"/>
        </w:rPr>
        <w:t>本次土地估价师现场勘查日期为{{ valuation_date }}，本次估价设定估价期日为{{ valuation_date }}。</w:t>
      </w:r>
    </w:p>
    <w:p w14:paraId="1F017BF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2.土地用途的设定</w:t>
      </w:r>
    </w:p>
    <w:p w14:paraId="33E3160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根据土地估价师现场勘查及委托方提供资料，估价对象现状用途及规划用途以委托方资料为准。根据《关于国有建设用地的规划条件的函》（2025年9月11日），估价对象规划用途为{{ land_usage }}，根据《土地利用现状分类》(GB/T21010-2017，2017年11月01日)和估价目的，本次评估设定土地用途为{{ land_usage }}。</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31B7B57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3.土地使用权类型</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设定</w:t>
      </w:r>
    </w:p>
    <w:p w14:paraId="1A331AA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至估价期日止，估价对象原登记或现状权利类型为{{ registered_right_type }}，结合本次估价目的，本次评估设定土地使用权类型为{{ right_type }}。</w:t>
      </w:r>
    </w:p>
    <w:p w14:paraId="2FB19EA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4.土地使用年期的设定</w:t>
      </w:r>
    </w:p>
    <w:p w14:paraId="5987A8B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根据《中华人民共和国城镇国有土地使用权出让和转让暂行条例》（1990年5月19日国务院令第55号）规定，并结合《评估委托书》约定和估价目的，估价对象土地使用权出让年限为{{ land_use_term }}，此次评估设定土地使用权年限为{{ land_use_term }}。</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6AC576E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5.土地开发程度的设定</w:t>
      </w:r>
    </w:p>
    <w:p w14:paraId="2375872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color w:val="000000"/>
          <w:sz w:val="28"/>
        </w:rPr>
        <w:t>根据土地估价师实地勘查，估价对象于估价期日{{ valuation_date }}实际开发程度为{{ land_development_actual }}。结合估价目的及实际情况，本次评估设定土地开发程度为{{ land_development_set }}。</w:t>
      </w:r>
    </w:p>
    <w:p w14:paraId="4BACEB6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6.用地利用条件的设定</w:t>
      </w:r>
    </w:p>
    <w:p w14:paraId="222F81E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根据实地勘查和《关于国有建设用地的规划条件的函》（2025年9月11日），估价对象规划建筑密度{{ building_density_min }}-{{ building_density_max }}，容积率{{ plot_ratio_display }}，绿地率{{ greening_rate }}，建筑限高{{ building_height_limit }}。根据土地最有效利用原则，本次评估设定容积率为{{ plot_ratio }}。</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0C2DE8B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7.价格类型的设定</w:t>
      </w:r>
    </w:p>
    <w:p w14:paraId="2FE76CB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委托方提供的资料及估价人员调查所获取的资料，估价对象为拟出让国有建设用地使用权，未设立抵押权、租赁权、地役权、地上权等附加权利。本次评估设定估价对象为未设立抵押权、租赁权、地役权、地上权等附加权利下的国有建设用地使用权。</w:t>
      </w:r>
    </w:p>
    <w:p w14:paraId="337ACB1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sz w:val="28"/>
        </w:rPr>
        <w:t>综上所述，此次评估的地价内涵是指：估价对象在公开市场条件下，于估价期日{{ valuation_date }}，土地使用权面积{{ land_area }}平方米，土地用途设定为{{ land_usage }}，容积率设定为{{ plot_ratio }}，土地使用权类型设定为{{ right_type }}，出让年期为{{ land_use_term }}，土地开发程度设定为{{ land_development_set }}条件下的土地使用权市场价格。</w:t>
      </w:r>
    </w:p>
    <w:p w14:paraId="336FAC8E">
      <w:pPr>
        <w:keepNext w:val="0"/>
        <w:keepLines w:val="0"/>
        <w:pageBreakBefore w:val="0"/>
        <w:widowControl w:val="0"/>
        <w:numPr>
          <w:ilvl w:val="0"/>
          <w:numId w:val="0"/>
        </w:numPr>
        <w:kinsoku/>
        <w:wordWrap/>
        <w:overflowPunct/>
        <w:topLinePunct w:val="0"/>
        <w:autoSpaceDE/>
        <w:autoSpaceDN/>
        <w:bidi w:val="0"/>
        <w:spacing w:line="460" w:lineRule="exact"/>
        <w:ind w:firstLine="562" w:firstLineChars="200"/>
        <w:textAlignment w:val="auto"/>
        <w:outlineLvl w:val="9"/>
        <w:rPr>
          <w:rFonts w:hint="eastAsia" w:ascii="仿宋_GB2312" w:hAnsi="Times New Roman" w:eastAsia="仿宋_GB2312" w:cs="Times New Roman"/>
          <w:b/>
          <w:color w:val="000000" w:themeColor="text1"/>
          <w:kern w:val="2"/>
          <w:sz w:val="28"/>
          <w:szCs w:val="28"/>
          <w:highlight w:val="none"/>
          <w:lang w:val="en-US" w:eastAsia="zh-CN" w:bidi="ar-SA"/>
          <w14:textFill>
            <w14:solidFill>
              <w14:schemeClr w14:val="tx1"/>
            </w14:solidFill>
          </w14:textFill>
        </w:rPr>
      </w:pPr>
    </w:p>
    <w:p w14:paraId="15F1BAD4">
      <w:pPr>
        <w:rPr>
          <w:rFonts w:hint="eastAsia" w:ascii="仿宋_GB2312" w:hAnsi="Times New Roman" w:eastAsia="仿宋_GB2312" w:cs="Times New Roman"/>
          <w:b/>
          <w:color w:val="000000" w:themeColor="text1"/>
          <w:kern w:val="2"/>
          <w:sz w:val="28"/>
          <w:szCs w:val="28"/>
          <w:highlight w:val="none"/>
          <w:lang w:val="en-US" w:eastAsia="zh-CN" w:bidi="ar-SA"/>
          <w14:textFill>
            <w14:solidFill>
              <w14:schemeClr w14:val="tx1"/>
            </w14:solidFill>
          </w14:textFill>
        </w:rPr>
      </w:pPr>
      <w:r>
        <w:rPr>
          <w:rFonts w:hint="eastAsia" w:ascii="仿宋_GB2312" w:hAnsi="Times New Roman" w:eastAsia="仿宋_GB2312" w:cs="Times New Roman"/>
          <w:b/>
          <w:color w:val="000000" w:themeColor="text1"/>
          <w:kern w:val="2"/>
          <w:sz w:val="28"/>
          <w:szCs w:val="28"/>
          <w:highlight w:val="none"/>
          <w:lang w:val="en-US" w:eastAsia="zh-CN" w:bidi="ar-SA"/>
          <w14:textFill>
            <w14:solidFill>
              <w14:schemeClr w14:val="tx1"/>
            </w14:solidFill>
          </w14:textFill>
        </w:rPr>
        <w:br w:type="page"/>
      </w:r>
    </w:p>
    <w:p w14:paraId="6B18444E">
      <w:pPr>
        <w:keepNext w:val="0"/>
        <w:keepLines w:val="0"/>
        <w:pageBreakBefore w:val="0"/>
        <w:widowControl w:val="0"/>
        <w:numPr>
          <w:ilvl w:val="0"/>
          <w:numId w:val="0"/>
        </w:numPr>
        <w:kinsoku/>
        <w:wordWrap/>
        <w:overflowPunct/>
        <w:topLinePunct w:val="0"/>
        <w:autoSpaceDE/>
        <w:autoSpaceDN/>
        <w:bidi w:val="0"/>
        <w:spacing w:line="480" w:lineRule="exact" w:before="0" w:after="0"/>
        <w:ind w:firstLine="562" w:firstLineChars="200"/>
        <w:textAlignment w:val="auto"/>
        <w:outlineLvl w:val="1"/>
        <w:rPr>
          <w:rFonts w:hint="eastAsia" w:ascii="仿宋_GB2312" w:eastAsia="仿宋_GB2312"/>
          <w:b/>
          <w:color w:val="000000" w:themeColor="text1"/>
          <w:sz w:val="28"/>
          <w:szCs w:val="28"/>
          <w:highlight w:val="none"/>
          <w14:textFill>
            <w14:solidFill>
              <w14:schemeClr w14:val="tx1"/>
            </w14:solidFill>
          </w14:textFill>
        </w:rPr>
      </w:pPr>
      <w:r>
        <w:rPr>
          <w:rFonts w:hint="eastAsia" w:ascii="宋体" w:hAnsi="宋体" w:eastAsia="宋体" w:cs="宋体"/>
          <w:b/>
          <w:color w:val="000000" w:themeColor="text1"/>
          <w:kern w:val="2"/>
          <w:sz w:val="28"/>
          <w:szCs w:val="28"/>
          <w:highlight w:val="none"/>
          <w:lang w:val="en-US" w:eastAsia="zh-CN" w:bidi="ar-SA"/>
          <w14:textFill>
            <w14:solidFill>
              <w14:schemeClr w14:val="tx1"/>
            </w14:solidFill>
          </w14:textFill>
        </w:rPr>
        <w:t>七、</w:t>
      </w:r>
      <w:r>
        <w:rPr>
          <w:rFonts w:hint="eastAsia" w:ascii="宋体" w:eastAsia="宋体" w:hAnsi="宋体" w:cs="宋体"/>
          <w:b/>
          <w:color w:val="000000" w:themeColor="text1"/>
          <w:sz w:val="28"/>
          <w:szCs w:val="28"/>
          <w:highlight w:val="none"/>
          <w14:textFill>
            <w14:solidFill>
              <w14:schemeClr w14:val="tx1"/>
            </w14:solidFill>
          </w14:textFill>
        </w:rPr>
        <w:t>估价结果</w:t>
      </w:r>
    </w:p>
    <w:p w14:paraId="354B2AD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eastAsia="zh-CN"/>
          <w14:textFill>
            <w14:solidFill>
              <w14:schemeClr w14:val="tx1"/>
            </w14:solidFill>
          </w14:textFill>
        </w:rPr>
        <w:t>（</w:t>
      </w: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一</w:t>
      </w:r>
      <w:r>
        <w:rPr>
          <w:rFonts w:hint="eastAsia" w:ascii="宋体" w:hAnsi="宋体" w:eastAsia="宋体" w:cs="宋体"/>
          <w:b/>
          <w:bCs/>
          <w:color w:val="000000" w:themeColor="text1"/>
          <w:sz w:val="28"/>
          <w:szCs w:val="28"/>
          <w:highlight w:val="none"/>
          <w:lang w:eastAsia="zh-CN"/>
          <w14:textFill>
            <w14:solidFill>
              <w14:schemeClr w14:val="tx1"/>
            </w14:solidFill>
          </w14:textFill>
        </w:rPr>
        <w:t>）</w:t>
      </w: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估价结论</w:t>
      </w:r>
    </w:p>
    <w:p>
      <w:pPr>
        <w:spacing w:before="0" w:after="0" w:line="480" w:lineRule="exact"/>
        <w:ind w:left="561" w:firstLine="0"/>
      </w:pPr>
      <w:r>
        <w:rPr>
          <w:rFonts w:ascii="仿宋_GB2312" w:hAnsi="仿宋_GB2312" w:eastAsia="仿宋_GB2312" w:cs="仿宋_GB2312"/>
          <w:sz w:val="28"/>
        </w:rPr>
        <w:t>{{ valuation_result_statement }}</w:t>
      </w:r>
    </w:p>
    <w:p w14:paraId="5E5DA2E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宋体" w:hAnsi="宋体" w:eastAsia="宋体" w:cs="宋体"/>
          <w:b/>
          <w:bCs/>
          <w:color w:val="000000" w:themeColor="text1"/>
          <w:sz w:val="28"/>
          <w:szCs w:val="28"/>
          <w:highlight w:val="none"/>
          <w:lang w:eastAsia="zh-CN"/>
          <w14:textFill>
            <w14:solidFill>
              <w14:schemeClr w14:val="tx1"/>
            </w14:solidFill>
          </w14:textFill>
        </w:rPr>
        <w:t>（二）出让底价建议</w:t>
      </w:r>
    </w:p>
    <w:p w14:paraId="56C99E7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 county_name }}土地市场情况及有关法律法规和政策规定，该地区土地出让底价由选定的估价机构的估价结果水平及具体宗地的实际情况综合确定。建议估价对象出让底价与本次估价结果相一致，具体由出让方根据出让土地的实际情况综合确定。</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0283DC6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建议出让地价的理由：1.评估操作过程技术合理，本次评估技术操作方面严格参照《城镇土地估价规程》(GB／T18508-2014)及《关于印发&lt;国有建设用地使用权出让地价评估技术规范&gt;的通知》（国土资厅发〔2018〕4号，2018年3月9日）要求，采用</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成本逼近</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市场比较法分别进行测算，取</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成本逼近法和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市场比较法估价结果</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的简单算术平均值作</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为最终结果。</w:t>
      </w:r>
    </w:p>
    <w:p w14:paraId="7FF80E8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评估操作过程技术合理，本次评估技术操作方面严格参照《城镇土地估价规程》(GB／T18508-2014)及《关于印发&lt;国有建设用地使用权出让地价评估技术规范&gt;的通知》（国土资厅发〔2018〕4号，2018年3月9日）要求，本次评估采用成本逼近法和市场比较法分别进行测算，</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取</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成本逼近</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市场比较法估价结果</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的简单算数平均数作</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为最终结果。</w:t>
      </w:r>
    </w:p>
    <w:p w14:paraId="38E2EB9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t>2.通过湖南省国土资源网上交易系统、中国土地交易市场网查询，{{ county_name }}近期通过“招拍挂”途径出让的估价对象周边土地单位面积地价与估价结果较为接近，估价结果符合该区域规划发展的趋势。</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5B77391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依据财政部、自然资源部、中国人民银行《关于加强土地成交价款管理规范资金缴库行为的通知》（财综[2009]89号，2009年12月31日），与土地出让有关的评估费、交易服务费等经营服务性成本费用应纳入土地出让底价。前述建议底价未包含契税、评估费及交易服务费等价外税费及经营服务性费用。</w:t>
      </w:r>
    </w:p>
    <w:p w14:paraId="56E24D36">
      <w:pPr>
        <w:rPr>
          <w:rFonts w:hint="eastAsia" w:ascii="仿宋_GB2312" w:hAnsi="仿宋_GB2312" w:eastAsia="仿宋_GB2312" w:cs="仿宋_GB2312"/>
          <w:b/>
          <w:color w:val="000000" w:themeColor="text1"/>
          <w:sz w:val="28"/>
          <w:szCs w:val="28"/>
          <w:highlight w:val="none"/>
          <w14:textFill>
            <w14:solidFill>
              <w14:schemeClr w14:val="tx1"/>
            </w14:solidFill>
          </w14:textFill>
        </w:rPr>
      </w:pPr>
      <w:r>
        <w:rPr>
          <w:rFonts w:hint="eastAsia" w:ascii="仿宋_GB2312" w:hAnsi="仿宋_GB2312" w:eastAsia="仿宋_GB2312" w:cs="仿宋_GB2312"/>
          <w:b/>
          <w:color w:val="000000" w:themeColor="text1"/>
          <w:sz w:val="28"/>
          <w:szCs w:val="28"/>
          <w:highlight w:val="none"/>
          <w14:textFill>
            <w14:solidFill>
              <w14:schemeClr w14:val="tx1"/>
            </w14:solidFill>
          </w14:textFill>
        </w:rPr>
        <w:br w:type="page"/>
      </w:r>
    </w:p>
    <w:p w14:paraId="07E2B988">
      <w:pPr>
        <w:spacing w:before="0" w:beforeLines="-2147483648" w:line="480" w:lineRule="exact" w:after="0"/>
        <w:ind w:firstLine="562" w:firstLineChars="200"/>
        <w:outlineLvl w:val="9"/>
        <w:rPr>
          <w:rFonts w:ascii="仿宋_GB2312" w:eastAsia="仿宋_GB2312"/>
          <w:b/>
          <w:color w:val="000000" w:themeColor="text1"/>
          <w:szCs w:val="28"/>
          <w:highlight w:val="none"/>
          <w14:textFill>
            <w14:solidFill>
              <w14:schemeClr w14:val="tx1"/>
            </w14:solidFill>
          </w14:textFill>
        </w:rPr>
      </w:pPr>
      <w:r>
        <w:rPr>
          <w:rFonts w:hint="eastAsia" w:ascii="宋体" w:hAnsi="宋体" w:eastAsia="宋体" w:cs="宋体"/>
          <w:b/>
          <w:color w:val="000000" w:themeColor="text1"/>
          <w:sz w:val="28"/>
          <w:szCs w:val="28"/>
          <w:highlight w:val="none"/>
          <w14:textFill>
            <w14:solidFill>
              <w14:schemeClr w14:val="tx1"/>
            </w14:solidFill>
          </w14:textFill>
        </w:rPr>
        <w:t>八、土地估价师签字</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98"/>
        <w:gridCol w:w="2925"/>
        <w:gridCol w:w="2799"/>
      </w:tblGrid>
      <w:tr w14:paraId="2CD78A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17" w:hRule="atLeast"/>
        </w:trPr>
        <w:tc>
          <w:tcPr>
            <w:tcW w:w="3093" w:type="dxa"/>
            <w:tcBorders>
              <w:tl2br w:val="nil"/>
              <w:tr2bl w:val="nil"/>
            </w:tcBorders>
            <w:vAlign w:val="center"/>
          </w:tcPr>
          <w:p w14:paraId="2DAC57FC">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估价师姓名</w:t>
            </w:r>
          </w:p>
        </w:tc>
        <w:tc>
          <w:tcPr>
            <w:tcW w:w="3093" w:type="dxa"/>
            <w:tcBorders>
              <w:tl2br w:val="nil"/>
              <w:tr2bl w:val="nil"/>
            </w:tcBorders>
            <w:vAlign w:val="center"/>
          </w:tcPr>
          <w:p w14:paraId="6B5234F6">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土地估价师资格证号</w:t>
            </w:r>
          </w:p>
        </w:tc>
        <w:tc>
          <w:tcPr>
            <w:tcW w:w="3093" w:type="dxa"/>
            <w:tcBorders>
              <w:tl2br w:val="nil"/>
              <w:tr2bl w:val="nil"/>
            </w:tcBorders>
            <w:vAlign w:val="center"/>
          </w:tcPr>
          <w:p w14:paraId="6E9C6687">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签    字</w:t>
            </w:r>
          </w:p>
        </w:tc>
      </w:tr>
      <w:tr w14:paraId="7D1239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20" w:hRule="atLeast"/>
        </w:trPr>
        <w:tc>
          <w:tcPr>
            <w:tcW w:w="3093" w:type="dxa"/>
            <w:tcBorders>
              <w:tl2br w:val="nil"/>
              <w:tr2bl w:val="nil"/>
            </w:tcBorders>
            <w:vAlign w:val="center"/>
          </w:tcPr>
          <w:p w14:paraId="7465A432">
            <w:pPr>
              <w:keepNext w:val="0"/>
              <w:keepLines w:val="0"/>
              <w:suppressLineNumbers w:val="0"/>
              <w:spacing w:before="120" w:beforeLines="50" w:beforeAutospacing="0" w:after="240" w:afterLines="100" w:afterAutospacing="0" w:line="440" w:lineRule="exact"/>
              <w:ind w:left="0" w:leftChars="0" w:right="0" w:rightChars="0"/>
              <w:jc w:val="cente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谢良元</w:t>
            </w:r>
          </w:p>
        </w:tc>
        <w:tc>
          <w:tcPr>
            <w:tcW w:w="3093" w:type="dxa"/>
            <w:tcBorders>
              <w:tl2br w:val="nil"/>
              <w:tr2bl w:val="nil"/>
            </w:tcBorders>
            <w:vAlign w:val="center"/>
          </w:tcPr>
          <w:p w14:paraId="5605A63A">
            <w:pPr>
              <w:keepNext w:val="0"/>
              <w:keepLines w:val="0"/>
              <w:suppressLineNumbers w:val="0"/>
              <w:spacing w:before="0" w:beforeAutospacing="0" w:after="0" w:afterAutospacing="0" w:line="460" w:lineRule="exact"/>
              <w:ind w:left="0" w:leftChars="0" w:right="0" w:rightChars="0" w:firstLine="0" w:firstLineChars="0"/>
              <w:jc w:val="center"/>
              <w:rPr>
                <w:rFonts w:hint="eastAsia" w:ascii="仿宋_GB2312" w:hAnsi="仿宋_GB2312" w:eastAsia="仿宋_GB2312" w:cs="仿宋_GB2312"/>
                <w:color w:val="000000" w:themeColor="text1"/>
                <w:sz w:val="28"/>
                <w:szCs w:val="1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2019430003</w:t>
            </w:r>
          </w:p>
        </w:tc>
        <w:tc>
          <w:tcPr>
            <w:tcW w:w="3093" w:type="dxa"/>
            <w:tcBorders>
              <w:tl2br w:val="nil"/>
              <w:tr2bl w:val="nil"/>
            </w:tcBorders>
          </w:tcPr>
          <w:p w14:paraId="4CB171A6">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p>
        </w:tc>
      </w:tr>
      <w:tr w14:paraId="094F07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66" w:hRule="atLeast"/>
        </w:trPr>
        <w:tc>
          <w:tcPr>
            <w:tcW w:w="3093" w:type="dxa"/>
            <w:tcBorders>
              <w:tl2br w:val="nil"/>
              <w:tr2bl w:val="nil"/>
            </w:tcBorders>
            <w:vAlign w:val="center"/>
          </w:tcPr>
          <w:p w14:paraId="548710EB">
            <w:pPr>
              <w:keepNext w:val="0"/>
              <w:keepLines w:val="0"/>
              <w:suppressLineNumbers w:val="0"/>
              <w:spacing w:before="120" w:beforeLines="50" w:beforeAutospacing="0" w:after="240" w:afterLines="100" w:afterAutospacing="0" w:line="440" w:lineRule="exact"/>
              <w:ind w:left="0" w:leftChars="0" w:right="0" w:rightChars="0"/>
              <w:jc w:val="center"/>
              <w:rPr>
                <w:rFonts w:hint="default" w:ascii="仿宋_GB2312" w:hAnsi="仿宋_GB2312" w:eastAsia="仿宋_GB2312" w:cs="仿宋_GB2312"/>
                <w:color w:val="000000" w:themeColor="text1"/>
                <w:sz w:val="28"/>
                <w:szCs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彭翀</w:t>
            </w:r>
          </w:p>
        </w:tc>
        <w:tc>
          <w:tcPr>
            <w:tcW w:w="3093" w:type="dxa"/>
            <w:tcBorders>
              <w:tl2br w:val="nil"/>
              <w:tr2bl w:val="nil"/>
            </w:tcBorders>
            <w:vAlign w:val="center"/>
          </w:tcPr>
          <w:p w14:paraId="4B7C996E">
            <w:pPr>
              <w:keepNext w:val="0"/>
              <w:keepLines w:val="0"/>
              <w:suppressLineNumbers w:val="0"/>
              <w:spacing w:before="0" w:beforeAutospacing="0" w:after="0" w:afterAutospacing="0" w:line="480" w:lineRule="exact"/>
              <w:ind w:left="0" w:leftChars="0" w:right="0" w:rightChars="0" w:firstLine="0" w:firstLineChars="0"/>
              <w:jc w:val="center"/>
              <w:rPr>
                <w:rFonts w:hint="eastAsia" w:ascii="仿宋_GB2312" w:hAnsi="仿宋_GB2312" w:eastAsia="仿宋_GB2312" w:cs="仿宋_GB2312"/>
                <w:color w:val="000000" w:themeColor="text1"/>
                <w:sz w:val="28"/>
                <w:szCs w:val="1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2004450008</w:t>
            </w:r>
          </w:p>
        </w:tc>
        <w:tc>
          <w:tcPr>
            <w:tcW w:w="3093" w:type="dxa"/>
            <w:tcBorders>
              <w:tl2br w:val="nil"/>
              <w:tr2bl w:val="nil"/>
            </w:tcBorders>
          </w:tcPr>
          <w:p w14:paraId="0C56E8FF">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p>
        </w:tc>
      </w:tr>
    </w:tbl>
    <w:p w14:paraId="5AAFD7C0">
      <w:pPr>
        <w:spacing w:line="480" w:lineRule="exact" w:before="0" w:after="0"/>
        <w:ind w:firstLine="562" w:firstLineChars="200"/>
        <w:outlineLvl w:val="1"/>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九、土地估价机构</w:t>
      </w:r>
    </w:p>
    <w:p w14:paraId="53022D82">
      <w:pPr>
        <w:tabs>
          <w:tab w:val="left" w:pos="3780"/>
        </w:tabs>
        <w:spacing w:before="0" w:beforeLines="100" w:line="480" w:lineRule="exact" w:after="0"/>
        <w:jc w:val="left"/>
        <w:rPr>
          <w:rFonts w:ascii="仿宋_GB2312" w:eastAsia="仿宋_GB2312"/>
          <w:color w:val="000000" w:themeColor="text1"/>
          <w:sz w:val="28"/>
          <w:highlight w:val="none"/>
          <w14:textFill>
            <w14:solidFill>
              <w14:schemeClr w14:val="tx1"/>
            </w14:solidFill>
          </w14:textFill>
        </w:rPr>
      </w:pPr>
      <w:r>
        <w:rPr>
          <w:rFonts w:hint="eastAsia" w:ascii="仿宋_GB2312" w:eastAsia="仿宋_GB2312" w:hAnsi="仿宋_GB2312" w:cs="仿宋_GB2312"/>
          <w:color w:val="000000" w:themeColor="text1"/>
          <w:sz w:val="28"/>
          <w:highlight w:val="none"/>
          <w14:textFill>
            <w14:solidFill>
              <w14:schemeClr w14:val="tx1"/>
            </w14:solidFill>
          </w14:textFill>
        </w:rPr>
        <w:t xml:space="preserve">   估价机构法定代表人签字：</w:t>
      </w:r>
    </w:p>
    <w:p w14:paraId="50444B32">
      <w:pPr>
        <w:keepNext w:val="0"/>
        <w:keepLines w:val="0"/>
        <w:pageBreakBefore w:val="0"/>
        <w:widowControl w:val="0"/>
        <w:kinsoku/>
        <w:wordWrap/>
        <w:overflowPunct/>
        <w:topLinePunct w:val="0"/>
        <w:autoSpaceDE/>
        <w:autoSpaceDN/>
        <w:bidi w:val="0"/>
        <w:spacing w:line="480" w:lineRule="exact"/>
        <w:ind w:right="140"/>
        <w:jc w:val="right"/>
        <w:textAlignment w:val="auto"/>
        <w:rPr>
          <w:rFonts w:ascii="仿宋_GB2312" w:eastAsia="仿宋_GB2312"/>
          <w:color w:val="000000" w:themeColor="text1"/>
          <w:sz w:val="28"/>
          <w:highlight w:val="none"/>
          <w14:textFill>
            <w14:solidFill>
              <w14:schemeClr w14:val="tx1"/>
            </w14:solidFill>
          </w14:textFill>
        </w:rPr>
      </w:pPr>
    </w:p>
    <w:p w14:paraId="0EE88D38">
      <w:pPr>
        <w:keepNext w:val="0"/>
        <w:keepLines w:val="0"/>
        <w:pageBreakBefore w:val="0"/>
        <w:widowControl w:val="0"/>
        <w:kinsoku/>
        <w:wordWrap/>
        <w:overflowPunct/>
        <w:topLinePunct w:val="0"/>
        <w:autoSpaceDE/>
        <w:autoSpaceDN/>
        <w:bidi w:val="0"/>
        <w:spacing w:line="480" w:lineRule="exact"/>
        <w:ind w:right="140"/>
        <w:jc w:val="right"/>
        <w:textAlignment w:val="auto"/>
        <w:rPr>
          <w:rFonts w:ascii="仿宋_GB2312" w:eastAsia="仿宋_GB2312"/>
          <w:color w:val="000000" w:themeColor="text1"/>
          <w:sz w:val="28"/>
          <w:highlight w:val="none"/>
          <w14:textFill>
            <w14:solidFill>
              <w14:schemeClr w14:val="tx1"/>
            </w14:solidFill>
          </w14:textFill>
        </w:rPr>
      </w:pPr>
    </w:p>
    <w:p w14:paraId="40DD68A0">
      <w:pPr>
        <w:keepNext w:val="0"/>
        <w:keepLines w:val="0"/>
        <w:pageBreakBefore w:val="0"/>
        <w:widowControl w:val="0"/>
        <w:kinsoku/>
        <w:wordWrap/>
        <w:overflowPunct/>
        <w:topLinePunct w:val="0"/>
        <w:autoSpaceDE/>
        <w:autoSpaceDN/>
        <w:bidi w:val="0"/>
        <w:spacing w:line="480" w:lineRule="exact" w:before="0" w:after="0"/>
        <w:ind w:right="140"/>
        <w:jc w:val="right"/>
        <w:textAlignment w:val="auto"/>
        <w:outlineLvl w:val="9"/>
        <w:rPr>
          <w:rFonts w:ascii="仿宋_GB2312" w:eastAsia="仿宋_GB2312"/>
          <w:color w:val="000000" w:themeColor="text1"/>
          <w:sz w:val="28"/>
          <w:highlight w:val="none"/>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 appraisal_org }}</w:t>
      </w:r>
    </w:p>
    <w:p w14:paraId="1B0F9F6C">
      <w:pPr>
        <w:pStyle w:val="13"/>
        <w:keepNext w:val="0"/>
        <w:keepLines w:val="0"/>
        <w:pageBreakBefore w:val="0"/>
        <w:widowControl w:val="0"/>
        <w:kinsoku/>
        <w:wordWrap/>
        <w:overflowPunct/>
        <w:topLinePunct w:val="0"/>
        <w:autoSpaceDE/>
        <w:autoSpaceDN/>
        <w:bidi w:val="0"/>
        <w:spacing w:line="480" w:lineRule="exact" w:before="0" w:after="0"/>
        <w:ind w:firstLine="560"/>
        <w:textAlignment w:val="auto"/>
        <w:rPr>
          <w:rFonts w:hint="eastAsia" w:eastAsia="仿宋_GB2312"/>
          <w:color w:val="000000" w:themeColor="text1"/>
          <w:highlight w:val="none"/>
          <w:lang w:eastAsia="zh-CN"/>
          <w14:textFill>
            <w14:solidFill>
              <w14:schemeClr w14:val="tx1"/>
            </w14:solidFill>
          </w14:textFill>
        </w:rPr>
        <w:sectPr>
          <w:headerReference r:id="rId9" w:type="first"/>
          <w:footerReference r:id="rId10" w:type="first"/>
          <w:endnotePr>
            <w:numFmt w:val="decimal"/>
          </w:endnotePr>
          <w:pgSz w:w="11906" w:h="16838"/>
          <w:pgMar w:top="1440" w:right="1800" w:bottom="1440" w:left="1800" w:header="851" w:footer="992" w:gutter="0"/>
          <w:pgNumType w:fmt="decimal" w:start="1"/>
          <w:cols w:space="720" w:num="1"/>
          <w:titlePg/>
          <w:docGrid w:linePitch="312" w:charSpace="0"/>
        </w:sectPr>
      </w:pPr>
      <w:r>
        <w:rPr>
          <w:rFonts w:ascii="仿宋_GB2312" w:hAnsi="仿宋_GB2312" w:eastAsia="仿宋_GB2312" w:cs="仿宋_GB2312"/>
          <w:color w:val="000000"/>
          <w:sz w:val="28"/>
        </w:rPr>
        <w:t xml:space="preserve">                              {{ report_date }}</w:t>
      </w:r>
    </w:p>
    <w:p w14:paraId="11A4184C">
      <w:pPr>
        <w:keepNext w:val="0"/>
        <w:keepLines w:val="0"/>
        <w:pageBreakBefore w:val="0"/>
        <w:widowControl w:val="0"/>
        <w:kinsoku/>
        <w:wordWrap/>
        <w:overflowPunct/>
        <w:topLinePunct w:val="0"/>
        <w:autoSpaceDE/>
        <w:autoSpaceDN/>
        <w:bidi w:val="0"/>
        <w:adjustRightInd/>
        <w:snapToGrid/>
        <w:spacing w:line="200" w:lineRule="exact"/>
        <w:ind w:left="0" w:hanging="537" w:hangingChars="192"/>
        <w:jc w:val="center"/>
        <w:textAlignment w:val="auto"/>
        <w:outlineLvl w:val="9"/>
        <w:rPr>
          <w:rFonts w:hint="eastAsia" w:ascii="仿宋_GB2312" w:eastAsia="仿宋_GB2312"/>
          <w:b/>
          <w:bCs/>
          <w:color w:val="000000" w:themeColor="text1"/>
          <w:sz w:val="28"/>
          <w:highlight w:val="none"/>
          <w14:textFill>
            <w14:solidFill>
              <w14:schemeClr w14:val="tx1"/>
            </w14:solidFill>
          </w14:textFill>
        </w:rPr>
      </w:pPr>
      <w:r>
        <w:rPr>
          <w:rFonts w:hint="eastAsia" w:ascii="仿宋_GB2312" w:eastAsia="仿宋_GB2312"/>
          <w:color w:val="000000" w:themeColor="text1"/>
          <w:sz w:val="28"/>
          <w:highlight w:val="none"/>
          <w14:textFill>
            <w14:solidFill>
              <w14:schemeClr w14:val="tx1"/>
            </w14:solidFill>
          </w14:textFill>
        </w:rPr>
        <w:t xml:space="preserve"> </w:t>
      </w:r>
      <w:r>
        <w:rPr>
          <w:rFonts w:hint="eastAsia" w:ascii="仿宋_GB2312" w:eastAsia="仿宋_GB2312"/>
          <w:b/>
          <w:bCs/>
          <w:color w:val="000000" w:themeColor="text1"/>
          <w:sz w:val="28"/>
          <w:highlight w:val="none"/>
          <w14:textFill>
            <w14:solidFill>
              <w14:schemeClr w14:val="tx1"/>
            </w14:solidFill>
          </w14:textFill>
        </w:rPr>
        <w:t xml:space="preserve"> </w:t>
      </w:r>
    </w:p>
    <w:p w14:paraId="0CF0DCC1">
      <w:pPr>
        <w:spacing w:line="480" w:lineRule="exact" w:before="0" w:after="0"/>
        <w:ind w:left="538" w:hanging="540" w:hangingChars="192"/>
        <w:jc w:val="center"/>
        <w:outlineLvl w:val="2"/>
        <w:rPr>
          <w:rFonts w:ascii="仿宋_GB2312" w:eastAsia="仿宋_GB2312"/>
          <w:b/>
          <w:bCs/>
          <w:color w:val="000000" w:themeColor="text1"/>
          <w:sz w:val="28"/>
          <w:highlight w:val="none"/>
          <w14:textFill>
            <w14:solidFill>
              <w14:schemeClr w14:val="tx1"/>
            </w14:solidFill>
          </w14:textFill>
        </w:rPr>
      </w:pPr>
      <w:r>
        <w:rPr>
          <w:rFonts w:hint="eastAsia" w:ascii="仿宋_GB2312" w:eastAsia="仿宋_GB2312" w:hAnsi="仿宋_GB2312" w:cs="仿宋_GB2312"/>
          <w:b/>
          <w:bCs/>
          <w:color w:val="000000" w:themeColor="text1"/>
          <w:sz w:val="28"/>
          <w:highlight w:val="none"/>
          <w14:textFill>
            <w14:solidFill>
              <w14:schemeClr w14:val="tx1"/>
            </w14:solidFill>
          </w14:textFill>
        </w:rPr>
        <w:t xml:space="preserve"> 土地估价结果一览表</w:t>
      </w:r>
    </w:p>
    <w:p w14:paraId="170F58C6">
      <w:pPr>
        <w:spacing w:line="480" w:lineRule="exact" w:before="0" w:after="0"/>
        <w:ind w:left="-2478" w:leftChars="-1180" w:right="-227" w:firstLine="2625" w:firstLineChars="1250"/>
        <w:rPr>
          <w:rFonts w:hint="eastAsia" w:ascii="仿宋_GB2312" w:hAnsi="仿宋_GB2312" w:eastAsia="仿宋_GB2312" w:cs="仿宋_GB2312"/>
          <w:color w:val="000000" w:themeColor="text1"/>
          <w:szCs w:val="21"/>
          <w:highlight w:val="none"/>
          <w:lang w:eastAsia="zh-CN"/>
          <w14:textFill>
            <w14:solidFill>
              <w14:schemeClr w14:val="tx1"/>
            </w14:solidFill>
          </w14:textFill>
        </w:rPr>
      </w:pPr>
      <w:r>
        <w:rPr>
          <w:rFonts w:ascii="仿宋_GB2312" w:hAnsi="仿宋_GB2312" w:eastAsia="仿宋_GB2312" w:cs="仿宋_GB2312"/>
          <w:sz w:val="28"/>
        </w:rPr>
        <w:t>估价机构：{{ appraisal_org }}                                                          估价期日：{{ valuation_date }}</w:t>
      </w:r>
    </w:p>
    <w:p w14:paraId="44C42AC6">
      <w:pPr>
        <w:spacing w:line="480" w:lineRule="exact" w:before="0" w:after="0"/>
        <w:ind w:right="-227" w:firstLine="105" w:firstLineChars="50"/>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t>估价报告编号：{{ report_no }}           估价目的：{{ transfer_purpose }}                    估价期日的土地使用权性质：{{ right_type }}</w:t>
      </w:r>
    </w:p>
    <w:tbl>
      <w:tblPr>
        <w:tblStyle w:val="9"/>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2"/>
        <w:gridCol w:w="975"/>
        <w:gridCol w:w="1127"/>
        <w:gridCol w:w="825"/>
        <w:gridCol w:w="809"/>
        <w:gridCol w:w="554"/>
        <w:gridCol w:w="607"/>
        <w:gridCol w:w="811"/>
        <w:gridCol w:w="466"/>
        <w:gridCol w:w="941"/>
        <w:gridCol w:w="1353"/>
        <w:gridCol w:w="1615"/>
        <w:gridCol w:w="840"/>
        <w:gridCol w:w="1007"/>
        <w:gridCol w:w="689"/>
        <w:gridCol w:w="724"/>
        <w:gridCol w:w="891"/>
        <w:gridCol w:w="683"/>
      </w:tblGrid>
      <w:tr w14:paraId="5C069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tblHeader/>
          <w:jc w:val="center"/>
        </w:trPr>
        <w:tc>
          <w:tcPr>
            <w:tcW w:w="260" w:type="pct"/>
            <w:vMerge w:val="restart"/>
            <w:vAlign w:val="center"/>
            <w:tcMar>
              <w:top w:w="35" w:type="dxa"/>
              <w:left w:w="35" w:type="dxa"/>
              <w:bottom w:w="35" w:type="dxa"/>
              <w:right w:w="35" w:type="dxa"/>
            </w:tcMar>
          </w:tcPr>
          <w:p w14:paraId="4DFF3B4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估价期日土地使用者</w:t>
            </w:r>
          </w:p>
        </w:tc>
        <w:tc>
          <w:tcPr>
            <w:tcW w:w="315" w:type="pct"/>
            <w:vMerge w:val="restart"/>
            <w:vAlign w:val="center"/>
            <w:tcMar>
              <w:top w:w="35" w:type="dxa"/>
              <w:left w:w="35" w:type="dxa"/>
              <w:bottom w:w="35" w:type="dxa"/>
              <w:right w:w="35" w:type="dxa"/>
            </w:tcMar>
          </w:tcPr>
          <w:p w14:paraId="1B4172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宗地</w:t>
            </w:r>
          </w:p>
          <w:p w14:paraId="5AE49D7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编号</w:t>
            </w:r>
          </w:p>
        </w:tc>
        <w:tc>
          <w:tcPr>
            <w:tcW w:w="363" w:type="pct"/>
            <w:vMerge w:val="restart"/>
            <w:vAlign w:val="center"/>
            <w:tcMar>
              <w:top w:w="35" w:type="dxa"/>
              <w:left w:w="35" w:type="dxa"/>
              <w:bottom w:w="35" w:type="dxa"/>
              <w:right w:w="35" w:type="dxa"/>
            </w:tcMar>
          </w:tcPr>
          <w:p w14:paraId="52AEE51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宗地名称</w:t>
            </w:r>
          </w:p>
        </w:tc>
        <w:tc>
          <w:tcPr>
            <w:tcW w:w="267" w:type="pct"/>
            <w:vMerge w:val="restart"/>
            <w:vAlign w:val="center"/>
            <w:tcMar>
              <w:top w:w="35" w:type="dxa"/>
              <w:left w:w="35" w:type="dxa"/>
              <w:bottom w:w="35" w:type="dxa"/>
              <w:right w:w="35" w:type="dxa"/>
            </w:tcMar>
          </w:tcPr>
          <w:p w14:paraId="561DE0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土地使用证编号</w:t>
            </w:r>
          </w:p>
        </w:tc>
        <w:tc>
          <w:tcPr>
            <w:tcW w:w="641" w:type="pct"/>
            <w:gridSpan w:val="3"/>
            <w:vAlign w:val="center"/>
            <w:tcMar>
              <w:top w:w="35" w:type="dxa"/>
              <w:left w:w="35" w:type="dxa"/>
              <w:bottom w:w="35" w:type="dxa"/>
              <w:right w:w="35" w:type="dxa"/>
            </w:tcMar>
          </w:tcPr>
          <w:p w14:paraId="0B8DB79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估价期日的用途</w:t>
            </w:r>
          </w:p>
        </w:tc>
        <w:tc>
          <w:tcPr>
            <w:tcW w:w="628" w:type="pct"/>
            <w:gridSpan w:val="3"/>
            <w:vAlign w:val="center"/>
            <w:tcMar>
              <w:top w:w="35" w:type="dxa"/>
              <w:left w:w="35" w:type="dxa"/>
              <w:bottom w:w="35" w:type="dxa"/>
              <w:right w:w="35" w:type="dxa"/>
            </w:tcMar>
          </w:tcPr>
          <w:p w14:paraId="6574021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容积率</w:t>
            </w:r>
          </w:p>
        </w:tc>
        <w:tc>
          <w:tcPr>
            <w:tcW w:w="435" w:type="pct"/>
            <w:vMerge w:val="restart"/>
            <w:vAlign w:val="center"/>
            <w:tcMar>
              <w:top w:w="35" w:type="dxa"/>
              <w:left w:w="35" w:type="dxa"/>
              <w:bottom w:w="35" w:type="dxa"/>
              <w:right w:w="35" w:type="dxa"/>
            </w:tcMar>
          </w:tcPr>
          <w:p w14:paraId="3E9CF40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估价期日实际土地开发程度</w:t>
            </w:r>
          </w:p>
        </w:tc>
        <w:tc>
          <w:tcPr>
            <w:tcW w:w="518" w:type="pct"/>
            <w:vMerge w:val="restart"/>
            <w:vAlign w:val="center"/>
            <w:tcMar>
              <w:top w:w="35" w:type="dxa"/>
              <w:left w:w="35" w:type="dxa"/>
              <w:bottom w:w="35" w:type="dxa"/>
              <w:right w:w="35" w:type="dxa"/>
            </w:tcMar>
          </w:tcPr>
          <w:p w14:paraId="609312F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估价设定土地开发程度</w:t>
            </w:r>
          </w:p>
        </w:tc>
        <w:tc>
          <w:tcPr>
            <w:tcW w:w="272" w:type="pct"/>
            <w:vMerge w:val="restart"/>
            <w:vAlign w:val="center"/>
            <w:tcMar>
              <w:top w:w="35" w:type="dxa"/>
              <w:left w:w="35" w:type="dxa"/>
              <w:bottom w:w="35" w:type="dxa"/>
              <w:right w:w="35" w:type="dxa"/>
            </w:tcMar>
          </w:tcPr>
          <w:p w14:paraId="45052E9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剩余土地使用权年期（年）</w:t>
            </w:r>
          </w:p>
        </w:tc>
        <w:tc>
          <w:tcPr>
            <w:tcW w:w="325" w:type="pct"/>
            <w:vMerge w:val="restart"/>
            <w:vAlign w:val="center"/>
            <w:tcMar>
              <w:top w:w="35" w:type="dxa"/>
              <w:left w:w="35" w:type="dxa"/>
              <w:bottom w:w="35" w:type="dxa"/>
              <w:right w:w="35" w:type="dxa"/>
            </w:tcMar>
          </w:tcPr>
          <w:p w14:paraId="7E5885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面积(㎡)</w:t>
            </w:r>
          </w:p>
        </w:tc>
        <w:tc>
          <w:tcPr>
            <w:tcW w:w="224" w:type="pct"/>
            <w:vMerge w:val="restart"/>
            <w:vAlign w:val="center"/>
            <w:tcMar>
              <w:top w:w="35" w:type="dxa"/>
              <w:left w:w="35" w:type="dxa"/>
              <w:bottom w:w="35" w:type="dxa"/>
              <w:right w:w="35" w:type="dxa"/>
            </w:tcMar>
          </w:tcPr>
          <w:p w14:paraId="3DF9AE6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地面地价(元/㎡)</w:t>
            </w:r>
          </w:p>
        </w:tc>
        <w:tc>
          <w:tcPr>
            <w:tcW w:w="235" w:type="pct"/>
            <w:vMerge w:val="restart"/>
            <w:vAlign w:val="center"/>
            <w:tcMar>
              <w:top w:w="35" w:type="dxa"/>
              <w:left w:w="35" w:type="dxa"/>
              <w:bottom w:w="35" w:type="dxa"/>
              <w:right w:w="35" w:type="dxa"/>
            </w:tcMar>
          </w:tcPr>
          <w:p w14:paraId="3CDEE84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楼面地价(元/㎡)</w:t>
            </w:r>
          </w:p>
        </w:tc>
        <w:tc>
          <w:tcPr>
            <w:tcW w:w="288" w:type="pct"/>
            <w:vMerge w:val="restart"/>
            <w:vAlign w:val="center"/>
            <w:tcMar>
              <w:top w:w="35" w:type="dxa"/>
              <w:left w:w="35" w:type="dxa"/>
              <w:bottom w:w="35" w:type="dxa"/>
              <w:right w:w="35" w:type="dxa"/>
            </w:tcMar>
          </w:tcPr>
          <w:p w14:paraId="2FA94CA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总价</w:t>
            </w:r>
          </w:p>
          <w:p w14:paraId="2673F6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(万元)</w:t>
            </w:r>
          </w:p>
        </w:tc>
        <w:tc>
          <w:tcPr>
            <w:tcW w:w="222" w:type="pct"/>
            <w:vMerge w:val="restart"/>
            <w:vAlign w:val="center"/>
            <w:tcMar>
              <w:top w:w="35" w:type="dxa"/>
              <w:left w:w="35" w:type="dxa"/>
              <w:bottom w:w="35" w:type="dxa"/>
              <w:right w:w="35" w:type="dxa"/>
            </w:tcMar>
          </w:tcPr>
          <w:p w14:paraId="033E873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备注</w:t>
            </w:r>
          </w:p>
        </w:tc>
      </w:tr>
      <w:tr w14:paraId="6CC7E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0" w:hRule="atLeast"/>
          <w:tblHeader/>
          <w:jc w:val="center"/>
        </w:trPr>
        <w:tc>
          <w:tcPr>
            <w:tcW w:w="260" w:type="pct"/>
            <w:vMerge w:val="continue"/>
            <w:vAlign w:val="center"/>
          </w:tcPr>
          <w:p w14:paraId="24FAB25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15" w:type="pct"/>
            <w:vMerge w:val="continue"/>
            <w:vAlign w:val="center"/>
          </w:tcPr>
          <w:p w14:paraId="0A4C36D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63" w:type="pct"/>
            <w:vMerge w:val="continue"/>
            <w:vAlign w:val="center"/>
          </w:tcPr>
          <w:p w14:paraId="05055C2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67" w:type="pct"/>
            <w:vMerge w:val="continue"/>
            <w:vAlign w:val="center"/>
          </w:tcPr>
          <w:p w14:paraId="0140DFE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62" w:type="pct"/>
            <w:vAlign w:val="center"/>
            <w:tcMar>
              <w:top w:w="35" w:type="dxa"/>
              <w:left w:w="35" w:type="dxa"/>
              <w:bottom w:w="35" w:type="dxa"/>
              <w:right w:w="35" w:type="dxa"/>
            </w:tcMar>
          </w:tcPr>
          <w:p w14:paraId="285EC9C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证载（或批准）</w:t>
            </w:r>
          </w:p>
        </w:tc>
        <w:tc>
          <w:tcPr>
            <w:tcW w:w="181" w:type="pct"/>
            <w:vAlign w:val="center"/>
            <w:tcMar>
              <w:top w:w="35" w:type="dxa"/>
              <w:left w:w="35" w:type="dxa"/>
              <w:bottom w:w="35" w:type="dxa"/>
              <w:right w:w="35" w:type="dxa"/>
            </w:tcMar>
          </w:tcPr>
          <w:p w14:paraId="0D225E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实际</w:t>
            </w:r>
          </w:p>
        </w:tc>
        <w:tc>
          <w:tcPr>
            <w:tcW w:w="197" w:type="pct"/>
            <w:vAlign w:val="center"/>
            <w:tcMar>
              <w:top w:w="35" w:type="dxa"/>
              <w:left w:w="35" w:type="dxa"/>
              <w:bottom w:w="35" w:type="dxa"/>
              <w:right w:w="35" w:type="dxa"/>
            </w:tcMar>
          </w:tcPr>
          <w:p w14:paraId="4F974C3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设定</w:t>
            </w:r>
          </w:p>
        </w:tc>
        <w:tc>
          <w:tcPr>
            <w:tcW w:w="171" w:type="pct"/>
            <w:vAlign w:val="center"/>
            <w:tcMar>
              <w:top w:w="35" w:type="dxa"/>
              <w:left w:w="35" w:type="dxa"/>
              <w:bottom w:w="35" w:type="dxa"/>
              <w:right w:w="35" w:type="dxa"/>
            </w:tcMar>
          </w:tcPr>
          <w:p w14:paraId="2E6AEBF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规划</w:t>
            </w:r>
          </w:p>
        </w:tc>
        <w:tc>
          <w:tcPr>
            <w:tcW w:w="153" w:type="pct"/>
            <w:vAlign w:val="center"/>
            <w:tcMar>
              <w:top w:w="35" w:type="dxa"/>
              <w:left w:w="35" w:type="dxa"/>
              <w:bottom w:w="35" w:type="dxa"/>
              <w:right w:w="35" w:type="dxa"/>
            </w:tcMar>
          </w:tcPr>
          <w:p w14:paraId="4961F4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实际</w:t>
            </w:r>
          </w:p>
        </w:tc>
        <w:tc>
          <w:tcPr>
            <w:tcW w:w="303" w:type="pct"/>
            <w:vAlign w:val="center"/>
            <w:tcMar>
              <w:top w:w="35" w:type="dxa"/>
              <w:left w:w="35" w:type="dxa"/>
              <w:bottom w:w="35" w:type="dxa"/>
              <w:right w:w="35" w:type="dxa"/>
            </w:tcMar>
          </w:tcPr>
          <w:p w14:paraId="3A47FA3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设定</w:t>
            </w:r>
          </w:p>
        </w:tc>
        <w:tc>
          <w:tcPr>
            <w:tcW w:w="435" w:type="pct"/>
            <w:vMerge w:val="continue"/>
            <w:vAlign w:val="center"/>
          </w:tcPr>
          <w:p w14:paraId="10C4B65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518" w:type="pct"/>
            <w:vMerge w:val="continue"/>
            <w:vAlign w:val="center"/>
          </w:tcPr>
          <w:p w14:paraId="6092D3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72" w:type="pct"/>
            <w:vMerge w:val="continue"/>
            <w:vAlign w:val="center"/>
          </w:tcPr>
          <w:p w14:paraId="05E18C2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25" w:type="pct"/>
            <w:vMerge w:val="continue"/>
            <w:vAlign w:val="center"/>
          </w:tcPr>
          <w:p w14:paraId="7B2B2A8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24" w:type="pct"/>
            <w:vMerge w:val="continue"/>
            <w:vAlign w:val="center"/>
          </w:tcPr>
          <w:p w14:paraId="2FDEA45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35" w:type="pct"/>
            <w:vMerge w:val="continue"/>
            <w:vAlign w:val="center"/>
          </w:tcPr>
          <w:p w14:paraId="29F8A15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88" w:type="pct"/>
            <w:vMerge w:val="continue"/>
            <w:vAlign w:val="center"/>
          </w:tcPr>
          <w:p w14:paraId="58823D0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22" w:type="pct"/>
            <w:vMerge w:val="continue"/>
            <w:vAlign w:val="center"/>
          </w:tcPr>
          <w:p w14:paraId="7BAF88C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r>
      <w:tr w14:paraId="3CD81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atLeast"/>
          <w:jc w:val="center"/>
        </w:trPr>
        <w:tc>
          <w:tcPr>
            <w:tcW w:w="260" w:type="pct"/>
            <w:vAlign w:val="center"/>
            <w:tcMar>
              <w:top w:w="35" w:type="dxa"/>
              <w:left w:w="35" w:type="dxa"/>
              <w:bottom w:w="35" w:type="dxa"/>
              <w:right w:w="35" w:type="dxa"/>
            </w:tcMar>
          </w:tcPr>
          <w:p w14:paraId="683A539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 land_user }}</w:t>
            </w:r>
          </w:p>
        </w:tc>
        <w:tc>
          <w:tcPr>
            <w:tcW w:w="315" w:type="pct"/>
            <w:vAlign w:val="center"/>
            <w:tcMar>
              <w:top w:w="35" w:type="dxa"/>
              <w:left w:w="35" w:type="dxa"/>
              <w:bottom w:w="35" w:type="dxa"/>
              <w:right w:w="35" w:type="dxa"/>
            </w:tcMar>
          </w:tcPr>
          <w:p w14:paraId="75AC025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
              <w:rPr>
                <w:rFonts w:ascii="仿宋_GB2312" w:hAnsi="仿宋_GB2312" w:eastAsia="仿宋_GB2312" w:cs="仿宋_GB2312"/>
                <w:color w:val="000000"/>
                <w:sz w:val="16"/>
              </w:rPr>
              <w:t>{{ land_plot_number }}</w:t>
            </w:r>
          </w:p>
        </w:tc>
        <w:tc>
          <w:tcPr>
            <w:tcW w:w="363" w:type="pct"/>
            <w:vAlign w:val="center"/>
            <w:tcMar>
              <w:top w:w="35" w:type="dxa"/>
              <w:left w:w="35" w:type="dxa"/>
              <w:bottom w:w="35" w:type="dxa"/>
              <w:right w:w="35" w:type="dxa"/>
            </w:tcMar>
          </w:tcPr>
          <w:p w14:paraId="0A0D7F9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
              <w:rPr>
                <w:rFonts w:ascii="仿宋_GB2312" w:hAnsi="仿宋_GB2312" w:eastAsia="仿宋_GB2312" w:cs="仿宋_GB2312"/>
                <w:color w:val="000000"/>
                <w:sz w:val="16"/>
              </w:rPr>
              <w:t>{{ land_location }}{{ land_plot_number }}</w:t>
            </w:r>
          </w:p>
        </w:tc>
        <w:tc>
          <w:tcPr>
            <w:tcW w:w="267" w:type="pct"/>
            <w:vAlign w:val="center"/>
            <w:tcMar>
              <w:top w:w="35" w:type="dxa"/>
              <w:left w:w="35" w:type="dxa"/>
              <w:bottom w:w="35" w:type="dxa"/>
              <w:right w:w="35" w:type="dxa"/>
            </w:tcMar>
          </w:tcPr>
          <w:p w14:paraId="695D09F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待办</w:t>
            </w:r>
          </w:p>
        </w:tc>
        <w:tc>
          <w:tcPr>
            <w:tcW w:w="262" w:type="pct"/>
            <w:vAlign w:val="center"/>
            <w:tcMar>
              <w:top w:w="35" w:type="dxa"/>
              <w:left w:w="35" w:type="dxa"/>
              <w:bottom w:w="35" w:type="dxa"/>
              <w:right w:w="35" w:type="dxa"/>
            </w:tcMar>
          </w:tcPr>
          <w:p w14:paraId="1780128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land_usage_short }}</w:t>
            </w:r>
          </w:p>
        </w:tc>
        <w:tc>
          <w:tcPr>
            <w:tcW w:w="181" w:type="pct"/>
            <w:vAlign w:val="center"/>
            <w:tcMar>
              <w:top w:w="35" w:type="dxa"/>
              <w:left w:w="35" w:type="dxa"/>
              <w:bottom w:w="35" w:type="dxa"/>
              <w:right w:w="35" w:type="dxa"/>
            </w:tcMar>
          </w:tcPr>
          <w:p w14:paraId="5C5964B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w:t>
            </w:r>
          </w:p>
        </w:tc>
        <w:tc>
          <w:tcPr>
            <w:tcW w:w="197" w:type="pct"/>
            <w:vAlign w:val="center"/>
            <w:tcMar>
              <w:top w:w="35" w:type="dxa"/>
              <w:left w:w="35" w:type="dxa"/>
              <w:bottom w:w="35" w:type="dxa"/>
              <w:right w:w="35" w:type="dxa"/>
            </w:tcMar>
          </w:tcPr>
          <w:p w14:paraId="3B503D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land_usage_short }}</w:t>
            </w:r>
          </w:p>
        </w:tc>
        <w:tc>
          <w:tcPr>
            <w:tcW w:w="171" w:type="pct"/>
            <w:vAlign w:val="center"/>
            <w:tcMar>
              <w:top w:w="35" w:type="dxa"/>
              <w:left w:w="35" w:type="dxa"/>
              <w:bottom w:w="35" w:type="dxa"/>
              <w:right w:w="35" w:type="dxa"/>
            </w:tcMar>
          </w:tcPr>
          <w:p w14:paraId="7695DB1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plot_ratio_display }}</w:t>
            </w:r>
          </w:p>
        </w:tc>
        <w:tc>
          <w:tcPr>
            <w:tcW w:w="153" w:type="pct"/>
            <w:vAlign w:val="center"/>
            <w:tcMar>
              <w:top w:w="35" w:type="dxa"/>
              <w:left w:w="35" w:type="dxa"/>
              <w:bottom w:w="35" w:type="dxa"/>
              <w:right w:w="35" w:type="dxa"/>
            </w:tcMar>
          </w:tcPr>
          <w:p w14:paraId="46C1A9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w:t>
            </w:r>
          </w:p>
        </w:tc>
        <w:tc>
          <w:tcPr>
            <w:tcW w:w="303" w:type="pct"/>
            <w:vAlign w:val="center"/>
            <w:tcMar>
              <w:top w:w="35" w:type="dxa"/>
              <w:left w:w="35" w:type="dxa"/>
              <w:bottom w:w="35" w:type="dxa"/>
              <w:right w:w="35" w:type="dxa"/>
            </w:tcMar>
          </w:tcPr>
          <w:p w14:paraId="35A8B91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plot_ratio }}</w:t>
            </w:r>
          </w:p>
        </w:tc>
        <w:tc>
          <w:tcPr>
            <w:tcW w:w="435" w:type="pct"/>
            <w:vAlign w:val="center"/>
            <w:tcMar>
              <w:top w:w="35" w:type="dxa"/>
              <w:left w:w="35" w:type="dxa"/>
              <w:bottom w:w="35" w:type="dxa"/>
              <w:right w:w="35" w:type="dxa"/>
            </w:tcMar>
          </w:tcPr>
          <w:p w14:paraId="0DF97B1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 land_development_actual }}</w:t>
            </w: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r>
            <w:r>
              <w:rPr>
                <w:rFonts w:hint="eastAsia" w:ascii="宋体" w:hAnsi="宋体" w:eastAsia="宋体" w:cs="宋体"/>
                <w:color w:val="000000" w:themeColor="text1"/>
                <w:spacing w:val="-20"/>
                <w:sz w:val="16"/>
                <w:szCs w:val="21"/>
                <w:highlight w:val="none"/>
                <w:lang w:eastAsia="zh-CN"/>
                <w14:textFill>
                  <w14:solidFill>
                    <w14:schemeClr w14:val="tx1"/>
                  </w14:solidFill>
                </w14:textFill>
              </w:rPr>
            </w:r>
          </w:p>
        </w:tc>
        <w:tc>
          <w:tcPr>
            <w:tcW w:w="518" w:type="pct"/>
            <w:vAlign w:val="center"/>
            <w:tcMar>
              <w:top w:w="35" w:type="dxa"/>
              <w:left w:w="35" w:type="dxa"/>
              <w:bottom w:w="35" w:type="dxa"/>
              <w:right w:w="35" w:type="dxa"/>
            </w:tcMar>
          </w:tcPr>
          <w:p w14:paraId="44D122F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 land_development_set }}</w:t>
            </w: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r>
            <w:r>
              <w:rPr>
                <w:rFonts w:hint="eastAsia" w:ascii="宋体" w:hAnsi="宋体" w:eastAsia="宋体" w:cs="宋体"/>
                <w:color w:val="000000" w:themeColor="text1"/>
                <w:spacing w:val="-20"/>
                <w:sz w:val="16"/>
                <w:szCs w:val="21"/>
                <w:highlight w:val="none"/>
                <w:lang w:eastAsia="zh-CN"/>
                <w14:textFill>
                  <w14:solidFill>
                    <w14:schemeClr w14:val="tx1"/>
                  </w14:solidFill>
                </w14:textFill>
              </w:rPr>
            </w:r>
          </w:p>
        </w:tc>
        <w:tc>
          <w:tcPr>
            <w:tcW w:w="272" w:type="pct"/>
            <w:vAlign w:val="center"/>
            <w:tcMar>
              <w:top w:w="35" w:type="dxa"/>
              <w:left w:w="35" w:type="dxa"/>
              <w:bottom w:w="35" w:type="dxa"/>
              <w:right w:w="35" w:type="dxa"/>
            </w:tcMar>
          </w:tcPr>
          <w:p w14:paraId="15C70B1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land_use_term_years }}</w:t>
            </w:r>
          </w:p>
        </w:tc>
        <w:tc>
          <w:tcPr>
            <w:tcW w:w="325" w:type="pct"/>
            <w:vAlign w:val="center"/>
            <w:tcMar>
              <w:top w:w="35" w:type="dxa"/>
              <w:left w:w="35" w:type="dxa"/>
              <w:bottom w:w="35" w:type="dxa"/>
              <w:right w:w="35" w:type="dxa"/>
            </w:tcMar>
          </w:tcPr>
          <w:p w14:paraId="197EBCB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
              <w:rPr>
                <w:rFonts w:ascii="仿宋_GB2312" w:hAnsi="仿宋_GB2312" w:eastAsia="仿宋_GB2312" w:cs="仿宋_GB2312"/>
                <w:color w:val="000000"/>
                <w:sz w:val="16"/>
              </w:rPr>
              <w:t>{{ land_area }}</w:t>
            </w:r>
          </w:p>
        </w:tc>
        <w:tc>
          <w:tcPr>
            <w:tcW w:w="224" w:type="pct"/>
            <w:vAlign w:val="center"/>
            <w:tcMar>
              <w:top w:w="35" w:type="dxa"/>
              <w:left w:w="35" w:type="dxa"/>
              <w:bottom w:w="35" w:type="dxa"/>
              <w:right w:w="35" w:type="dxa"/>
            </w:tcMar>
          </w:tcPr>
          <w:p w14:paraId="4EF124C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ascii="仿宋_GB2312" w:hAnsi="仿宋_GB2312" w:eastAsia="仿宋_GB2312" w:cs="仿宋_GB2312"/>
                <w:color w:val="000000"/>
                <w:sz w:val="16"/>
              </w:rPr>
              <w:t>{{ final_unit_price }}</w:t>
            </w:r>
          </w:p>
        </w:tc>
        <w:tc>
          <w:tcPr>
            <w:tcW w:w="235" w:type="pct"/>
            <w:vAlign w:val="center"/>
            <w:tcMar>
              <w:top w:w="35" w:type="dxa"/>
              <w:left w:w="35" w:type="dxa"/>
              <w:bottom w:w="35" w:type="dxa"/>
              <w:right w:w="35" w:type="dxa"/>
            </w:tcMar>
          </w:tcPr>
          <w:p w14:paraId="6B11CD9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w:t>
            </w:r>
          </w:p>
        </w:tc>
        <w:tc>
          <w:tcPr>
            <w:tcW w:w="288" w:type="pct"/>
            <w:shd w:val="clear" w:color="auto" w:fill="auto"/>
            <w:vAlign w:val="center"/>
            <w:tcMar>
              <w:top w:w="35" w:type="dxa"/>
              <w:left w:w="35" w:type="dxa"/>
              <w:bottom w:w="35" w:type="dxa"/>
              <w:right w:w="35" w:type="dxa"/>
            </w:tcMar>
          </w:tcPr>
          <w:p w14:paraId="3C51DFB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等线" w:hAnsi="等线" w:eastAsia="等线" w:cs="等线"/>
                <w:i w:val="0"/>
                <w:iCs w:val="0"/>
                <w:color w:val="000000" w:themeColor="text1"/>
                <w:kern w:val="2"/>
                <w:sz w:val="22"/>
                <w:szCs w:val="22"/>
                <w:highlight w:val="none"/>
                <w:u w:val="none"/>
                <w:lang w:val="en-US" w:eastAsia="zh-CN" w:bidi="ar-SA"/>
                <w14:textFill>
                  <w14:solidFill>
                    <w14:schemeClr w14:val="tx1"/>
                  </w14:solidFill>
                </w14:textFill>
              </w:rPr>
            </w:pPr>
            <w:r>
              <w:rPr>
                <w:rFonts w:ascii="仿宋_GB2312" w:hAnsi="仿宋_GB2312" w:eastAsia="仿宋_GB2312" w:cs="仿宋_GB2312"/>
                <w:color w:val="000000"/>
                <w:sz w:val="16"/>
              </w:rPr>
              <w:t>{{ final_total_price }}</w:t>
            </w:r>
          </w:p>
        </w:tc>
        <w:tc>
          <w:tcPr>
            <w:tcW w:w="222" w:type="pct"/>
            <w:vAlign w:val="center"/>
            <w:tcMar>
              <w:top w:w="35" w:type="dxa"/>
              <w:left w:w="35" w:type="dxa"/>
              <w:bottom w:w="35" w:type="dxa"/>
              <w:right w:w="35" w:type="dxa"/>
            </w:tcMar>
          </w:tcPr>
          <w:p w14:paraId="02E1964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合</w:t>
            </w:r>
            <w:r>
              <w:rPr>
                <w:rFonts w:hint="eastAsia" w:ascii="宋体" w:hAnsi="宋体" w:eastAsia="宋体" w:cs="宋体"/>
                <w:color w:val="000000" w:themeColor="text1"/>
                <w:spacing w:val="0"/>
                <w:sz w:val="16"/>
                <w:szCs w:val="21"/>
                <w:highlight w:val="none"/>
                <w:lang w:val="en-US" w:eastAsia="zh-CN"/>
                <w14:textFill>
                  <w14:solidFill>
                    <w14:schemeClr w14:val="tx1"/>
                  </w14:solidFill>
                </w14:textFill>
              </w:rPr>
              <w:t>10.7</w:t>
            </w: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万元/亩</w:t>
            </w:r>
          </w:p>
        </w:tc>
      </w:tr>
    </w:tbl>
    <w:p w14:paraId="7891DF78">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注：上表中“</w:t>
      </w:r>
      <w:r>
        <w:rPr>
          <w:rFonts w:hint="eastAsia" w:ascii="仿宋_GB2312" w:hAnsi="仿宋_GB2312" w:eastAsia="仿宋_GB2312" w:cs="仿宋_GB2312"/>
          <w:color w:val="000000" w:themeColor="text1"/>
          <w:sz w:val="28"/>
          <w:szCs w:val="21"/>
          <w:highlight w:val="none"/>
          <w:lang w:val="en-US" w:eastAsia="zh-CN"/>
          <w14:textFill>
            <w14:solidFill>
              <w14:schemeClr w14:val="tx1"/>
            </w14:solidFill>
          </w14:textFill>
        </w:rPr>
        <w:t>五通</w:t>
      </w:r>
      <w:r>
        <w:rPr>
          <w:rFonts w:hint="eastAsia" w:ascii="仿宋_GB2312" w:hAnsi="仿宋_GB2312" w:eastAsia="仿宋_GB2312" w:cs="仿宋_GB2312"/>
          <w:color w:val="000000" w:themeColor="text1"/>
          <w:sz w:val="28"/>
          <w:szCs w:val="21"/>
          <w:highlight w:val="none"/>
          <w14:textFill>
            <w14:solidFill>
              <w14:schemeClr w14:val="tx1"/>
            </w14:solidFill>
          </w14:textFill>
        </w:rPr>
        <w:t>”指宗地红外围通路、通电、通讯</w:t>
      </w:r>
      <w:r>
        <w:rPr>
          <w:rFonts w:hint="eastAsia" w:ascii="仿宋_GB2312" w:hAnsi="仿宋_GB2312" w:eastAsia="仿宋_GB2312" w:cs="仿宋_GB2312"/>
          <w:color w:val="000000" w:themeColor="text1"/>
          <w:sz w:val="28"/>
          <w:szCs w:val="21"/>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1"/>
          <w:highlight w:val="none"/>
          <w:lang w:val="en-US" w:eastAsia="zh-CN"/>
          <w14:textFill>
            <w14:solidFill>
              <w14:schemeClr w14:val="tx1"/>
            </w14:solidFill>
          </w14:textFill>
        </w:rPr>
        <w:t>排水、供水</w:t>
      </w:r>
      <w:r>
        <w:rPr>
          <w:rFonts w:hint="eastAsia" w:ascii="仿宋_GB2312" w:hAnsi="仿宋_GB2312" w:eastAsia="仿宋_GB2312" w:cs="仿宋_GB2312"/>
          <w:color w:val="000000" w:themeColor="text1"/>
          <w:sz w:val="28"/>
          <w:szCs w:val="21"/>
          <w:highlight w:val="none"/>
          <w14:textFill>
            <w14:solidFill>
              <w14:schemeClr w14:val="tx1"/>
            </w14:solidFill>
          </w14:textFill>
        </w:rPr>
        <w:t>。</w:t>
      </w:r>
    </w:p>
    <w:p w14:paraId="7F132A0A">
      <w:pPr>
        <w:keepNext w:val="0"/>
        <w:keepLines w:val="0"/>
        <w:pageBreakBefore w:val="0"/>
        <w:widowControl w:val="0"/>
        <w:tabs>
          <w:tab w:val="left" w:pos="560"/>
        </w:tabs>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宋体" w:hAnsi="宋体" w:eastAsia="宋体" w:cs="宋体"/>
          <w:b/>
          <w:color w:val="000000" w:themeColor="text1"/>
          <w:sz w:val="28"/>
          <w:szCs w:val="21"/>
          <w:highlight w:val="none"/>
          <w14:textFill>
            <w14:solidFill>
              <w14:schemeClr w14:val="tx1"/>
            </w14:solidFill>
          </w14:textFill>
        </w:rPr>
        <w:t>一、上述土地估价结果的限定条件</w:t>
      </w:r>
    </w:p>
    <w:p w14:paraId="370D3D0D">
      <w:pPr>
        <w:keepNext w:val="0"/>
        <w:keepLines w:val="0"/>
        <w:pageBreakBefore w:val="0"/>
        <w:widowControl w:val="0"/>
        <w:tabs>
          <w:tab w:val="left" w:pos="560"/>
        </w:tabs>
        <w:kinsoku/>
        <w:wordWrap/>
        <w:overflowPunct/>
        <w:topLinePunct w:val="0"/>
        <w:autoSpaceDE/>
        <w:autoSpaceDN/>
        <w:bidi w:val="0"/>
        <w:adjustRightInd/>
        <w:snapToGrid/>
        <w:spacing w:line="480" w:lineRule="exact" w:before="0" w:after="0"/>
        <w:ind w:left="-283" w:leftChars="-135" w:firstLine="707" w:firstLineChars="337"/>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t>1.根据《关于国有建设用地的规划条件的函》（2025年9月11日），估价对象位于{{ land_location_full }}，估价对象土地所有权为国有，本次评估设定土地使用权性质为{{ right_type }}，土地使用者为{{ land_user }}。根据委托方提供相关资料和估价人员调查结果，截至估价期日估价对象未有抵押权、地役权、租赁权等他项权利登记，本次评估设定估价对象地上无抵押权、地役权、租赁权等他项权利登记；</w:t>
      </w:r>
      <w:r>
        <w:rPr>
          <w:rFonts w:ascii="仿宋_GB2312" w:hAnsi="仿宋_GB2312" w:eastAsia="仿宋_GB2312" w:cs="仿宋_GB2312"/>
          <w:color w:val="000000"/>
          <w:sz w:val="28"/>
        </w:rPr>
      </w:r>
    </w:p>
    <w:p w14:paraId="7785B2A9">
      <w:pPr>
        <w:keepNext w:val="0"/>
        <w:keepLines w:val="0"/>
        <w:pageBreakBefore w:val="0"/>
        <w:widowControl w:val="0"/>
        <w:tabs>
          <w:tab w:val="left" w:pos="560"/>
        </w:tabs>
        <w:kinsoku/>
        <w:wordWrap/>
        <w:overflowPunct/>
        <w:topLinePunct w:val="0"/>
        <w:autoSpaceDE/>
        <w:autoSpaceDN/>
        <w:bidi w:val="0"/>
        <w:adjustRightInd/>
        <w:snapToGrid/>
        <w:spacing w:line="480" w:lineRule="exact" w:before="0" w:after="0"/>
        <w:ind w:left="-283" w:leftChars="-135" w:firstLine="707" w:firstLineChars="337"/>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2.基础设施条件：估价对象土地实际开发程度为{{ land_development_actual }}，详见下表。</w:t>
      </w:r>
      <w:r>
        <w:rPr>
          <w:rFonts w:hint="eastAsia" w:ascii="仿宋_GB2312" w:hAnsi="仿宋_GB2312" w:eastAsia="仿宋_GB2312" w:cs="仿宋_GB2312"/>
          <w:color w:val="000000" w:themeColor="text1"/>
          <w:sz w:val="28"/>
          <w:szCs w:val="21"/>
          <w:highlight w:val="none"/>
          <w:lang w:eastAsia="zh-CN"/>
          <w14:textFill>
            <w14:solidFill>
              <w14:schemeClr w14:val="tx1"/>
            </w14:solidFill>
          </w14:textFill>
        </w:rPr>
      </w:r>
      <w:r>
        <w:rPr>
          <w:rFonts w:hint="eastAsia" w:ascii="仿宋_GB2312" w:hAnsi="仿宋_GB2312" w:eastAsia="仿宋_GB2312" w:cs="仿宋_GB2312"/>
          <w:color w:val="000000" w:themeColor="text1"/>
          <w:sz w:val="28"/>
          <w:szCs w:val="21"/>
          <w:highlight w:val="none"/>
          <w14:textFill>
            <w14:solidFill>
              <w14:schemeClr w14:val="tx1"/>
            </w14:solidFill>
          </w14:textFill>
        </w:rPr>
      </w:r>
      <w:r>
        <w:rPr>
          <w:rFonts w:hint="eastAsia" w:ascii="仿宋_GB2312" w:hAnsi="仿宋_GB2312" w:eastAsia="仿宋_GB2312" w:cs="仿宋_GB2312"/>
          <w:color w:val="000000" w:themeColor="text1"/>
          <w:sz w:val="28"/>
          <w:szCs w:val="21"/>
          <w:highlight w:val="none"/>
          <w:lang w:eastAsia="zh-CN"/>
          <w14:textFill>
            <w14:solidFill>
              <w14:schemeClr w14:val="tx1"/>
            </w14:solidFill>
          </w14:textFill>
        </w:rPr>
      </w:r>
      <w:r>
        <w:rPr>
          <w:rFonts w:hint="eastAsia" w:ascii="仿宋_GB2312" w:hAnsi="仿宋_GB2312" w:eastAsia="仿宋_GB2312" w:cs="仿宋_GB2312"/>
          <w:color w:val="000000" w:themeColor="text1"/>
          <w:sz w:val="28"/>
          <w:szCs w:val="21"/>
          <w:highlight w:val="none"/>
          <w:lang w:val="en-US" w:eastAsia="zh-CN"/>
          <w14:textFill>
            <w14:solidFill>
              <w14:schemeClr w14:val="tx1"/>
            </w14:solidFill>
          </w14:textFill>
        </w:rPr>
      </w:r>
      <w:r>
        <w:rPr>
          <w:rFonts w:hint="eastAsia" w:ascii="仿宋_GB2312" w:hAnsi="仿宋_GB2312" w:eastAsia="仿宋_GB2312" w:cs="仿宋_GB2312"/>
          <w:color w:val="000000" w:themeColor="text1"/>
          <w:sz w:val="28"/>
          <w:szCs w:val="21"/>
          <w:highlight w:val="none"/>
          <w:lang w:eastAsia="zh-CN"/>
          <w14:textFill>
            <w14:solidFill>
              <w14:schemeClr w14:val="tx1"/>
            </w14:solidFill>
          </w14:textFill>
        </w:rPr>
      </w:r>
      <w:r>
        <w:rPr>
          <w:rFonts w:hint="eastAsia" w:ascii="仿宋_GB2312" w:hAnsi="仿宋_GB2312" w:eastAsia="仿宋_GB2312" w:cs="仿宋_GB2312"/>
          <w:color w:val="000000" w:themeColor="text1"/>
          <w:sz w:val="28"/>
          <w:szCs w:val="21"/>
          <w:highlight w:val="none"/>
          <w14:textFill>
            <w14:solidFill>
              <w14:schemeClr w14:val="tx1"/>
            </w14:solidFill>
          </w14:textFill>
        </w:rPr>
      </w:r>
    </w:p>
    <w:tbl>
      <w:tblPr>
        <w:tblStyle w:val="9"/>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2"/>
        <w:gridCol w:w="2322"/>
        <w:gridCol w:w="3011"/>
        <w:gridCol w:w="2048"/>
        <w:gridCol w:w="2448"/>
        <w:gridCol w:w="4194"/>
      </w:tblGrid>
      <w:tr w14:paraId="1E1DB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93" w:hRule="atLeast"/>
          <w:jc w:val="center"/>
        </w:trPr>
        <w:tc>
          <w:tcPr>
            <w:tcW w:w="541" w:type="pct"/>
            <w:noWrap w:val="0"/>
            <w:vAlign w:val="center"/>
          </w:tcPr>
          <w:p w14:paraId="44D543C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 w:hAnsi="仿宋" w:eastAsia="仿宋" w:cs="仿宋"/>
                <w:b/>
                <w:snapToGrid w:val="0"/>
                <w:color w:val="auto"/>
                <w:sz w:val="18"/>
                <w:szCs w:val="18"/>
                <w:highlight w:val="none"/>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地面平整状况</w:t>
            </w:r>
          </w:p>
        </w:tc>
        <w:tc>
          <w:tcPr>
            <w:tcW w:w="738" w:type="pct"/>
            <w:noWrap w:val="0"/>
            <w:vAlign w:val="center"/>
          </w:tcPr>
          <w:p w14:paraId="3A447DE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周围道路状况</w:t>
            </w:r>
          </w:p>
        </w:tc>
        <w:tc>
          <w:tcPr>
            <w:tcW w:w="957" w:type="pct"/>
            <w:noWrap w:val="0"/>
            <w:vAlign w:val="center"/>
          </w:tcPr>
          <w:p w14:paraId="15C9E47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供电状况</w:t>
            </w:r>
          </w:p>
        </w:tc>
        <w:tc>
          <w:tcPr>
            <w:tcW w:w="651" w:type="pct"/>
            <w:noWrap w:val="0"/>
            <w:vAlign w:val="center"/>
          </w:tcPr>
          <w:p w14:paraId="096C27E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供水状况</w:t>
            </w:r>
          </w:p>
        </w:tc>
        <w:tc>
          <w:tcPr>
            <w:tcW w:w="778" w:type="pct"/>
            <w:noWrap w:val="0"/>
            <w:vAlign w:val="center"/>
          </w:tcPr>
          <w:p w14:paraId="6FB3AF1C">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排水状况</w:t>
            </w:r>
          </w:p>
        </w:tc>
        <w:tc>
          <w:tcPr>
            <w:tcW w:w="1333" w:type="pct"/>
            <w:noWrap w:val="0"/>
            <w:vAlign w:val="center"/>
          </w:tcPr>
          <w:p w14:paraId="7F48AD8C">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通</w:t>
            </w:r>
            <w:r>
              <w:rPr>
                <w:rFonts w:hint="eastAsia" w:ascii="仿宋_GB2312" w:hAnsi="仿宋_GB2312" w:eastAsia="仿宋_GB2312" w:cs="仿宋_GB2312"/>
                <w:b/>
                <w:bCs/>
                <w:snapToGrid/>
                <w:color w:val="000000" w:themeColor="text1"/>
                <w:spacing w:val="-10"/>
                <w:sz w:val="21"/>
                <w:szCs w:val="21"/>
                <w:highlight w:val="none"/>
                <w:lang w:eastAsia="zh-CN"/>
                <w14:textFill>
                  <w14:solidFill>
                    <w14:schemeClr w14:val="tx1"/>
                  </w14:solidFill>
                </w14:textFill>
              </w:rPr>
              <w:t>讯</w:t>
            </w: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状况</w:t>
            </w:r>
          </w:p>
        </w:tc>
      </w:tr>
      <w:tr w14:paraId="42EB6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8" w:hRule="atLeast"/>
          <w:jc w:val="center"/>
        </w:trPr>
        <w:tc>
          <w:tcPr>
            <w:tcW w:w="541" w:type="pct"/>
            <w:noWrap w:val="0"/>
            <w:vAlign w:val="center"/>
          </w:tcPr>
          <w:p w14:paraId="7B088AAB">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 w:hAnsi="仿宋" w:eastAsia="仿宋" w:cs="仿宋"/>
                <w:snapToGrid w:val="0"/>
                <w:color w:val="auto"/>
                <w:sz w:val="18"/>
                <w:szCs w:val="18"/>
                <w:highlight w:val="none"/>
                <w:lang w:val="en-US" w:eastAsia="zh-CN"/>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宗地红线外“五通”宗地红线内场地平整</w:t>
            </w:r>
          </w:p>
        </w:tc>
        <w:tc>
          <w:tcPr>
            <w:tcW w:w="738" w:type="pct"/>
            <w:noWrap w:val="0"/>
            <w:vAlign w:val="center"/>
          </w:tcPr>
          <w:p w14:paraId="22A59669">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场内道路为山皮石路面，路面宽4.5m</w:t>
            </w:r>
          </w:p>
          <w:p w14:paraId="0B559232">
            <w:pPr>
              <w:spacing w:line="220" w:lineRule="exact"/>
              <w:jc w:val="center"/>
              <w:outlineLvl w:val="9"/>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p>
        </w:tc>
        <w:tc>
          <w:tcPr>
            <w:tcW w:w="957" w:type="pct"/>
            <w:noWrap w:val="0"/>
            <w:vAlign w:val="center"/>
          </w:tcPr>
          <w:p w14:paraId="1072708C">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区域内接市政双回路110KV供电管网，供电保证率一般</w:t>
            </w:r>
          </w:p>
        </w:tc>
        <w:tc>
          <w:tcPr>
            <w:tcW w:w="651" w:type="pct"/>
            <w:noWrap w:val="0"/>
            <w:vAlign w:val="center"/>
          </w:tcPr>
          <w:p w14:paraId="7E44F5BC">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区域内供水主要来自区内的市政供水</w:t>
            </w:r>
          </w:p>
        </w:tc>
        <w:tc>
          <w:tcPr>
            <w:tcW w:w="778" w:type="pct"/>
            <w:noWrap w:val="0"/>
            <w:vAlign w:val="center"/>
          </w:tcPr>
          <w:p w14:paraId="11808839">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宗地外接排水设施，在雨水大的情况下无洪涝和积水</w:t>
            </w:r>
          </w:p>
        </w:tc>
        <w:tc>
          <w:tcPr>
            <w:tcW w:w="1333" w:type="pct"/>
            <w:noWrap w:val="0"/>
            <w:vAlign w:val="center"/>
          </w:tcPr>
          <w:p w14:paraId="1F929EEC">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宗地接市政通讯设施，有中国电信光缆、移动、联通综合网络覆盖该区域，区域通讯直接与市政通信网络相联，线路畅通，现有通讯能力保障率为100%。</w:t>
            </w:r>
          </w:p>
        </w:tc>
      </w:tr>
    </w:tbl>
    <w:p w14:paraId="5D899708">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t>3.规划限制条件：根据《关于国有建设用地的规划条件的函》（2025年9月11日），估价对象位于{{ land_location_full }}，用地面积{{ land_area }}平方米。</w:t>
      </w:r>
      <w:r>
        <w:rPr>
          <w:rFonts w:ascii="仿宋_GB2312" w:hAnsi="仿宋_GB2312" w:eastAsia="仿宋_GB2312" w:cs="仿宋_GB2312"/>
          <w:color w:val="000000"/>
          <w:sz w:val="28"/>
        </w:rPr>
      </w:r>
    </w:p>
    <w:p w14:paraId="72DFE86F">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4.影响土地价值的其他限定条件：无。</w:t>
      </w:r>
    </w:p>
    <w:p w14:paraId="2B47F6B8">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宋体" w:hAnsi="宋体" w:eastAsia="宋体" w:cs="宋体"/>
          <w:b/>
          <w:color w:val="000000" w:themeColor="text1"/>
          <w:sz w:val="28"/>
          <w:szCs w:val="21"/>
          <w:highlight w:val="none"/>
          <w14:textFill>
            <w14:solidFill>
              <w14:schemeClr w14:val="tx1"/>
            </w14:solidFill>
          </w14:textFill>
        </w:rPr>
        <w:t xml:space="preserve">二、其他需要说明的事项 </w:t>
      </w:r>
    </w:p>
    <w:p w14:paraId="7A3E6D39">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1.本次估价目的为土地出让方通过集体决策确定估价对象挂牌出让底价提供国有建设用地使用权市场价格参考依据。</w:t>
      </w:r>
    </w:p>
    <w:p w14:paraId="2BCEE574">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color w:val="000000"/>
          <w:sz w:val="28"/>
        </w:rPr>
        <w:t>2.本估价报告有效期自提交估价报告日{{ report_date }}至{{ report_valid_until }}一年内有效。</w:t>
      </w:r>
    </w:p>
    <w:p w14:paraId="459F75BC">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3.估价结果按规定须报请自然资源主管部门备案。</w:t>
      </w:r>
    </w:p>
    <w:p w14:paraId="03091924">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t>4.本评估报告中涉及的土地面积、土地权属、土地用途、规划利用指标以委托方提供的《关于国有建设用地的规划条件的函》（2025年9月11日）和《{{ county_name }}{{ land_plot_number }}号地块建设用地规划红线图》为依据，本报告估价结果是在满足地价定义所设定条件下的使用权价格，若估价期日、土地利用方式、土地开发状况、土地面积等影响地价的任一因素发生变化，则该估价结果应作相应调整。</w:t>
      </w:r>
      <w:r>
        <w:rPr>
          <w:rFonts w:ascii="仿宋_GB2312" w:hAnsi="仿宋_GB2312" w:eastAsia="仿宋_GB2312" w:cs="仿宋_GB2312"/>
          <w:color w:val="000000"/>
          <w:sz w:val="28"/>
        </w:rPr>
      </w:r>
    </w:p>
    <w:p w14:paraId="329D4C36">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5.依据{{ client_name }}《关于国有建设用地的规划条件的函》（2025年9月11日），用地面积{{ land_area }}平方米，本次评估面积以拟出让地块红线图的供应面积为准。</w:t>
      </w:r>
    </w:p>
    <w:p w14:paraId="7C2B4B66">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lang w:val="en-US" w:eastAsia="zh-CN"/>
          <w14:textFill>
            <w14:solidFill>
              <w14:schemeClr w14:val="tx1"/>
            </w14:solidFill>
          </w14:textFill>
        </w:rPr>
        <w:t>6</w:t>
      </w:r>
      <w:r>
        <w:rPr>
          <w:rFonts w:hint="eastAsia" w:ascii="仿宋_GB2312" w:hAnsi="仿宋_GB2312" w:eastAsia="仿宋_GB2312" w:cs="仿宋_GB2312"/>
          <w:color w:val="000000" w:themeColor="text1"/>
          <w:sz w:val="28"/>
          <w:szCs w:val="21"/>
          <w:highlight w:val="none"/>
          <w14:textFill>
            <w14:solidFill>
              <w14:schemeClr w14:val="tx1"/>
            </w14:solidFill>
          </w14:textFill>
        </w:rPr>
        <w:t>.本估价结果仅作为委托估价方在本次估价目的下使用，不得用做验资证明、征收补偿、司法、房地产交易等除本次目的之外的其他用途。未经本估价机构和土地估价师的同意，该结果不得向委托估价方及报告审查部门以外的单位及个人提供，凡因委托人使用估价报告不当而引起的后果，估价机构和土地估价师不承担相应的责任。</w:t>
      </w:r>
    </w:p>
    <w:p w14:paraId="099D94EF">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right"/>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 xml:space="preserve"> </w:t>
      </w:r>
    </w:p>
    <w:p w14:paraId="4682344D">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jc w:val="right"/>
        <w:textAlignment w:val="auto"/>
        <w:outlineLvl w:val="9"/>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 xml:space="preserve">{{ appraisal_org }}                                                                                                                                                                                                                    </w:t>
      </w:r>
    </w:p>
    <w:p w14:paraId="2B90C411">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jc w:val="center"/>
        <w:textAlignment w:val="auto"/>
        <w:outlineLvl w:val="9"/>
        <w:rPr>
          <w:rFonts w:hint="eastAsia" w:ascii="仿宋_GB2312" w:hAnsi="仿宋_GB2312" w:eastAsia="仿宋_GB2312" w:cs="仿宋_GB2312"/>
          <w:color w:val="000000" w:themeColor="text1"/>
          <w:highlight w:val="none"/>
          <w:lang w:eastAsia="zh-CN"/>
          <w14:textFill>
            <w14:solidFill>
              <w14:schemeClr w14:val="tx1"/>
            </w14:solidFill>
          </w14:textFill>
        </w:rPr>
      </w:pPr>
      <w:r>
        <w:rPr>
          <w:rFonts w:ascii="仿宋_GB2312" w:hAnsi="仿宋_GB2312" w:eastAsia="仿宋_GB2312" w:cs="仿宋_GB2312"/>
          <w:color w:val="000000"/>
          <w:sz w:val="28"/>
        </w:rPr>
        <w:t xml:space="preserve">                                                                                                                   {{ report_date }}</w:t>
      </w:r>
    </w:p>
    <w:p w14:paraId="1890A5BA">
      <w:pPr>
        <w:pStyle w:val="14"/>
        <w:rPr>
          <w:rFonts w:hint="eastAsia" w:ascii="仿宋_GB2312" w:hAnsi="仿宋_GB2312" w:eastAsia="仿宋_GB2312" w:cs="仿宋_GB2312"/>
          <w:color w:val="000000" w:themeColor="text1"/>
          <w:highlight w:val="none"/>
          <w14:textFill>
            <w14:solidFill>
              <w14:schemeClr w14:val="tx1"/>
            </w14:solidFill>
          </w14:textFill>
        </w:rPr>
        <w:sectPr>
          <w:endnotePr>
            <w:numFmt w:val="decimal"/>
          </w:endnotePr>
          <w:type w:val="continuous"/>
          <w:pgSz w:w="16838" w:h="11906" w:orient="landscape"/>
          <w:pgMar w:top="720" w:right="663" w:bottom="720" w:left="663" w:header="624" w:footer="624" w:gutter="0"/>
          <w:pgNumType w:fmt="decimal"/>
          <w:cols w:space="720" w:num="1"/>
          <w:docGrid w:linePitch="312" w:charSpace="0"/>
        </w:sectPr>
      </w:pPr>
    </w:p>
    <w:p w14:paraId="6BD788E0">
      <w:pPr>
        <w:spacing w:before="0" w:beforeLines="50" w:after="0" w:afterLines="100" w:line="560" w:lineRule="exact"/>
        <w:ind w:left="641" w:firstLine="180" w:firstLineChars="56"/>
        <w:jc w:val="center"/>
        <w:outlineLvl w:val="0"/>
        <w:rPr>
          <w:rFonts w:ascii="宋体" w:hAnsi="宋体"/>
          <w:b/>
          <w:color w:val="000000" w:themeColor="text1"/>
          <w:sz w:val="32"/>
          <w:szCs w:val="32"/>
          <w:highlight w:val="none"/>
          <w14:textFill>
            <w14:solidFill>
              <w14:schemeClr w14:val="tx1"/>
            </w14:solidFill>
          </w14:textFill>
        </w:rPr>
      </w:pPr>
      <w:r>
        <w:rPr>
          <w:rFonts w:hint="eastAsia" w:ascii="宋体" w:hAnsi="宋体" w:eastAsia="宋体" w:cs="宋体"/>
          <w:b/>
          <w:bCs/>
          <w:color w:val="000000" w:themeColor="text1"/>
          <w:sz w:val="32"/>
          <w:highlight w:val="none"/>
          <w14:textFill>
            <w14:solidFill>
              <w14:schemeClr w14:val="tx1"/>
            </w14:solidFill>
          </w14:textFill>
        </w:rPr>
        <w:t>第二部分    估价对象界定</w:t>
      </w:r>
    </w:p>
    <w:p w14:paraId="3CD27D98">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eastAsia="仿宋_GB2312"/>
          <w:b/>
          <w:color w:val="000000" w:themeColor="text1"/>
          <w:sz w:val="28"/>
          <w:szCs w:val="28"/>
          <w:highlight w:val="none"/>
          <w14:textFill>
            <w14:solidFill>
              <w14:schemeClr w14:val="tx1"/>
            </w14:solidFill>
          </w14:textFill>
        </w:rPr>
      </w:pPr>
      <w:r>
        <w:rPr>
          <w:rFonts w:hint="eastAsia" w:eastAsia="宋体" w:ascii="宋体" w:hAnsi="宋体" w:cs="宋体"/>
          <w:b/>
          <w:color w:val="000000" w:themeColor="text1"/>
          <w:sz w:val="28"/>
          <w:szCs w:val="28"/>
          <w:highlight w:val="none"/>
          <w14:textFill>
            <w14:solidFill>
              <w14:schemeClr w14:val="tx1"/>
            </w14:solidFill>
          </w14:textFill>
        </w:rPr>
        <w:t>一、委托估价方</w:t>
      </w:r>
    </w:p>
    <w:p w14:paraId="222853D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 xml:space="preserve">委托估价方：{{ client_name }} </w:t>
      </w:r>
    </w:p>
    <w:p w14:paraId="5210314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社会统一信用代码：{{ client_org_code }}</w:t>
      </w:r>
    </w:p>
    <w:p w14:paraId="10EAE09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负责人：{{ client_principal }}</w:t>
      </w:r>
    </w:p>
    <w:p w14:paraId="0EA4EA1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机构性质：{{ client_org_type }}</w:t>
      </w:r>
    </w:p>
    <w:p w14:paraId="023DBD5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机构地址：{{ client_address }}</w:t>
      </w:r>
    </w:p>
    <w:p w14:paraId="0507BE6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hAnsi="仿宋_GB2312" w:cs="仿宋_GB2312"/>
          <w:color w:val="000000" w:themeColor="text1"/>
          <w:sz w:val="28"/>
          <w:szCs w:val="30"/>
          <w:highlight w:val="none"/>
          <w14:textFill>
            <w14:solidFill>
              <w14:schemeClr w14:val="tx1"/>
            </w14:solidFill>
          </w14:textFill>
        </w:rPr>
        <w:t>联 系 人：{{ client_contact }}</w:t>
      </w: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r>
      <w:r>
        <w:rPr>
          <w:rFonts w:hint="eastAsia" w:ascii="仿宋_GB2312" w:eastAsia="仿宋_GB2312" w:hAnsi="仿宋_GB2312" w:cs="仿宋_GB2312"/>
          <w:color w:val="000000" w:themeColor="text1"/>
          <w:sz w:val="28"/>
          <w:szCs w:val="30"/>
          <w:highlight w:val="none"/>
          <w14:textFill>
            <w14:solidFill>
              <w14:schemeClr w14:val="tx1"/>
            </w14:solidFill>
          </w14:textFill>
        </w:rPr>
      </w:r>
    </w:p>
    <w:p w14:paraId="556188D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hAnsi="仿宋_GB2312" w:cs="仿宋_GB2312"/>
          <w:color w:val="000000" w:themeColor="text1"/>
          <w:sz w:val="28"/>
          <w:szCs w:val="28"/>
          <w:highlight w:val="none"/>
          <w14:textFill>
            <w14:solidFill>
              <w14:schemeClr w14:val="tx1"/>
            </w14:solidFill>
          </w14:textFill>
        </w:rPr>
        <w:t>联系电话：{{ client_phone }}</w:t>
      </w:r>
    </w:p>
    <w:p w14:paraId="441D6F5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邮    编：{{ client_postcode }}</w:t>
      </w:r>
    </w:p>
    <w:p w14:paraId="5639949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与估价对象土地使用者之间的关系：委托方为本次估价委托方，土地使用者为{{ land_user }}。</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772789BC">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eastAsia="仿宋_GB2312"/>
          <w:b/>
          <w:color w:val="000000" w:themeColor="text1"/>
          <w:sz w:val="28"/>
          <w:szCs w:val="28"/>
          <w:highlight w:val="none"/>
          <w14:textFill>
            <w14:solidFill>
              <w14:schemeClr w14:val="tx1"/>
            </w14:solidFill>
          </w14:textFill>
        </w:rPr>
      </w:pPr>
      <w:r>
        <w:rPr>
          <w:rFonts w:hint="eastAsia" w:eastAsia="宋体" w:ascii="宋体" w:hAnsi="宋体" w:cs="宋体"/>
          <w:b/>
          <w:color w:val="000000" w:themeColor="text1"/>
          <w:sz w:val="28"/>
          <w:szCs w:val="28"/>
          <w:highlight w:val="none"/>
          <w14:textFill>
            <w14:solidFill>
              <w14:schemeClr w14:val="tx1"/>
            </w14:solidFill>
          </w14:textFill>
        </w:rPr>
        <w:t>二、估价对象</w:t>
      </w:r>
    </w:p>
    <w:p w14:paraId="29E9AAA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sz w:val="28"/>
        </w:rPr>
        <w:t>本次估价对象为{{ client_name }}{{ transfer_purpose }}涉及的位于{{ land_location_full }}的{{ parcel_count }}{{ land_usage }}国有建设用地使用权，根据《评估委托书》、{{ basis_docs_rendered }}、《{{ county_name }}{{ land_plot_number }}号地块建设用地规划红线图》等资料，估价对象土地面积为{{ land_area }}平方米，土地开发程度为{{ land_development_set }}，土地使用者为{{ land_user }}。</w:t>
      </w:r>
      <w:r>
        <w:rPr>
          <w:rFonts w:ascii="仿宋_GB2312" w:hAnsi="仿宋_GB2312" w:eastAsia="仿宋_GB2312" w:cs="仿宋_GB2312"/>
          <w:color w:val="000000"/>
          <w:sz w:val="28"/>
        </w:rPr>
      </w:r>
    </w:p>
    <w:p w14:paraId="5650E2D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估价对象仅为国有建设用地使用权，不包括其他土地附着物、动产、债权债务、特许经营权等其他财产或权益。</w:t>
      </w:r>
    </w:p>
    <w:p w14:paraId="066C5006">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eastAsia="仿宋_GB2312"/>
          <w:b/>
          <w:color w:val="000000" w:themeColor="text1"/>
          <w:sz w:val="28"/>
          <w:szCs w:val="28"/>
          <w:highlight w:val="none"/>
          <w14:textFill>
            <w14:solidFill>
              <w14:schemeClr w14:val="tx1"/>
            </w14:solidFill>
          </w14:textFill>
        </w:rPr>
      </w:pPr>
      <w:r>
        <w:rPr>
          <w:rFonts w:hint="eastAsia" w:eastAsia="宋体" w:ascii="宋体" w:hAnsi="宋体" w:cs="宋体"/>
          <w:b/>
          <w:color w:val="000000" w:themeColor="text1"/>
          <w:sz w:val="28"/>
          <w:szCs w:val="28"/>
          <w:highlight w:val="none"/>
          <w14:textFill>
            <w14:solidFill>
              <w14:schemeClr w14:val="tx1"/>
            </w14:solidFill>
          </w14:textFill>
        </w:rPr>
        <w:t>三、估价对象概况</w:t>
      </w:r>
    </w:p>
    <w:p w14:paraId="403B3CC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宋体" w:hAnsi="宋体" w:eastAsia="宋体" w:cs="宋体"/>
          <w:b/>
          <w:bCs/>
          <w:color w:val="000000" w:themeColor="text1"/>
          <w:sz w:val="28"/>
          <w:szCs w:val="28"/>
          <w:highlight w:val="none"/>
          <w:lang w:val="en-GB" w:eastAsia="zh-CN"/>
          <w14:textFill>
            <w14:solidFill>
              <w14:schemeClr w14:val="tx1"/>
            </w14:solidFill>
          </w14:textFill>
        </w:rPr>
        <w:t>（一）土地登记状况</w:t>
      </w:r>
    </w:p>
    <w:p>
      <w:pPr>
        <w:spacing w:before="0" w:after="0" w:line="480" w:lineRule="exact"/>
        <w:ind w:left="561" w:firstLine="0"/>
      </w:pPr>
      <w:r>
        <w:rPr>
          <w:rFonts w:ascii="仿宋_GB2312" w:hAnsi="仿宋_GB2312" w:eastAsia="仿宋_GB2312" w:cs="仿宋_GB2312"/>
          <w:sz w:val="28"/>
        </w:rPr>
        <w:t>{{ land_registration_desc }}</w:t>
      </w:r>
    </w:p>
    <w:p w14:paraId="3A3D5AA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宋体" w:hAnsi="宋体" w:eastAsia="宋体" w:cs="宋体"/>
          <w:b/>
          <w:bCs/>
          <w:color w:val="000000" w:themeColor="text1"/>
          <w:sz w:val="28"/>
          <w:szCs w:val="28"/>
          <w:highlight w:val="none"/>
          <w:lang w:val="en-GB" w:eastAsia="zh-CN"/>
          <w14:textFill>
            <w14:solidFill>
              <w14:schemeClr w14:val="tx1"/>
            </w14:solidFill>
          </w14:textFill>
        </w:rPr>
        <w:t>（二）土地权利状况</w:t>
      </w:r>
    </w:p>
    <w:p>
      <w:pPr>
        <w:spacing w:before="0" w:after="0" w:line="480" w:lineRule="exact"/>
        <w:ind w:left="561" w:firstLine="0"/>
      </w:pPr>
      <w:r>
        <w:rPr>
          <w:rFonts w:ascii="仿宋_GB2312" w:hAnsi="仿宋_GB2312" w:eastAsia="仿宋_GB2312" w:cs="仿宋_GB2312"/>
          <w:sz w:val="28"/>
        </w:rPr>
        <w:t>{{ land_right_desc }}</w:t>
      </w:r>
    </w:p>
    <w:p w14:paraId="6EC8BCC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宋体" w:hAnsi="宋体" w:eastAsia="宋体" w:cs="宋体"/>
          <w:b/>
          <w:bCs/>
          <w:color w:val="000000" w:themeColor="text1"/>
          <w:sz w:val="28"/>
          <w:szCs w:val="28"/>
          <w:highlight w:val="none"/>
          <w:lang w:val="en-GB" w:eastAsia="zh-CN"/>
          <w14:textFill>
            <w14:solidFill>
              <w14:schemeClr w14:val="tx1"/>
            </w14:solidFill>
          </w14:textFill>
        </w:rPr>
        <w:t>（三）土地利用状况</w:t>
      </w:r>
    </w:p>
    <w:p w14:paraId="75B8A2A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1.土地利用现状</w:t>
      </w:r>
    </w:p>
    <w:p>
      <w:pPr>
        <w:spacing w:before="0" w:after="0" w:line="480" w:lineRule="exact"/>
        <w:ind w:left="561" w:firstLine="0"/>
      </w:pPr>
      <w:r>
        <w:rPr>
          <w:rFonts w:ascii="仿宋_GB2312" w:hAnsi="仿宋_GB2312" w:eastAsia="仿宋_GB2312" w:cs="仿宋_GB2312"/>
          <w:sz w:val="28"/>
        </w:rPr>
        <w:t>{{ land_use_status_desc }}</w:t>
      </w:r>
    </w:p>
    <w:p>
      <w:pPr>
        <w:spacing w:before="0" w:after="0" w:line="480" w:lineRule="exact"/>
        <w:ind w:left="561" w:firstLine="0"/>
      </w:pPr>
      <w:r>
        <w:rPr>
          <w:rFonts w:ascii="仿宋_GB2312" w:hAnsi="仿宋_GB2312" w:eastAsia="仿宋_GB2312" w:cs="仿宋_GB2312"/>
          <w:sz w:val="28"/>
        </w:rPr>
        <w:t>估价对象利用现状如下：</w:t>
      </w:r>
    </w:p>
    <w:p w14:paraId="3892FF0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2.规划利用条件</w:t>
      </w:r>
    </w:p>
    <w:p w14:paraId="34C703D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（1）规划利用状况</w:t>
      </w:r>
    </w:p>
    <w:p w14:paraId="3332284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根据《关于国有建设用地的规划条件的函》（2025年9月11日）及现场勘查状况，估价对象土地面积为{{ land_area }}平方米，规划建筑密度{{ building_density_min }}-{{ building_density_max }}，容积率{{ plot_ratio_display }}，绿地率{{ greening_rate }}，建筑限高{{ building_height_limit }}，规划指标批准机关为{{ planning_approval_authority }}，批准日期为2025年9月11日。</w:t>
      </w:r>
      <w:r>
        <w:rPr>
          <w:rFonts w:ascii="仿宋_GB2312" w:hAnsi="仿宋_GB2312" w:eastAsia="仿宋_GB2312" w:cs="仿宋_GB2312"/>
          <w:color w:val="000000"/>
          <w:sz w:val="28"/>
        </w:rPr>
      </w:r>
    </w:p>
    <w:p w14:paraId="6FB5FD1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（2）最佳利用</w:t>
      </w:r>
    </w:p>
    <w:p w14:paraId="7F99139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本次评估根据最有效利用原则，估价对象在规划利用下价值利用状况为最有效利用。故设定估价对象用途为{{ land_usage }}，设定容积率为{{ plot_ratio }}，其余指标均取规划值为最佳利用方式。</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r>
    </w:p>
    <w:p w14:paraId="4D8F550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规划</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利用限制和缺陷情况</w:t>
      </w:r>
    </w:p>
    <w:p w14:paraId="681B729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根据委托方提供的资料及估价人员了解，宗地无明显利用限制和缺陷。</w:t>
      </w:r>
    </w:p>
    <w:p w14:paraId="1D814087">
      <w:pPr>
        <w:keepNext w:val="0"/>
        <w:keepLines w:val="0"/>
        <w:pageBreakBefore w:val="0"/>
        <w:widowControl w:val="0"/>
        <w:tabs>
          <w:tab w:val="left" w:pos="1050"/>
        </w:tabs>
        <w:kinsoku/>
        <w:wordWrap/>
        <w:overflowPunct/>
        <w:topLinePunct w:val="0"/>
        <w:autoSpaceDE/>
        <w:autoSpaceDN/>
        <w:bidi w:val="0"/>
        <w:spacing w:line="480" w:lineRule="exact" w:before="0" w:after="0"/>
        <w:ind w:right="23" w:firstLine="562" w:firstLineChars="200"/>
        <w:textAlignment w:val="auto"/>
        <w:outlineLvl w:val="1"/>
        <w:rPr>
          <w:rFonts w:ascii="仿宋" w:hAnsi="仿宋" w:eastAsia="仿宋"/>
          <w:color w:val="000000" w:themeColor="text1"/>
          <w:sz w:val="28"/>
          <w:highlight w:val="none"/>
          <w14:textFill>
            <w14:solidFill>
              <w14:schemeClr w14:val="tx1"/>
            </w14:solidFill>
          </w14:textFill>
        </w:rPr>
      </w:pPr>
      <w:r>
        <w:rPr>
          <w:rFonts w:hint="eastAsia" w:eastAsia="宋体" w:ascii="宋体" w:hAnsi="宋体" w:cs="宋体"/>
          <w:b/>
          <w:color w:val="000000" w:themeColor="text1"/>
          <w:sz w:val="28"/>
          <w:szCs w:val="28"/>
          <w:highlight w:val="none"/>
          <w14:textFill>
            <w14:solidFill>
              <w14:schemeClr w14:val="tx1"/>
            </w14:solidFill>
          </w14:textFill>
        </w:rPr>
        <w:t>四、影响地价的因素说明</w:t>
      </w:r>
    </w:p>
    <w:p w14:paraId="4B572FA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宋体" w:hAnsi="宋体" w:eastAsia="宋体" w:cs="宋体"/>
          <w:b/>
          <w:bCs/>
          <w:color w:val="000000" w:themeColor="text1"/>
          <w:sz w:val="28"/>
          <w:szCs w:val="28"/>
          <w:highlight w:val="none"/>
          <w:lang w:val="en-GB" w:eastAsia="zh-CN"/>
          <w14:textFill>
            <w14:solidFill>
              <w14:schemeClr w14:val="tx1"/>
            </w14:solidFill>
          </w14:textFill>
        </w:rPr>
        <w:t>(一)一般因素</w:t>
      </w:r>
    </w:p>
    <w:p w14:paraId="4366BDE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一般因素是指影响土地价格的一般、普遍、共同的因素，主要是指社会经济、政策和自然因素等诸方面的综合。其包括城市资源状况、不动产制度与不动产市场状况、产业政策、城市规划与发展目标、城市社会经济发展状况等，通过土地供求两方面的不同作用，从而影响城市总体地价水平的变化。</w:t>
      </w:r>
    </w:p>
    <w:p w14:paraId="422B526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1.城市资源状况</w:t>
      </w:r>
    </w:p>
    <w:p w14:paraId="2C42317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（1）地理位置</w:t>
      </w:r>
    </w:p>
    <w:p w14:paraId="2895C41D">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道县位于湖南省南部、永州市中部。介于东经111°17′-111°56′，北纬25°09′-25°50′之间。东邻宁远县，南界江华瑶族自治县、江永县，西接灌阳县、全州县，北连双牌县，总面积2441.78平方千米。</w:t>
      </w:r>
    </w:p>
    <w:p w14:paraId="00C9C0E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（2）地形地貌</w:t>
      </w:r>
    </w:p>
    <w:p w14:paraId="6A6EA48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属南岭地区，四周高山环绕，中部岗丘起伏，平川交错。整个地势从四周向中间倾斜，呈盆状结构。山地占总面积的44.7%，丘陵占11.4%，岗地占24.6%，平原占14.9%。大致分为东南山地、西北山地、中部岗平三个一级地貌区，岩溶地貌发育较好。东南有九嶷山，南有铜山岭，西有都庞岭，北有紫金山。海拔千米以上的山峰150多个，且多与邻近山脉连成整体，最高峰韭菜岭，海拔2009米。</w:t>
      </w:r>
    </w:p>
    <w:p w14:paraId="35009D3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（3）气候</w:t>
      </w:r>
    </w:p>
    <w:p w14:paraId="48A7CDB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属亚热带湿润季风气候区，热量丰富，雨量充沛，光能潜力大，无霜期长达309天。年平均温度18.6℃。年平均太阳总辐射量105.3千卡/平方厘米，年日照时间为1569.9小时，日照百分率35%，年蒸发量1634.6毫米。全县雨量充沛，年平均降雨量为1506.7毫米，是全省有名的多雨中心之一，但分布不均匀。降雨集中在春季和初夏，与光、热基本同季，有效性好，对农业生产极为有利；春末夏初常有暴雨，造成洪涝；夏秋时节，降雨偏少，常出现干旱。</w:t>
      </w:r>
    </w:p>
    <w:p w14:paraId="791385E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（4）水文</w:t>
      </w:r>
    </w:p>
    <w:p w14:paraId="7BA3D32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内河流稠密，塘库面积广阔，水量丰盈。全县有长度在5千米以上的河流63条，总长1019千米。泡水河、洑水河、永明河、九嶷河、濂溪河等连结大小支流，顺着地势，汇入县内的潇水，流进湘江，形成叶脉状的完整水系。县内还有中型水库4座，小一型水库15座，小二型水库82座，山塘4400口。全县多年平均径流深917.9毫米，径流量22.41亿立方米。年产水量由东南向西北递减，东南部最多的地区年产水量104.5万立方米/平方公里，中部丘平区年产水量90万立方米/平方公里，西北部为78万立方米/平方公里。地表水总量达89.50亿立方米，其中，客水67.09亿立方米。不计客水和地下水，全县人平均拥有水量3069.86立方米，为全省人均水资源的1.15倍。加上客水，全县人平均拥有水量12260立方米，大大高于全国、长江流域和湖南省平均水平。目前已利用水量仅占9%。</w:t>
      </w:r>
    </w:p>
    <w:p w14:paraId="25152C2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人口</w:t>
      </w:r>
    </w:p>
    <w:p w14:paraId="758EAF3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第七次人口普查数据，道县常住人口62.1275万人，其中城镇人口29.8236万人，农村人口32.3039万人，常住人口城镇化率48.00%，与湖南省城镇化率平均水平基本持平。道县人口密度253.79人/平方公里，高于永州市人口密度237.65人/平方公里，低于湖南省及长沙市人口密度。</w:t>
      </w:r>
    </w:p>
    <w:p w14:paraId="261AF73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（6）交通运输</w:t>
      </w:r>
    </w:p>
    <w:p w14:paraId="359D6CA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道县处于湘粤桂三省交汇区，与长沙、南宁均相距400公里，距离广州360公里，历史上是兵家必争之地、商贾云集之处，</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是</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三省通衢要塞。洛湛铁路，厦蓉、道贺高速公路，207国道纵横县域。县城距离桂林国际机场、京广高铁、湘桂高铁、贵广高铁均不到两小时车程，是全省以至中部地区对接东盟，融入泛珠三角经济圈、泛北部湾经济圈的重要节点城市。</w:t>
      </w:r>
    </w:p>
    <w:p w14:paraId="2A3CC00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土地概况</w:t>
      </w:r>
    </w:p>
    <w:p w14:paraId="690BC0B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2022年2月8日，道县第三次国土调查结果经县政府、永州市“三调”办审议并原则同意后，道县第三次国土调查领导小组办公室、{{ client_name }}、道县统计局印发了《道县第三次国土调查主要数据公报》，道县主要地类数据如下：</w:t>
      </w:r>
    </w:p>
    <w:p w14:paraId="1D4F5A8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耕地664793.55亩(44319.57公顷)。其中，水田482092.50亩(32139.50公顷),占比72.52%;旱地182701.05亩(12180.07公顷),占比27.48%。另外，还有6060.45亩(404.03公顷)现状耕地位于城镇村庄范围内尚未建设的土地中，其中水田3225.90亩(215.06公顷),旱地2834.55亩(188.97公顷)。总体来看，耕地主要分布在清塘镇、寿雁镇、祥霖铺镇、白芒铺镇、柑子园镇、蚣坝镇等。耕地整体位于国家划定的一年两熟制区域，均位于年降水量1000mm以上地区。位于2度以下坡度(含2度)的耕地 402443.40亩(26829.56公顷),占比60.54%;位于2-6度坡度(含6度)的耕地193651.65亩(12910.11公顷),占比29.13%;位于6-15度坡度(含15度)的耕地59623.05亩(3974.87公顷),占比8.97%;位于15-25度坡度(含25度)的耕地6413.85亩(427.59公顷),占比0.96%;位于25度以上坡度的耕地2661.60亩(177.44公顷),占比0.40%。</w:t>
      </w:r>
    </w:p>
    <w:p w14:paraId="4B7DD37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2）园地337559.10亩(22503.94公顷)。其中，果园166497.00亩(11099.80公顷),占比49.32%;茶园209.55 亩(13.97公顷),占比0.06%;其他园地170852.55亩(11390.17公顷),占比50.62%。总体来看，园地主要分布在祥霖铺镇、审章塘瑶族乡、白芒铺镇、柑子园镇、蚣坝镇、白马渡镇、东门街道和上关街道等。</w:t>
      </w:r>
    </w:p>
    <w:p w14:paraId="435FC66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3）林地2182564.20亩(145504.28公顷)。其中，乔木林地1606323.75亩(107088.25公顷),占比73.60%; 竹林地37044.75亩(2469.65公顷),占比1.70%;灌木林地276271.80亩(18418.12公顷),占比12.66%;其他林地262923.90亩(17528.26公顷),占比12.04%。总体来看，林地主要分布在桥头镇、乐福堂乡、仙子脚镇、清塘镇、四马桥镇、横岭瑶族乡、洪塘营瑶族乡、寿雁镇等。</w:t>
      </w:r>
    </w:p>
    <w:p w14:paraId="3AFFA50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4）草地49423.20亩(3294.88公顷)。其中，其他草地49423.20亩(3294.88公顷),占比100%。总体来看，草地主要分布在白芒铺镇、蚣坝镇、祥霖铺镇、清塘镇等。</w:t>
      </w:r>
    </w:p>
    <w:p w14:paraId="2863155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5）湿地11854.05亩(790.27公顷)。湿地是“三调” 新增的一级地类，包括8个二级地类，道县涉及4个二级地类。其中，森林沼泽5075.10亩(338.34公顷),占比42.81%;灌丛沼泽555.00亩(37.00公顷),占比4.68%;沼泽草地118.95亩(7.93公顷),占比1.01%;内陆滩涂6105.00亩(407.00公顷),占比51.50%。总体来看，湿地主要分布在白马渡镇、祥霖铺镇和四马桥镇等。</w:t>
      </w:r>
    </w:p>
    <w:p w14:paraId="3F986F8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6）城镇村及工矿用地190153.80亩(12676.92公顷)。</w:t>
      </w:r>
    </w:p>
    <w:p w14:paraId="26D1C26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其中，建制镇用地36675.75亩(2445.05公顷),占比19.29%; 村庄用地142302.45亩(9486.83公顷),占比74.83%;工业用地8931.15亩(595.41公顷),占比4.70%;风景名胜及特殊用地2244.45亩(149.63公顷),占比1.18%。总体来看，城镇村及工矿用地主要分布在濂溪街道、西洲街道、东门街道等。</w:t>
      </w:r>
    </w:p>
    <w:p w14:paraId="5140AF5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交通运输用地51000.90亩(3400.06公顷)。其中，铁路用地2208.90亩(147.26公顷),占比4.33%;公路用地13619.70亩(907.98公顷),占比26.71%;农村道路35163.75亩(2344.25公顷),占比68.95%;机场用地7.35亩(0.49公顷),占比0.01%;港口码头用地1.20亩(0.08公顷)。总体来看，交通运输用地中面积占比最大的地类是农村道路。</w:t>
      </w:r>
    </w:p>
    <w:p w14:paraId="2D54A7B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8）水域及水利设施用地145174.35亩(9678.29公顷)。</w:t>
      </w:r>
    </w:p>
    <w:p w14:paraId="7E56D9D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其中，河流水面52697.40亩(3513.16公顷),占比36.30%; 水库水面15825.00亩(1055.00公顷),占比10.90%;坑 塘水面61042.65亩(4069.51公顷),占比42.05%;沟渠 14012.25亩(934.15公顷),占比9.65%;水工建筑用地 1597.05亩(106.47公顷),占比1.10%。总体来看，祥霖 铺镇、清塘镇、白马渡镇、寿雁镇、东门街道等乡镇街道的水域及水利设施用地面积较大。</w:t>
      </w:r>
    </w:p>
    <w:p w14:paraId="3CED0E1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2.不动产制度与不动产市场状况</w:t>
      </w:r>
    </w:p>
    <w:p w14:paraId="69AA2AE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（1）土地制度</w:t>
      </w:r>
    </w:p>
    <w:p w14:paraId="0647595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根据《中华人民共和国宪法》《中华人民共和国土地管理法》和《中华人民共和国民法典》等规定，按照国家现行的土地政策进行土地施政。</w:t>
      </w:r>
    </w:p>
    <w:p w14:paraId="58B98C2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1）土地所有制</w:t>
      </w:r>
    </w:p>
    <w:p w14:paraId="566DB3B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《土地管理法》第二条规定：“中华人民共和国实行土地的社会主义公有制，即全民所有制和劳动群众集体所有制。”</w:t>
      </w:r>
    </w:p>
    <w:p w14:paraId="6DF65C4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①国有土地</w:t>
      </w:r>
    </w:p>
    <w:p w14:paraId="7D4A512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全民所有制的土地被称为国家所有土地，简称国有土地，其所有权由国务院代表国家行使。《土地管理法》第二条规定：“全民所有，即国家所有土地的所有权由国务院代表国家行驶。”</w:t>
      </w:r>
    </w:p>
    <w:p w14:paraId="0C1A436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城市市区的土地属于国家所有。《宪法》《民法典》都明确规定，城市的土地属于国家所有。《土地管理法》第八条更明确规定：“城市市区的土地属于国家所有。”这里所说的城市是指国家设立市建制的城市，不同于某些法律、法规中的城市含义。建制镇不属于《宪法》《土地管理法》所说的城市范畴，也不属于其所说的农村和城市郊区的范畴。《土地管理法实施条例》第二条进一步明确了国有土地的范畴，其规定如下：①城市市区的土地；②农村和城市郊区中已经依法没收、征收、征购为国有的土地；③国家依法征收的土地； ④依法不属于集体所有的林地、草地、荒地、滩涂及其他土地；⑤农村集体经济组织全部成员转为城镇居民的，原属于其成员集体所有的土地；⑥因国家组织移民、自然灾害等原因，农民成建制地集体迁移后不再使用的原属于迁移农民集体所有的土地。</w:t>
      </w:r>
    </w:p>
    <w:p w14:paraId="3A92DB8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②集体土地</w:t>
      </w:r>
    </w:p>
    <w:p w14:paraId="7E2A0F5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劳动群众集体所有制的土地采取的是农民集体所有的形式，该种所有制的土地被称为农民集体所有土地，简称集体土地。农民集体的范围有下列三种：①村农民集体；②村内两个以上农村集体经济组织的农民集体；③乡（镇）农民集体。《土地管理法》第十条规定：“农民集体所有的土地依法属于农民集体所有的，由村集体经济组织或者村民委员会经营、管理；已经分别属于村内两个以上农村集体经济组织的农民集体所有的，由村内给该农村集体经济组织或者村民小组经营、管理；已经属于乡（镇）农民集体所有的，由乡（镇）农村集体经济组织经营、管理。”</w:t>
      </w:r>
    </w:p>
    <w:p w14:paraId="70412E0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2）土地管理的基本制度</w:t>
      </w:r>
    </w:p>
    <w:p w14:paraId="384E11D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①实行土地登记制度</w:t>
      </w:r>
    </w:p>
    <w:p w14:paraId="0999653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土地管理法》和《土地登记规则》，国家依法对国有土地使用权、集体土地所有权、集体土地使用权和土地他项权利进行登记。土地登记由县级以上人民政府登记造册，确认有关土地权利。属于国有土地的，核发相应的《不动产权证书》，确认国有建设用地使用权；属于农民集体所有土地的，核发相应的《不动产权证书》，确认集体土地所有权；使用集体土地的，核发《集体建设用地使用证》，确认集体土地使用权；属于土地他项权利的，核发土地他项权利证明书，确认土地他相权。他项权利包括抵押权、承租权以及法律、行政法规规定需要登记的他项权利。</w:t>
      </w:r>
    </w:p>
    <w:p w14:paraId="17AF1EA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②实行土地有偿有限期使用制度</w:t>
      </w:r>
    </w:p>
    <w:p w14:paraId="418ABB4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除国家核准的划拨用地以外，凡新增土地和原使用的土地改变用途或使用条件、进行市场交易等，均实行有偿有限期使用。</w:t>
      </w:r>
    </w:p>
    <w:p w14:paraId="5CEE065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管理法》第二条规定：“国家依法实行国有土地有偿使用制度。但是，国家在法律规定的范围内划拨国有土地使用权的除外。”《中华人民共和国城镇国有土地使用权出让和转让暂行条例》第八条也明确规定：“土地使用权出让是指国家以土地所有者的身份将土地使用权在一定年限内让与土地使用者，并由土地使用者向国家支付土地使用权出让金的行为。”</w:t>
      </w:r>
    </w:p>
    <w:p w14:paraId="4470CB1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③实行土地用途管制制度</w:t>
      </w:r>
    </w:p>
    <w:p w14:paraId="1F64BA0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土地利用总体规划，将土地用途分为农用地、建设用地和未利用地。土地用途管制的核心是不能随意改变农用地的用途。农用地转用须经有批准权的人民政府核准。控制建设用地总量，严格限制农用地转为建设用地。</w:t>
      </w:r>
    </w:p>
    <w:p w14:paraId="4DE428B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④实行耕地保护制度</w:t>
      </w:r>
    </w:p>
    <w:p w14:paraId="782FF9E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十分珍惜、合理利用土地和切实保护耕地是我国的基本国策。《民法典》规定，国家对耕地实行特殊保护，严格限制农用地转为建设用地，控制建设用地总规模。耕地主要是指种植农作物的土地，包括新开垦荒地、轮歇地、草田轮作地；以种植农作物为主间有零星果树、桑树或其他树木的土地；耕种3年以上的滩地和滩涂等。</w:t>
      </w:r>
    </w:p>
    <w:p w14:paraId="7FF5A87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（2）住房制度</w:t>
      </w:r>
    </w:p>
    <w:p w14:paraId="2EB033E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目前</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实行“市场型、商品性、工资化分配、社会化管理”的住房制度，其基本特点是：主要通过市场机制调节住房的生产、分配、交换、消费，决定住房资源的配置、分配和使用。住房投资建设由开发商自主进行。住房消费包含在职工工资之中。住房分配通过市场交换进行，职工以其收入自由选择购买或租房入住。住房管理与政府和单位分离，由物业公司进行社会化、专业化管理。政府的作用主要体现在调控市场和对低收入者提供基本的住房社会保障方面。</w:t>
      </w:r>
    </w:p>
    <w:p w14:paraId="21F8B2B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sz w:val="28"/>
        </w:rPr>
        <w:t>2020年8月18日，{{ base_price_doc_authority }}发布了《道县农村宅基地管理办法》（道政发〔2020〕5号），强调农村村（居）民住房建设应当遵循规划先行、先批后建、一户一宅、适度集中的原则，鼓励乡镇（街道）、村集体经济组织对废旧宅基地进行复垦并落实耕种，对复垦项目经验收确认的新增建设用地指标和耕地占补指标，按县人民政府规定的奖励标准予以补偿。节余的新增建设用地指标和耕地占补指标由县人民政府统筹安排，用于全县范围内的项目建设。复垦后的农用地由当地集体经济组织进行承包经营和分配。</w:t>
      </w:r>
    </w:p>
    <w:p w14:paraId="11627E9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2022年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月，湖南省发展和改革委员会 湖南省住房和城乡建设厅 印发</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了</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湖南省公共租赁住房租金管理办法》的通知，“实行政府定价的公共租赁住房的租金标准在制定和调整时，属省直单位投资筹集的由省直有关单位提出建议方案，属市、县投资筹集的由市、县住房和城乡建设部门负责提出建议方案，同级发展改革部门在履行相关定价程序后作出价格决定，并向社会公布；实行政府指导价管理的公共租赁住房租金标准在制定和调整时可按照不超过同地段或同区域、同类型住房市场租金水平的70％确定，具体标准由公共租赁住房的所有权人或其委托的运营管理机构确定，并报送同级发展改革部门和住房和城乡建设部门审查同意后向社会公布实施。”。</w:t>
      </w:r>
    </w:p>
    <w:p w14:paraId="108631C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（3）地价政策</w:t>
      </w:r>
    </w:p>
    <w:p w14:paraId="29F31E1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现行土地征收补偿标准是根据《湖南省人民政府关于调整湖南省征地补偿标准的通知》（湘政发〔2024〕1号，202</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日）文件执行，相较于上一轮，现行土地征收补偿标准有</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%的上调，各等级片区划分有一定微调。</w:t>
      </w:r>
    </w:p>
    <w:p w14:paraId="09FE85D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现行的农村集体土地地上附着物及青苗补偿标准按照《关于印发</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&lt;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永州市集体土地与房屋征收补偿安置办法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&gt;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的通知》（永政发〔2024〕4号，20</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24</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日）文件执行。</w:t>
      </w:r>
    </w:p>
    <w:p w14:paraId="0A43D0D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（4）不动产市场状况</w:t>
      </w:r>
    </w:p>
    <w:p w14:paraId="497222D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1）土地市场状况</w:t>
      </w:r>
    </w:p>
    <w:p w14:paraId="243AB6D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①土地供应总量 </w:t>
      </w:r>
    </w:p>
    <w:p w14:paraId="17811CF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土地动态监测监管系统数据显示，2020年以来，道县土地供应情况总体呈下降的特征。其中2020年供应土地面积最大，达256.4公顷。2022年供应土地最少，仅为161.63公顷。近5年共供应土地总面积达到972.42公顷，其中出让土地415.14公顷，占供应总量的42.69%，划拨土地557.28公顷，占供应总量的57.31%，总体年均供地194.49公顷，其中出让年均供应83.03公顷，划拨年均供地111.46公顷，详见下表。</w:t>
      </w:r>
    </w:p>
    <w:p w14:paraId="72CC2199">
      <w:pPr>
        <w:keepLines w:val="0"/>
        <w:pageBreakBefore w:val="0"/>
        <w:kinsoku/>
        <w:wordWrap/>
        <w:overflowPunct/>
        <w:topLinePunct w:val="0"/>
        <w:autoSpaceDE/>
        <w:autoSpaceDN/>
        <w:bidi w:val="0"/>
        <w:spacing w:line="480" w:lineRule="exact" w:before="0" w:after="0"/>
        <w:ind w:firstLine="560" w:firstLineChars="200"/>
        <w:jc w:val="center"/>
        <w:textAlignment w:val="auto"/>
        <w:outlineLvl w:val="9"/>
        <w:rPr>
          <w:rFonts w:hint="eastAsia" w:ascii="仿宋_GB2312" w:eastAsia="仿宋_GB2312"/>
          <w:color w:val="000000" w:themeColor="text1"/>
          <w:sz w:val="28"/>
          <w:szCs w:val="30"/>
          <w:highlight w:val="none"/>
          <w14:textFill>
            <w14:solidFill>
              <w14:schemeClr w14:val="tx1"/>
            </w14:solidFill>
          </w14:textFill>
        </w:rPr>
      </w:pPr>
      <w:r>
        <w:rPr>
          <w:rFonts w:hint="eastAsia" w:ascii="仿宋_GB2312" w:hAnsi="仿宋_GB2312" w:eastAsia="仿宋_GB2312" w:cs="仿宋_GB2312"/>
          <w:color w:val="000000" w:themeColor="text1"/>
          <w:kern w:val="0"/>
          <w:sz w:val="28"/>
          <w:szCs w:val="28"/>
          <w:highlight w:val="none"/>
          <w:lang w:val="en-US" w:eastAsia="zh-CN" w:bidi="ar"/>
          <w14:textFill>
            <w14:solidFill>
              <w14:schemeClr w14:val="tx1"/>
            </w14:solidFill>
          </w14:textFill>
        </w:rPr>
        <w:t>道县 2020—2024年土地供应情况一览表</w:t>
      </w:r>
    </w:p>
    <w:tbl>
      <w:tblPr>
        <w:tblStyle w:val="9"/>
        <w:tblW w:w="4962"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60"/>
        <w:gridCol w:w="2591"/>
        <w:gridCol w:w="2298"/>
        <w:gridCol w:w="2408"/>
      </w:tblGrid>
      <w:tr w14:paraId="0E950F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DA348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年份</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8FE55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出让土地（公顷）</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B81C9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划拨土地（公顷）</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B09E5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总面积（公顷）</w:t>
            </w:r>
          </w:p>
        </w:tc>
      </w:tr>
      <w:tr w14:paraId="63D844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6FA90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default"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2020</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7554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91.77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1F56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164.63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8B9A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256.40 </w:t>
            </w:r>
          </w:p>
        </w:tc>
      </w:tr>
      <w:tr w14:paraId="1FA626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A8D83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2021</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F4925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100.84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9FDA1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83.89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9425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184.73 </w:t>
            </w:r>
          </w:p>
        </w:tc>
      </w:tr>
      <w:tr w14:paraId="25BB68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7F582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2022</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970B0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67.23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F894D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94.40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3EF8A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161.63 </w:t>
            </w:r>
          </w:p>
        </w:tc>
      </w:tr>
      <w:tr w14:paraId="1E0C13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A36E5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2023</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481D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20.42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D1C5D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181.51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8D779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201.93 </w:t>
            </w:r>
          </w:p>
        </w:tc>
      </w:tr>
      <w:tr w14:paraId="37888A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8B1E4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2024</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1CBA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134.88</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DAE50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32.85</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EB50C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167.73 </w:t>
            </w:r>
          </w:p>
        </w:tc>
      </w:tr>
      <w:tr w14:paraId="2740F3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EF190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合计</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F1C9C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415.14</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7F3CC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557.28</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9531A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972.42</w:t>
            </w:r>
          </w:p>
        </w:tc>
      </w:tr>
      <w:tr w14:paraId="596E01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D5D88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年均</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5B64F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83.03</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F9525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111.46</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53FB6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194.49</w:t>
            </w:r>
          </w:p>
        </w:tc>
      </w:tr>
      <w:tr w14:paraId="17A475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8"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501FD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占比</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EF622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42.69%</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46B81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57.31%</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D9A8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100.00%</w:t>
            </w:r>
          </w:p>
        </w:tc>
      </w:tr>
    </w:tbl>
    <w:p w14:paraId="1D04DA12">
      <w:pPr>
        <w:pStyle w:val="2"/>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center"/>
        <w:textAlignment w:val="auto"/>
        <w:outlineLvl w:val="9"/>
        <w:rPr>
          <w:rFonts w:hint="eastAsia" w:eastAsia="仿宋_GB2312"/>
          <w:color w:val="000000" w:themeColor="text1"/>
          <w:highlight w:val="none"/>
          <w:lang w:eastAsia="zh-CN"/>
          <w14:textFill>
            <w14:solidFill>
              <w14:schemeClr w14:val="tx1"/>
            </w14:solidFill>
          </w14:textFill>
        </w:rPr>
      </w:pPr>
    </w:p>
    <w:p w14:paraId="547DD2B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eastAsia="仿宋_GB2312"/>
          <w:color w:val="000000" w:themeColor="text1"/>
          <w:sz w:val="28"/>
          <w:szCs w:val="30"/>
          <w:highlight w:val="none"/>
          <w:lang w:eastAsia="zh-CN"/>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4654550" cy="2590800"/>
            <wp:effectExtent l="4445" t="4445" r="19685" b="10795"/>
            <wp:docPr id="63"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3A26772A">
      <w:pPr>
        <w:keepLines w:val="0"/>
        <w:pageBreakBefore w:val="0"/>
        <w:kinsoku/>
        <w:wordWrap/>
        <w:overflowPunct/>
        <w:topLinePunct w:val="0"/>
        <w:autoSpaceDE/>
        <w:autoSpaceDN/>
        <w:bidi w:val="0"/>
        <w:spacing w:line="480" w:lineRule="exact" w:before="0" w:after="0"/>
        <w:ind w:left="0" w:leftChars="0" w:firstLine="0" w:firstLineChars="0"/>
        <w:jc w:val="center"/>
        <w:textAlignment w:val="auto"/>
        <w:outlineLvl w:val="9"/>
        <w:rPr>
          <w:rFonts w:hint="eastAsia" w:ascii="仿宋" w:hAnsi="仿宋" w:eastAsia="仿宋" w:cs="仿宋"/>
          <w:color w:val="000000" w:themeColor="text1"/>
          <w:kern w:val="0"/>
          <w:sz w:val="28"/>
          <w:szCs w:val="28"/>
          <w:highlight w:val="none"/>
          <w:lang w:val="en-US" w:eastAsia="zh-CN" w:bidi="ar"/>
          <w14:textFill>
            <w14:solidFill>
              <w14:schemeClr w14:val="tx1"/>
            </w14:solidFill>
          </w14:textFill>
        </w:rPr>
      </w:pPr>
      <w:r>
        <w:rPr>
          <w:rFonts w:hint="eastAsia" w:ascii="仿宋_GB2312" w:hAnsi="仿宋_GB2312" w:eastAsia="仿宋_GB2312" w:cs="仿宋_GB2312"/>
          <w:color w:val="000000" w:themeColor="text1"/>
          <w:kern w:val="0"/>
          <w:sz w:val="28"/>
          <w:szCs w:val="28"/>
          <w:highlight w:val="none"/>
          <w:lang w:val="en-US" w:eastAsia="zh-CN" w:bidi="ar"/>
          <w14:textFill>
            <w14:solidFill>
              <w14:schemeClr w14:val="tx1"/>
            </w14:solidFill>
          </w14:textFill>
        </w:rPr>
        <w:t>道县2020-2024年土地供应总量图</w:t>
      </w:r>
    </w:p>
    <w:p w14:paraId="7997F65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②土地供应结构 </w:t>
      </w:r>
    </w:p>
    <w:p w14:paraId="4DD3CD6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近几年发展形势来看，宏观经济进入新常态发展时期，经济增速逐步趋缓，2020-2024年土地市场供应有所起伏，2020年土地市场趋于活跃。从道县近5年的房地产开发用地商服、住宅及工矿仓储用地供应情况来看，三类用地占土地供应总量的34.5%，其中住宅用地供应量最大，占土地供应总量的19.01%，其次是工矿仓储用地，占土地供应总量的12.24%，商服用地最小，仅占土地供应总量的3.25%。从其他用地的供应情况来看，其他土地占总供应量的65.5%。其中公共管理与公共服务用地、交通运输用地的供应面积比例较大，占土地供应总面积的比例分别为29.5%、35.1%，另外还有少量特殊用地的供应，占土地供应总面积的0.9%，详见下表。</w:t>
      </w:r>
    </w:p>
    <w:p w14:paraId="3A34AC59">
      <w:pPr>
        <w:keepLines w:val="0"/>
        <w:pageBreakBefore w:val="0"/>
        <w:kinsoku/>
        <w:wordWrap/>
        <w:overflowPunct/>
        <w:topLinePunct w:val="0"/>
        <w:autoSpaceDE/>
        <w:autoSpaceDN/>
        <w:bidi w:val="0"/>
        <w:spacing w:line="480" w:lineRule="exact" w:before="0" w:after="0"/>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道县2020-2024年土地供应情况表</w:t>
      </w:r>
    </w:p>
    <w:p w14:paraId="1646A79D">
      <w:pPr>
        <w:pStyle w:val="14"/>
        <w:spacing w:before="0" w:after="0" w:line="480" w:lineRule="exact"/>
        <w:jc w:val="right"/>
        <w:rPr>
          <w:rFonts w:hint="default"/>
          <w:color w:val="000000" w:themeColor="text1"/>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单位：公顷</w:t>
      </w:r>
    </w:p>
    <w:p w14:paraId="08CB03B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5757545" cy="2015490"/>
            <wp:effectExtent l="0" t="0" r="3175" b="11430"/>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33"/>
                    <a:stretch>
                      <a:fillRect/>
                    </a:stretch>
                  </pic:blipFill>
                  <pic:spPr>
                    <a:xfrm>
                      <a:off x="0" y="0"/>
                      <a:ext cx="5757545" cy="2015490"/>
                    </a:xfrm>
                    <a:prstGeom prst="rect">
                      <a:avLst/>
                    </a:prstGeom>
                    <a:noFill/>
                    <a:ln>
                      <a:noFill/>
                    </a:ln>
                  </pic:spPr>
                </pic:pic>
              </a:graphicData>
            </a:graphic>
          </wp:inline>
        </w:drawing>
      </w:r>
    </w:p>
    <w:p w14:paraId="641D151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color w:val="000000" w:themeColor="text1"/>
          <w:highlight w:val="none"/>
          <w14:textFill>
            <w14:solidFill>
              <w14:schemeClr w14:val="tx1"/>
            </w14:solidFill>
          </w14:textFill>
        </w:rPr>
      </w:pPr>
    </w:p>
    <w:p w14:paraId="5FAE319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3742055" cy="2219960"/>
            <wp:effectExtent l="4445" t="4445" r="17780" b="15875"/>
            <wp:docPr id="64" name="图表 2" descr="7b0a202020202263686172745265734964223a202234353338343530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0E715250">
      <w:pPr>
        <w:keepLines w:val="0"/>
        <w:pageBreakBefore w:val="0"/>
        <w:kinsoku/>
        <w:wordWrap/>
        <w:overflowPunct/>
        <w:topLinePunct w:val="0"/>
        <w:autoSpaceDE/>
        <w:autoSpaceDN/>
        <w:bidi w:val="0"/>
        <w:spacing w:line="480" w:lineRule="exact" w:before="0" w:after="0"/>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道县2020-2024年土地供应结构图</w:t>
      </w:r>
    </w:p>
    <w:p w14:paraId="777A777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③土地供应方式 </w:t>
      </w:r>
    </w:p>
    <w:p w14:paraId="273227E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从供应方式来看，主要包括划拨和出让两种方式，从近5年的累计数据来看，道县以划拨方式供应土地557.28公顷，占供应土地总量的57.31%，出让土地面积415.14公顷，占42.69%，出让方式均为招拍挂出让。</w:t>
      </w:r>
    </w:p>
    <w:p w14:paraId="32AE3E1A">
      <w:pPr>
        <w:keepLines w:val="0"/>
        <w:pageBreakBefore w:val="0"/>
        <w:kinsoku/>
        <w:wordWrap/>
        <w:overflowPunct/>
        <w:topLinePunct w:val="0"/>
        <w:autoSpaceDE/>
        <w:autoSpaceDN/>
        <w:bidi w:val="0"/>
        <w:spacing w:line="480" w:lineRule="exact" w:before="0" w:after="0"/>
        <w:ind w:firstLine="560" w:firstLineChars="20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道县2020-2024年土地供应方式情况表</w:t>
      </w:r>
    </w:p>
    <w:p w14:paraId="2508AB32">
      <w:pPr>
        <w:pStyle w:val="14"/>
        <w:spacing w:before="0" w:after="0" w:line="480" w:lineRule="exact"/>
        <w:jc w:val="right"/>
        <w:rPr>
          <w:rFonts w:hint="default"/>
          <w:color w:val="000000" w:themeColor="text1"/>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单位：公顷</w:t>
      </w:r>
    </w:p>
    <w:tbl>
      <w:tblPr>
        <w:tblStyle w:val="9"/>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130"/>
        <w:gridCol w:w="2130"/>
        <w:gridCol w:w="2130"/>
        <w:gridCol w:w="2132"/>
      </w:tblGrid>
      <w:tr w14:paraId="5C47E8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3CF25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年份</w:t>
            </w:r>
          </w:p>
        </w:tc>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AE7F2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出让面积</w:t>
            </w:r>
          </w:p>
        </w:tc>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FC153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划拨面积</w:t>
            </w:r>
          </w:p>
        </w:tc>
        <w:tc>
          <w:tcPr>
            <w:tcW w:w="12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941DB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供应总量</w:t>
            </w:r>
          </w:p>
        </w:tc>
      </w:tr>
      <w:tr w14:paraId="4B2803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87E1B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2020</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E6054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91.77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94AFD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164.63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25E8F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256.40 </w:t>
            </w:r>
          </w:p>
        </w:tc>
      </w:tr>
      <w:tr w14:paraId="484C9F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606A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2021</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5CCA4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100.84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99041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83.89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29323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184.73 </w:t>
            </w:r>
          </w:p>
        </w:tc>
      </w:tr>
      <w:tr w14:paraId="02B17F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9227E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2022</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89E1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67.23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49D40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94.40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94B2D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161.63 </w:t>
            </w:r>
          </w:p>
        </w:tc>
      </w:tr>
      <w:tr w14:paraId="7A63FA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8914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2023</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A87AE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20.42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A926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181.51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2DFE6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201.93 </w:t>
            </w:r>
          </w:p>
        </w:tc>
      </w:tr>
      <w:tr w14:paraId="42F582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D96F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2024</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09CF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134.88</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E4BF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32.85</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BAE37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167.73 </w:t>
            </w:r>
          </w:p>
        </w:tc>
      </w:tr>
      <w:tr w14:paraId="4225CA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77A7B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合计</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08367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415.14</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54F4F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557.28</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0A74C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972.42</w:t>
            </w:r>
          </w:p>
        </w:tc>
      </w:tr>
    </w:tbl>
    <w:p w14:paraId="31B0D5A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p>
    <w:p w14:paraId="00ACBD4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④土地供应分布 </w:t>
      </w:r>
    </w:p>
    <w:p w14:paraId="767141C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土地供应分布情况来看，根据对道县往年出让台账统计数据显示，近5年道县城区商服用地土地出让主要分布在富元路、振兴路等城北区域，住宅用地主要分布在城北路、道州北路、道州南路、道州中路、环城西路、潇水沿线等区域，工矿仓储用地主要分布在道县高新技术产业开发区区域；公共管理与公共服务用地主要分布在各乡镇和道县高新技术产业开发区等区域。另外各用途出让地块在清塘镇、审章塘瑶族乡有少量分布。</w:t>
      </w:r>
    </w:p>
    <w:p w14:paraId="35D6385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2）房地产市场状况</w:t>
      </w:r>
    </w:p>
    <w:p w14:paraId="045728A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近几年来，道县房地产业在宏观调控中不断发展壮大，总体上呈现持续、稳定、快速发展的格局，已成为推动全县国民经济和社会发展的有力支撑点。</w:t>
      </w:r>
    </w:p>
    <w:p w14:paraId="4F83776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房地产业作为关系国计民生的重要产业，对于推进道县城市建设、改善民生、拉动投资增长、增加财政收入都具有十分重要意义。 </w:t>
      </w:r>
    </w:p>
    <w:p w14:paraId="0E950EB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当前道县很多开发商重视市场调查和分析，开发建设地段选择、环境配套、套型设计、房屋档次各方面与市场需求较适应。推出了一批具有一定档次的小区式住宅，连片式开发已成势头。出现了一批有规模、有实力、有信誉的大型房地产开发经营企业，这些房地产开发企业的规模、资金实力、技术力量、经营水平等都有了大幅度提高，推动了我县房地产开发业持续、稳定、健康发展。</w:t>
      </w:r>
    </w:p>
    <w:p w14:paraId="74FC753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道县实现建筑业增加值177396万元，比上年增长9.8%。具有资质等级的总承包和专业承包建筑企业完成产值586174.6万元，增长19.05%；房屋建筑施工面积174.88万平方米,比上年增长16.22%；房屋建筑竣工面积124.28万平方米,比上年上升15.39%。实现房地产业（k门类）增加值39342万元,下降15.5%。完成房地产开发投资41337万元,下降44.16%。房屋施工面积74.73万平方米,下降14.56%；竣工面积32.78万平方米，下降6.76%。商品房销售面积33.79万平方米,下降19.89%；商品房销售额14.05亿元,下降28.84%。</w:t>
      </w:r>
    </w:p>
    <w:p w14:paraId="284F8C0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为了解决中低收入城镇居民的住房问题，道县实施解困房工程建设，向社会提供价格低廉的商品房，建立以商品房住宅供应为主体，安居工程住宅供应为补充的住宅供应体系。 </w:t>
      </w:r>
    </w:p>
    <w:p w14:paraId="0F16EE2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3.产业政策</w:t>
      </w:r>
    </w:p>
    <w:p w14:paraId="68FB6FB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（1）相关产业政策</w:t>
      </w:r>
    </w:p>
    <w:p w14:paraId="6B47FCA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2022年1月，湖南省发改委发布关于对《湖南省物业服务收费管理办法》（征求意见稿）（以下简称《办法》）公开征求意见的公告。</w:t>
      </w:r>
    </w:p>
    <w:p w14:paraId="13AF87D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《办法》明确，物业应当于每年第一季度公示上一年度物业服务合同履行情况、物业服务项目收支情况、利用公共部位公共设施设备进行经营等收入情况，本年度收支预算。</w:t>
      </w:r>
    </w:p>
    <w:p w14:paraId="0EE56D8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同时，鼓励物业对未入住或未使用的空置房业主，实行适当费用优惠。</w:t>
      </w:r>
    </w:p>
    <w:p w14:paraId="108EED6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2022年6月，永州市住房和城乡建设局印发《永州市中心城区进一步促进房地产市场平稳发展的若干措施》，在引导住房合理消费需求方面有七条措施：</w:t>
      </w:r>
    </w:p>
    <w:p w14:paraId="21A8A8A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1）实行购房契税补贴。在本措施有效期内购买中心城区新建商品房（含住宅、非住宅）均可享受其所缴纳契税总额80％的财政补贴。</w:t>
      </w:r>
    </w:p>
    <w:p w14:paraId="6009B60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2）实行人才购房补贴。对全日制本科生、全日制研究生和副高级职称人才、全日制博士研究生和正高级职称人才购房，分别补贴2万元、3万元、5万元。</w:t>
      </w:r>
    </w:p>
    <w:p w14:paraId="261B2C4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3）切实解决业主子女入学问题。购房业主子女凭房屋不动产权证或购房合同并契税缴纳凭证，享受房屋所在地义务教育阶段学校学位。</w:t>
      </w:r>
    </w:p>
    <w:p w14:paraId="1707785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4）加大房地产信贷支持力度。实施差别化住房信贷政策，鼓励金融机构支持个人购房贷款，支持房地产企业贷款。</w:t>
      </w:r>
    </w:p>
    <w:p w14:paraId="1B190A2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5）提高住房公积金贷款额度。全面放开异地贷款业务，先进模范人物和高层次人才最高贷款额度提高至100万元，生育二孩、三孩的家庭最高贷款额度可上浮10万元和20万元。</w:t>
      </w:r>
    </w:p>
    <w:p w14:paraId="36DE5F9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6）停止新建安置房和自建安置房。采用以货币化为主的安置方式，鼓励征收户选择已建成的安置房或商品房进行产权调换。</w:t>
      </w:r>
    </w:p>
    <w:p w14:paraId="19A1E75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7）下调二手房评税价格。将住房类、商业类、其他非住宅存量房分别按当前系统评估价格下调20%、40%、30%。</w:t>
      </w:r>
    </w:p>
    <w:p w14:paraId="1DFF65C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在帮助企业纾困解难方面有六条措施：</w:t>
      </w:r>
    </w:p>
    <w:p w14:paraId="4569ED3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1）加大税收支持力度。房地产开发企业可以依法办理延期缴纳税款，确保税收优惠应享尽享。</w:t>
      </w:r>
    </w:p>
    <w:p w14:paraId="752D8D6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2）优化预售资金监管政策。对信用等级良好的房地产开发企业适当放宽预售资金解控比例，支持启动应急用款方式支付项目工程建设费用。</w:t>
      </w:r>
    </w:p>
    <w:p w14:paraId="23CB2CF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分期缴纳土地价款，调整延缓缴纳相关费用。土地出让金1亿元以上的项目，在中标后缴纳50%土地出让金，余款可以分次交清。全市土地挂牌出让交易服务费按现行标准下浮40%。延缓城市基础设施配套费缴纳时间至在取得预售许可证后3个月内缴清。</w:t>
      </w:r>
    </w:p>
    <w:p w14:paraId="2C482D6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4）实行“商改住”。采取“商改住”、“商改租”、降低商住配比、降低公寓业主使用成本、加大购买非住宅金融支持等方式加快非住宅库存去化。</w:t>
      </w:r>
    </w:p>
    <w:p w14:paraId="1A178A7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5）加速公共服务配套。破解“大开发、小配套”问题，鼓励房企引入优质医疗、教育等公共资源，引导社会资本投资配建公共服务和市政基础设施。</w:t>
      </w:r>
    </w:p>
    <w:p w14:paraId="4935300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6）实行新建商品房“交房即交证”。缩短房地产开发建设项目从竣工验收到办理不动产首次登记及转移登记的全过程时限，推动地下车位、车库出售、出租、办理不动产权证。</w:t>
      </w:r>
    </w:p>
    <w:p w14:paraId="6D6D9E5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2023年5月，{{ base_price_doc_authority }}关于印发《道县进一步促进房地产市场平稳健康发展的十条措施》的通知，结合道县实际，制定十条措施保障房地产市场健康发展：</w:t>
      </w:r>
    </w:p>
    <w:p w14:paraId="0121425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1）实行购房契税补贴。本措施有效期内在道县城区购买新建商 品房（不含商业门面和二手房），签订商品房网签合同、备案并缴纳契税的，由县财政按其所缴纳契税金额的100%对购房人予以补贴。</w:t>
      </w:r>
    </w:p>
    <w:p w14:paraId="4D63031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2）实行人才购房补贴。对企事业单位全职引进的35周岁以下全日制硕士研究生或副高级专业技术职称人才和“双一流”建设高校全日制本科生、其他高校全日制本科生分别给予5万元、2万元购房补贴。</w:t>
      </w:r>
    </w:p>
    <w:p w14:paraId="4300DCA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3）切实解决业主子女入学问题。在义务教育学段，根据招生政 策及学位情况，购房人凭商品房买卖合同备案证明或不动产证可申请子女就近入学。教育部门根据辖区的人口分布等情况，按道路和住宅小区的边界等调整义务教育招生辖区。学校学位不足时，由教育部门统筹安排入学。</w:t>
      </w:r>
    </w:p>
    <w:p w14:paraId="53E7E0C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4）鼓励房企团购让利销售。支持机关、企事业单位、村（社区）、社会团体等组团购买商品住房，鼓励房地产企业对团购合理合 规让利销售，团购价格可按商品住房备案价格优惠2%—10%。</w:t>
      </w:r>
    </w:p>
    <w:p w14:paraId="780B662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完善公共配套和基础设施。根据道县国土空间总体规划完善房地产项目周边的交通、教育、医疗、公园等公共配套和基础设施建设,为楼盘开发销售创造优良环境，确保房地产开发项目配套完善、功能齐全，满足业主的入住条件。</w:t>
      </w:r>
    </w:p>
    <w:p w14:paraId="52F96E0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容缺办理相关审批手续。房地产开发企业购置国有建设用地使用权的，在签订土地出让合同并缴纳不低于50%土地出让金后，相关职能部门可容缺办理建设用地规划许可证、规划设计方案审查、建设工程规划许可证、施工许可证等行政审批手续；在完成规划条件核实、竣工验收并缴清相关费用后，给予办理不动产登记手续。</w:t>
      </w:r>
    </w:p>
    <w:p w14:paraId="0AC0762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加大金融支持力度。落实个人住房贷款首付比例、利率等优惠政策，争取首套房首付比例不高于永州全辖金融机构最低规定比例，首套房贷款年利率不高于4.3%。实施差别化住房信贷政策，个人按揭贷款放款周期缩短到3个月内，对拥有1套住房并已结清购房贷款的家庭，为改善居住条件再次申请贷款购买商品住房的，金融机构贷 款执行首套房贷款政策。鼓励金融机构对符合条件的小微企业主、个体工商户，购买商铺、公寓等非住宅商品房按房地产贷款政策给予利率优惠。住房公积金全面放开异地贷款业务，支持全国住房公积金缴存职工到道县购房，不受缴存地、户籍地的限制。</w:t>
      </w:r>
    </w:p>
    <w:p w14:paraId="01BC376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加大税收支持力度。房地产开发企业可以按规定申请延期纳税申报。对有特殊困难而不能按期缴纳税款的，由企业申请，依法办理延期缴纳税款，最长不超过3个月。对房地产企业销售未完工产品计税毛利率统一下调至10%。对纳税信用等级好、管理规范的房地产企业，税务部门依法受理审批增值税期末留抵退税，确保税收优惠应享尽享。</w:t>
      </w:r>
    </w:p>
    <w:p w14:paraId="2CC2A07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实行新建商品房“交房即交证”。通过部门协同、整合平台、强化监管、再造流程、信息共享等方式，缩短房地产开发建设项目从竣工验收到办理不动产首次登记及转移登记的全过程时限，努力构建行之有效、可复制的新建商品房“交房即交证”工作模式。</w:t>
      </w:r>
    </w:p>
    <w:p w14:paraId="5E4915A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切实维护房地产市场秩序。加强房地产政策宣传，适时举办住博会；加大违法建设查处力度，禁止任何单位和个人建设和销售小产权房；加大对未批先售、未经竣工验收即交付使用、虚假违法宣传、未明码标价、价格欺诈、相互串通、操纵市场价格、低于成本价格倾销、以及哄抬价格等违法违规行为的查处力度，持续有效地促进房地产市场平稳健康发展。</w:t>
      </w:r>
    </w:p>
    <w:p w14:paraId="4D58C26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（2）税收政策</w:t>
      </w:r>
    </w:p>
    <w:p w14:paraId="18E2EAE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根据国家有关税法文件规定，房地产开发企业主要涉及的税费包括：</w:t>
      </w:r>
    </w:p>
    <w:p w14:paraId="5C5841C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1）契税</w:t>
      </w:r>
    </w:p>
    <w:p w14:paraId="64A9F2F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纳税人：转移土地、房屋权属，承受的单位和个人；</w:t>
      </w:r>
    </w:p>
    <w:p w14:paraId="2506580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计税依据：市场价格或差额，计征契税的成交价格不含增值税；</w:t>
      </w:r>
    </w:p>
    <w:p w14:paraId="285AFE7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税率：3%—5%</w:t>
      </w:r>
    </w:p>
    <w:p w14:paraId="13EC954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w:t>
      </w:r>
    </w:p>
    <w:p w14:paraId="1EB3273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2）城镇土地使用税</w:t>
      </w:r>
    </w:p>
    <w:p w14:paraId="5AB9571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纳税人：在城市、县城、建制镇、工矿区范围内拥有土地使用权的单位和个人；</w:t>
      </w:r>
    </w:p>
    <w:p w14:paraId="7E24680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计税依据：实际占用土地面积；</w:t>
      </w:r>
    </w:p>
    <w:p w14:paraId="203B1A0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适用税额：大城市1.5-30元，中等城市1.2-24元，小城市0.9-18元，县城、建制镇、工矿区0.6-12元；</w:t>
      </w:r>
    </w:p>
    <w:p w14:paraId="66564A5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纳税义务发生时间：取得土地后次月；</w:t>
      </w:r>
    </w:p>
    <w:p w14:paraId="4717502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涉税阶段：前期准备阶段、建设施工阶段、预售阶段。</w:t>
      </w:r>
    </w:p>
    <w:p w14:paraId="375509C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3）耕地占用税</w:t>
      </w:r>
    </w:p>
    <w:p w14:paraId="01E50F6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纳税人：占用耕地建房或者从事非农业建设的单位或者个人；</w:t>
      </w:r>
    </w:p>
    <w:p w14:paraId="4686AF8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计税依据：占用的耕地面积</w:t>
      </w:r>
    </w:p>
    <w:p w14:paraId="374A230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适用税额：人均耕地不超过1亩的地区，每平方米为10~50元；人均耕地占用超过1亩但不超过2亩的地区，每平方米为8~40元；人均耕地占用超过2亩但不超过3亩的地区，每平方米为6~30元；人均耕地超过3亩的地区，每平方米为5~25元；</w:t>
      </w:r>
    </w:p>
    <w:p w14:paraId="687B82C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涉税阶段：土地获取阶段、前期准备阶段。</w:t>
      </w:r>
    </w:p>
    <w:p w14:paraId="4187B9C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4）印花税</w:t>
      </w:r>
    </w:p>
    <w:p w14:paraId="4312013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纳税人：经济活动和经济交往中书立、领受应税凭证的单位和个人；</w:t>
      </w:r>
    </w:p>
    <w:p w14:paraId="21A0AE5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应税对象：经济合同、产权转移数据、营业账簿、权利许可证照等；</w:t>
      </w:r>
    </w:p>
    <w:p w14:paraId="53194BD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房地产涉及的印花税：取得土地和销售阶段签订的房屋销售合同；建设工程合同、借款合同、财产保险合同、注册资本等；</w:t>
      </w:r>
    </w:p>
    <w:p w14:paraId="209973C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涉税阶段：土地获取阶段、建设施工阶段、预售阶段；</w:t>
      </w:r>
    </w:p>
    <w:p w14:paraId="51ADAA4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5）增值税</w:t>
      </w:r>
    </w:p>
    <w:p w14:paraId="19EE114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纳税人：在中华人民共和国境内销售货物或者加工、修理修配劳务，销售服务、无形资产、不动产以及进口货物的单位和个人；</w:t>
      </w:r>
    </w:p>
    <w:p w14:paraId="682951A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计税方法：一般计税和简易计税；</w:t>
      </w:r>
    </w:p>
    <w:p w14:paraId="61C1328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预缴增值税：在取得预收款的次月纳税申报期预缴税款</w:t>
      </w:r>
    </w:p>
    <w:p w14:paraId="477FD08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房地产开发企业纳税义务发生时间：</w:t>
      </w:r>
    </w:p>
    <w:p w14:paraId="180E96D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发生应税行为并收讫销售款项或者取得索取销售款项凭据的当天；先开具发票的，为开具发票的当天。收讫销售款项，是指纳税人销售服务、无形资产、不动产过程中或者完成后收到款项。取得索取销售款项凭据的当天，是指书面合同确定的付款日期；未签订书面合同或者书面合同未确定付款日期的，为服务、无形资产转让完成的当天或者不动产权属变更的当天。</w:t>
      </w:r>
    </w:p>
    <w:p w14:paraId="1874895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2AE0A27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6）城市维护建设税</w:t>
      </w:r>
    </w:p>
    <w:p w14:paraId="51F13C4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纳税人：缴纳增值税、消费税的单位和个人；</w:t>
      </w:r>
    </w:p>
    <w:p w14:paraId="51231C9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计税依据：纳税人实际缴纳的增值税、消费税税额；</w:t>
      </w:r>
    </w:p>
    <w:p w14:paraId="5D3D4DC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计税税率：1.纳税人所在地在市区，税率为7%；2.纳税人所在地在县城、镇的，税率为 5%；3.纳税人不在上述地区的，税率为1%；</w:t>
      </w:r>
    </w:p>
    <w:p w14:paraId="67FF10B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房地产开发企业纳税义务：跨地区提供建筑服务、销售和出租不动产的，按预缴所在地城建税税率计算缴纳。与增值税的纳税期限一致，与增值税同时缴纳。</w:t>
      </w:r>
    </w:p>
    <w:p w14:paraId="5458F93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3CDF9A7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7）教育费附加</w:t>
      </w:r>
    </w:p>
    <w:p w14:paraId="5D39204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纳税人：凡缴纳增值税、消费税的单位和个人，按3%计征；</w:t>
      </w:r>
    </w:p>
    <w:p w14:paraId="66E929C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计税依据：实际缴纳的增值税、消费税税额；</w:t>
      </w:r>
    </w:p>
    <w:p w14:paraId="158EAB8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62304E2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8）地方教育附加</w:t>
      </w:r>
    </w:p>
    <w:p w14:paraId="6159FA4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纳税人：缴纳增值税、消费税的单位和个人，按 2%计征；</w:t>
      </w:r>
    </w:p>
    <w:p w14:paraId="01F1BC0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计税依据：实际缴纳的增值税、消费税税额；</w:t>
      </w:r>
    </w:p>
    <w:p w14:paraId="62A6B20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涉税阶段：销售阶段</w:t>
      </w:r>
    </w:p>
    <w:p w14:paraId="13DD938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9）房产税</w:t>
      </w:r>
    </w:p>
    <w:p w14:paraId="7E663FD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纳税人：房屋产权所有人；</w:t>
      </w:r>
    </w:p>
    <w:p w14:paraId="1D47E46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计税依据：房屋的计税余值或租金收入，房屋出租的，计征租金收入不含增值税；</w:t>
      </w:r>
    </w:p>
    <w:p w14:paraId="77227A8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房地产开发企业纳税义务：自用房屋，房产税依照房产原值一次减除10%-30% 后的余值计算缴纳，具体减除幅度由省、自治区、直辖市人民政府规定，适用税率 1.2%；房屋出租的，以房产租金收入和税率 12%计算缴纳。对于个人按市场价格出租的居民住房，房产税暂减按 4%税率征收。</w:t>
      </w:r>
    </w:p>
    <w:p w14:paraId="6386851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涉税阶段：前期准备阶段、建设施工阶段、销售阶段</w:t>
      </w:r>
    </w:p>
    <w:p w14:paraId="7A01944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10）土地增值税</w:t>
      </w:r>
    </w:p>
    <w:p w14:paraId="3C96210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纳税人：有偿转让国有土地使用权及地上建筑物和其他附着物产权，取得增值收入的单位和个人；</w:t>
      </w:r>
    </w:p>
    <w:p w14:paraId="1BA8E4D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房地产开发企业纳税义务：房地产开发企业转让土地时，要按照其转让房地产时取得的收入减去允许扣除的项目金额后的余额，依照规定的税率缴纳土地增值税；</w:t>
      </w:r>
    </w:p>
    <w:p w14:paraId="22F87BD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计税依据：对增值额征税，增值额计算要素如下：</w:t>
      </w:r>
    </w:p>
    <w:p w14:paraId="4339E2D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①计税收入为房地产企业转让房地产取得的收入，土地增值税应税收入=营改增之前转让房地产取得的收入+营改增后转让房地产取得的不含税收入</w:t>
      </w:r>
    </w:p>
    <w:p w14:paraId="6C8C117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允许扣除项目包括取得土地使用权所支付的金额、开发土地和新建房及配套设施的成本、开发土地和新建房及配套设施的费用以及前述两项20%加计扣除，还有与转让房地产有关的税金。与转让房地产有关的税金=营改 增前实际缴纳的营业税、城市维护建设税、教育费附加+营改增后允许扣除的城市维护建设税、教育费附加。</w:t>
      </w:r>
    </w:p>
    <w:p w14:paraId="38DA4AB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③建造普通住宅出售，增值额未超过扣除项目金额20%的，免征土地增值税。</w:t>
      </w:r>
    </w:p>
    <w:p w14:paraId="6124C47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④征收方式：采取按期预征、项目完工清算的方法。也就是按照当期取得的售房收入，依照预征率计算征收，项目完工后清算，多退少补。对于无法查账征收土地增值税的企业，可以核定征收。</w:t>
      </w:r>
    </w:p>
    <w:p w14:paraId="722C1C2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⑤涉税阶段：销售阶段、土增税清算阶段。</w:t>
      </w:r>
    </w:p>
    <w:p w14:paraId="3CA7E49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11）企业所得税</w:t>
      </w:r>
    </w:p>
    <w:p w14:paraId="5F8DE56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征收方式：查账征收和核定征收。房地产企业一般采用查账征收，适用 25%税率。企业所得税是按年计算，分月或者分季预缴，年终汇算清缴，多退少补。自年度终了之日起5个月内，向税务机关报送年度企业所得税纳税申报表，并汇算清缴，结清应缴应退税款；</w:t>
      </w:r>
    </w:p>
    <w:p w14:paraId="6994D63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2021.1.1～2022.12.31，对小型微利企业年应纳税所得额不超过100万元的部分，减按12.5%计入应纳税所得额，按20%的税率缴纳企业所得税（税负2.5％）；对年应纳税所得额超过100万元但不超过300万元的部分，减按50%计入应纳税所得额，按20%的税率缴纳企业所得税（税负10％）。</w:t>
      </w:r>
    </w:p>
    <w:p w14:paraId="4FAB7ED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小型微利企业是指从事国家非限制和禁止行业，且同时符合年度应纳税所得额不超过300万元、从业人数不超过300人、资产总额不超过5000万元等三个条件的企业。</w:t>
      </w:r>
    </w:p>
    <w:p w14:paraId="6791673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所得税预缴：房地产开发企业销售未完工产品取得的收入，应先按预计毛利率分季（或月）计算出预计毛利额，计入当期应纳税所得额。</w:t>
      </w:r>
    </w:p>
    <w:p w14:paraId="0FAD583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涉税阶段：项目全周期</w:t>
      </w:r>
    </w:p>
    <w:p w14:paraId="1367D1B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12）个人所得税</w:t>
      </w:r>
    </w:p>
    <w:p w14:paraId="0949A5E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征税对象：工资、薪金所得；劳务报酬所得；稿酬所得；特许权使用费所得；利息、股息、红利所得；财产租赁所得；财产转让所得；偶然所得。</w:t>
      </w:r>
    </w:p>
    <w:p w14:paraId="2F22614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房地产开发企业纳税义务：代扣代缴个人所得税；</w:t>
      </w:r>
    </w:p>
    <w:p w14:paraId="090B29A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涉税阶段：项目全周期</w:t>
      </w:r>
    </w:p>
    <w:p w14:paraId="28FA135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目前道县房地产税收政策与国家政策保持完全一致。</w:t>
      </w:r>
    </w:p>
    <w:p w14:paraId="0E8544C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4.城市规划与发展目标</w:t>
      </w:r>
    </w:p>
    <w:p w14:paraId="2156081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（1）城市规划</w:t>
      </w:r>
    </w:p>
    <w:p w14:paraId="4F2952E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根据道县国土空间总体规划征求意见稿，道县县域规划产业发展形成“一核、一轴、三区、多基地 ”空间布局。一核：县城，以道县工业集中区为基础，打造县域产业发展极核。一轴：沿国道G357产业发展主轴。三区：国道G357以北的北部特色农业发展区、南部瑶族乡为主南部生态保护 和旅游发展区，中部乡镇形成城郊型产业发展区。多基地：分布于县域产业发展基地，主要有工业发展基地、旅游基地、烟草 基地、脐橙基地等。</w:t>
      </w:r>
    </w:p>
    <w:p w14:paraId="0286C68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结合产业发展现状，根据工业园内的现状路网和总体规划路网、自然地形及规划用地性质，规划以城区为依托，以工业大道与东环二路为工业园发展主轴，按照工业向北向东拓展的用地布局设想，形成清晰的规划结构。整个工业园区为“一心、两轴、多板块”的规划结构。“一心”是指：以工业大道与东环二路相交区域为依托规划形成的片区园区综合服务核心；该中心将集中园区主要的商业金融、商务办公及行政办公等设施，设置绿化、广场，以林荫步道与周围镇区道路相连，把生态和市民活动引入内部，形成真正集聚人们各种公共活动的园区中心。“两轴”是指：工业园内的产业发展轴。即工业大道两厢的以工业为主，以生活服务、综合居住为辅的产业发展主轴线。以东环二路两厢的工业为主、生活服务为辅的产业发展次要轴线。“多板块”是指：工业板块、综合办公板块、综合居住板块、生活服务板块四大板块。</w:t>
      </w:r>
    </w:p>
    <w:p w14:paraId="0C61EA7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通过对自然地貌的分析梳理和城市空间构思设想，规划构建县城“一带双心、二廊四轴、七组团”的县城整体空间结构。一带：即沿潇水的县城核心景观带，由南至北，串联县城各核心组团；双心：即县城中心的商业服务中心和历史文化核心城区。二廊：指濂溪河生态廊道和板坝河生态廊道；四轴：南北向即以道洲路为依托的县城综合发展轴、营阳大道综合发展发展轴；东西向以月岩路为依托的综合发展轴、工业大道发展轴；七组团：即县城七大核心组团，分别为工业园组团、城北组团、历史城区组团、火车站站前城西现代商贸组团、中部综合服务组团、城南物流园组团、城东文旅康养组团。</w:t>
      </w:r>
    </w:p>
    <w:p w14:paraId="661AD11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（2）发展目标</w:t>
      </w:r>
    </w:p>
    <w:p w14:paraId="44DA3D72">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2025年目标</w:t>
      </w:r>
    </w:p>
    <w:p w14:paraId="52F1821D">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生态保护红线和永久基本农田保护红线得到严格落实，国土空间开发保护格 局得到优化；潇水及其支流水系、森林、山体等生态功能得到大幅提升，资源利 用水平显著提高；重点环境问题得到有效整治，城乡污水处理、生活垃圾分类无 害化处理实现全覆盖，生态环境持续改善，生态安全屏障更加牢固，城乡人居环 境明显改善；“江湾映城、山水相融 ”的城市空间格局基本形成，民生设施建设 取得显著成效，乡村地区基本实现集约发展，传统历史文化得到保护、传承和弘 扬；现代化产业体系初具规模，科技创新能力显著增强，对外开放与区域协同水 平全面提升，成为湘粤桂交汇区经济发展的核心引擎。</w:t>
      </w:r>
    </w:p>
    <w:p w14:paraId="0A4BE403">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2035年目标</w:t>
      </w:r>
    </w:p>
    <w:p w14:paraId="27FAFBBA">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国土空间治理体系和治理能力现代化基本实现，优良的生态格局全面稳固；城市功能完善，人居环境品质优良，文化吸引力突出；创新驱动的开放型现代产业体系基本建立，发展形成全省内陆开放前沿阵地；绿色生产生活方式广泛形成、蔚然成风，生态优势持续放大，人与自然和谐共生；理学文化、红色文化持续发扬光大；全面建成湘粤桂交汇区山水城园和谐共生、城乡深度融合、创新开放品质活力的中心城市。</w:t>
      </w:r>
    </w:p>
    <w:p w14:paraId="18B8BE77">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远景展望目标</w:t>
      </w:r>
    </w:p>
    <w:p w14:paraId="276D25C7">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到本世纪中叶，县域各项经济社会发展指标达到区域领先水平，国土空间治理体系和治理能力实现现代化；城乡互补、区域互通、三生互动、山水林田湖有 机融合的国土空间“生命共同体”格局全面形成，生态环境进入自然良性循环；传统文化与现代文化交相呼应、繁荣发展；对外开放水平和国际影响力不断提高，科技创新和高端高新产业引领发展；城市功能趋于完善，交通网络便捷高效，现代化基础设施系统完备；全面建成经济繁荣、社会和谐、生态宜居的现代化样板 区和质量变革、效率变革、动力变革的领先发展区。</w:t>
      </w:r>
    </w:p>
    <w:p w14:paraId="5CB6D887">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5.城市社会经济发展状况</w:t>
      </w:r>
    </w:p>
    <w:p w14:paraId="284489C2">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（1）城市经济布局</w:t>
      </w:r>
    </w:p>
    <w:p w14:paraId="705C1ABB">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根据{{ base_price_doc_authority }}网发布的消息，道县目前城市经济布局主要突出以下几个方面：</w:t>
      </w:r>
    </w:p>
    <w:p w14:paraId="4163C2FE">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优化城镇空间布局。立足道县资源禀赋，落实国家、省市主体功能区战略，科学构建“一核两轴六带”县域发展新格局。一核：以县城为核心，加快中心城区扩容提质，提升城市首位度。两轴：统筹推动沿G207和G357构成的“大十字架”经济发展轴，串联县域高速和国、省、县交通干线，注重推动资源、项目、产业、人口沿着两轴聚集发展，精心打造沿线特色小镇、特色农业 集群发展轴；六带：以县域潇水、濂溪、洑水、泡水、淹水、九嶷河六大水系为纽带，形成六大国土空间开发保护格局。重点加强沿河两岸国土空间开发保护，统筹山水林田湖草系统治理，推进沿河岸线治岸治污治渔，落实好长江十年禁渔，优化村庄规划布局，开展乡村建设行动，提升建房质量，建设美丽道县。</w:t>
      </w:r>
    </w:p>
    <w:p w14:paraId="71B0B690">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优化城区空间布局。按照“六纵十八横”的空间架构进行布局， 以千年州府为底色，打造 “一水两岸、双星闪耀”的城市新景观，加快构建“一心两河四岸三新城”的城市空间布局，努力把道县建成现代智慧新城、生态山水洲城、历史文化名城。一心：以县城老城区为核心，突出城区提质扩容、老旧小区改造。两河四岸：以潇水河、濂溪河为纽带，注重以水活城、以洲载城、以文润城，统筹推进城市濂溪河两岸提质、潇水河两岸扩容，推动 城市由“沿线发展”向“沿河发展”转变。三新城：以道县高新区调规扩区为契机，重点发展电子信息、智能智造两大百亿产业，积极培育新材料、新能源两大战略型新兴产业，打造北部工业新城，带动玉潭片区、树湘片区开发发展。 以湘粤桂综合物流园为依托，建设以一个综合物流园、多个专业物流园（汽贸物流园、 家居建材物流园、钢贸物流园、陶瓷建材物流园、 日化物流园和 冷链物流园等）、一个电商综合配送中心为主体的立足湘南、辐射桂东粤西北的区域性综合物流集散基地，加快建设城西路，推 动火车站片区、物流园片区组团滚动发展，打造南部现代物流新 城。以潇水为发展纵轴，以营阳大道（G207 道县绕城公路）、树湘大道为环线，突出上关片区开发建设，加快路网成型，产业导入，打造东部文化生态新城。</w:t>
      </w:r>
    </w:p>
    <w:p w14:paraId="3B65C784">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构建新型城镇化体系。打造现代智慧新城。加快城市片区开发， 以濂溪为发展横轴，南面城区突出沿潇水东西拓展，建设东部文化生态新城、南部现代物流新城；北面城区突出提质，改造古城历史文化街区，提升工业新城。以潇水为发展纵轴，以营阳大道（G207 道县绕城公路）、树湘大道为环线，突出上关片区开 发建设，加快路网成型，产业导入，打造东部文化生态新城；以湘粤桂综合物流园为依托，加快建设城西路，推进物流园片区与火车站片区组团滚动发展，打造南部现代物流新城，形成“ 一水两岸、双星闪耀”的城市新景观。以园区调规扩区为契机，健全功能，完善配套，壮大电子信息、智能制造、轻纺制鞋等产业，打造现代工业新城，带动玉潭片区、树湘片区开发发展。提升城市路网建设。加快完成营阳大道（G207道县绕城公路）、东环二路、树湘大道、城西路等城区主干道建设，拆除重建潇水大桥，拓宽建设西关桥，拉通状元路、城北路、振兴路、滨河路等城区“断头路”，形成“六纵十八横”城市路网框架。完善城市功能。持续推进城市更新，实施城中村提质改造，加快老旧小区改造，加强社区建设，支持智慧社区应用和平台建设，完善储能设施、新能源汽车充电桩、换电站及车路协同设施，推进智慧城市建设。创建国家文明城市，强化市容市貌管理整治，规范城市综合执法，推动城市治理方式向全周期管理转变。打造生态山水洲城。依托城市自然生态和山水脉络，建好东洲河坝、濂溪河坝，精心打造东洲生态湿地公园和潇水、濂溪沿岸滨河生态风光带，加强濂溪河生态廊道和板坝河生态廊道建设，完善城市防洪保护圈，加快城市绿地公园建设，创建省级园林、森林城市，打造生态宜居山水洲城。打造历史文化名城。注重将地域特色文化融入城市建设全过程，精心建设城市文化地标，改造寇公街、次山街、湾里街等历史街区，启动绍基故里保护开发，修缮保护古城墙，建好“道州府衙”，建设国家历史文化名城。同时，完善城镇发展体系。</w:t>
      </w:r>
    </w:p>
    <w:p w14:paraId="302882EA">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新型城镇化提质扩能。推进环境卫生设施提级扩能。完善垃圾无害化资源化处理设施。全面推进生活垃圾分类，逐步建立分类投放、分类收集、分类运输、分类无害化资源化处理的生活垃圾处理系统。完善道县城区、寿雁和祥霖铺特大镇生活垃圾收运体系，配备分类清运、密封性好、压缩式收运车辆，改造垃圾房和转运站。加快建设道县生活垃圾焚烧终端处理设施，逐步减少原生垃圾直接填埋。建设餐厨垃圾处理中心，建立餐厨垃圾等回收及再生利用体系。加快医疗废物、污水集中处理设施，完善收转运体系，因地制宜建设危险废物处理设施。建设规范的回收网点和分拣中心，对大件垃圾、园林垃圾、装修垃圾等生活垃圾进行回收利用，实现城区生活垃圾分类全覆盖。健全污水集中处理设施。以“共抓长江大保护”试点为契机，按照“厂网配套、泥水并重”要求，建设城区污水集中处理设施，提升管网收集能力，积极推进“雨污分流”，加强混错接、漏接、老化和破损管网更 新修复。加快建设污泥无害化资源化处理设施，推进濂溪河、潇 水河等片区治理。改善县城公共厕所。在旧城区、人流密集区和主次干路等区域，配建、补建2类以上土建厕所、2类装配式移 动厕所，利用节能环保技术配置除臭设施。改造老旧公共厕所，分批进行拆除或改建。新区建设和商业开发要严格按标准配建公共厕所。合理增加无障碍厕位和第三卫生间。推进市政公用设施提档升级。优化市政交通设施。重点推进东二环、营阳大道（G207道县绕城公路）、站前大道、城西路等两条环城路建设；推进东西横线建设，实施金都路、滨河路三段、万家庄路、公园东路、红星西路、文化西路、长征西路、状元路、城北路（东段）、湘源西路、荷叶塘东路、振兴西路、乌家山路等道路建设，完善高新技术产业开发区、物流园区路网建设。完善市政管网设施。全面完善地下给水、雨水、污水、电力、电讯、燃气等工程管线，推进地下综合管廊建设，试点推进海绵城市建设。重点建设一批城市消防站和地下人防工程，推进水系整治、防洪堤和防洪排涝设施建设。发展配送投递设施。建设道县统一分拨中转的公共配送中心，鼓励发展共同配送等新模式，满足小微企业和群众日常物流分拨配送需要。支持社会力量面向家庭用户和单位职工等受众群体，布设不同类型智能快件箱及末端网点设施，升级配套系统管理软硬件等，提供便捷安全的“最后一百米”服务。推进县城智慧化改造。实施道县5G网络建设工程，建设5G基站1200个。推行县城智慧化改造，实现政务服务“一网通办”，部署智 慧交通、智慧电网、智慧水务等感知终端，推进市政公用设施智慧化。建设政务信息数据共享交换平台、智慧安防城市项目，推行智慧教育、智慧医疗、智慧文旅、智慧城管、智慧环卫推进社会治理精细化、公共服务供给便捷化。更新改造老旧小区。推进道县老旧小区改造及基础设施配套，重点实施地下管网改造、强弱电下地、燃气管道铺设、道路提质、房屋修缮加固、安装电梯等项目。鼓励探索以社区乃至街区为单元进行改造的商业模式，吸引社会资本参与有一定盈利的改造项目。推进产业培育设施提 质增效。完善产业平台配套设施。培育城区内生增长动力和 “造 血”能力，引导乡间、夜间、网间经济蓬勃发展和服务业集聚发展，促进农业转移人口就近城镇化。完善文化产业园、特色小镇等产业集聚区配套设施，建设道县检测认证园区；优化技术研发转化中心，提供厚朴等共性技术公用研发设备；在有条件的地区建设智能标准厂房，提供共用生产空间，降低企业成本、提高生产效率；完善便企政务服务中心，优化“最多跑一次”的一站式 服务；完善道县农村资源产权交易平台，盘活农村闲置资源资产。加大高新区产业转型升级力度，争取建设一批产业转型升级示范园区。健全冷链物流设施。建设湘粤桂综合物流园、中农批冷链粤港澳大湾区湖南农副产品配送中心冷链物流产业园等冷链配送设施，保障农副产品全程冷鲜冷冻保存和运输。建设面向城市消费 的生鲜食品低温加工处理中心，推广“生鲜电商+冷链宅配”“中央厨房+食材冷链配送”等新模式。引导社会力量在大中型商场超市建设冷链物流前置仓，解决冷链物流“最后一公里”问题。提升农贸市场水平。新建畜禽批发市场、提质农贸市场、集贸市 场，合理扩大规模和服务半径，改善交易棚厅等经营条件。在批发型农贸市场配置检测检疫设备，确保进场农副产品质量安全。完善零售型农贸市场和社区菜市场环保设施，解决卫生“脏乱差”问题。支持社会力量改造建设畜禽定点屠宰加工厂。</w:t>
      </w:r>
    </w:p>
    <w:p w14:paraId="02ED6B67">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（2）城市发展水平</w:t>
      </w:r>
    </w:p>
    <w:p w14:paraId="7E45BD32">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实现地区生产总值2938136万元，比上年增长7.0%。其中，第一产业增加值548917万元，增长3.3%；第二产业增加值1002533万元,增长11.3%；第三产业增加值1386686万元，增长5.5%。按常住人口计算，2024年人均地区生产总值为51483元，比上年增长8.3%。</w:t>
      </w:r>
    </w:p>
    <w:p w14:paraId="2F16459C">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三次产业结构为18.68:34.12:47.2。工业增加值占地区生产总值的比重为28.08%，比上年提高4.58个百分点；高新技术产业增加值占地区生产总值的比重为10.2%，比上年下降1.6个百分点。第一、二、三产业对经济增长的贡献率分别为9.7%、54.2%和36.1%，分别拉动GDP增长0.68个、3.8个、2.52个百分点。2024年非公有制经济增加值189.73亿元，比上年增长7.3%，占地区生产总值的比重为64.58%，比上年提高1.18个百分点。</w:t>
      </w:r>
    </w:p>
    <w:p w14:paraId="330A78CF">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实现工业增加值82.51亿元，增长11.6%，其中：规模工业总产值198.71亿元，增长15.81%，规模工业增加值52.97亿元，增长14.0%。2024年新增规模以上工业企业20家，规模以上工业企业达到154家。规模工业企业实现主营业务收入159.9亿元，增长3.8%；实现利税总额7.55亿元,下降38.96%，其中利润总额5.92亿元,下降48.75%。实现建筑业增加值177396万元，比上年增长9.8%。具有资质等级的总承包和专业承包建筑企业完成产值586174.6万元，增长19.05%；房屋建筑施工面积174.88万平方米,比上年增长16.22%；房屋建筑竣工面积124.28万平方米,比上年上升15.39%。</w:t>
      </w:r>
    </w:p>
    <w:p w14:paraId="31B8B2C8">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（3）综合实力</w:t>
      </w:r>
    </w:p>
    <w:p w14:paraId="4477E263">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是湖南省历史文化名城、全国糖料作物生产基地、全国秸秆养牛示范基地、全国粮食生产先进县、全国蔬菜产业重点县、全国厚朴生产基地县、全国生猪生产调出大县、全国能繁母牛养殖示范县、全国出口食品农产品质量安全示范县、全国100个柑橘生产基地、中国脐橙之乡。</w:t>
      </w:r>
    </w:p>
    <w:p w14:paraId="0933A585">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（4）社会储蓄与投资</w:t>
      </w:r>
    </w:p>
    <w:p w14:paraId="75F2DA9C">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2024年道县完成财政总收入172805万元，下降0.94%,其中一般预算收入146235万元，下降6.7%。全县一般公共预算支出539101万元，增长0.8%。</w:t>
      </w:r>
    </w:p>
    <w:p w14:paraId="6A5A03EF">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金融机构各项存款余额350.9万元，比上年增长13.59%，比年初净增41.99万元。其中城乡居民储蓄存款余额296.88万元，增长11.03%，比年初净增29.5万元；年末全县金融机构各项贷款余额223.57万元，比上年增长11.16%，比年初净增22.44万元。其中中长期贷款余额170.18万元，比上年增长10.09%，比年初净增15.77万元。</w:t>
      </w:r>
    </w:p>
    <w:p w14:paraId="5970DA3E">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（5）物价变动</w:t>
      </w:r>
    </w:p>
    <w:p w14:paraId="5B971D0F">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居民消费价格总指数(CPI)比上年上涨0.4%，其中消费品价格指数比上年上涨0.5%。居民消费八大类指标中：食品烟酒类上涨0.3%，衣着类上涨0.1%，居住类上涨0.3%，生活用品及服务上涨0.9%，交通和通信类下跌0.2%，教育文化和娱乐类上涨0.3%，医疗保健类上涨1.4%，其他用品和服务上涨3.7%。</w:t>
      </w:r>
    </w:p>
    <w:p w14:paraId="501ECDA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 综合考虑以上影响地价的一般因素，评估分析：道县地理位置优越，对外交通便利，城市规划前景良好，随着道县社会经济的不断发展，对于土地的需求将逐渐增加；受全国房地产市场形势的影响，近两年道县的房地产市场趋于平稳，整体市场保持稳健。在宏观调控的综合作用下，道县房地产市场将保持健康平稳态势发展。</w:t>
      </w:r>
    </w:p>
    <w:p w14:paraId="69E303B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(二)区域因素</w:t>
      </w: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ab/>
      </w:r>
    </w:p>
    <w:p w14:paraId="72714E1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区域因素指估价对象对地价有影响的内部区域条件，即影响内部区域之间地价水平的商服繁华程度及区域在城镇中的位置、交通条件、公用设施及基础设施水平、区域环境条件、土地使用限制和自然条件等。</w:t>
      </w:r>
    </w:p>
    <w:p w14:paraId="1D4C8D8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1.区域概况</w:t>
      </w:r>
    </w:p>
    <w:p w14:paraId="37D86E7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（1）区域位置</w:t>
      </w:r>
    </w:p>
    <w:p w14:paraId="0D70EAC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 land_location_full }}。</w:t>
      </w:r>
    </w:p>
    <w:p w14:paraId="6544F15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四马桥镇位于道县东南部，东界宁远县水市镇，南接洪塘营瑶族乡，西临横岭瑶族乡、蚣坝镇，北与白芒铺镇、宁远县天堂镇毗邻。县城至湘源温泉风景区公路、湘江二级支流泡水河横贯南北。</w:t>
      </w:r>
    </w:p>
    <w:p w14:paraId="6403E6F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（2）人口</w:t>
      </w:r>
    </w:p>
    <w:p w14:paraId="42DB945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户籍人口3.86万人，集镇人口9800余人，共10,792户。</w:t>
      </w:r>
    </w:p>
    <w:p w14:paraId="2D1CC2E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（3）土地级别</w:t>
      </w:r>
    </w:p>
    <w:p w14:paraId="264B7D7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 county_name }}城镇基准地价的颁布实施时间为{{ base_price_publish_date }}，批准文号为{{ base_price_doc_no }}，文件名称为{{ base_price_doc_name }}（{{ base_price_doc_no }}，{{ base_price_publish_date }}），批准机关为{{ base_price_doc_authority }}，基准地价估价基准日为{{ base_price_base_date }}，距基准地价估价基准日已满{{ base_price_elapsed_years_text }}年，故暂无土地级别信息。</w:t>
      </w:r>
    </w:p>
    <w:p w14:paraId="56CB683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（4）经济发展</w:t>
      </w:r>
    </w:p>
    <w:p w14:paraId="0900C50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FF"/>
          <w:sz w:val="28"/>
          <w:szCs w:val="30"/>
          <w:highlight w:val="none"/>
          <w:lang w:val="en-US" w:eastAsia="zh-CN"/>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四马桥镇是道县重要的产粮区和烤烟生产主产区。2024年，大豆、玉米种植4400亩，油菜5000亩，水稻种植面积达18,600余亩，蔬菜产业对接粤港澳大湾区，华山村等地绿色蔬菜产业基地扩展至2000亩以上。</w:t>
      </w:r>
    </w:p>
    <w:p w14:paraId="576049C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2.交通条件</w:t>
      </w:r>
    </w:p>
    <w:p w14:paraId="47C88F47">
      <w:pPr>
        <w:spacing w:line="480" w:lineRule="exact" w:before="0" w:after="0"/>
        <w:ind w:firstLine="560" w:firstLineChars="200"/>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（1）对内交通条件</w:t>
      </w:r>
    </w:p>
    <w:p w14:paraId="044D550C">
      <w:pPr>
        <w:spacing w:line="480" w:lineRule="exact" w:before="0" w:after="0"/>
        <w:ind w:firstLine="560" w:firstLineChars="200"/>
        <w:outlineLvl w:val="9"/>
        <w:rPr>
          <w:rFonts w:hint="eastAsia" w:ascii="仿宋_GB2312" w:eastAsia="仿宋_GB2312"/>
          <w:color w:val="000000" w:themeColor="text1"/>
          <w:sz w:val="28"/>
          <w:szCs w:val="30"/>
          <w:highlight w:val="none"/>
          <w14:textFill>
            <w14:solidFill>
              <w14:schemeClr w14:val="tx1"/>
            </w14:solidFill>
          </w14:textFill>
        </w:rPr>
      </w:pPr>
      <w:r>
        <w:rPr>
          <w:rFonts w:hint="default" w:ascii="仿宋_GB2312" w:eastAsia="仿宋_GB2312" w:hAnsi="仿宋_GB2312" w:cs="仿宋_GB2312"/>
          <w:color w:val="000000" w:themeColor="text1"/>
          <w:sz w:val="28"/>
          <w:szCs w:val="30"/>
          <w:highlight w:val="none"/>
          <w14:textFill>
            <w14:solidFill>
              <w14:schemeClr w14:val="tx1"/>
            </w14:solidFill>
          </w14:textFill>
        </w:rPr>
        <w:t>四马桥镇</w:t>
      </w:r>
      <w:r>
        <w:rPr>
          <w:rFonts w:hint="eastAsia" w:ascii="仿宋_GB2312" w:eastAsia="仿宋_GB2312" w:hAnsi="仿宋_GB2312" w:cs="仿宋_GB2312"/>
          <w:color w:val="000000" w:themeColor="text1"/>
          <w:sz w:val="28"/>
          <w:szCs w:val="30"/>
          <w:highlight w:val="none"/>
          <w14:textFill>
            <w14:solidFill>
              <w14:schemeClr w14:val="tx1"/>
            </w14:solidFill>
          </w14:textFill>
        </w:rPr>
        <w:t>境内有县城到</w:t>
      </w: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四马桥镇</w:t>
      </w:r>
      <w:r>
        <w:rPr>
          <w:rFonts w:hint="eastAsia" w:ascii="仿宋_GB2312" w:eastAsia="仿宋_GB2312" w:hAnsi="仿宋_GB2312" w:cs="仿宋_GB2312"/>
          <w:color w:val="000000" w:themeColor="text1"/>
          <w:sz w:val="28"/>
          <w:szCs w:val="30"/>
          <w:highlight w:val="none"/>
          <w14:textFill>
            <w14:solidFill>
              <w14:schemeClr w14:val="tx1"/>
            </w14:solidFill>
          </w14:textFill>
        </w:rPr>
        <w:t>、县城到大洞田的客运汽车，6个村通了客运班车，日均客容量140余人次。</w:t>
      </w:r>
    </w:p>
    <w:p w14:paraId="1CE0F72F">
      <w:pPr>
        <w:spacing w:line="480" w:lineRule="exact" w:before="0" w:after="0"/>
        <w:ind w:firstLine="560" w:firstLineChars="200"/>
        <w:outlineLvl w:val="9"/>
        <w:rPr>
          <w:rFonts w:hint="default"/>
          <w:color w:val="000000" w:themeColor="text1"/>
          <w:lang w:eastAsia="zh-CN"/>
          <w14:textFill>
            <w14:solidFill>
              <w14:schemeClr w14:val="tx1"/>
            </w14:solidFill>
          </w14:textFill>
        </w:rPr>
      </w:pPr>
      <w:r>
        <w:rPr>
          <w:rFonts w:hint="default" w:ascii="仿宋_GB2312" w:eastAsia="仿宋_GB2312" w:hAnsi="仿宋_GB2312" w:cs="仿宋_GB2312"/>
          <w:color w:val="000000" w:themeColor="text1"/>
          <w:sz w:val="28"/>
          <w:szCs w:val="30"/>
          <w:highlight w:val="none"/>
          <w14:textFill>
            <w14:solidFill>
              <w14:schemeClr w14:val="tx1"/>
            </w14:solidFill>
          </w14:textFill>
        </w:rPr>
        <w:t>估价对象距四马桥镇客运站12km。</w:t>
      </w:r>
    </w:p>
    <w:p w14:paraId="089F9922">
      <w:pPr>
        <w:spacing w:line="480" w:lineRule="exact" w:before="0" w:after="0"/>
        <w:ind w:firstLine="560" w:firstLineChars="200"/>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（2）对外交通条件</w:t>
      </w:r>
    </w:p>
    <w:p w14:paraId="545AF47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①公路：</w:t>
      </w:r>
      <w:r>
        <w:rPr>
          <w:rFonts w:hint="eastAsia" w:ascii="仿宋_GB2312" w:eastAsia="仿宋_GB2312" w:hAnsi="仿宋_GB2312" w:cs="仿宋_GB2312"/>
          <w:color w:val="000000" w:themeColor="text1"/>
          <w:sz w:val="28"/>
          <w:szCs w:val="30"/>
          <w:highlight w:val="none"/>
          <w14:textFill>
            <w14:solidFill>
              <w14:schemeClr w14:val="tx1"/>
            </w14:solidFill>
          </w14:textFill>
        </w:rPr>
        <w:t>区域的外联道路主要</w:t>
      </w:r>
      <w:r>
        <w:rPr>
          <w:rFonts w:hint="default" w:ascii="仿宋_GB2312" w:eastAsia="仿宋_GB2312" w:hAnsi="仿宋_GB2312" w:cs="仿宋_GB2312"/>
          <w:color w:val="000000" w:themeColor="text1"/>
          <w:sz w:val="28"/>
          <w:szCs w:val="30"/>
          <w:highlight w:val="none"/>
          <w14:textFill>
            <w14:solidFill>
              <w14:schemeClr w14:val="tx1"/>
            </w14:solidFill>
          </w14:textFill>
        </w:rPr>
        <w:t>有县道X089、县道X069、县道X090、XA43等</w:t>
      </w: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等。</w:t>
      </w:r>
    </w:p>
    <w:p w14:paraId="4FFD9DF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②铁路：江华火车站主要线路为益湛铁路，估价对象所在区域中心距离该火车站约15km。</w:t>
      </w:r>
    </w:p>
    <w:p w14:paraId="709A43D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③高铁：估价对象区域距东安高铁站约127km。</w:t>
      </w:r>
    </w:p>
    <w:p w14:paraId="2F38F06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④航空：估价对象区域距离最近的机场为永州零陵机场约117km。</w:t>
      </w:r>
    </w:p>
    <w:p w14:paraId="52E6987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⑤水运：四马桥镇境内有</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begin"/>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instrText xml:space="preserve"> HYPERLINK "https://m.baike.so.com/"/doc/5408752-5646740.html/"" \t "/home/hsl/Documents\\x/\\"_blank\\"" </w:instrTex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separate"/>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湘江</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end"/>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水系二级支流</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begin"/>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instrText xml:space="preserve"> HYPERLINK "https://m.baike.so.com/"/doc/304737-322616.html/"" \t "/home/hsl/Documents\\x/\\"_blank\\"" </w:instrTex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separate"/>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泡水</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end"/>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河穿境而过，境内河道长15.5千米</w:t>
      </w:r>
      <w:r>
        <w:rPr>
          <w:rFonts w:hint="default" w:ascii="仿宋_GB2312" w:hAnsi="仿宋_GB2312" w:eastAsia="仿宋_GB2312" w:cs="仿宋_GB2312"/>
          <w:bCs/>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水位较浅，未形成水运条件，水运主要依托长沙湘江流域。</w:t>
      </w:r>
    </w:p>
    <w:p w14:paraId="510F37E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3.基础设施和市政公用设施</w:t>
      </w:r>
    </w:p>
    <w:p w14:paraId="2C2C6E7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（1）供电：区域内接市政双回路110KV供电管网，供电保证率一般。</w:t>
      </w:r>
    </w:p>
    <w:p w14:paraId="6E41B4B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（2）通讯：区域内通讯与市政通讯网相联，通讯线路以地下管道为主，辅以架空线路，通讯线路畅通，区内已实现移动电话全国漫游，区内全面铺设了高速宽带通讯光缆。</w:t>
      </w:r>
    </w:p>
    <w:p w14:paraId="5A59E07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（3）给水：区域内供水主要来自区内的市政供水。自来水供应管道标准φ1000mm、φ800mm、φ600mm，供水保证率高。</w:t>
      </w:r>
    </w:p>
    <w:p w14:paraId="593BE6C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（4）排水：区内排水为雨污分流方式，排污管沿主要道路铺设，以污水处理厂为终结，市政排水体系完备。</w:t>
      </w:r>
    </w:p>
    <w:p w14:paraId="113B5DA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（5）通气：/。</w:t>
      </w:r>
    </w:p>
    <w:p w14:paraId="11428BE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（6）供暖：/。</w:t>
      </w:r>
    </w:p>
    <w:p w14:paraId="667DBAD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4.环境条件</w:t>
      </w:r>
    </w:p>
    <w:p w14:paraId="1735F52D">
      <w:pPr>
        <w:spacing w:line="480" w:lineRule="exact" w:before="0" w:after="0"/>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hAnsi="仿宋_GB2312" w:cs="仿宋_GB2312"/>
          <w:color w:val="000000" w:themeColor="text1"/>
          <w:sz w:val="28"/>
          <w:szCs w:val="30"/>
          <w:highlight w:val="none"/>
          <w14:textFill>
            <w14:solidFill>
              <w14:schemeClr w14:val="tx1"/>
            </w14:solidFill>
          </w14:textFill>
        </w:rPr>
        <w:t>（1）人文环境</w:t>
      </w:r>
    </w:p>
    <w:p w14:paraId="2607F4A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w:t>
      </w:r>
      <w:r>
        <w:rPr>
          <w:rFonts w:hint="eastAsia" w:ascii="仿宋_GB2312" w:hAnsi="仿宋_GB2312" w:eastAsia="仿宋_GB2312" w:cs="仿宋_GB2312"/>
          <w:bCs/>
          <w:color w:val="000000" w:themeColor="text1"/>
          <w:sz w:val="28"/>
          <w:szCs w:val="28"/>
          <w:highlight w:val="none"/>
          <w14:textFill>
            <w14:solidFill>
              <w14:schemeClr w14:val="tx1"/>
            </w14:solidFill>
          </w14:textFill>
        </w:rPr>
        <w:t>居民整体文化素质一般，周边治安稳定，文人环境一般。</w:t>
      </w:r>
    </w:p>
    <w:p w14:paraId="536EBFB5">
      <w:pPr>
        <w:spacing w:line="480" w:lineRule="exact" w:before="0" w:after="0"/>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hAnsi="仿宋_GB2312" w:cs="仿宋_GB2312"/>
          <w:color w:val="000000" w:themeColor="text1"/>
          <w:sz w:val="28"/>
          <w:szCs w:val="30"/>
          <w:highlight w:val="none"/>
          <w14:textFill>
            <w14:solidFill>
              <w14:schemeClr w14:val="tx1"/>
            </w14:solidFill>
          </w14:textFill>
        </w:rPr>
        <w:t>（2）自然环境</w:t>
      </w:r>
    </w:p>
    <w:p w14:paraId="1BB2278B">
      <w:pPr>
        <w:spacing w:line="480" w:lineRule="exact" w:before="0" w:after="0"/>
        <w:ind w:firstLine="560" w:firstLineChars="200"/>
        <w:outlineLvl w:val="9"/>
        <w:rPr>
          <w:rFonts w:hint="default" w:ascii="仿宋_GB2312" w:eastAsia="仿宋_GB2312"/>
          <w:color w:val="auto"/>
          <w:sz w:val="28"/>
          <w:szCs w:val="30"/>
          <w:highlight w:val="none"/>
        </w:rPr>
      </w:pPr>
      <w:r>
        <w:rPr>
          <w:rFonts w:hint="default" w:ascii="仿宋_GB2312" w:eastAsia="仿宋_GB2312" w:hAnsi="仿宋_GB2312" w:cs="仿宋_GB2312"/>
          <w:color w:val="auto"/>
          <w:sz w:val="28"/>
          <w:szCs w:val="30"/>
          <w:highlight w:val="none"/>
        </w:rPr>
        <w:t>四马桥镇境内麻子寨、分水凹等山矗立南部，地势东高西低，南高北低。泡水流注其间，沿河两岸为较大面积的溪谷平原，地势平坦。地面高度一般在海拔350米，最高点牛鸾心海拔1037米，最低点泡水河海拔200米。</w:t>
      </w:r>
    </w:p>
    <w:p w14:paraId="22F4227B">
      <w:pPr>
        <w:spacing w:line="480" w:lineRule="exact" w:before="0" w:after="0"/>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hAnsi="仿宋_GB2312" w:cs="仿宋_GB2312"/>
          <w:color w:val="auto"/>
          <w:sz w:val="28"/>
          <w:szCs w:val="30"/>
          <w:highlight w:val="none"/>
        </w:rPr>
        <w:t>宗地所在区域，地质条</w:t>
      </w:r>
      <w:r>
        <w:rPr>
          <w:rFonts w:hint="eastAsia" w:ascii="仿宋_GB2312" w:eastAsia="仿宋_GB2312" w:hAnsi="仿宋_GB2312" w:cs="仿宋_GB2312"/>
          <w:color w:val="000000" w:themeColor="text1"/>
          <w:sz w:val="28"/>
          <w:szCs w:val="30"/>
          <w:highlight w:val="none"/>
          <w14:textFill>
            <w14:solidFill>
              <w14:schemeClr w14:val="tx1"/>
            </w14:solidFill>
          </w14:textFill>
        </w:rPr>
        <w:t>件较好，宗地无异常地质现象，地基承载力</w:t>
      </w: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大于25</w:t>
      </w:r>
      <w:r>
        <w:rPr>
          <w:rFonts w:hint="eastAsia" w:ascii="仿宋_GB2312" w:eastAsia="仿宋_GB2312" w:hAnsi="仿宋_GB2312" w:cs="仿宋_GB2312"/>
          <w:color w:val="000000" w:themeColor="text1"/>
          <w:sz w:val="28"/>
          <w:szCs w:val="30"/>
          <w:highlight w:val="none"/>
          <w14:textFill>
            <w14:solidFill>
              <w14:schemeClr w14:val="tx1"/>
            </w14:solidFill>
          </w14:textFill>
        </w:rPr>
        <w:t>吨/平方米，地势平坦。区域内无大型污染性企业，区域内自然灾害率大于100年一遇。</w:t>
      </w:r>
    </w:p>
    <w:p w14:paraId="5F2840C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5.产业集聚度</w:t>
      </w:r>
    </w:p>
    <w:p w14:paraId="2EC25ED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估价对象位于产业独立分布区，产业集聚度劣。</w:t>
      </w:r>
    </w:p>
    <w:p w14:paraId="5688FE8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6.规划限制</w:t>
      </w:r>
    </w:p>
    <w:p w14:paraId="639FA9D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目前城市规划对估价对象所在区域无特殊限制，具体的开发建设必须符合规划管理部门的控制性详细规划。</w:t>
      </w:r>
    </w:p>
    <w:p w14:paraId="61E131B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7.微观区位因素</w:t>
      </w:r>
    </w:p>
    <w:p w14:paraId="4A12677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估价对象位于{{ land_location }}，估价对价对象交通由支路构成，区域交通条件差。距离最近火车站（江华火车站）约12km，距火车站距离差；区域基础设施状况一般，区域内产业集聚度差。</w:t>
      </w:r>
    </w:p>
    <w:p w14:paraId="145F5FE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综合考虑以上影响地价区域因素，评估分析：估价对象所在区域交通条件差，基础设施齐全，产业集聚度差，地质条件好，区域无特殊规划限制。</w:t>
      </w:r>
    </w:p>
    <w:p w14:paraId="3640194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(三)个别因素</w:t>
      </w:r>
    </w:p>
    <w:p w14:paraId="4C8C8F28">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影响宗地的个别因素主要指与土地利用直接有关的宗地自身条件，包括估价对象位置、面积、用途、土地利用现状、宗地形状、地质条件、地势、基础设施条件等。</w:t>
      </w:r>
    </w:p>
    <w:p w14:paraId="0D565D13">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1.土地位置</w:t>
      </w:r>
    </w:p>
    <w:p w14:paraId="7DF5C5BA">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 land_location_full }}。</w:t>
      </w:r>
    </w:p>
    <w:p w14:paraId="05C13040">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2.土地面积</w:t>
      </w:r>
    </w:p>
    <w:p w14:paraId="406E676F">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根据委托估价方提供的《关于国有建设用地的规划条件的函》（2025年9月11日），估价对象土地面积为{{ land_area }}平方米，面积适中，对土地利用有利。</w:t>
      </w:r>
    </w:p>
    <w:p w14:paraId="0BF01DA4">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3.宗地四至：东临林地，南临林地，西临林地，北临林地。</w:t>
      </w:r>
    </w:p>
    <w:p w14:paraId="77D8C53F">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4.土地用途</w:t>
      </w:r>
    </w:p>
    <w:p w14:paraId="3504F6AD">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根据《关于国有建设用地的规划条件的函》（2025年9月11日），土地用途为工业用地。</w:t>
      </w:r>
    </w:p>
    <w:p w14:paraId="523EACAC">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5.土地形状</w:t>
      </w:r>
    </w:p>
    <w:p w14:paraId="51680C86">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根据委托估价方提供的《{{ county_name }}{{ land_plot_number }}号地块建设用地规划红线图》，宗地形状基本规则，对利用无影响。</w:t>
      </w:r>
      <w:r>
        <w:rPr>
          <w:rFonts w:ascii="仿宋_GB2312" w:hAnsi="仿宋_GB2312" w:eastAsia="仿宋_GB2312" w:cs="仿宋_GB2312"/>
          <w:color w:val="000000"/>
          <w:sz w:val="28"/>
        </w:rPr>
      </w:r>
    </w:p>
    <w:p w14:paraId="0FCC2F77">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6.地质条件</w:t>
      </w:r>
    </w:p>
    <w:p w14:paraId="2ADABEAB">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估价对象地基承载大于25吨/平方米，地质条件优。</w:t>
      </w:r>
    </w:p>
    <w:p w14:paraId="70834E80">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7.地势条件</w:t>
      </w:r>
    </w:p>
    <w:p w14:paraId="221558E6">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根据估价师现场勘查，宗地地势较平坦。</w:t>
      </w:r>
    </w:p>
    <w:p w14:paraId="5A907B07">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8.土地利用条件</w:t>
      </w:r>
    </w:p>
    <w:p w14:paraId="76C90B0E">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（1）土地利用现状</w:t>
      </w:r>
    </w:p>
    <w:p w14:paraId="0FE69799">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根据委托估价方提供的资料和土地估价师现场勘查结果，宗地现状开发程度为宗地红线外围“五通”（即通路、通电、通讯、供水、排水）红线内场地平整，利用现状为待开发建设用地。</w:t>
      </w:r>
    </w:p>
    <w:p w14:paraId="6CA09E17">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估价对象利用现状如下：</w:t>
      </w:r>
    </w:p>
    <w:tbl>
      <w:tblPr>
        <w:tblStyle w:val="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18"/>
        <w:gridCol w:w="4204"/>
      </w:tblGrid>
      <w:tr w14:paraId="6CD3CA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92" w:hRule="atLeast"/>
          <w:jc w:val="center"/>
        </w:trPr>
        <w:tc>
          <w:tcPr>
            <w:tcW w:w="2533" w:type="pct"/>
          </w:tcPr>
          <w:p w14:paraId="61B55515">
            <w:pPr>
              <w:pStyle w:val="14"/>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19680" cy="1889760"/>
                  <wp:effectExtent l="0" t="0" r="13970" b="15240"/>
                  <wp:docPr id="1" name="图片 1" descr="0d1c4769464c08c55cd7d263fc47bf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d1c4769464c08c55cd7d263fc47bf45"/>
                          <pic:cNvPicPr>
                            <a:picLocks noChangeAspect="1"/>
                          </pic:cNvPicPr>
                        </pic:nvPicPr>
                        <pic:blipFill>
                          <a:blip r:embed="rId30"/>
                          <a:stretch>
                            <a:fillRect/>
                          </a:stretch>
                        </pic:blipFill>
                        <pic:spPr>
                          <a:xfrm>
                            <a:off x="0" y="0"/>
                            <a:ext cx="2519680" cy="1889760"/>
                          </a:xfrm>
                          <a:prstGeom prst="rect">
                            <a:avLst/>
                          </a:prstGeom>
                        </pic:spPr>
                      </pic:pic>
                    </a:graphicData>
                  </a:graphic>
                </wp:inline>
              </w:drawing>
            </w:r>
          </w:p>
        </w:tc>
        <w:tc>
          <w:tcPr>
            <w:tcW w:w="2466" w:type="pct"/>
          </w:tcPr>
          <w:p w14:paraId="5D9B8107">
            <w:pPr>
              <w:pStyle w:val="14"/>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22220" cy="1891030"/>
                  <wp:effectExtent l="0" t="0" r="11430" b="13970"/>
                  <wp:docPr id="3" name="图片 3" descr="b9ee6a2c6791617f1697764a5113a0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b9ee6a2c6791617f1697764a5113a0eb"/>
                          <pic:cNvPicPr>
                            <a:picLocks noChangeAspect="1"/>
                          </pic:cNvPicPr>
                        </pic:nvPicPr>
                        <pic:blipFill>
                          <a:blip r:embed="rId31"/>
                          <a:stretch>
                            <a:fillRect/>
                          </a:stretch>
                        </pic:blipFill>
                        <pic:spPr>
                          <a:xfrm>
                            <a:off x="0" y="0"/>
                            <a:ext cx="2522220" cy="1891030"/>
                          </a:xfrm>
                          <a:prstGeom prst="rect">
                            <a:avLst/>
                          </a:prstGeom>
                        </pic:spPr>
                      </pic:pic>
                    </a:graphicData>
                  </a:graphic>
                </wp:inline>
              </w:drawing>
            </w:r>
          </w:p>
        </w:tc>
      </w:tr>
    </w:tbl>
    <w:p w14:paraId="02073010">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（2）规划利用条件</w:t>
      </w:r>
    </w:p>
    <w:p w14:paraId="60982C1E">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①规划利用状况</w:t>
      </w:r>
    </w:p>
    <w:p w14:paraId="1AF2793F">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根据《关于国有建设用地的规划条件的函》（2025年9月11日）及现场勘查状况，估价对象土地面积为{{ land_area }}平方米，规划建筑密度{{ building_density_min }}-{{ building_density_max }}，容积率{{ plot_ratio_display }}，绿地率{{ greening_rate }}，建筑限高{{ building_height_limit }}，规划指标批准机关为{{ planning_approval_authority }}，批准日期为2025年9月11日。</w:t>
      </w:r>
      <w:r>
        <w:rPr>
          <w:rFonts w:ascii="仿宋_GB2312" w:hAnsi="仿宋_GB2312" w:eastAsia="仿宋_GB2312" w:cs="仿宋_GB2312"/>
          <w:color w:val="000000"/>
          <w:sz w:val="28"/>
        </w:rPr>
      </w:r>
    </w:p>
    <w:p w14:paraId="6849B2D4">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②最佳利用</w:t>
      </w:r>
    </w:p>
    <w:p w14:paraId="7C889307">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本次评估根据最有效利用原则，估价对象在规划利用下价值利用状况为最有效利用。故设定估价对象用途为{{ land_usage }}，设定容积率为{{ plot_ratio }}，其余指标均取规划值为最佳利用方式。</w:t>
      </w:r>
    </w:p>
    <w:p w14:paraId="37F0EB9E">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③规划利用限制和缺陷情况</w:t>
      </w:r>
    </w:p>
    <w:p w14:paraId="6EBA7B6F">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根据委托方提供的资料及估价人员了解，宗地无明显规划利用限制和缺陷。</w:t>
      </w:r>
    </w:p>
    <w:p w14:paraId="11A7E29F">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9.基础设施条件</w:t>
      </w:r>
    </w:p>
    <w:p w14:paraId="46A524AA">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估价对象宗地实际土地开发程度为宗地红线外“五通”（即通路、通电、通讯、供水、排水），宗地红线内场地平整。</w:t>
      </w:r>
    </w:p>
    <w:p w14:paraId="05C96FAB">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（1）通路：临支路。</w:t>
      </w:r>
    </w:p>
    <w:p w14:paraId="516EFC0F">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（2）供电：区域内接市政双回路110KV供电管网，供电保证率一般。</w:t>
      </w:r>
    </w:p>
    <w:p w14:paraId="6D7AC5FB">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（3）通讯：区域内通讯与市政通讯网相联，通讯线路以地下管道为主，辅以架空线路，通讯线路畅通，区内已实现移动电话全国漫游，区内全面铺设了高速宽带通讯光缆。</w:t>
      </w:r>
    </w:p>
    <w:p w14:paraId="310ED1DA">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（4）给水：/。</w:t>
      </w:r>
    </w:p>
    <w:p w14:paraId="68010F06">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（5）排水：/。</w:t>
      </w:r>
    </w:p>
    <w:p w14:paraId="29EF1C13">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14:textFill>
            <w14:solidFill>
              <w14:schemeClr w14:val="tx1"/>
            </w14:solidFill>
          </w14:textFill>
        </w:rPr>
        <w:sectPr>
          <w:headerReference r:id="rId11" w:type="first"/>
          <w:footerReference r:id="rId12" w:type="first"/>
          <w:endnotePr>
            <w:numFmt w:val="decimal"/>
          </w:endnotePr>
          <w:type w:val="continuous"/>
          <w:pgSz w:w="11906" w:h="16838"/>
          <w:pgMar w:top="1440" w:right="1800" w:bottom="1440" w:left="1800" w:header="851" w:footer="992" w:gutter="0"/>
          <w:pgNumType w:fmt="decimal"/>
          <w:cols w:space="720" w:num="1"/>
          <w:docGrid w:linePitch="312" w:charSpace="0"/>
        </w:sect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综合考虑以上影响地价的个别因素，评估分析：面积适中，对土地利用有利，宗地形状基本规则，对利用有一定影响，地质地势条件优，主要进出道路为支路，道路通达度较差，距最近货运火车站距离为劣。估价对象作为设定用途符合有效利用原则，其他个别条件均对宗地产生较有利影响。</w:t>
      </w:r>
    </w:p>
    <w:p w14:paraId="6A8170FB">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p>
    <w:p w14:paraId="1D4FE92F">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sectPr>
          <w:headerReference r:id="rId13" w:type="first"/>
          <w:footerReference r:id="rId14" w:type="first"/>
          <w:endnotePr>
            <w:numFmt w:val="decimal"/>
          </w:endnotePr>
          <w:type w:val="continuous"/>
          <w:pgSz w:w="11906" w:h="16838"/>
          <w:pgMar w:top="1440" w:right="1800" w:bottom="1440" w:left="1800" w:header="851" w:footer="992" w:gutter="0"/>
          <w:pgNumType w:fmt="decimal"/>
          <w:cols w:space="720" w:num="1"/>
          <w:docGrid w:linePitch="312" w:charSpace="0"/>
        </w:sectPr>
      </w:pPr>
    </w:p>
    <w:p w14:paraId="4A2C50C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p>
    <w:p w14:paraId="0DD4A18E">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sectPr>
          <w:headerReference r:id="rId15" w:type="first"/>
          <w:footerReference r:id="rId16" w:type="first"/>
          <w:endnotePr>
            <w:numFmt w:val="decimal"/>
          </w:endnotePr>
          <w:type w:val="continuous"/>
          <w:pgSz w:w="11906" w:h="16838"/>
          <w:pgMar w:top="1440" w:right="1800" w:bottom="1440" w:left="1800" w:header="851" w:footer="992" w:gutter="0"/>
          <w:pgNumType w:fmt="decimal"/>
          <w:cols w:space="720" w:num="1"/>
          <w:docGrid w:linePitch="312" w:charSpace="0"/>
        </w:sectPr>
      </w:pPr>
    </w:p>
    <w:p w14:paraId="7B6D4CF8">
      <w:pPr>
        <w:tabs>
          <w:tab w:val="left" w:pos="0"/>
        </w:tabs>
        <w:spacing w:before="0" w:beforeLines="50" w:after="0" w:afterLines="100" w:line="560" w:lineRule="exact"/>
        <w:jc w:val="center"/>
        <w:outlineLvl w:val="1"/>
        <w:rPr>
          <w:rFonts w:ascii="宋体" w:hAnsi="宋体"/>
          <w:b/>
          <w:color w:val="000000" w:themeColor="text1"/>
          <w:sz w:val="32"/>
          <w:szCs w:val="32"/>
          <w:highlight w:val="none"/>
          <w14:textFill>
            <w14:solidFill>
              <w14:schemeClr w14:val="tx1"/>
            </w14:solidFill>
          </w14:textFill>
        </w:rPr>
      </w:pPr>
      <w:r>
        <w:rPr>
          <w:rFonts w:hint="eastAsia" w:ascii="宋体" w:hAnsi="宋体" w:eastAsia="宋体" w:cs="宋体"/>
          <w:b/>
          <w:color w:val="000000" w:themeColor="text1"/>
          <w:sz w:val="32"/>
          <w:szCs w:val="32"/>
          <w:highlight w:val="none"/>
          <w14:textFill>
            <w14:solidFill>
              <w14:schemeClr w14:val="tx1"/>
            </w14:solidFill>
          </w14:textFill>
        </w:rPr>
        <w:t>第三部分   土地估价结果及其使用</w:t>
      </w:r>
    </w:p>
    <w:p w14:paraId="11C473B3">
      <w:pPr>
        <w:keepNext w:val="0"/>
        <w:keepLines w:val="0"/>
        <w:pageBreakBefore w:val="0"/>
        <w:widowControl w:val="0"/>
        <w:kinsoku/>
        <w:wordWrap/>
        <w:topLinePunct w:val="0"/>
        <w:bidi w:val="0"/>
        <w:spacing w:line="480" w:lineRule="exact" w:before="0" w:after="0"/>
        <w:ind w:firstLine="562" w:firstLineChars="200"/>
        <w:textAlignment w:val="auto"/>
        <w:outlineLvl w:val="1"/>
        <w:rPr>
          <w:rFonts w:hint="default" w:ascii="仿宋_GB2312" w:eastAsia="仿宋_GB2312"/>
          <w:color w:val="000000" w:themeColor="text1"/>
          <w:sz w:val="28"/>
          <w:szCs w:val="30"/>
          <w:highlight w:val="none"/>
          <w:lang w:val="en-US" w:eastAsia="zh-CN"/>
          <w14:textFill>
            <w14:solidFill>
              <w14:schemeClr w14:val="tx1"/>
            </w14:solidFill>
          </w14:textFill>
        </w:rPr>
      </w:pPr>
      <w:r>
        <w:rPr>
          <w:rFonts w:hint="eastAsia" w:ascii="宋体" w:eastAsia="宋体" w:hAnsi="宋体" w:cs="宋体"/>
          <w:b/>
          <w:color w:val="000000" w:themeColor="text1"/>
          <w:sz w:val="28"/>
          <w:szCs w:val="28"/>
          <w:highlight w:val="none"/>
          <w:lang w:val="en-US" w:eastAsia="zh-CN"/>
          <w14:textFill>
            <w14:solidFill>
              <w14:schemeClr w14:val="tx1"/>
            </w14:solidFill>
          </w14:textFill>
        </w:rPr>
        <w:t>一、估价依据</w:t>
      </w:r>
    </w:p>
    <w:p w14:paraId="1648BD1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（一）国家相关法律、法规及行政规章</w:t>
      </w:r>
    </w:p>
    <w:p w14:paraId="1B5806B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1.《中华人民共和国资产评估法》（中华人民共和国主席令第46号，2016年12月1日起实施）；</w:t>
      </w:r>
    </w:p>
    <w:p w14:paraId="6F3C2A4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2.《中华人民共和国民法典》（2020年5月28日中华人民共和国主席令第45号公布，自2021年1月1日起施行）；</w:t>
      </w:r>
    </w:p>
    <w:p w14:paraId="0BC1F63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中华人民共和国土地管理法》（中华人民共和国主席令第28号，自1999年1月1日起施行，根据2019年8月26日第十三届全国人民代表大会常务委员会第十二次会议《关于修改〈中华人民共和国土地管理法〉〈中华人民共和国城市房地产管理法〉的决定》第三次修正，2020年1月1日起施行）；</w:t>
      </w:r>
    </w:p>
    <w:p w14:paraId="63647F1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中华人民共和国城市房地产管理法》（中华人民共和国主席令第72号，自1995年1月1日起施行，根据2019年8月26日第十三届全国人民代表大会常务委员会第十二次会议《关于修改〈中华人民共和国土地管理法〉、〈中华人民共和国城市房地产管理法〉的决定》第三次修正）；</w:t>
      </w:r>
    </w:p>
    <w:p w14:paraId="128CF79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中华人民共和国城乡规划法》（2007年10月28日，第十届全国人民代表大会常务委员会第三十次会通过，自2008年1月1日起施行。根据2019年4月23日第十三届全国人民代表大会常务委员会第十次会议《关于修改〈中华人民共和国建筑法〉等八部法律的决定》第二次修正）；</w:t>
      </w:r>
    </w:p>
    <w:p w14:paraId="497821B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6.《中华人民共和国土地管理法实施条例》（1998年12月27日中华人民共和国国务院令第256号发布，根据2021年7月2日中华人民共和国国务院令第743号第三次修订）；</w:t>
      </w:r>
    </w:p>
    <w:p w14:paraId="1A4656E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7.《中华人民共和国城镇国有土地使用权出让和转让暂行条例》（1990年5月19日国务院令第55号发布，根据2020年11月29日《国务院关于修改和废止部分行政法规的决定》修订,自发布之日起施行）；</w:t>
      </w:r>
    </w:p>
    <w:p w14:paraId="4F133C0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8.国土资源部办公厅《国有土地使用权出让地价评估技术规范》（国土资厅发〔2018〕4号，2018年3月9日）；</w:t>
      </w:r>
    </w:p>
    <w:p w14:paraId="0E36E09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9.国土资源部《招标拍卖挂牌出让国有建设用地使用权规定》（国土资源部部令第 39 号，2007年9月28日）；</w:t>
      </w:r>
    </w:p>
    <w:p w14:paraId="4AA5D29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10.《国土资源部办公厅关于实施《城镇土地分等定级规程》和《城镇土地估价规程》有关问题的通知》（国土资厅发〔2015〕12号，2015年3月18日）；</w:t>
      </w:r>
    </w:p>
    <w:p w14:paraId="512B02D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11.《国务院关于深化改革严格土地管理的决定》（国发[2004]28号，2004年10月21日）；</w:t>
      </w:r>
    </w:p>
    <w:p w14:paraId="227F01E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12.《国务院关于加强国有土地资产管理的通知》（国发[2001]15号，2001年4月30日）；</w:t>
      </w:r>
    </w:p>
    <w:p w14:paraId="33FB135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13.《国务院关于加强土地调控有关问题的通知》（国发[2006]31号，2006年8月31日）；</w:t>
      </w:r>
    </w:p>
    <w:p w14:paraId="7ABC4EE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14.《节约集约利用土地规定》（2014年5月22日国土资源部令第61号公布，根据2019年7月16日自然资源部第2次部务会议《自然资源部关于第一批废止和修改的部门规章的决定》修正）；</w:t>
      </w:r>
    </w:p>
    <w:p w14:paraId="0535F00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15.《国土资源部办公厅关于实行电子化备案完善土地估价报告备案制度的通知》（国土资厅发[2012]35号，2012年6月24日）；</w:t>
      </w:r>
    </w:p>
    <w:p w14:paraId="5ACFB4B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16.《国土资源部关于进一步加强城市地价动态监测工作的通知》（国土资发[2008]51号）；</w:t>
      </w:r>
    </w:p>
    <w:p w14:paraId="3FCDC4F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17.《国土资源部关于贯彻实施&lt;中华人民共和国资产评估法&gt;的通知》（国土资发〔2016〕181号，2016年11月25日）；</w:t>
      </w:r>
    </w:p>
    <w:p w14:paraId="468AFA4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18.《中华人民共和国增值税暂行条例》（1993年12月13日中华人民共和国国务院令第134号公布，根据2017年11月19日《国务院关于废止〈中华人民共和国营业税暂行条例〉和修改〈中华人民共和国增值税暂行条例〉的决定》第二次修订）；</w:t>
      </w:r>
    </w:p>
    <w:p w14:paraId="7FBA967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19.《营业税改征增值税试点实施办法》（财税〔2016〕36号，2016年3月24日）；</w:t>
      </w:r>
    </w:p>
    <w:p w14:paraId="2F0B971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20.财政部、国家税务总局《关于调整增值税税率的通知》（财税[2018]32号，2018年4月4日）；</w:t>
      </w:r>
    </w:p>
    <w:p w14:paraId="4CA2CE4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21.《关于深化增值税改革有关政策的公告》（财政部、税务总局、海关总署公告2019年第39号，2019年3月20日）；</w:t>
      </w:r>
    </w:p>
    <w:p w14:paraId="5EE35B3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22.《中华人民共和国契税法》（中华人民共和国第十三届全国人民代表大会常务委员会第二十一次会议于2020年8月11日通过，自2021年9月1日起施行）；</w:t>
      </w:r>
    </w:p>
    <w:p w14:paraId="333AF49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23.《中华人民共和国城市维护建设税法》（中华人民共和国主席令（第五十一号），中华人民共和国第十三届全国人民代表大会常务委员会第二十一次会议于2020年8月11日通过，自2021年9月1日起施行）；</w:t>
      </w:r>
    </w:p>
    <w:p w14:paraId="071A130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24.《国务院关于统一内外资企业和个人城市维护建设税和教育费附加制度的通知》（国发[2010]35号，2010年12月1日）；</w:t>
      </w:r>
    </w:p>
    <w:p w14:paraId="0B5784A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25.《关于贯彻落实&lt;自然资源部办公厅关于做好2021年度自然资源评价评估有关工作的通知&gt;加强业务能力建设规范执业行为的通知》（中估协发〔2021〕16号，2021年5月15日）；</w:t>
      </w:r>
    </w:p>
    <w:p w14:paraId="7A4D49E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26.其他有关的国家相关法律、法规及行政规章。</w:t>
      </w:r>
    </w:p>
    <w:p w14:paraId="3ED8EC0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（二）地方政府及有关部门颁发的法规规章及相关文件</w:t>
      </w:r>
    </w:p>
    <w:p w14:paraId="2391820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1.湖南省实施《中华人民共和国土地管理法》办法（湖南省第十三届人民代表大会常务委员会第五次会议通过，2022年3月1日施行）；</w:t>
      </w:r>
    </w:p>
    <w:p w14:paraId="5862CE3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2.《湖南省城镇国有土地使用权出让和转让实施办法》(1994年11月19日湖南省人民政府令第38号公布，2002年3月7日湖南省人民政府令152号第二次修改，自1994年11月19日起施行)；</w:t>
      </w:r>
    </w:p>
    <w:p w14:paraId="6F488D3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3.湖南省人民政府《湖南省土地市场管理办法》（2005年1月20日湖南省人民政府令第195号公布，2011年1月30日湖南省人民政府令第251号修改，自2005年3月1日起施行）；</w:t>
      </w:r>
    </w:p>
    <w:p w14:paraId="2FBB4B4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4.湖南省人民政府办公厅关于印发《湖南省国有土地使用权出让收支管理办法》的通知（湘政办发[2015]1号，2015年3月12日）；</w:t>
      </w:r>
    </w:p>
    <w:p w14:paraId="7D2BEB4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5.湖南省人民政府《湖南省教育费附加和地方教育附加征收管理办法》（2007年12月31日湖南省人民政府令第218号公布，2022年10月8日湖南省人民政府令第310号修改，自2008年1月1日起施行）；</w:t>
      </w:r>
    </w:p>
    <w:p w14:paraId="03436E5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6.湖南省财政厅、湖南省地方税务局《关于调整地方教育附加征收标准的通知》（湘财综〔2018〕35号，2018年10月 24日）；</w:t>
      </w:r>
    </w:p>
    <w:p w14:paraId="3EFDB13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7.《湖南省人民代表大会常务委员会关于契税具体适用税率等事项的决定》（2021年5月27日湖南省第十三届人民代表大会常务委员会第二十四次会议通过，自2021年9月1日起施行）；</w:t>
      </w:r>
    </w:p>
    <w:p w14:paraId="311FB5F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8.湖南省发改委、省财政厅《关于我省公共资源交易服务费有关问题的通知》（湘发改价服〔2016〕147号，2016年3月9日）；</w:t>
      </w:r>
    </w:p>
    <w:p w14:paraId="745EFC4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9.湖南省地方税务局《关于加强土地增值税管理的公告》（湖南省地方税务局公告2015年第4号，2015年6月18日）；</w:t>
      </w:r>
    </w:p>
    <w:p w14:paraId="1A7D8ED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湖南省人民政府关于调整湖南省征地补偿标准的通知</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》（湘政发〔2024〕1号，2024年1月31日）；</w:t>
      </w:r>
    </w:p>
    <w:p w14:paraId="5F5DB1F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eastAsia="仿宋_GB2312" w:ascii="仿宋_GB2312" w:hAnsi="仿宋_GB2312" w:cs="仿宋_GB2312"/>
          <w:color w:val="000000" w:themeColor="text1"/>
          <w:sz w:val="28"/>
          <w:szCs w:val="28"/>
          <w:highlight w:val="none"/>
          <w:lang w:eastAsia="zh-CN"/>
          <w14:textFill>
            <w14:solidFill>
              <w14:schemeClr w14:val="tx1"/>
            </w14:solidFill>
          </w14:textFill>
        </w:rPr>
        <w:t>《湖南省自然资源厅关于调整征收农用地补偿区片空间范围的通知》（湘自资发〔2024〕7号，</w:t>
      </w:r>
      <w:r>
        <w:rPr>
          <w:rFonts w:hint="eastAsia" w:eastAsia="仿宋_GB2312" w:ascii="仿宋_GB2312" w:hAnsi="仿宋_GB2312" w:cs="仿宋_GB2312"/>
          <w:color w:val="000000" w:themeColor="text1"/>
          <w:sz w:val="28"/>
          <w:szCs w:val="28"/>
          <w:highlight w:val="none"/>
          <w:lang w:val="en-US" w:eastAsia="zh-CN"/>
          <w14:textFill>
            <w14:solidFill>
              <w14:schemeClr w14:val="tx1"/>
            </w14:solidFill>
          </w14:textFill>
        </w:rPr>
        <w:t>2024年2月1日</w:t>
      </w:r>
      <w:r>
        <w:rPr>
          <w:rFonts w:hint="eastAsia" w:eastAsia="仿宋_GB2312" w:ascii="仿宋_GB2312" w:hAnsi="仿宋_GB2312" w:cs="仿宋_GB2312"/>
          <w:color w:val="000000" w:themeColor="text1"/>
          <w:sz w:val="28"/>
          <w:szCs w:val="28"/>
          <w:highlight w:val="none"/>
          <w:lang w:eastAsia="zh-CN"/>
          <w14:textFill>
            <w14:solidFill>
              <w14:schemeClr w14:val="tx1"/>
            </w14:solidFill>
          </w14:textFill>
        </w:rPr>
        <w:t>）；</w:t>
      </w:r>
    </w:p>
    <w:p w14:paraId="07171B1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12.</w:t>
      </w:r>
      <w:r>
        <w:rPr>
          <w:rFonts w:hint="eastAsia" w:ascii="仿宋_GB2312" w:hAnsi="仿宋_GB2312" w:eastAsia="仿宋_GB2312" w:cs="仿宋_GB2312"/>
          <w:color w:val="000000" w:themeColor="text1"/>
          <w:sz w:val="28"/>
          <w:szCs w:val="28"/>
          <w:highlight w:val="none"/>
          <w14:textFill>
            <w14:solidFill>
              <w14:schemeClr w14:val="tx1"/>
            </w14:solidFill>
          </w14:textFill>
        </w:rPr>
        <w:t>湖南省人民政府关于印发《湖南省水利建设基金筹集和使用管理办法》的通知（湘政发[2011]27号）</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p>
    <w:p w14:paraId="2064FA6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13.</w:t>
      </w:r>
      <w:r>
        <w:rPr>
          <w:rFonts w:hint="eastAsia" w:ascii="仿宋_GB2312" w:hAnsi="仿宋_GB2312" w:eastAsia="仿宋_GB2312" w:cs="仿宋_GB2312"/>
          <w:color w:val="000000" w:themeColor="text1"/>
          <w:sz w:val="28"/>
          <w:highlight w:val="none"/>
          <w14:textFill>
            <w14:solidFill>
              <w14:schemeClr w14:val="tx1"/>
            </w14:solidFill>
          </w14:textFill>
        </w:rPr>
        <w:t>《湖南省人民政府办公厅&lt;湖南省耕地开垦费征收使用管理办法&gt;的通知》（湘政办〔2019〕38号）</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170439C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14.</w:t>
      </w:r>
      <w:r>
        <w:rPr>
          <w:rFonts w:hint="eastAsia" w:ascii="仿宋_GB2312" w:hAnsi="仿宋_GB2312" w:eastAsia="仿宋_GB2312" w:cs="仿宋_GB2312"/>
          <w:color w:val="000000" w:themeColor="text1"/>
          <w:sz w:val="28"/>
          <w:highlight w:val="none"/>
          <w14:textFill>
            <w14:solidFill>
              <w14:schemeClr w14:val="tx1"/>
            </w14:solidFill>
          </w14:textFill>
        </w:rPr>
        <w:t>湖南省人力资源社会保障厅《关于进一步做好被征地农民社会保障工作的通知》（湘人社规〔2023〕1号，2023年4月28日）</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3C7F721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15.《湖南省财政厅 国家税务总局湖南省税务局 湖南省林业局 中国人民银行湖南省分行关于印发&lt;湖南省森林植被恢复费征收使用管理实施办法&gt;的通知》（湘财税〔2024〕10号）；</w:t>
      </w:r>
    </w:p>
    <w:p w14:paraId="3841216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16.</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《道县国土空间总体规划（2021-2035年）》；</w:t>
      </w:r>
    </w:p>
    <w:p w14:paraId="47E5D62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17.《道县2024年国民经济和社会发展统计公报》；</w:t>
      </w:r>
    </w:p>
    <w:p w14:paraId="493D3BC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18.</w:t>
      </w:r>
      <w:r>
        <w:rPr>
          <w:rFonts w:hint="eastAsia" w:ascii="仿宋_GB2312" w:hAnsi="仿宋_GB2312" w:eastAsia="仿宋_GB2312" w:cs="仿宋_GB2312"/>
          <w:color w:val="000000" w:themeColor="text1"/>
          <w:sz w:val="28"/>
          <w:highlight w:val="none"/>
          <w14:textFill>
            <w14:solidFill>
              <w14:schemeClr w14:val="tx1"/>
            </w14:solidFill>
          </w14:textFill>
        </w:rPr>
        <w:t>《永州市集体土地与房屋征收补偿安置办法》的通知（永政发〔2024〕4号，2024年5月11日）</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5EB1900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eastAsia="宋体"/>
          <w:color w:val="000000" w:themeColor="text1"/>
          <w:highlight w:val="none"/>
          <w:lang w:eastAsia="zh-CN"/>
          <w14:textFill>
            <w14:solidFill>
              <w14:schemeClr w14:val="tx1"/>
            </w14:solidFill>
          </w14:textFill>
        </w:rPr>
      </w:pPr>
      <w:r>
        <w:rPr>
          <w:rFonts w:ascii="仿宋_GB2312" w:hAnsi="仿宋_GB2312" w:eastAsia="仿宋_GB2312" w:cs="仿宋_GB2312"/>
          <w:sz w:val="28"/>
        </w:rPr>
        <w:t>19.湖南省人民政府、永州市人民政府、{{ base_price_doc_authority }}及有关部门颁布的其他有关政策、规定、实施办法、通知等法规文件。</w:t>
      </w:r>
    </w:p>
    <w:p w14:paraId="2EB04C7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（三）采用的技术规程及标准</w:t>
      </w:r>
    </w:p>
    <w:p w14:paraId="4580E31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1.中华人民共和国国家标准《城镇土地估价规程》（GB/T18508-2014）；</w:t>
      </w:r>
    </w:p>
    <w:p w14:paraId="5F7FC82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2.中华人民共和国国家标准《城镇土地分等定级规程》（GB/T18507-2014）；</w:t>
      </w:r>
    </w:p>
    <w:p w14:paraId="3806C00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3.中华人民共和国国家标准《土地利用现状分类》（GB/T21010-2017）；</w:t>
      </w:r>
    </w:p>
    <w:p w14:paraId="5768618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4.中华人民共和国国家标准《城市用地分类与规划建设用地标准》（GB50136.73-2011）；</w:t>
      </w:r>
    </w:p>
    <w:p w14:paraId="0F58DE0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5.中华人民共和国土地管理行业标准《城市地价动态监测技术规范》（TD/T1009-2007）；</w:t>
      </w:r>
    </w:p>
    <w:p w14:paraId="393CF9A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6.中华人民共和国自然资源管理行业标准《自然资源分等定级通则》（TD/T1060-2021）；</w:t>
      </w:r>
    </w:p>
    <w:p w14:paraId="7E4E170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7.中华人民共和国自然资源管理行业标准《自然资源价格评估通则》（TD/T1061-2021）;</w:t>
      </w:r>
    </w:p>
    <w:p w14:paraId="7520538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8.《国有建设用地使用权出让地价评估技术规范》；</w:t>
      </w:r>
    </w:p>
    <w:p w14:paraId="28D702A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9.中国地价信息服务平台地价动态监测网数据。</w:t>
      </w:r>
    </w:p>
    <w:p w14:paraId="72FD319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（四）委托估价方提供的资料</w:t>
      </w:r>
    </w:p>
    <w:p w14:paraId="06B9039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1.《评估委托书》；</w:t>
      </w:r>
    </w:p>
    <w:p w14:paraId="7377954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2.委托方《统一社会信用代码证书》复印件；</w:t>
      </w:r>
    </w:p>
    <w:p w14:paraId="6860A0E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3.《关于国有建设用地的规划条件的函》（2025年9月11日）；</w:t>
      </w:r>
    </w:p>
    <w:p w14:paraId="7DE881A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4.《{{ county_name }}{{ land_plot_number }}号地块建设用地规划红线图》；</w:t>
      </w:r>
      <w:r>
        <w:rPr>
          <w:rFonts w:ascii="仿宋_GB2312" w:hAnsi="仿宋_GB2312" w:eastAsia="仿宋_GB2312" w:cs="仿宋_GB2312"/>
          <w:color w:val="000000"/>
          <w:sz w:val="28"/>
        </w:rPr>
      </w:r>
    </w:p>
    <w:p w14:paraId="079C58A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5、{{ basis_docs_rendered }}；</w:t>
      </w:r>
    </w:p>
    <w:p w14:paraId="7A06350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6.委托估价方提供的其它与土地估价相关的资料。</w:t>
      </w:r>
    </w:p>
    <w:p w14:paraId="3BC56BF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（五）受托估价方掌握的有关资料及土地估价师实地勘查、调查所获取的资料。</w:t>
      </w:r>
    </w:p>
    <w:p w14:paraId="50A820F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1.估价对象宗地现场查勘表;</w:t>
      </w:r>
    </w:p>
    <w:p w14:paraId="0C1BE1A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2.估价对象现状利用资料（宗地照片、位置示意图）;</w:t>
      </w:r>
    </w:p>
    <w:p w14:paraId="103DBC9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3.宗地内外基础设施调查收集的资料;</w:t>
      </w:r>
    </w:p>
    <w:p w14:paraId="4674A08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4.市场比较法比较实例所处位置、照片等资料；</w:t>
      </w:r>
    </w:p>
    <w:p w14:paraId="55F1782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5.宗地所在区域土地利用现状、基础设施、环境状况等资料;</w:t>
      </w:r>
    </w:p>
    <w:p w14:paraId="467CECE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6.宗地所在区域房地产市场情况；</w:t>
      </w:r>
    </w:p>
    <w:p w14:paraId="06D94A8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7.宗地所在区域土地市场交易情况；</w:t>
      </w:r>
    </w:p>
    <w:p w14:paraId="081122F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8.估价人员现场调查收集的其它相关资料。</w:t>
      </w:r>
    </w:p>
    <w:p w14:paraId="3D4162E3">
      <w:pPr>
        <w:keepNext w:val="0"/>
        <w:keepLines w:val="0"/>
        <w:pageBreakBefore w:val="0"/>
        <w:widowControl w:val="0"/>
        <w:kinsoku/>
        <w:wordWrap/>
        <w:topLinePunct w:val="0"/>
        <w:bidi w:val="0"/>
        <w:spacing w:line="480" w:lineRule="exact" w:before="0" w:after="0"/>
        <w:ind w:firstLine="562" w:firstLineChars="200"/>
        <w:textAlignment w:val="auto"/>
        <w:outlineLvl w:val="1"/>
        <w:rPr>
          <w:rFonts w:ascii="仿宋_GB2312" w:eastAsia="仿宋_GB2312"/>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二、土地估价</w:t>
      </w:r>
    </w:p>
    <w:p w14:paraId="209AB8D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（一）估价原则</w:t>
      </w:r>
    </w:p>
    <w:p w14:paraId="24AD221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地价是由其效用、相对稀缺性及有效需求三者相互作用影响所形成的。而这些因素又经常处于变动之中，土地估价必须要对此做细致分析并准确判断其变动趋向，了解土地价格组成的各种因素及各因素之间相互作用，才能做出正确的估价。我们在本次估价过程中根据《城镇土地估价规程》（中华人民共和国国家标准GB/T18508-2014）、《关于印发&lt;国有建设用地使用权出让地价评估技术规范&gt;的通知》（国土资厅发（2018）4号，2018年3月9日）及估价对象的具体情况主要遵循以下原则：</w:t>
      </w:r>
    </w:p>
    <w:p w14:paraId="768AF22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替代原则：根据市场运行规律，在同一商品市场中，商品或提供服务的效用相同或大致相似时，价格低者吸引需求，即有两个以上互有替代性的商品或服务同时存在时，商品或服务的价格是经过相互影响与比较之后来决定的。土地价值也同样遵循替代规律，某块土地的价格，受其它具有相同使用价值的地块，即同类型具有替代可能的地块价格所牵制。换言之，具有相同使用价值、替代可能的地块之间，会相互影响和竞争，使价格相互牵制而趋于一致。</w:t>
      </w:r>
    </w:p>
    <w:p w14:paraId="3A7D9FF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本次评估中采用的市场比较法以该原则为基础。市场比较法选择的交易实例与估价对象位于同一供求圈，土地用途一致，区位条件相近，替代性较强。估价对象土地价格受同类型替代性的地块价格的牵制。</w:t>
      </w:r>
    </w:p>
    <w:p w14:paraId="709CED6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市场比较法选择的交易实例与估价对象位于同一供求圈，土地用途一致，区位条件相近，替代性较强。估价对象土地价格受同类型替代性的地块价格的牵制。基准地价系数修正法中对区域平均级别价进行修正也体现了替代原则。</w:t>
      </w:r>
    </w:p>
    <w:p w14:paraId="4EE74FD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2.最有效利用原则：土地估价应以估价对象的最有效利用为前提。判断土地的最有效利用以土地利用是否符合其自身利用条件、法律法规政策及规划限制、市场要求和最佳利用程度等为依据。</w:t>
      </w:r>
    </w:p>
    <w:p w14:paraId="04EE365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以估价对象最有效利用为前提。根据委托人提供的《关于国有建设用地的规划条件的函》（2025年9月11日），开发建设时，投资人将使土地利用达到最有效利用，因此本次评估按规划指标最高值进行设定，符合最有效利用原则。</w:t>
      </w:r>
    </w:p>
    <w:p w14:paraId="1768142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预期收益原则：土地价值可由土地产生的未来预期收益折现值来反映，土地投资者在预测该土地将来所能带来的收益或效用后进行投资的。土地评估应以估价对象在正常利用下的未来客观有效的预期收益为依据。</w:t>
      </w:r>
    </w:p>
    <w:p w14:paraId="40B2B1D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本次评估估价对象土地价格为规划条件下的市场价格，考虑了土地在未来所能产生的利润，体现了预期收益原则。</w:t>
      </w:r>
    </w:p>
    <w:p w14:paraId="3F22DEF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供需原则：在完全的市场竞争中，一般商品的价格都取决于供求的均衡点。由于土地与一般商品相比，具有独特的人文和自然特性，因此在进行土地估价时既要考虑到所假设的公平市场，又要考虑土地供应的垄断特性。土地评估要充分考虑土地供需的特殊性和土地市场的地域性。</w:t>
      </w:r>
    </w:p>
    <w:p w14:paraId="771A042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由于估价对象所在区域内土地供给有限，土地市场正常价格有潜在的增长趋势，估价人员充分分析区域市场的供需情况，合理确定宗地价格。</w:t>
      </w:r>
    </w:p>
    <w:p w14:paraId="0DA7748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5.贡献原则：不动产总收益是由土地及其他生产要素共同作用的结果，土地价格可根据土地对不动产收益的贡献大小确定。</w:t>
      </w:r>
    </w:p>
    <w:p w14:paraId="473489F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评估中土地还原利率的确定考虑了贡献原则。本次评估土地价格为规划条件下的市场价格，是土地对总收益贡献大小的最终体现。</w:t>
      </w:r>
    </w:p>
    <w:p w14:paraId="3BA17BE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6.价值主导原则：土地综合质量优劣是对地价产生影响的主要因素。</w:t>
      </w:r>
    </w:p>
    <w:p w14:paraId="0DCD627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本次评估综合考虑了影响土地价格的自然、社会、经济状况等因素，并对其起控制主导作用的因素进行分析，符合价值主导原则。</w:t>
      </w:r>
    </w:p>
    <w:p w14:paraId="341FFD2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7.审慎原则：在评估中确定相关参数和结果时，应分析并充分考虑土地市场运行状况、有关行业发展状况，以及存在的风险。</w:t>
      </w:r>
    </w:p>
    <w:p w14:paraId="4C401BB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人员对不动产的未来收益或市场状况不应予以过于乐观的估计，同时，尽管统计数据或经验表明土地价格可能上升，但在评估时人应以估价期日的不动产市场价格为估价结果。对因土地市场运行状况、有关行业发展状况及存在的风险对外来可能造成的减值应给予充分的重视。本次评估中各参数的确定，充分考虑了国家对房地产行业的宏观调控政策，以谨慎的态度来选取各项参数。</w:t>
      </w:r>
    </w:p>
    <w:p w14:paraId="0AD3361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8.公开市场原则：评估结果在公平、公正、公开的土地市场上可实现。</w:t>
      </w:r>
    </w:p>
    <w:p w14:paraId="0B0CAFB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本次评估中市场比较法中各案例均来源来公开市场，是公开市场原则的具体体现。</w:t>
      </w:r>
    </w:p>
    <w:p w14:paraId="7EF393F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总之，在评估过程中，要按照国家、地方的有关规定，恪守客观、公正、科学、合法总原则进行土地价格评估，做到评估过程合理、评估方法科学、评估结果准确、严格保守评估秘密。</w:t>
      </w:r>
    </w:p>
    <w:p w14:paraId="339AFB7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（二）估价方法</w:t>
      </w:r>
    </w:p>
    <w:p w14:paraId="3188F82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1.土地使用权估价方法选择原则</w:t>
      </w:r>
    </w:p>
    <w:p w14:paraId="3B78B8C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A.根据《城镇土地估价规程》（GB/T18508-2014,2014年12月01日实施）中关于工矿仓储用地估价方法选择的原则：</w:t>
      </w:r>
    </w:p>
    <w:p w14:paraId="210A7E3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（1）评估工矿仓储用地价格，宜选择市场比较法，并至少辅以另一种适宜的估价方法。</w:t>
      </w:r>
    </w:p>
    <w:p w14:paraId="64B9C62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（2）如缺少市场可比案例，可酌情选用成本逼近法与基准地价系数修正法。</w:t>
      </w:r>
    </w:p>
    <w:p w14:paraId="2B5FE50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（3）评估租赁性工矿仓储用地，宜选用收益还原法。</w:t>
      </w:r>
    </w:p>
    <w:p w14:paraId="0CE2545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（4）评估投资待建的工矿仓储用地，可选用剩余法。</w:t>
      </w:r>
    </w:p>
    <w:p w14:paraId="0DB8C86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（5）评估位于中心城区的工业仓储用地，一般情况下不宜采用成本逼近法。</w:t>
      </w:r>
    </w:p>
    <w:p w14:paraId="2027E3A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B.根据《国土资源部办公厅关于印发&lt;国有建设用地使用权出让地价评估技术规范&gt;的通知》（国土资厅发[2018]4号，2018年4月9日施行），出让地价评估的方法有：(1)收益还原法、(2)市场比较法、(3)剩余法、(4)成本逼近法、(5)公示地价系数修正法（含基准地价系数修正法）。出让地价评估，应至少采用两种评估方法，包括(1)、(2)、(3)之一，以及(4)或(5)。因土地市场不发育等原因，无法满足上述要求的，应有详细的市场调查情况说明。</w:t>
      </w:r>
    </w:p>
    <w:p w14:paraId="1256CB9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2.基本估价方法介绍</w:t>
      </w:r>
    </w:p>
    <w:p w14:paraId="3297361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根据《城镇土地估价规程》（GB/T18508-2014,2014年12月01日实施），宗地估价基本方法包括以下几种：</w:t>
      </w:r>
    </w:p>
    <w:p w14:paraId="7B8CE97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（1）市场比较法：将估价对象与在估价期日近期有过交易的类似土地进行比较，对这些类似土地的已知价格作适当的修正，以此估算估价对象的客观合理价格或价值的方法；</w:t>
      </w:r>
    </w:p>
    <w:p w14:paraId="31791D0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（2）收益还原法：为预计估价对象未来的正常收益，选用适当的资本化率将其折现到估价期日后累加，以此估算估价对象的客观合理价格或价值的方法；</w:t>
      </w:r>
    </w:p>
    <w:p w14:paraId="0430F97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（3）剩余法：是在估算开发完成后不动产正常交易价格的基础上，扣除建筑物建造费用和与建筑物建造、买卖有关的专业费、利息、利润、税收等费用后，以价格余额来估算土地价格的方法；</w:t>
      </w:r>
    </w:p>
    <w:p w14:paraId="69B64C1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（4）成本逼近法：是以土地取得费、土地开发所耗各项费用之和为主要依据，再加上一定的利润、利息、应缴纳的税金和土地增值收益来确定土地价格的估价方法；</w:t>
      </w:r>
    </w:p>
    <w:p w14:paraId="11098C9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公示地价系数修正法：包括基准地价系数修正法、路线价法和标定地价系数修正法。是指在求取一宗土地的价格时，依据估价对象所处地区的土地级别基准地价（或路线价、标定地价等）水平，考虑各系数修正，最后修正得出估价对象地价的一种方法。</w:t>
      </w:r>
    </w:p>
    <w:p w14:paraId="7701A15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3.估价方法选择</w:t>
      </w:r>
    </w:p>
    <w:p>
      <w:pPr>
        <w:spacing w:before="0" w:after="0" w:line="480" w:lineRule="exact"/>
        <w:ind w:left="561" w:firstLine="0"/>
      </w:pPr>
      <w:r>
        <w:rPr>
          <w:rFonts w:ascii="仿宋_GB2312" w:hAnsi="仿宋_GB2312" w:eastAsia="仿宋_GB2312" w:cs="仿宋_GB2312"/>
          <w:sz w:val="28"/>
        </w:rPr>
        <w:t>{{ valuation_method_reasons }}</w:t>
      </w:r>
    </w:p>
    <w:p>
      <w:pPr>
        <w:spacing w:before="0" w:after="0" w:line="480" w:lineRule="exact"/>
        <w:ind w:left="561" w:firstLine="0"/>
      </w:pPr>
      <w:r>
        <w:rPr>
          <w:rFonts w:ascii="仿宋_GB2312" w:hAnsi="仿宋_GB2312" w:eastAsia="仿宋_GB2312" w:cs="仿宋_GB2312"/>
          <w:sz w:val="28"/>
        </w:rPr>
        <w:t>{{ valuation_method_applicability }}</w:t>
      </w:r>
    </w:p>
    <w:p w14:paraId="2D9A1B3A">
      <w:pPr>
        <w:keepNext w:val="0"/>
        <w:keepLines w:val="0"/>
        <w:pageBreakBefore w:val="0"/>
        <w:widowControl w:val="0"/>
        <w:kinsoku/>
        <w:wordWrap/>
        <w:overflowPunct w:val="0"/>
        <w:topLinePunct w:val="0"/>
        <w:autoSpaceDE w:val="0"/>
        <w:autoSpaceDN w:val="0"/>
        <w:bidi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 xml:space="preserve"> （三）估价结果</w:t>
      </w:r>
    </w:p>
    <w:p w14:paraId="52A87EF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1.地价确定的方法</w:t>
      </w:r>
    </w:p>
    <w:p>
      <w:pPr>
        <w:keepNext/>
        <w:spacing w:before="0" w:after="0" w:line="480" w:lineRule="exact"/>
        <w:ind w:firstLine="561"/>
      </w:pPr>
      <w:r>
        <w:rPr>
          <w:rFonts w:ascii="仿宋_GB2312" w:hAnsi="仿宋_GB2312" w:eastAsia="仿宋_GB2312" w:cs="仿宋_GB2312"/>
          <w:b/>
          <w:sz w:val="28"/>
        </w:rPr>
        <w:t>★基准地价系数修正法</w:t>
      </w:r>
    </w:p>
    <w:p>
      <w:pPr>
        <w:keepNext/>
        <w:spacing w:before="0" w:after="0" w:line="480" w:lineRule="exact"/>
        <w:ind w:firstLine="561"/>
      </w:pPr>
      <w:r>
        <w:rPr>
          <w:rFonts w:ascii="仿宋_GB2312" w:hAnsi="仿宋_GB2312" w:eastAsia="仿宋_GB2312" w:cs="仿宋_GB2312"/>
          <w:b w:val="0"/>
          <w:sz w:val="28"/>
        </w:rPr>
        <w:t>基准地价系数修正法估价过程</w:t>
      </w:r>
    </w:p>
    <w:p>
      <w:pPr>
        <w:spacing w:before="0" w:after="0" w:line="480" w:lineRule="exact"/>
        <w:ind w:firstLine="561"/>
      </w:pPr>
      <w:r>
        <w:rPr>
          <w:rFonts w:ascii="仿宋_GB2312" w:hAnsi="仿宋_GB2312" w:eastAsia="仿宋_GB2312" w:cs="仿宋_GB2312"/>
          <w:b w:val="0"/>
          <w:sz w:val="28"/>
        </w:rPr>
        <w:t>基准地价系数修正法是利用城镇基准地价和基准地价修正系数表等评估成果，按照替代原则，对估价对象的区域条件和个别条件等与其所处区域的平均条件相比较，并对照修正系数表选取相应的修正系数对基准地价进行修正，进而求取估价对象在估价基准日价格的方法。</w:t>
      </w:r>
    </w:p>
    <w:p>
      <w:pPr>
        <w:spacing w:before="0" w:after="0" w:line="480" w:lineRule="exact"/>
        <w:ind w:firstLine="561"/>
      </w:pPr>
      <w:r>
        <w:rPr>
          <w:rFonts w:ascii="仿宋_GB2312" w:hAnsi="仿宋_GB2312" w:eastAsia="仿宋_GB2312" w:cs="仿宋_GB2312"/>
          <w:b w:val="0"/>
          <w:sz w:val="28"/>
        </w:rPr>
        <w:t>根据《城镇土地估价规程》（GB/T18508-2014），运用基准地价系数修正法评估宗地价格一般分以下几个步骤进行：</w:t>
      </w:r>
    </w:p>
    <w:p>
      <w:pPr>
        <w:spacing w:before="0" w:after="0" w:line="480" w:lineRule="exact"/>
        <w:ind w:firstLine="561"/>
      </w:pPr>
      <w:r>
        <w:rPr>
          <w:rFonts w:ascii="仿宋_GB2312" w:hAnsi="仿宋_GB2312" w:eastAsia="仿宋_GB2312" w:cs="仿宋_GB2312"/>
          <w:b w:val="0"/>
          <w:sz w:val="28"/>
        </w:rPr>
        <w:t>（1）具体说明本次评估所采用的基准地价的制定情况、内涵及其测算公式；</w:t>
      </w:r>
    </w:p>
    <w:p>
      <w:pPr>
        <w:spacing w:before="0" w:after="0" w:line="480" w:lineRule="exact"/>
        <w:ind w:firstLine="561"/>
      </w:pPr>
      <w:r>
        <w:rPr>
          <w:rFonts w:ascii="仿宋_GB2312" w:hAnsi="仿宋_GB2312" w:eastAsia="仿宋_GB2312" w:cs="仿宋_GB2312"/>
          <w:b w:val="0"/>
          <w:sz w:val="28"/>
        </w:rPr>
        <w:t>（2）根据估价对象的具体位置及当地城区土地级别图，确定估价对象所在土地级别和基准地价；</w:t>
      </w:r>
    </w:p>
    <w:p>
      <w:pPr>
        <w:spacing w:before="0" w:after="0" w:line="480" w:lineRule="exact"/>
        <w:ind w:firstLine="561"/>
      </w:pPr>
      <w:r>
        <w:rPr>
          <w:rFonts w:ascii="仿宋_GB2312" w:hAnsi="仿宋_GB2312" w:eastAsia="仿宋_GB2312" w:cs="仿宋_GB2312"/>
          <w:b w:val="0"/>
          <w:sz w:val="28"/>
        </w:rPr>
        <w:t>（3）根据估价对象具体用途、规划限制条件等，确定其容积率修正系数；</w:t>
      </w:r>
    </w:p>
    <w:p>
      <w:pPr>
        <w:spacing w:before="0" w:after="0" w:line="480" w:lineRule="exact"/>
        <w:ind w:firstLine="561"/>
      </w:pPr>
      <w:r>
        <w:rPr>
          <w:rFonts w:ascii="仿宋_GB2312" w:hAnsi="仿宋_GB2312" w:eastAsia="仿宋_GB2312" w:cs="仿宋_GB2312"/>
          <w:b w:val="0"/>
          <w:sz w:val="28"/>
        </w:rPr>
        <w:t>（4）根据估价对象具体土地使用年期，确定其年期修正系数；</w:t>
      </w:r>
    </w:p>
    <w:p>
      <w:pPr>
        <w:spacing w:before="0" w:after="0" w:line="480" w:lineRule="exact"/>
        <w:ind w:firstLine="561"/>
      </w:pPr>
      <w:r>
        <w:rPr>
          <w:rFonts w:ascii="仿宋_GB2312" w:hAnsi="仿宋_GB2312" w:eastAsia="仿宋_GB2312" w:cs="仿宋_GB2312"/>
          <w:b w:val="0"/>
          <w:sz w:val="28"/>
        </w:rPr>
        <w:t>（5）根据估价对象估价期日和基准地价基准日，确定期日修正系数；</w:t>
      </w:r>
    </w:p>
    <w:p>
      <w:pPr>
        <w:spacing w:before="0" w:after="0" w:line="480" w:lineRule="exact"/>
        <w:ind w:firstLine="561"/>
      </w:pPr>
      <w:r>
        <w:rPr>
          <w:rFonts w:ascii="仿宋_GB2312" w:hAnsi="仿宋_GB2312" w:eastAsia="仿宋_GB2312" w:cs="仿宋_GB2312"/>
          <w:b w:val="0"/>
          <w:sz w:val="28"/>
        </w:rPr>
        <w:t>（6）根据估价对象的实际情况以及基准地价修正体系，确定区域及个别因素修正值；</w:t>
      </w:r>
    </w:p>
    <w:p>
      <w:pPr>
        <w:spacing w:before="0" w:after="0" w:line="480" w:lineRule="exact"/>
        <w:ind w:firstLine="561"/>
      </w:pPr>
      <w:r>
        <w:rPr>
          <w:rFonts w:ascii="仿宋_GB2312" w:hAnsi="仿宋_GB2312" w:eastAsia="仿宋_GB2312" w:cs="仿宋_GB2312"/>
          <w:b w:val="0"/>
          <w:sz w:val="28"/>
        </w:rPr>
        <w:t>（7）根据估价对象实际开发程度和基准地价内涵开发程度，确定开发程度修正；</w:t>
      </w:r>
    </w:p>
    <w:p>
      <w:pPr>
        <w:spacing w:before="0" w:after="0" w:line="480" w:lineRule="exact"/>
        <w:ind w:firstLine="561"/>
      </w:pPr>
      <w:r>
        <w:rPr>
          <w:rFonts w:ascii="仿宋_GB2312" w:hAnsi="仿宋_GB2312" w:eastAsia="仿宋_GB2312" w:cs="仿宋_GB2312"/>
          <w:b w:val="0"/>
          <w:sz w:val="28"/>
        </w:rPr>
        <w:t>（8）根据基准地价内涵规定的公式，计算基准地价系数修正法测算结果。</w:t>
      </w:r>
    </w:p>
    <w:p>
      <w:pPr>
        <w:keepNext/>
        <w:spacing w:before="0" w:after="0" w:line="480" w:lineRule="exact"/>
        <w:ind w:firstLine="561"/>
      </w:pPr>
      <w:r>
        <w:rPr>
          <w:rFonts w:ascii="仿宋_GB2312" w:hAnsi="仿宋_GB2312" w:eastAsia="仿宋_GB2312" w:cs="仿宋_GB2312"/>
          <w:b w:val="0"/>
          <w:sz w:val="28"/>
        </w:rPr>
        <w:t>1、基准地价评估依据</w:t>
      </w:r>
    </w:p>
    <w:p>
      <w:pPr>
        <w:spacing w:before="0" w:after="0" w:line="480" w:lineRule="exact"/>
        <w:ind w:firstLine="561"/>
      </w:pPr>
      <w:r>
        <w:rPr>
          <w:rFonts w:ascii="仿宋_GB2312" w:hAnsi="仿宋_GB2312" w:eastAsia="仿宋_GB2312" w:cs="仿宋_GB2312"/>
          <w:b w:val="0"/>
          <w:sz w:val="28"/>
        </w:rPr>
        <w:t>根据估价对象区域因素及个别因素，按照《城镇土地估价规程》要求，结合通道县基准地价的执行情况。通道县基准地价的依据是《通道侗族自治县城镇基准地价更新技术报告》（2025年11月）。</w:t>
      </w:r>
    </w:p>
    <w:p>
      <w:pPr>
        <w:spacing w:before="0" w:after="0" w:line="480" w:lineRule="exact"/>
        <w:ind w:firstLine="561"/>
      </w:pPr>
      <w:r>
        <w:rPr>
          <w:rFonts w:ascii="仿宋_GB2312" w:hAnsi="仿宋_GB2312" w:eastAsia="仿宋_GB2312" w:cs="仿宋_GB2312"/>
          <w:b w:val="0"/>
          <w:sz w:val="28"/>
        </w:rPr>
        <w:t>出让土地使用权基准地价的内涵为：在估价基准日2025.04.01，各土地级别或均质区域内，现状平均土地开发程度和平均容积率下，同一用途的完整土地使用权的平均价格。</w:t>
      </w:r>
    </w:p>
    <w:p>
      <w:pPr>
        <w:spacing w:before="0" w:after="0" w:line="480" w:lineRule="exact"/>
        <w:ind w:firstLine="561"/>
      </w:pPr>
      <w:r>
        <w:rPr>
          <w:rFonts w:ascii="仿宋_GB2312" w:hAnsi="仿宋_GB2312" w:eastAsia="仿宋_GB2312" w:cs="仿宋_GB2312"/>
          <w:b w:val="0"/>
          <w:sz w:val="28"/>
        </w:rPr>
        <w:t>地类按商业服务业、居住、公共管理与公共服务、工矿、仓储、公用设施用地区分，各类用地的使用年期均为法定最高使用年限。通道县城区基准地价及其内涵具体情况见下表：</w:t>
      </w:r>
    </w:p>
    <w:p>
      <w:pPr>
        <w:keepNext/>
        <w:spacing w:before="157" w:after="10" w:line="480" w:lineRule="exact"/>
        <w:ind w:left="0" w:right="0" w:firstLine="0"/>
        <w:jc w:val="center"/>
      </w:pPr>
      <w:r>
        <w:rPr>
          <w:rFonts w:ascii="仿宋_GB2312" w:hAnsi="仿宋_GB2312" w:eastAsia="仿宋_GB2312" w:cs="仿宋_GB2312"/>
          <w:b w:val="0"/>
          <w:sz w:val="28"/>
        </w:rPr>
        <w:t>表3-1 通道县城区基准地价内涵</w:t>
      </w:r>
    </w:p>
    <w:tbl>
      <w:tblPr>
        <w:tblStyle w:val="10"/>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19"/>
        <w:gridCol w:w="519"/>
        <w:gridCol w:w="519"/>
        <w:gridCol w:w="519"/>
        <w:gridCol w:w="519"/>
        <w:gridCol w:w="519"/>
        <w:gridCol w:w="519"/>
        <w:gridCol w:w="519"/>
        <w:gridCol w:w="519"/>
        <w:gridCol w:w="519"/>
        <w:gridCol w:w="519"/>
        <w:gridCol w:w="519"/>
        <w:gridCol w:w="519"/>
        <w:gridCol w:w="519"/>
        <w:gridCol w:w="519"/>
        <w:gridCol w:w="519"/>
      </w:tblGrid>
      <w:tr>
        <w:trPr>
          <w:tblHeader w:val="1"/>
          <w:cantSplit/>
        </w:trPr>
        <w:tc>
          <w:tcPr>
            <w:tcW w:type="dxa" w:w="570"/>
            <w:vMerge w:val="restart"/>
            <w:vAlign w:val="center"/>
          </w:tcPr>
          <w:p>
            <w:pPr>
              <w:spacing w:before="0" w:after="0" w:line="260" w:lineRule="exact"/>
              <w:ind w:left="0" w:right="0" w:firstLine="0"/>
              <w:jc w:val="center"/>
            </w:pPr>
            <w:r>
              <w:rPr>
                <w:rFonts w:ascii="仿宋_GB2312" w:hAnsi="仿宋_GB2312" w:eastAsia="仿宋_GB2312" w:cs="仿宋_GB2312"/>
                <w:b w:val="0"/>
                <w:sz w:val="18"/>
              </w:rPr>
              <w:t>级别</w:t>
            </w:r>
          </w:p>
        </w:tc>
        <w:tc>
          <w:tcPr>
            <w:tcW w:type="dxa" w:w="570"/>
            <w:vMerge w:val="restart"/>
            <w:vAlign w:val="center"/>
          </w:tcPr>
          <w:p>
            <w:pPr>
              <w:spacing w:before="0" w:after="0" w:line="260" w:lineRule="exact"/>
              <w:ind w:left="0" w:right="0" w:firstLine="0"/>
              <w:jc w:val="center"/>
            </w:pPr>
            <w:r>
              <w:rPr>
                <w:rFonts w:ascii="仿宋_GB2312" w:hAnsi="仿宋_GB2312" w:eastAsia="仿宋_GB2312" w:cs="仿宋_GB2312"/>
                <w:b w:val="0"/>
                <w:sz w:val="18"/>
              </w:rPr>
              <w:t>土地权利</w:t>
            </w:r>
          </w:p>
        </w:tc>
        <w:tc>
          <w:tcPr>
            <w:tcW w:type="dxa" w:w="570"/>
            <w:gridSpan w:val="2"/>
            <w:vAlign w:val="center"/>
          </w:tcPr>
          <w:p>
            <w:pPr>
              <w:spacing w:before="0" w:after="0" w:line="260" w:lineRule="exact"/>
              <w:ind w:left="0" w:right="0" w:firstLine="0"/>
              <w:jc w:val="center"/>
            </w:pPr>
            <w:r>
              <w:rPr>
                <w:rFonts w:ascii="仿宋_GB2312" w:hAnsi="仿宋_GB2312" w:eastAsia="仿宋_GB2312" w:cs="仿宋_GB2312"/>
                <w:b w:val="0"/>
                <w:sz w:val="18"/>
              </w:rPr>
              <w:t>商业服务业用地</w:t>
            </w:r>
          </w:p>
        </w:tc>
        <w:tc>
          <w:tcPr>
            <w:tcW w:type="dxa" w:w="570"/>
            <w:gridSpan w:val="2"/>
            <w:vAlign w:val="center"/>
          </w:tcPr>
          <w:p>
            <w:pPr>
              <w:spacing w:before="0" w:after="0" w:line="260" w:lineRule="exact"/>
              <w:ind w:left="0" w:right="0" w:firstLine="0"/>
              <w:jc w:val="center"/>
            </w:pPr>
            <w:r>
              <w:rPr>
                <w:rFonts w:ascii="仿宋_GB2312" w:hAnsi="仿宋_GB2312" w:eastAsia="仿宋_GB2312" w:cs="仿宋_GB2312"/>
                <w:b w:val="0"/>
                <w:sz w:val="18"/>
              </w:rPr>
              <w:t>居住用地</w:t>
            </w:r>
          </w:p>
        </w:tc>
        <w:tc>
          <w:tcPr>
            <w:tcW w:type="dxa" w:w="570"/>
            <w:gridSpan w:val="2"/>
            <w:vAlign w:val="center"/>
          </w:tcPr>
          <w:p>
            <w:pPr>
              <w:spacing w:before="0" w:after="0" w:line="260" w:lineRule="exact"/>
              <w:ind w:left="0" w:right="0" w:firstLine="0"/>
              <w:jc w:val="center"/>
            </w:pPr>
            <w:r>
              <w:rPr>
                <w:rFonts w:ascii="仿宋_GB2312" w:hAnsi="仿宋_GB2312" w:eastAsia="仿宋_GB2312" w:cs="仿宋_GB2312"/>
                <w:b w:val="0"/>
                <w:sz w:val="18"/>
              </w:rPr>
              <w:t>工矿用地</w:t>
            </w:r>
          </w:p>
        </w:tc>
        <w:tc>
          <w:tcPr>
            <w:tcW w:type="dxa" w:w="570"/>
            <w:gridSpan w:val="2"/>
            <w:vAlign w:val="center"/>
          </w:tcPr>
          <w:p>
            <w:pPr>
              <w:spacing w:before="0" w:after="0" w:line="260" w:lineRule="exact"/>
              <w:ind w:left="0" w:right="0" w:firstLine="0"/>
              <w:jc w:val="center"/>
            </w:pPr>
            <w:r>
              <w:rPr>
                <w:rFonts w:ascii="仿宋_GB2312" w:hAnsi="仿宋_GB2312" w:eastAsia="仿宋_GB2312" w:cs="仿宋_GB2312"/>
                <w:b w:val="0"/>
                <w:sz w:val="18"/>
              </w:rPr>
              <w:t>仓储用地</w:t>
            </w:r>
          </w:p>
        </w:tc>
        <w:tc>
          <w:tcPr>
            <w:tcW w:type="dxa" w:w="570"/>
            <w:gridSpan w:val="2"/>
            <w:vAlign w:val="center"/>
          </w:tcPr>
          <w:p>
            <w:pPr>
              <w:spacing w:before="0" w:after="0" w:line="260" w:lineRule="exact"/>
              <w:ind w:left="0" w:right="0" w:firstLine="0"/>
              <w:jc w:val="center"/>
            </w:pPr>
            <w:r>
              <w:rPr>
                <w:rFonts w:ascii="仿宋_GB2312" w:hAnsi="仿宋_GB2312" w:eastAsia="仿宋_GB2312" w:cs="仿宋_GB2312"/>
                <w:b w:val="0"/>
                <w:sz w:val="18"/>
              </w:rPr>
              <w:t>公共管理与公共服务用地</w:t>
            </w:r>
          </w:p>
        </w:tc>
        <w:tc>
          <w:tcPr>
            <w:tcW w:type="dxa" w:w="570"/>
            <w:gridSpan w:val="2"/>
            <w:vAlign w:val="center"/>
          </w:tcPr>
          <w:p>
            <w:pPr>
              <w:spacing w:before="0" w:after="0" w:line="260" w:lineRule="exact"/>
              <w:ind w:left="0" w:right="0" w:firstLine="0"/>
              <w:jc w:val="center"/>
            </w:pPr>
            <w:r>
              <w:rPr>
                <w:rFonts w:ascii="仿宋_GB2312" w:hAnsi="仿宋_GB2312" w:eastAsia="仿宋_GB2312" w:cs="仿宋_GB2312"/>
                <w:b w:val="0"/>
                <w:sz w:val="18"/>
              </w:rPr>
              <w:t>公用设施用地</w:t>
            </w:r>
          </w:p>
        </w:tc>
        <w:tc>
          <w:tcPr>
            <w:tcW w:type="dxa" w:w="570"/>
            <w:vMerge w:val="restart"/>
            <w:vAlign w:val="center"/>
          </w:tcPr>
          <w:p>
            <w:pPr>
              <w:spacing w:before="0" w:after="0" w:line="260" w:lineRule="exact"/>
              <w:ind w:left="0" w:right="0" w:firstLine="0"/>
              <w:jc w:val="center"/>
            </w:pPr>
            <w:r>
              <w:rPr>
                <w:rFonts w:ascii="仿宋_GB2312" w:hAnsi="仿宋_GB2312" w:eastAsia="仿宋_GB2312" w:cs="仿宋_GB2312"/>
                <w:b w:val="0"/>
                <w:sz w:val="18"/>
              </w:rPr>
              <w:t>开发程度</w:t>
            </w:r>
          </w:p>
        </w:tc>
        <w:tc>
          <w:tcPr>
            <w:tcW w:type="dxa" w:w="570"/>
            <w:vMerge w:val="restart"/>
            <w:vAlign w:val="center"/>
          </w:tcPr>
          <w:p>
            <w:pPr>
              <w:spacing w:before="0" w:after="0" w:line="260" w:lineRule="exact"/>
              <w:ind w:left="0" w:right="0" w:firstLine="0"/>
              <w:jc w:val="center"/>
            </w:pPr>
            <w:r>
              <w:rPr>
                <w:rFonts w:ascii="仿宋_GB2312" w:hAnsi="仿宋_GB2312" w:eastAsia="仿宋_GB2312" w:cs="仿宋_GB2312"/>
                <w:b w:val="0"/>
                <w:sz w:val="18"/>
              </w:rPr>
              <w:t>估价期日</w:t>
            </w:r>
          </w:p>
        </w:tc>
      </w:tr>
      <w:tr>
        <w:trPr>
          <w:tblHeader w:val="1"/>
          <w:cantSplit/>
        </w:trPr>
        <w:tc>
          <w:tcPr>
            <w:tcW w:type="dxa" w:w="519"/>
            <w:vMerge/>
          </w:tcPr>
          <w:p/>
        </w:tc>
        <w:tc>
          <w:tcPr>
            <w:tcW w:type="dxa" w:w="519"/>
            <w:vMerge/>
          </w:tcP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使用年期</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容积率</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使用年期</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容积率</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使用年期</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容积率</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使用年期</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容积率</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使用年期</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容积率</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使用年期</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容积率</w:t>
            </w:r>
          </w:p>
        </w:tc>
        <w:tc>
          <w:tcPr>
            <w:tcW w:type="dxa" w:w="519"/>
            <w:vMerge/>
          </w:tcPr>
          <w:p/>
        </w:tc>
        <w:tc>
          <w:tcPr>
            <w:tcW w:type="dxa" w:w="519"/>
            <w:vMerge/>
          </w:tcPr>
          <w:p/>
        </w:tc>
      </w:tr>
      <w:tr>
        <w:trPr>
          <w:cantSplit/>
        </w:trPr>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一级</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出让土地使用权</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40年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2.0</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70年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2.0</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1.4</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1.4</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2.0</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1.2</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五通一平</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2025.4.1</w:t>
            </w:r>
          </w:p>
        </w:tc>
      </w:tr>
      <w:tr>
        <w:trPr>
          <w:cantSplit/>
        </w:trPr>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二级</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40年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2.0</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70年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2.0</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1.3</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1.3</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2.0</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1.2</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r>
      <w:tr>
        <w:trPr>
          <w:cantSplit/>
        </w:trPr>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三级</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40年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1.8</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70年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1.8</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1.2</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1.2</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1.8</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1.2</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r>
      <w:tr>
        <w:trPr>
          <w:cantSplit/>
        </w:trPr>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四级</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40年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1.6</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70年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1.6</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1.2</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1.2</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1.6</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1.2</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r>
      <w:tr>
        <w:trPr>
          <w:cantSplit/>
        </w:trPr>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五级</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40年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1.5</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70年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1.5</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1.2</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1.2</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1.5</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1.2</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r>
      <w:tr>
        <w:trPr>
          <w:cantSplit/>
        </w:trPr>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注：1、本次土地用途根据《国土空间调查、规划、用途管制用地用海分类指南》进行分类，商业服务业用地对应上轮基准地价用途中的商服用地，居住用地对应住宅用地，工矿用地、仓储用地对应工矿仓储用地，公共管理与公共服务用地、公用设施用地对应公共管理与公共服务用地，其中：(1)公共管理与公共服务用地指：机关团体、科研、文化、教育、体育、医疗卫生、社会福利用地；(2)公用设施用地指：供水、排水、供电、供燃气、通信、邮政、广播电视设施、环卫、消防、水工设施；2、五通一平指：红线外通路、通电、通讯、通上水、通下水，红线内场地平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r>
    </w:tbl>
    <w:p>
      <w:pPr>
        <w:keepNext/>
        <w:spacing w:before="157" w:after="10" w:line="480" w:lineRule="exact"/>
        <w:ind w:left="0" w:right="0" w:firstLine="0"/>
        <w:jc w:val="center"/>
      </w:pPr>
      <w:r>
        <w:rPr>
          <w:rFonts w:ascii="仿宋_GB2312" w:hAnsi="仿宋_GB2312" w:eastAsia="仿宋_GB2312" w:cs="仿宋_GB2312"/>
          <w:b w:val="0"/>
          <w:sz w:val="28"/>
        </w:rPr>
        <w:t>表3-2 通道县城区级别基准地价（元/平方米）</w:t>
      </w:r>
    </w:p>
    <w:tbl>
      <w:tblPr>
        <w:tblStyle w:val="10"/>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84"/>
        <w:gridCol w:w="1384"/>
        <w:gridCol w:w="1384"/>
        <w:gridCol w:w="1384"/>
        <w:gridCol w:w="1384"/>
        <w:gridCol w:w="1384"/>
      </w:tblGrid>
      <w:tr>
        <w:trPr>
          <w:tblHeader w:val="1"/>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用地类型</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一级</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二级</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三级</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四级</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五级</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商业服务业用地</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2560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2080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1335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950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750</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居住用地</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790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710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590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510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460</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工矿用地</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350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330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305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285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265</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仓储用地</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365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340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315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290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270</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公共管理与公共服务用地</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700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620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535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460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425</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公用设施用地</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365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335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300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285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275</w:t>
            </w:r>
          </w:p>
        </w:tc>
      </w:tr>
    </w:tbl>
    <w:p>
      <w:pPr>
        <w:keepNext/>
        <w:spacing w:before="0" w:after="0" w:line="480" w:lineRule="exact"/>
        <w:ind w:firstLine="561"/>
      </w:pPr>
      <w:r>
        <w:rPr>
          <w:rFonts w:ascii="仿宋_GB2312" w:hAnsi="仿宋_GB2312" w:eastAsia="仿宋_GB2312" w:cs="仿宋_GB2312"/>
          <w:b w:val="0"/>
          <w:sz w:val="28"/>
        </w:rPr>
        <w:t>2、基准地价系数修正法的基本公式</w:t>
      </w:r>
    </w:p>
    <w:p>
      <w:pPr>
        <w:spacing w:before="0" w:after="0" w:line="480" w:lineRule="exact"/>
        <w:ind w:firstLine="561"/>
      </w:pPr>
      <w:r>
        <w:rPr>
          <w:rFonts w:ascii="仿宋_GB2312" w:hAnsi="仿宋_GB2312" w:eastAsia="仿宋_GB2312" w:cs="仿宋_GB2312"/>
          <w:b w:val="0"/>
          <w:sz w:val="28"/>
        </w:rPr>
        <w:t>根据估价对象实际情况，本次评估采用基准地价系数修正法评估商业服务业用地土地价格的基本计算公式为：</w:t>
      </w:r>
    </w:p>
    <w:p>
      <w:pPr>
        <w:spacing w:before="0" w:after="0" w:line="480" w:lineRule="exact"/>
        <w:ind w:firstLine="561"/>
      </w:pPr>
      <w:r>
        <w:rPr>
          <w:rFonts w:ascii="仿宋_GB2312" w:hAnsi="仿宋_GB2312" w:eastAsia="仿宋_GB2312" w:cs="仿宋_GB2312"/>
          <w:b w:val="0"/>
          <w:sz w:val="28"/>
        </w:rPr>
        <w:t>1、商业服务业用地（临街）</w:t>
      </w:r>
    </w:p>
    <w:p>
      <w:pPr>
        <w:keepLines/>
        <w:spacing w:before="0" w:after="0" w:line="480" w:lineRule="exact"/>
        <w:ind w:firstLine="0" w:left="561" w:right="0"/>
        <w:jc w:val="left"/>
      </w:pPr>
      <w:r>
        <w:rPr>
          <w:rFonts w:ascii="仿宋_GB2312" w:hAnsi="仿宋_GB2312" w:eastAsia="仿宋_GB2312" w:cs="仿宋_GB2312"/>
          <w:b w:val="0"/>
          <w:sz w:val="28"/>
        </w:rPr>
        <w:t>P商=路线价×Ky×Kv×Kt×Ks×Ka×Kc×Kk×Kd×Ku＋Kf</w:t>
      </w:r>
    </w:p>
    <w:p>
      <w:pPr>
        <w:spacing w:before="0" w:after="0" w:line="480" w:lineRule="exact"/>
        <w:ind w:firstLine="561"/>
      </w:pPr>
      <w:r>
        <w:rPr>
          <w:rFonts w:ascii="仿宋_GB2312" w:hAnsi="仿宋_GB2312" w:eastAsia="仿宋_GB2312" w:cs="仿宋_GB2312"/>
          <w:b w:val="0"/>
          <w:sz w:val="28"/>
        </w:rPr>
        <w:t>式中：</w:t>
      </w:r>
    </w:p>
    <w:p>
      <w:pPr>
        <w:spacing w:before="0" w:after="0" w:line="480" w:lineRule="exact"/>
        <w:ind w:firstLine="561"/>
      </w:pPr>
      <w:r>
        <w:rPr>
          <w:rFonts w:ascii="仿宋_GB2312" w:hAnsi="仿宋_GB2312" w:eastAsia="仿宋_GB2312" w:cs="仿宋_GB2312"/>
          <w:b w:val="0"/>
          <w:sz w:val="28"/>
        </w:rPr>
        <w:t>P商——估价对象设定开发程度条件下宗地地价</w:t>
      </w:r>
    </w:p>
    <w:p>
      <w:pPr>
        <w:spacing w:before="0" w:after="0" w:line="480" w:lineRule="exact"/>
        <w:ind w:firstLine="561"/>
      </w:pPr>
      <w:r>
        <w:rPr>
          <w:rFonts w:ascii="仿宋_GB2312" w:hAnsi="仿宋_GB2312" w:eastAsia="仿宋_GB2312" w:cs="仿宋_GB2312"/>
          <w:b w:val="0"/>
          <w:sz w:val="28"/>
        </w:rPr>
        <w:t>Po——估价对象所临路线价</w:t>
      </w:r>
    </w:p>
    <w:p>
      <w:pPr>
        <w:spacing w:before="0" w:after="0" w:line="480" w:lineRule="exact"/>
        <w:ind w:firstLine="561"/>
      </w:pPr>
      <w:r>
        <w:rPr>
          <w:rFonts w:ascii="仿宋_GB2312" w:hAnsi="仿宋_GB2312" w:eastAsia="仿宋_GB2312" w:cs="仿宋_GB2312"/>
          <w:b w:val="0"/>
          <w:sz w:val="28"/>
        </w:rPr>
        <w:t>Ky——年期修正系数</w:t>
      </w:r>
    </w:p>
    <w:p>
      <w:pPr>
        <w:spacing w:before="0" w:after="0" w:line="480" w:lineRule="exact"/>
        <w:ind w:firstLine="561"/>
      </w:pPr>
      <w:r>
        <w:rPr>
          <w:rFonts w:ascii="仿宋_GB2312" w:hAnsi="仿宋_GB2312" w:eastAsia="仿宋_GB2312" w:cs="仿宋_GB2312"/>
          <w:b w:val="0"/>
          <w:sz w:val="28"/>
        </w:rPr>
        <w:t>Kv——容积率修正系数</w:t>
      </w:r>
    </w:p>
    <w:p>
      <w:pPr>
        <w:spacing w:before="0" w:after="0" w:line="480" w:lineRule="exact"/>
        <w:ind w:firstLine="561"/>
      </w:pPr>
      <w:r>
        <w:rPr>
          <w:rFonts w:ascii="仿宋_GB2312" w:hAnsi="仿宋_GB2312" w:eastAsia="仿宋_GB2312" w:cs="仿宋_GB2312"/>
          <w:b w:val="0"/>
          <w:sz w:val="28"/>
        </w:rPr>
        <w:t>Kt——估价期日修正系数</w:t>
      </w:r>
    </w:p>
    <w:p>
      <w:pPr>
        <w:spacing w:before="0" w:after="0" w:line="480" w:lineRule="exact"/>
        <w:ind w:firstLine="561"/>
      </w:pPr>
      <w:r>
        <w:rPr>
          <w:rFonts w:ascii="仿宋_GB2312" w:hAnsi="仿宋_GB2312" w:eastAsia="仿宋_GB2312" w:cs="仿宋_GB2312"/>
          <w:b w:val="0"/>
          <w:sz w:val="28"/>
        </w:rPr>
        <w:t>Ks——宗地面积修正系数</w:t>
      </w:r>
    </w:p>
    <w:p>
      <w:pPr>
        <w:spacing w:before="0" w:after="0" w:line="480" w:lineRule="exact"/>
        <w:ind w:firstLine="561"/>
      </w:pPr>
      <w:r>
        <w:rPr>
          <w:rFonts w:ascii="仿宋_GB2312" w:hAnsi="仿宋_GB2312" w:eastAsia="仿宋_GB2312" w:cs="仿宋_GB2312"/>
          <w:b w:val="0"/>
          <w:sz w:val="28"/>
        </w:rPr>
        <w:t>Ka——宗地形状修正系数</w:t>
      </w:r>
    </w:p>
    <w:p>
      <w:pPr>
        <w:spacing w:before="0" w:after="0" w:line="480" w:lineRule="exact"/>
        <w:ind w:firstLine="561"/>
      </w:pPr>
      <w:r>
        <w:rPr>
          <w:rFonts w:ascii="仿宋_GB2312" w:hAnsi="仿宋_GB2312" w:eastAsia="仿宋_GB2312" w:cs="仿宋_GB2312"/>
          <w:b w:val="0"/>
          <w:sz w:val="28"/>
        </w:rPr>
        <w:t>Kc——街角地修正系数</w:t>
      </w:r>
    </w:p>
    <w:p>
      <w:pPr>
        <w:spacing w:before="0" w:after="0" w:line="480" w:lineRule="exact"/>
        <w:ind w:firstLine="561"/>
      </w:pPr>
      <w:r>
        <w:rPr>
          <w:rFonts w:ascii="仿宋_GB2312" w:hAnsi="仿宋_GB2312" w:eastAsia="仿宋_GB2312" w:cs="仿宋_GB2312"/>
          <w:b w:val="0"/>
          <w:sz w:val="28"/>
        </w:rPr>
        <w:t>Kk——临街宽度修正系数</w:t>
      </w:r>
    </w:p>
    <w:p>
      <w:pPr>
        <w:spacing w:before="0" w:after="0" w:line="480" w:lineRule="exact"/>
        <w:ind w:firstLine="561"/>
      </w:pPr>
      <w:r>
        <w:rPr>
          <w:rFonts w:ascii="仿宋_GB2312" w:hAnsi="仿宋_GB2312" w:eastAsia="仿宋_GB2312" w:cs="仿宋_GB2312"/>
          <w:b w:val="0"/>
          <w:sz w:val="28"/>
        </w:rPr>
        <w:t>Kd——临街深度修正系数</w:t>
      </w:r>
    </w:p>
    <w:p>
      <w:pPr>
        <w:spacing w:before="0" w:after="0" w:line="480" w:lineRule="exact"/>
        <w:ind w:firstLine="561"/>
      </w:pPr>
      <w:r>
        <w:rPr>
          <w:rFonts w:ascii="仿宋_GB2312" w:hAnsi="仿宋_GB2312" w:eastAsia="仿宋_GB2312" w:cs="仿宋_GB2312"/>
          <w:b w:val="0"/>
          <w:sz w:val="28"/>
        </w:rPr>
        <w:t>Ku——周边土地利用类型修正系数</w:t>
      </w:r>
    </w:p>
    <w:p>
      <w:pPr>
        <w:spacing w:before="0" w:after="0" w:line="480" w:lineRule="exact"/>
        <w:ind w:firstLine="561"/>
      </w:pPr>
      <w:r>
        <w:rPr>
          <w:rFonts w:ascii="仿宋_GB2312" w:hAnsi="仿宋_GB2312" w:eastAsia="仿宋_GB2312" w:cs="仿宋_GB2312"/>
          <w:b w:val="0"/>
          <w:sz w:val="28"/>
        </w:rPr>
        <w:t>Kf——开发程度修正额。</w:t>
      </w:r>
    </w:p>
    <w:p>
      <w:pPr>
        <w:keepNext/>
        <w:spacing w:before="0" w:after="0" w:line="480" w:lineRule="exact"/>
        <w:ind w:firstLine="561"/>
      </w:pPr>
      <w:r>
        <w:rPr>
          <w:rFonts w:ascii="仿宋_GB2312" w:hAnsi="仿宋_GB2312" w:eastAsia="仿宋_GB2312" w:cs="仿宋_GB2312"/>
          <w:b w:val="0"/>
          <w:sz w:val="28"/>
        </w:rPr>
        <w:t>3、确定基准地价（Po）</w:t>
      </w:r>
    </w:p>
    <w:p>
      <w:pPr>
        <w:spacing w:before="0" w:after="0" w:line="480" w:lineRule="exact"/>
        <w:ind w:firstLine="561"/>
      </w:pPr>
      <w:r>
        <w:rPr>
          <w:rFonts w:ascii="仿宋_GB2312" w:hAnsi="仿宋_GB2312" w:eastAsia="仿宋_GB2312" w:cs="仿宋_GB2312"/>
          <w:b w:val="0"/>
          <w:sz w:val="28"/>
        </w:rPr>
        <w:t>本次评估设定估价对象土地用途为商业服务业用地，估价对象位于待校核，估价对象按临街商业服务业用地路线价路径测算。根据《通道侗族自治县城镇基准地价更新技术报告》（2025年11月）、通道县城区商业服务业用地路线价表及估价对象临街条件，估价对象位于长征南路（双江大桥至内环路）路线价段内，该路线价为2150元/平方米，即Po=2150元/平方米。</w:t>
      </w:r>
    </w:p>
    <w:p>
      <w:pPr>
        <w:keepNext/>
        <w:spacing w:before="0" w:after="0" w:line="480" w:lineRule="exact"/>
        <w:ind w:firstLine="561"/>
      </w:pPr>
      <w:r>
        <w:rPr>
          <w:rFonts w:ascii="仿宋_GB2312" w:hAnsi="仿宋_GB2312" w:eastAsia="仿宋_GB2312" w:cs="仿宋_GB2312"/>
          <w:b w:val="0"/>
          <w:sz w:val="28"/>
        </w:rPr>
        <w:t>4、容积率修正系数（Kv）的确定</w:t>
      </w:r>
    </w:p>
    <w:p>
      <w:pPr>
        <w:spacing w:before="0" w:after="0" w:line="480" w:lineRule="exact"/>
        <w:ind w:firstLine="561"/>
      </w:pPr>
      <w:r>
        <w:rPr>
          <w:rFonts w:ascii="仿宋_GB2312" w:hAnsi="仿宋_GB2312" w:eastAsia="仿宋_GB2312" w:cs="仿宋_GB2312"/>
          <w:b w:val="0"/>
          <w:sz w:val="28"/>
        </w:rPr>
        <w:t>容积率的变化会影响地价的变化。在进行商业服务业用地宗地评估时，当实际容积率与平均容积率不同时，必须进行修正。本次评估设定容积率为2。根据《通道侗族自治县城镇基准地价更新技术报告》（2025年11月），查《通道县城区商业服务业用地容积率修正系数表》，采用内插法得估价对象容积率修正值为：Kv=1.0000。</w:t>
      </w:r>
    </w:p>
    <w:p>
      <w:pPr>
        <w:keepNext/>
        <w:spacing w:before="157" w:after="10" w:line="480" w:lineRule="exact"/>
        <w:ind w:left="0" w:right="0" w:firstLine="0"/>
        <w:jc w:val="center"/>
      </w:pPr>
      <w:r>
        <w:rPr>
          <w:rFonts w:ascii="仿宋_GB2312" w:hAnsi="仿宋_GB2312" w:eastAsia="仿宋_GB2312" w:cs="仿宋_GB2312"/>
          <w:b w:val="0"/>
          <w:sz w:val="28"/>
        </w:rPr>
        <w:t>表3-3 通道县城区商业服务业用地容积率修正系数表</w:t>
      </w:r>
    </w:p>
    <w:tbl>
      <w:tblPr>
        <w:tblStyle w:val="10"/>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84"/>
        <w:gridCol w:w="1384"/>
        <w:gridCol w:w="1384"/>
        <w:gridCol w:w="1384"/>
        <w:gridCol w:w="1384"/>
        <w:gridCol w:w="1384"/>
      </w:tblGrid>
      <w:tr>
        <w:trPr>
          <w:tblHeader w:val="1"/>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容积率</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一级</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二级</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三级</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四级</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五级</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0.6800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0.7326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0.8054</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0.8633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0.8973</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0.7170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0.7646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0.8342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0.8894</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0.9204</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0.7526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0.7951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0.8613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0.9140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0.9421</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0.7869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0.8242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0.8871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0.9371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0.9625</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0.8200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0.8521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0.9117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0.9590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0.9817</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0.8521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0.8788</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0.9351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0.9800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1.0000</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0.8832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0.9046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0.9576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1.0000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1.0174</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0.9135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0.9296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0.9792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1.0191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1.0340</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1.8</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0.9431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0.9538</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1.0000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1.0375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1.0499</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0.9719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0.9772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1.0201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1.0552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1.0652</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1.0000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1.0000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1.0396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1.0722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1.0799</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2.1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1.0275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1.0222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1.0584</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1.0887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1.0941</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2.2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1.0545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1.0437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1.0767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1.1046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1.1078</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2.3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1.0809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1.0647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1.0945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1.1201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1.1210</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2.4</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1.1068</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1.0853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1.1117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1.1351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1.1338</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2.5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1.1322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1.1053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1.1285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1.1497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1.1463</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2.6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1.1572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1.1250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1.1450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1.1639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1.1583</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2.7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1.1817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1.1442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1.1610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1.1777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1.1701</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2.8</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1.2059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1.1631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1.1767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1.1912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1.1815</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2.9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1.2297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1.1815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1.1920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1.2042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1.1926</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1.2531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1.1996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1.2070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1.2171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1.2035</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1.2761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1.2174</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1.2216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1.2297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1.2142</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1.2989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1.2349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1.2359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1.2419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1.2244</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1.3213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1.2520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1.2500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1.2539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1.2346</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3.4</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1.3434</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1.2690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1.2639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1.2657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1.2444</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1.3653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1.2855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1.2775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1.2771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1.2541</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1.3869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1.3019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1.2908</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1.2885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1.2636</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1.4082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1.3180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1.3038</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1.2995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1.2729</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3.8</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1.4292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1.3339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1.3167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1.3104</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1.2821</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1.4500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1.3495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1.3294</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1.3212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1.2910</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4</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1.4706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1.3650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1.3417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1.3316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1.2997</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4.1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1.4909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1.3803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1.3541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1.3419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1.3084</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4.2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1.5111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1.3953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1.3661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1.3521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1.3168</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4.3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1.5310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1.4100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1.3780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1.3620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1.3250</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4.4</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1.5507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1.4247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1.3897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1.3719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1.3333</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4.5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1.5702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1.4391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1.4013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1.3816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1.3414</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4.6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1.5895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1.4533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1.4126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1.3910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1.3492</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4.7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1.6086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1.4676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1.4239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1.4006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1.3570</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4.8</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1.6276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1.4815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1.4349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1.4096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1.3646</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4.9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1.6464</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1.4952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1.4459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1.4188</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1.3721</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1.6650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1.5088</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1.4567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1.4278</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1.3797</w:t>
            </w:r>
          </w:p>
        </w:tc>
      </w:tr>
    </w:tbl>
    <w:p>
      <w:pPr>
        <w:keepNext/>
        <w:spacing w:before="0" w:after="0" w:line="480" w:lineRule="exact"/>
        <w:ind w:firstLine="561"/>
      </w:pPr>
      <w:r>
        <w:rPr>
          <w:rFonts w:ascii="仿宋_GB2312" w:hAnsi="仿宋_GB2312" w:eastAsia="仿宋_GB2312" w:cs="仿宋_GB2312"/>
          <w:b w:val="0"/>
          <w:sz w:val="28"/>
        </w:rPr>
        <w:t>5、土地使用年期修正系数（Ky）的确定</w:t>
      </w:r>
    </w:p>
    <w:p>
      <w:pPr>
        <w:spacing w:before="0" w:after="0" w:line="480" w:lineRule="exact"/>
        <w:ind w:firstLine="561"/>
      </w:pPr>
      <w:r>
        <w:rPr>
          <w:rFonts w:ascii="仿宋_GB2312" w:hAnsi="仿宋_GB2312" w:eastAsia="仿宋_GB2312" w:cs="仿宋_GB2312"/>
          <w:b w:val="0"/>
          <w:sz w:val="28"/>
        </w:rPr>
        <w:t>通道县出让基准地价设定的土地使用年期为各用途土地法定出让最高使用年期，为商业服务业用地40年；此次评估设定宗地的出让土地使用权土地使用年期为商业服务业用地40年，与出让基准地价设定用途的内涵使用年期一致，故此次评估不需进行使用年期修正。</w:t>
      </w:r>
    </w:p>
    <w:p>
      <w:pPr>
        <w:spacing w:before="0" w:after="0" w:line="480" w:lineRule="exact"/>
        <w:ind w:firstLine="561"/>
      </w:pPr>
      <w:r>
        <w:rPr>
          <w:rFonts w:ascii="仿宋_GB2312" w:hAnsi="仿宋_GB2312" w:eastAsia="仿宋_GB2312" w:cs="仿宋_GB2312"/>
          <w:b w:val="0"/>
          <w:sz w:val="28"/>
        </w:rPr>
        <w:t>年期修正系数计算公式如下：</w:t>
      </w:r>
    </w:p>
    <w:p>
      <w:pPr>
        <w:keepLines/>
        <w:spacing w:before="0" w:after="0" w:line="480" w:lineRule="exact"/>
        <w:ind w:firstLine="0" w:left="561" w:right="0"/>
        <w:jc w:val="left"/>
      </w:pPr>
      <w:r>
        <w:rPr>
          <w:rFonts w:ascii="仿宋_GB2312" w:hAnsi="仿宋_GB2312" w:eastAsia="仿宋_GB2312" w:cs="仿宋_GB2312"/>
          <w:b w:val="0"/>
          <w:sz w:val="28"/>
        </w:rPr>
        <w:t>Ky=[1-1/(1+r)^m]/[1-1/(1+r)^n]</w:t>
      </w:r>
    </w:p>
    <w:p>
      <w:pPr>
        <w:spacing w:before="0" w:after="0" w:line="480" w:lineRule="exact"/>
        <w:ind w:firstLine="561"/>
      </w:pPr>
      <w:r>
        <w:rPr>
          <w:rFonts w:ascii="仿宋_GB2312" w:hAnsi="仿宋_GB2312" w:eastAsia="仿宋_GB2312" w:cs="仿宋_GB2312"/>
          <w:b w:val="0"/>
          <w:sz w:val="28"/>
        </w:rPr>
        <w:t>式中：</w:t>
      </w:r>
    </w:p>
    <w:p>
      <w:pPr>
        <w:spacing w:before="0" w:after="0" w:line="480" w:lineRule="exact"/>
        <w:ind w:firstLine="561"/>
      </w:pPr>
      <w:r>
        <w:rPr>
          <w:rFonts w:ascii="仿宋_GB2312" w:hAnsi="仿宋_GB2312" w:eastAsia="仿宋_GB2312" w:cs="仿宋_GB2312"/>
          <w:b w:val="0"/>
          <w:sz w:val="28"/>
        </w:rPr>
        <w:t>r——土地还原率；</w:t>
      </w:r>
    </w:p>
    <w:p>
      <w:pPr>
        <w:spacing w:before="0" w:after="0" w:line="480" w:lineRule="exact"/>
        <w:ind w:firstLine="561"/>
      </w:pPr>
      <w:r>
        <w:rPr>
          <w:rFonts w:ascii="仿宋_GB2312" w:hAnsi="仿宋_GB2312" w:eastAsia="仿宋_GB2312" w:cs="仿宋_GB2312"/>
          <w:b w:val="0"/>
          <w:sz w:val="28"/>
        </w:rPr>
        <w:t>m——估价对象设定土地使用年期；</w:t>
      </w:r>
    </w:p>
    <w:p>
      <w:pPr>
        <w:spacing w:before="0" w:after="0" w:line="480" w:lineRule="exact"/>
        <w:ind w:firstLine="561"/>
      </w:pPr>
      <w:r>
        <w:rPr>
          <w:rFonts w:ascii="仿宋_GB2312" w:hAnsi="仿宋_GB2312" w:eastAsia="仿宋_GB2312" w:cs="仿宋_GB2312"/>
          <w:b w:val="0"/>
          <w:sz w:val="28"/>
        </w:rPr>
        <w:t>n——基准地价内涵土地使用年期。</w:t>
      </w:r>
    </w:p>
    <w:p>
      <w:pPr>
        <w:spacing w:before="0" w:after="0" w:line="480" w:lineRule="exact"/>
        <w:ind w:firstLine="561"/>
      </w:pPr>
      <w:r>
        <w:rPr>
          <w:rFonts w:ascii="仿宋_GB2312" w:hAnsi="仿宋_GB2312" w:eastAsia="仿宋_GB2312" w:cs="仿宋_GB2312"/>
          <w:b w:val="0"/>
          <w:sz w:val="28"/>
        </w:rPr>
        <w:t>根据《通道侗族自治县城镇基准地价更新技术报告》（2025年11月），商业服务业用地土地还原率为7.7%。</w:t>
      </w:r>
    </w:p>
    <w:p>
      <w:pPr>
        <w:spacing w:before="0" w:after="0" w:line="480" w:lineRule="exact"/>
        <w:ind w:firstLine="561"/>
      </w:pPr>
      <w:r>
        <w:rPr>
          <w:rFonts w:ascii="仿宋_GB2312" w:hAnsi="仿宋_GB2312" w:eastAsia="仿宋_GB2312" w:cs="仿宋_GB2312"/>
          <w:b w:val="0"/>
          <w:sz w:val="28"/>
        </w:rPr>
        <w:t>则：Ky=1.0000。</w:t>
      </w:r>
    </w:p>
    <w:p>
      <w:pPr>
        <w:keepNext/>
        <w:spacing w:before="157" w:after="10" w:line="480" w:lineRule="exact"/>
        <w:ind w:left="0" w:right="0" w:firstLine="0"/>
        <w:jc w:val="center"/>
      </w:pPr>
      <w:r>
        <w:rPr>
          <w:rFonts w:ascii="仿宋_GB2312" w:hAnsi="仿宋_GB2312" w:eastAsia="仿宋_GB2312" w:cs="仿宋_GB2312"/>
          <w:b w:val="0"/>
          <w:sz w:val="28"/>
        </w:rPr>
        <w:t>表3-4 通道县商业服务业、居住用地土地还原率表</w:t>
      </w:r>
    </w:p>
    <w:tbl>
      <w:tblPr>
        <w:tblStyle w:val="10"/>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84"/>
        <w:gridCol w:w="1384"/>
        <w:gridCol w:w="1384"/>
        <w:gridCol w:w="1384"/>
        <w:gridCol w:w="1384"/>
        <w:gridCol w:w="1384"/>
      </w:tblGrid>
      <w:tr>
        <w:trPr>
          <w:tblHeader w:val="1"/>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用地类型</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租售比法结果</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租售比法权重</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投资收益法结果</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投资收益法权重</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还原率</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商业服务业用地</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7.38%</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8.17%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0.4</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7.70%</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居住用地</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6.80%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6.67%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0.4</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6.75%</w:t>
            </w:r>
          </w:p>
        </w:tc>
      </w:tr>
    </w:tbl>
    <w:p>
      <w:pPr>
        <w:keepNext/>
        <w:spacing w:before="0" w:after="0" w:line="480" w:lineRule="exact"/>
        <w:ind w:firstLine="561"/>
      </w:pPr>
      <w:r>
        <w:rPr>
          <w:rFonts w:ascii="仿宋_GB2312" w:hAnsi="仿宋_GB2312" w:eastAsia="仿宋_GB2312" w:cs="仿宋_GB2312"/>
          <w:b w:val="0"/>
          <w:sz w:val="28"/>
        </w:rPr>
        <w:t>6、期日修正系数（Kt）的确定</w:t>
      </w:r>
    </w:p>
    <w:p>
      <w:pPr>
        <w:spacing w:before="0" w:after="0" w:line="480" w:lineRule="exact"/>
        <w:ind w:firstLine="561"/>
      </w:pPr>
      <w:r>
        <w:rPr>
          <w:rFonts w:ascii="仿宋_GB2312" w:hAnsi="仿宋_GB2312" w:eastAsia="仿宋_GB2312" w:cs="仿宋_GB2312"/>
          <w:b w:val="0"/>
          <w:sz w:val="28"/>
        </w:rPr>
        <w:t>根据《通道侗族自治县城镇基准地价更新技术报告》（2025年11月），通道县城镇基准地价基准日为2025.04.01，本次评估估价期日为2026-06-03，历时14.07个月，需进行估价期日修正。通道县目前尚未建立地价动态监测体系，经查询通道县土地成交信息及估价对象所在区域土地市场情况，同类型城镇商业服务业用地在此期间的地价月平均上涨率约为0.2%，本次评估结合宗地所在区域地价上涨幅度，确定估价对象估价期日修正系数Kt=1.0285。具体测算见下表：</w:t>
      </w:r>
    </w:p>
    <w:p>
      <w:pPr>
        <w:keepLines/>
        <w:spacing w:before="0" w:after="0" w:line="480" w:lineRule="exact"/>
        <w:ind w:firstLine="0" w:left="561" w:right="0"/>
        <w:jc w:val="left"/>
      </w:pPr>
      <w:r>
        <w:rPr>
          <w:rFonts w:ascii="仿宋_GB2312" w:hAnsi="仿宋_GB2312" w:eastAsia="仿宋_GB2312" w:cs="仿宋_GB2312"/>
          <w:b w:val="0"/>
          <w:sz w:val="28"/>
        </w:rPr>
        <w:t>Kt=(1+0.2%)^14.07=1.0285。</w:t>
      </w:r>
    </w:p>
    <w:p>
      <w:pPr>
        <w:keepNext/>
        <w:spacing w:before="157" w:after="10" w:line="480" w:lineRule="exact"/>
        <w:ind w:left="0" w:right="0" w:firstLine="0"/>
        <w:jc w:val="center"/>
      </w:pPr>
      <w:r>
        <w:rPr>
          <w:rFonts w:ascii="仿宋_GB2312" w:hAnsi="仿宋_GB2312" w:eastAsia="仿宋_GB2312" w:cs="仿宋_GB2312"/>
          <w:b w:val="0"/>
          <w:sz w:val="28"/>
        </w:rPr>
        <w:t>表3-5 估价对象商业服务业用地期日修正测算表</w:t>
      </w:r>
    </w:p>
    <w:tbl>
      <w:tblPr>
        <w:tblStyle w:val="10"/>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53"/>
        <w:gridCol w:w="4153"/>
      </w:tblGrid>
      <w:tr>
        <w:trPr>
          <w:tblHeader w:val="1"/>
          <w:cantSplit/>
        </w:trPr>
        <w:tc>
          <w:tcPr>
            <w:tcW w:type="dxa" w:w="4564"/>
            <w:vAlign w:val="center"/>
          </w:tcPr>
          <w:p>
            <w:pPr>
              <w:spacing w:before="0" w:after="0" w:line="260" w:lineRule="exact"/>
              <w:ind w:firstLine="0" w:left="0" w:right="0"/>
              <w:jc w:val="center"/>
            </w:pPr>
            <w:r>
              <w:rPr>
                <w:rFonts w:ascii="仿宋_GB2312" w:hAnsi="仿宋_GB2312" w:eastAsia="仿宋_GB2312" w:cs="仿宋_GB2312"/>
                <w:b w:val="0"/>
                <w:sz w:val="21"/>
              </w:rPr>
              <w:t>项目</w:t>
            </w:r>
          </w:p>
        </w:tc>
        <w:tc>
          <w:tcPr>
            <w:tcW w:type="dxa" w:w="4564"/>
            <w:vAlign w:val="center"/>
          </w:tcPr>
          <w:p>
            <w:pPr>
              <w:spacing w:before="0" w:after="0" w:line="260" w:lineRule="exact"/>
              <w:ind w:firstLine="0" w:left="0" w:right="0"/>
              <w:jc w:val="center"/>
            </w:pPr>
            <w:r>
              <w:rPr>
                <w:rFonts w:ascii="仿宋_GB2312" w:hAnsi="仿宋_GB2312" w:eastAsia="仿宋_GB2312" w:cs="仿宋_GB2312"/>
                <w:b w:val="0"/>
                <w:sz w:val="21"/>
              </w:rPr>
              <w:t>内容</w:t>
            </w:r>
          </w:p>
        </w:tc>
      </w:tr>
      <w:tr>
        <w:trPr>
          <w:cantSplit/>
        </w:trPr>
        <w:tc>
          <w:tcPr>
            <w:tcW w:type="dxa" w:w="4564"/>
            <w:vAlign w:val="center"/>
          </w:tcPr>
          <w:p>
            <w:pPr>
              <w:spacing w:before="0" w:after="0" w:line="260" w:lineRule="exact"/>
              <w:ind w:firstLine="0" w:left="0" w:right="0"/>
              <w:jc w:val="center"/>
            </w:pPr>
            <w:r>
              <w:rPr>
                <w:rFonts w:ascii="仿宋_GB2312" w:hAnsi="仿宋_GB2312" w:eastAsia="仿宋_GB2312" w:cs="仿宋_GB2312"/>
                <w:b w:val="0"/>
                <w:sz w:val="21"/>
              </w:rPr>
              <w:t>土地用途</w:t>
            </w:r>
          </w:p>
        </w:tc>
        <w:tc>
          <w:tcPr>
            <w:tcW w:type="dxa" w:w="4564"/>
            <w:vAlign w:val="center"/>
          </w:tcPr>
          <w:p>
            <w:pPr>
              <w:spacing w:before="0" w:after="0" w:line="260" w:lineRule="exact"/>
              <w:ind w:firstLine="0" w:left="0" w:right="0"/>
              <w:jc w:val="center"/>
            </w:pPr>
            <w:r>
              <w:rPr>
                <w:rFonts w:ascii="仿宋_GB2312" w:hAnsi="仿宋_GB2312" w:eastAsia="仿宋_GB2312" w:cs="仿宋_GB2312"/>
                <w:b w:val="0"/>
                <w:sz w:val="21"/>
              </w:rPr>
              <w:t>商业服务业用地</w:t>
            </w:r>
          </w:p>
        </w:tc>
      </w:tr>
      <w:tr>
        <w:trPr>
          <w:cantSplit/>
        </w:trPr>
        <w:tc>
          <w:tcPr>
            <w:tcW w:type="dxa" w:w="4564"/>
            <w:vAlign w:val="center"/>
          </w:tcPr>
          <w:p>
            <w:pPr>
              <w:spacing w:before="0" w:after="0" w:line="260" w:lineRule="exact"/>
              <w:ind w:firstLine="0" w:left="0" w:right="0"/>
              <w:jc w:val="center"/>
            </w:pPr>
            <w:r>
              <w:rPr>
                <w:rFonts w:ascii="仿宋_GB2312" w:hAnsi="仿宋_GB2312" w:eastAsia="仿宋_GB2312" w:cs="仿宋_GB2312"/>
                <w:b w:val="0"/>
                <w:sz w:val="21"/>
              </w:rPr>
              <w:t>基准地价的基准日</w:t>
            </w:r>
          </w:p>
        </w:tc>
        <w:tc>
          <w:tcPr>
            <w:tcW w:type="dxa" w:w="4564"/>
            <w:vAlign w:val="center"/>
          </w:tcPr>
          <w:p>
            <w:pPr>
              <w:spacing w:before="0" w:after="0" w:line="260" w:lineRule="exact"/>
              <w:ind w:firstLine="0" w:left="0" w:right="0"/>
              <w:jc w:val="center"/>
            </w:pPr>
            <w:r>
              <w:rPr>
                <w:rFonts w:ascii="仿宋_GB2312" w:hAnsi="仿宋_GB2312" w:eastAsia="仿宋_GB2312" w:cs="仿宋_GB2312"/>
                <w:b w:val="0"/>
                <w:sz w:val="21"/>
              </w:rPr>
              <w:t>2025.04.01</w:t>
            </w:r>
          </w:p>
        </w:tc>
      </w:tr>
      <w:tr>
        <w:trPr>
          <w:cantSplit/>
        </w:trPr>
        <w:tc>
          <w:tcPr>
            <w:tcW w:type="dxa" w:w="4564"/>
            <w:vAlign w:val="center"/>
          </w:tcPr>
          <w:p>
            <w:pPr>
              <w:spacing w:before="0" w:after="0" w:line="260" w:lineRule="exact"/>
              <w:ind w:firstLine="0" w:left="0" w:right="0"/>
              <w:jc w:val="center"/>
            </w:pPr>
            <w:r>
              <w:rPr>
                <w:rFonts w:ascii="仿宋_GB2312" w:hAnsi="仿宋_GB2312" w:eastAsia="仿宋_GB2312" w:cs="仿宋_GB2312"/>
                <w:b w:val="0"/>
                <w:sz w:val="21"/>
              </w:rPr>
              <w:t>估价期日</w:t>
            </w:r>
          </w:p>
        </w:tc>
        <w:tc>
          <w:tcPr>
            <w:tcW w:type="dxa" w:w="4564"/>
            <w:vAlign w:val="center"/>
          </w:tcPr>
          <w:p>
            <w:pPr>
              <w:spacing w:before="0" w:after="0" w:line="260" w:lineRule="exact"/>
              <w:ind w:firstLine="0" w:left="0" w:right="0"/>
              <w:jc w:val="center"/>
            </w:pPr>
            <w:r>
              <w:rPr>
                <w:rFonts w:ascii="仿宋_GB2312" w:hAnsi="仿宋_GB2312" w:eastAsia="仿宋_GB2312" w:cs="仿宋_GB2312"/>
                <w:b w:val="0"/>
                <w:sz w:val="21"/>
              </w:rPr>
              <w:t>2026-06-03</w:t>
            </w:r>
          </w:p>
        </w:tc>
      </w:tr>
      <w:tr>
        <w:trPr>
          <w:cantSplit/>
        </w:trPr>
        <w:tc>
          <w:tcPr>
            <w:tcW w:type="dxa" w:w="4564"/>
            <w:vAlign w:val="center"/>
          </w:tcPr>
          <w:p>
            <w:pPr>
              <w:spacing w:before="0" w:after="0" w:line="260" w:lineRule="exact"/>
              <w:ind w:firstLine="0" w:left="0" w:right="0"/>
              <w:jc w:val="center"/>
            </w:pPr>
            <w:r>
              <w:rPr>
                <w:rFonts w:ascii="仿宋_GB2312" w:hAnsi="仿宋_GB2312" w:eastAsia="仿宋_GB2312" w:cs="仿宋_GB2312"/>
                <w:b w:val="0"/>
                <w:sz w:val="21"/>
              </w:rPr>
              <w:t>估价期日修正的上涨时间(月)</w:t>
            </w:r>
          </w:p>
        </w:tc>
        <w:tc>
          <w:tcPr>
            <w:tcW w:type="dxa" w:w="4564"/>
            <w:vAlign w:val="center"/>
          </w:tcPr>
          <w:p>
            <w:pPr>
              <w:spacing w:before="0" w:after="0" w:line="260" w:lineRule="exact"/>
              <w:ind w:firstLine="0" w:left="0" w:right="0"/>
              <w:jc w:val="center"/>
            </w:pPr>
            <w:r>
              <w:rPr>
                <w:rFonts w:ascii="仿宋_GB2312" w:hAnsi="仿宋_GB2312" w:eastAsia="仿宋_GB2312" w:cs="仿宋_GB2312"/>
                <w:b w:val="0"/>
                <w:sz w:val="21"/>
              </w:rPr>
              <w:t>14.07</w:t>
            </w:r>
          </w:p>
        </w:tc>
      </w:tr>
      <w:tr>
        <w:trPr>
          <w:cantSplit/>
        </w:trPr>
        <w:tc>
          <w:tcPr>
            <w:tcW w:type="dxa" w:w="4564"/>
            <w:vAlign w:val="center"/>
          </w:tcPr>
          <w:p>
            <w:pPr>
              <w:spacing w:before="0" w:after="0" w:line="260" w:lineRule="exact"/>
              <w:ind w:firstLine="0" w:left="0" w:right="0"/>
              <w:jc w:val="center"/>
            </w:pPr>
            <w:r>
              <w:rPr>
                <w:rFonts w:ascii="仿宋_GB2312" w:hAnsi="仿宋_GB2312" w:eastAsia="仿宋_GB2312" w:cs="仿宋_GB2312"/>
                <w:b w:val="0"/>
                <w:sz w:val="21"/>
              </w:rPr>
              <w:t>月上涨率</w:t>
            </w:r>
          </w:p>
        </w:tc>
        <w:tc>
          <w:tcPr>
            <w:tcW w:type="dxa" w:w="4564"/>
            <w:vAlign w:val="center"/>
          </w:tcPr>
          <w:p>
            <w:pPr>
              <w:spacing w:before="0" w:after="0" w:line="260" w:lineRule="exact"/>
              <w:ind w:firstLine="0" w:left="0" w:right="0"/>
              <w:jc w:val="center"/>
            </w:pPr>
            <w:r>
              <w:rPr>
                <w:rFonts w:ascii="仿宋_GB2312" w:hAnsi="仿宋_GB2312" w:eastAsia="仿宋_GB2312" w:cs="仿宋_GB2312"/>
                <w:b w:val="0"/>
                <w:sz w:val="21"/>
              </w:rPr>
              <w:t>0.2%</w:t>
            </w:r>
          </w:p>
        </w:tc>
      </w:tr>
      <w:tr>
        <w:trPr>
          <w:cantSplit/>
        </w:trPr>
        <w:tc>
          <w:tcPr>
            <w:tcW w:type="dxa" w:w="4564"/>
            <w:vAlign w:val="center"/>
          </w:tcPr>
          <w:p>
            <w:pPr>
              <w:spacing w:before="0" w:after="0" w:line="260" w:lineRule="exact"/>
              <w:ind w:firstLine="0" w:left="0" w:right="0"/>
              <w:jc w:val="center"/>
            </w:pPr>
            <w:r>
              <w:rPr>
                <w:rFonts w:ascii="仿宋_GB2312" w:hAnsi="仿宋_GB2312" w:eastAsia="仿宋_GB2312" w:cs="仿宋_GB2312"/>
                <w:b w:val="0"/>
                <w:sz w:val="21"/>
              </w:rPr>
              <w:t>估价对象期日修正系数</w:t>
            </w:r>
          </w:p>
        </w:tc>
        <w:tc>
          <w:tcPr>
            <w:tcW w:type="dxa" w:w="4564"/>
            <w:vAlign w:val="center"/>
          </w:tcPr>
          <w:p>
            <w:pPr>
              <w:spacing w:before="0" w:after="0" w:line="260" w:lineRule="exact"/>
              <w:ind w:firstLine="0" w:left="0" w:right="0"/>
              <w:jc w:val="center"/>
            </w:pPr>
            <w:r>
              <w:rPr>
                <w:rFonts w:ascii="仿宋_GB2312" w:hAnsi="仿宋_GB2312" w:eastAsia="仿宋_GB2312" w:cs="仿宋_GB2312"/>
                <w:b w:val="0"/>
                <w:sz w:val="21"/>
              </w:rPr>
              <w:t>1.0285</w:t>
            </w:r>
          </w:p>
        </w:tc>
      </w:tr>
    </w:tbl>
    <w:p>
      <w:pPr>
        <w:keepNext/>
        <w:spacing w:before="157" w:after="10" w:line="480" w:lineRule="exact"/>
        <w:ind w:left="0" w:right="0" w:firstLine="0"/>
        <w:jc w:val="center"/>
      </w:pPr>
      <w:r>
        <w:rPr>
          <w:rFonts w:ascii="仿宋_GB2312" w:hAnsi="仿宋_GB2312" w:eastAsia="仿宋_GB2312" w:cs="仿宋_GB2312"/>
          <w:b w:val="0"/>
          <w:sz w:val="28"/>
        </w:rPr>
        <w:t>表3-6 通道县城区商业服务业用地路线价</w:t>
      </w:r>
    </w:p>
    <w:tbl>
      <w:tblPr>
        <w:tblStyle w:val="10"/>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38"/>
        <w:gridCol w:w="1038"/>
        <w:gridCol w:w="1038"/>
        <w:gridCol w:w="1038"/>
        <w:gridCol w:w="1038"/>
        <w:gridCol w:w="1038"/>
        <w:gridCol w:w="1038"/>
        <w:gridCol w:w="1038"/>
      </w:tblGrid>
      <w:tr>
        <w:trPr>
          <w:tblHeader w:val="1"/>
          <w:cantSplit/>
        </w:trPr>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编号</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道路名称</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路线起点</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路线终点</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所属级别</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道路类型</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标准深度</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路线价</w:t>
            </w:r>
          </w:p>
        </w:tc>
      </w:tr>
      <w:tr>
        <w:trPr>
          <w:cantSplit/>
        </w:trPr>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A01</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城东路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玉带路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转兵中路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一级</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主干道</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20</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4320</w:t>
            </w:r>
          </w:p>
        </w:tc>
      </w:tr>
      <w:tr>
        <w:trPr>
          <w:cantSplit/>
        </w:trPr>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A02</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城东路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长征中路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玉带路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一级</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主干道</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20</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4050</w:t>
            </w:r>
          </w:p>
        </w:tc>
      </w:tr>
      <w:tr>
        <w:trPr>
          <w:cantSplit/>
        </w:trPr>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A03</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长征中路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城东路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双江大桥</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一级</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主干道</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20</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4150</w:t>
            </w:r>
          </w:p>
        </w:tc>
      </w:tr>
      <w:tr>
        <w:trPr>
          <w:cantSplit/>
        </w:trPr>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A04</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双江大道</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城东路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吉利路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一级</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主干道</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20</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3550</w:t>
            </w:r>
          </w:p>
        </w:tc>
      </w:tr>
      <w:tr>
        <w:trPr>
          <w:cantSplit/>
        </w:trPr>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A05</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吉祥路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城东路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吉利路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一级</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次干道</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16</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3470</w:t>
            </w:r>
          </w:p>
        </w:tc>
      </w:tr>
      <w:tr>
        <w:trPr>
          <w:cantSplit/>
        </w:trPr>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A06</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转兵中路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妇幼保健院(含)</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城东路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一级</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主干道</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20</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3300</w:t>
            </w:r>
          </w:p>
        </w:tc>
      </w:tr>
      <w:tr>
        <w:trPr>
          <w:cantSplit/>
        </w:trPr>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A07</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内环路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城东路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通道汽车站(含)</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一级</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次干道</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16</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3160</w:t>
            </w:r>
          </w:p>
        </w:tc>
      </w:tr>
      <w:tr>
        <w:trPr>
          <w:cantSplit/>
        </w:trPr>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A08</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玉带路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城东路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乐业路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一级</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支路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12</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3250</w:t>
            </w:r>
          </w:p>
        </w:tc>
      </w:tr>
      <w:tr>
        <w:trPr>
          <w:cantSplit/>
        </w:trPr>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B09</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平安街</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长征中路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滨江路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二级</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次干道</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16</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3550</w:t>
            </w:r>
          </w:p>
        </w:tc>
      </w:tr>
      <w:tr>
        <w:trPr>
          <w:cantSplit/>
        </w:trPr>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B10</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迎宾街</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长征中路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滨江路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二级</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支路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12</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3680</w:t>
            </w:r>
          </w:p>
        </w:tc>
      </w:tr>
      <w:tr>
        <w:trPr>
          <w:cantSplit/>
        </w:trPr>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B11</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友谊街</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长征中路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滨江路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二级</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次干道</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16</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3610</w:t>
            </w:r>
          </w:p>
        </w:tc>
      </w:tr>
      <w:tr>
        <w:trPr>
          <w:cantSplit/>
        </w:trPr>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B12</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行政街</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平安街</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桥头</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二级</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次干道</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16</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3645</w:t>
            </w:r>
          </w:p>
        </w:tc>
      </w:tr>
      <w:tr>
        <w:trPr>
          <w:cantSplit/>
        </w:trPr>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B13</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滨江路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城东路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友谊街</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二级</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支路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12</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3370</w:t>
            </w:r>
          </w:p>
        </w:tc>
      </w:tr>
      <w:tr>
        <w:trPr>
          <w:cantSplit/>
        </w:trPr>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B14</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玉带路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乐业路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玉带路尽端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二级</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支路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12</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2770</w:t>
            </w:r>
          </w:p>
        </w:tc>
      </w:tr>
      <w:tr>
        <w:trPr>
          <w:cantSplit/>
        </w:trPr>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B15</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希望路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吉利路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双江大道</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二级</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支路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12</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2570</w:t>
            </w:r>
          </w:p>
        </w:tc>
      </w:tr>
      <w:tr>
        <w:trPr>
          <w:cantSplit/>
        </w:trPr>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B16</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城西街</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长征中路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杉山街</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二级</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次干道</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16</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2220</w:t>
            </w:r>
          </w:p>
        </w:tc>
      </w:tr>
      <w:tr>
        <w:trPr>
          <w:cantSplit/>
        </w:trPr>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B17</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杉山街</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城西街</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长征中路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二级</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次干道</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16</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2180</w:t>
            </w:r>
          </w:p>
        </w:tc>
      </w:tr>
      <w:tr>
        <w:trPr>
          <w:cantSplit/>
        </w:trPr>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B18</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转兵南路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佳惠超市(不含)</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礼雅路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二级</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主干道</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20</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2900</w:t>
            </w:r>
          </w:p>
        </w:tc>
      </w:tr>
      <w:tr>
        <w:trPr>
          <w:cantSplit/>
        </w:trPr>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B19</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玉带路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万佛桥</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城东路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二级</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支路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12</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2480</w:t>
            </w:r>
          </w:p>
        </w:tc>
      </w:tr>
      <w:tr>
        <w:trPr>
          <w:cantSplit/>
        </w:trPr>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B20</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双江大道</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转兵中路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吉利路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二级</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主干道</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20</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2860</w:t>
            </w:r>
          </w:p>
        </w:tc>
      </w:tr>
      <w:tr>
        <w:trPr>
          <w:cantSplit/>
        </w:trPr>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B21</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吉祥路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转兵中路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吉利路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二级</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次干道</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16</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2680</w:t>
            </w:r>
          </w:p>
        </w:tc>
      </w:tr>
      <w:tr>
        <w:trPr>
          <w:cantSplit/>
        </w:trPr>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B22</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转兵中路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侗锦路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妇幼保健院(不含)</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二级</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主干道</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20</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3080</w:t>
            </w:r>
          </w:p>
        </w:tc>
      </w:tr>
      <w:tr>
        <w:trPr>
          <w:cantSplit/>
        </w:trPr>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B23</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转兵中路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双江大道</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杆梓路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二级</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主干道</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20</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2260</w:t>
            </w:r>
          </w:p>
        </w:tc>
      </w:tr>
      <w:tr>
        <w:trPr>
          <w:cantSplit/>
        </w:trPr>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B24</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萨岁路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转兵中路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卓煌中学(含)</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二级</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主干道</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20</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2330</w:t>
            </w:r>
          </w:p>
        </w:tc>
      </w:tr>
      <w:tr>
        <w:trPr>
          <w:cantSplit/>
        </w:trPr>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B25</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长征南路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双江大桥</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内环路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二级</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主干道</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20</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2150</w:t>
            </w:r>
          </w:p>
        </w:tc>
      </w:tr>
      <w:tr>
        <w:trPr>
          <w:cantSplit/>
        </w:trPr>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B26</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友谊街</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杉山街</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长征中路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二级</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次干道</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16</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2240</w:t>
            </w:r>
          </w:p>
        </w:tc>
      </w:tr>
      <w:tr>
        <w:trPr>
          <w:cantSplit/>
        </w:trPr>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B27</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长征中路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双江大桥</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寨上桥</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二级</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主干道</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20</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2200</w:t>
            </w:r>
          </w:p>
        </w:tc>
      </w:tr>
    </w:tbl>
    <w:p>
      <w:pPr>
        <w:keepNext/>
        <w:spacing w:before="0" w:after="0" w:line="480" w:lineRule="exact"/>
        <w:ind w:firstLine="561"/>
      </w:pPr>
      <w:r>
        <w:rPr>
          <w:rFonts w:ascii="仿宋_GB2312" w:hAnsi="仿宋_GB2312" w:eastAsia="仿宋_GB2312" w:cs="仿宋_GB2312"/>
          <w:b w:val="0"/>
          <w:sz w:val="28"/>
        </w:rPr>
        <w:t>商服用地临街宗地特别因素修正</w:t>
      </w:r>
    </w:p>
    <w:p>
      <w:pPr>
        <w:spacing w:before="0" w:after="0" w:line="480" w:lineRule="exact"/>
        <w:ind w:firstLine="561"/>
      </w:pPr>
      <w:r>
        <w:rPr>
          <w:rFonts w:ascii="仿宋_GB2312" w:hAnsi="仿宋_GB2312" w:eastAsia="仿宋_GB2312" w:cs="仿宋_GB2312"/>
          <w:b w:val="0"/>
          <w:sz w:val="28"/>
        </w:rPr>
        <w:t>商服用地临街宗地特别因素主要包括修正面积分配、街角地、临街深度、临街宽度等因素。本次评估估价对象全宗按临街路线价路径测算，不再另行拆分临街与不临街面积。估价对象宗地面积为80平方米，所临路线价道路类型为主干道，临街深度为20米，临街宽度为4米。</w:t>
      </w:r>
    </w:p>
    <w:p>
      <w:pPr>
        <w:keepNext/>
        <w:spacing w:before="0" w:after="0" w:line="480" w:lineRule="exact"/>
        <w:ind w:firstLine="561"/>
      </w:pPr>
      <w:r>
        <w:rPr>
          <w:rFonts w:ascii="仿宋_GB2312" w:hAnsi="仿宋_GB2312" w:eastAsia="仿宋_GB2312" w:cs="仿宋_GB2312"/>
          <w:b w:val="0"/>
          <w:sz w:val="28"/>
        </w:rPr>
        <w:t>街角地修正系数（Kc）的确定</w:t>
      </w:r>
    </w:p>
    <w:p>
      <w:pPr>
        <w:spacing w:before="0" w:after="0" w:line="480" w:lineRule="exact"/>
        <w:ind w:firstLine="561"/>
      </w:pPr>
      <w:r>
        <w:rPr>
          <w:rFonts w:ascii="仿宋_GB2312" w:hAnsi="仿宋_GB2312" w:eastAsia="仿宋_GB2312" w:cs="仿宋_GB2312"/>
          <w:b w:val="0"/>
          <w:sz w:val="28"/>
        </w:rPr>
        <w:t>街角地是指同时临两条相互交叉路段的宗地，街角条件是影响商业服务业用地价格的重要微观因素之一。街角地交通便利，人流、车流集聚程度通常较高，单位面积商业服务业用地收益能力相对较强。</w:t>
      </w:r>
    </w:p>
    <w:p>
      <w:pPr>
        <w:spacing w:before="0" w:after="0" w:line="480" w:lineRule="exact"/>
        <w:ind w:firstLine="561"/>
      </w:pPr>
      <w:r>
        <w:rPr>
          <w:rFonts w:ascii="仿宋_GB2312" w:hAnsi="仿宋_GB2312" w:eastAsia="仿宋_GB2312" w:cs="仿宋_GB2312"/>
          <w:b w:val="0"/>
          <w:sz w:val="28"/>
        </w:rPr>
        <w:t>在具体操作过程中，须注意以下几点：一是街角地修正范围为纵横里地线与临街线之间的区域；二是街角地第一宗地以路线价较高的街道为正街、路线价较低的街道为旁街，其余宗地以直接紧邻街道为正街；三是街角地地价计算公式为：Pml=Pz×Kc。</w:t>
      </w:r>
    </w:p>
    <w:p>
      <w:pPr>
        <w:spacing w:before="0" w:after="0" w:line="480" w:lineRule="exact"/>
        <w:ind w:firstLine="561"/>
      </w:pPr>
      <w:r>
        <w:rPr>
          <w:rFonts w:ascii="仿宋_GB2312" w:hAnsi="仿宋_GB2312" w:eastAsia="仿宋_GB2312" w:cs="仿宋_GB2312"/>
          <w:b w:val="0"/>
          <w:sz w:val="28"/>
        </w:rPr>
        <w:t>本次评估估价对象非街角地。估价对象不属于街角地，故不需进行街角地修正。根据《通道侗族自治县城镇基准地价更新技术报告》（2025年11月）中《通道县商业服务业用地街角地修正系数表》，确定街角地修正系数Kc=1.0000。</w:t>
      </w:r>
    </w:p>
    <w:p>
      <w:pPr>
        <w:keepNext/>
        <w:spacing w:before="157" w:after="10" w:line="480" w:lineRule="exact"/>
        <w:ind w:left="0" w:right="0" w:firstLine="0"/>
        <w:jc w:val="center"/>
      </w:pPr>
      <w:r>
        <w:rPr>
          <w:rFonts w:ascii="仿宋_GB2312" w:hAnsi="仿宋_GB2312" w:eastAsia="仿宋_GB2312" w:cs="仿宋_GB2312"/>
          <w:b w:val="0"/>
          <w:sz w:val="28"/>
        </w:rPr>
        <w:t>表3-9 通道县商业服务业用地街角地修正系数表</w:t>
      </w:r>
    </w:p>
    <w:tbl>
      <w:tblPr>
        <w:tblStyle w:val="10"/>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84"/>
        <w:gridCol w:w="1384"/>
        <w:gridCol w:w="1384"/>
        <w:gridCol w:w="1384"/>
        <w:gridCol w:w="1384"/>
        <w:gridCol w:w="1384"/>
      </w:tblGrid>
      <w:tr>
        <w:trPr>
          <w:tblHeader w:val="1"/>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正街地价/旁街地价</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(1/1,2/1]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(2/1,3/1]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(3/1,4/1]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(4/1,5/1]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&gt;5/1</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修正系数</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1.311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1.169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1.087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1.058</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1.028</w:t>
            </w:r>
          </w:p>
        </w:tc>
      </w:tr>
    </w:tbl>
    <w:p>
      <w:pPr>
        <w:keepNext/>
        <w:spacing w:before="0" w:after="0" w:line="480" w:lineRule="exact"/>
        <w:ind w:firstLine="561"/>
      </w:pPr>
      <w:r>
        <w:rPr>
          <w:rFonts w:ascii="仿宋_GB2312" w:hAnsi="仿宋_GB2312" w:eastAsia="仿宋_GB2312" w:cs="仿宋_GB2312"/>
          <w:b w:val="0"/>
          <w:sz w:val="28"/>
        </w:rPr>
        <w:t>临街深度修正系数（Kd）的确定</w:t>
      </w:r>
    </w:p>
    <w:p>
      <w:pPr>
        <w:spacing w:before="0" w:after="0" w:line="480" w:lineRule="exact"/>
        <w:ind w:firstLine="561"/>
      </w:pPr>
      <w:r>
        <w:rPr>
          <w:rFonts w:ascii="仿宋_GB2312" w:hAnsi="仿宋_GB2312" w:eastAsia="仿宋_GB2312" w:cs="仿宋_GB2312"/>
          <w:b w:val="0"/>
          <w:sz w:val="28"/>
        </w:rPr>
        <w:t>在同一路线价区段，各宗土地虽然临接同一街道，但因其深度、宽度、形状、面积、位置等不同，单位面积地价会有一定差别，其中对土地价格影响较大的是宗地临街深度。路线价估价法认为，距道路越近，受道路通达、人流集聚和商业展示影响越明显，地价相对越高；当宗地实际临街深度与路线价设定标准深度不一致时，应进行临街深度修正。</w:t>
      </w:r>
    </w:p>
    <w:p>
      <w:pPr>
        <w:spacing w:before="0" w:after="0" w:line="480" w:lineRule="exact"/>
        <w:ind w:firstLine="561"/>
      </w:pPr>
      <w:r>
        <w:rPr>
          <w:rFonts w:ascii="仿宋_GB2312" w:hAnsi="仿宋_GB2312" w:eastAsia="仿宋_GB2312" w:cs="仿宋_GB2312"/>
          <w:b w:val="0"/>
          <w:sz w:val="28"/>
        </w:rPr>
        <w:t>本次评估宗地所临路线价道路类型为主干道（由路线价段确定），标准深度为20米，估价对象临街深度为20米，临街深度等于主干道标准深度20米，故不需进行临街深度修正。根据《通道侗族自治县城镇基准地价更新技术报告》（2025年11月）中《通道县城区宗地地价临街深度修正系数表》，确定估价对象临街深度修正系数Kd=1.0000。</w:t>
      </w:r>
    </w:p>
    <w:p>
      <w:pPr>
        <w:keepNext/>
        <w:spacing w:before="157" w:after="10" w:line="480" w:lineRule="exact"/>
        <w:ind w:left="0" w:right="0" w:firstLine="0"/>
        <w:jc w:val="center"/>
      </w:pPr>
      <w:r>
        <w:rPr>
          <w:rFonts w:ascii="仿宋_GB2312" w:hAnsi="仿宋_GB2312" w:eastAsia="仿宋_GB2312" w:cs="仿宋_GB2312"/>
          <w:b w:val="0"/>
          <w:sz w:val="28"/>
        </w:rPr>
        <w:t>表3-7 通道县城区宗地地价临街深度修正系数表</w:t>
      </w:r>
    </w:p>
    <w:tbl>
      <w:tblPr>
        <w:tblStyle w:val="10"/>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31"/>
        <w:gridCol w:w="831"/>
        <w:gridCol w:w="831"/>
        <w:gridCol w:w="831"/>
        <w:gridCol w:w="831"/>
        <w:gridCol w:w="831"/>
        <w:gridCol w:w="831"/>
        <w:gridCol w:w="831"/>
        <w:gridCol w:w="831"/>
        <w:gridCol w:w="831"/>
      </w:tblGrid>
      <w:tr>
        <w:trPr>
          <w:tblHeader w:val="1"/>
          <w:cantSplit/>
        </w:trPr>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深度系数类型</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≤4</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4-6</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6-8</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8-10</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10-12</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12-14</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14-16</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16-18</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18-20</w:t>
            </w:r>
          </w:p>
        </w:tc>
      </w:tr>
      <w:tr>
        <w:trPr>
          <w:cantSplit/>
        </w:trPr>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主干道</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1.596</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1.533</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1.452</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1.376</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1.304</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1.235</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1.17</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1.108</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1</w:t>
            </w:r>
          </w:p>
        </w:tc>
      </w:tr>
      <w:tr>
        <w:trPr>
          <w:cantSplit/>
        </w:trPr>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次干道</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1.558</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1.483</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1.388</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1.3</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1.217</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1.139</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1.067</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1</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w:t>
            </w:r>
          </w:p>
        </w:tc>
      </w:tr>
      <w:tr>
        <w:trPr>
          <w:cantSplit/>
        </w:trPr>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支路</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1.491</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1.396</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1.279</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1.171</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1.073</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1</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w:t>
            </w:r>
          </w:p>
        </w:tc>
      </w:tr>
    </w:tbl>
    <w:p>
      <w:pPr>
        <w:keepNext/>
        <w:spacing w:before="0" w:after="0" w:line="480" w:lineRule="exact"/>
        <w:ind w:firstLine="561"/>
      </w:pPr>
      <w:r>
        <w:rPr>
          <w:rFonts w:ascii="仿宋_GB2312" w:hAnsi="仿宋_GB2312" w:eastAsia="仿宋_GB2312" w:cs="仿宋_GB2312"/>
          <w:b w:val="0"/>
          <w:sz w:val="28"/>
        </w:rPr>
        <w:t>临街宽度修正系数（Kk）的确定</w:t>
      </w:r>
    </w:p>
    <w:p>
      <w:pPr>
        <w:spacing w:before="0" w:after="0" w:line="480" w:lineRule="exact"/>
        <w:ind w:firstLine="561"/>
      </w:pPr>
      <w:r>
        <w:rPr>
          <w:rFonts w:ascii="仿宋_GB2312" w:hAnsi="仿宋_GB2312" w:eastAsia="仿宋_GB2312" w:cs="仿宋_GB2312"/>
          <w:b w:val="0"/>
          <w:sz w:val="28"/>
        </w:rPr>
        <w:t>临街宽度会影响商业服务业用地的展示面、可达性和实际利用价值。本次评估估价对象临街宽度为4米，根据《通道侗族自治县城镇基准地价更新技术报告》（2025年11月）中《通道县城区临街宽度修正系数表》，确定估价对象临街宽度修正系数Kk=1.0000。</w:t>
      </w:r>
    </w:p>
    <w:p>
      <w:pPr>
        <w:keepNext/>
        <w:spacing w:before="157" w:after="10" w:line="480" w:lineRule="exact"/>
        <w:ind w:left="0" w:right="0" w:firstLine="0"/>
        <w:jc w:val="center"/>
      </w:pPr>
      <w:r>
        <w:rPr>
          <w:rFonts w:ascii="仿宋_GB2312" w:hAnsi="仿宋_GB2312" w:eastAsia="仿宋_GB2312" w:cs="仿宋_GB2312"/>
          <w:b w:val="0"/>
          <w:sz w:val="28"/>
        </w:rPr>
        <w:t>表3-8 通道县城区临街宽度修正系数表</w:t>
      </w:r>
    </w:p>
    <w:tbl>
      <w:tblPr>
        <w:tblStyle w:val="10"/>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87"/>
        <w:gridCol w:w="1187"/>
        <w:gridCol w:w="1187"/>
        <w:gridCol w:w="1187"/>
        <w:gridCol w:w="1187"/>
        <w:gridCol w:w="1187"/>
        <w:gridCol w:w="1187"/>
      </w:tblGrid>
      <w:tr>
        <w:trPr>
          <w:tblHeader w:val="1"/>
          <w:cantSplit/>
        </w:trPr>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宗地临街宽度</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≤4</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4-8</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8-12</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12-16</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16-20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&gt;20</w:t>
            </w:r>
          </w:p>
        </w:tc>
      </w:tr>
      <w:tr>
        <w:trPr>
          <w:cantSplit/>
        </w:trPr>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主干道</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1.04</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1.11</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1.15</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1.19</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1.20</w:t>
            </w:r>
          </w:p>
        </w:tc>
      </w:tr>
      <w:tr>
        <w:trPr>
          <w:cantSplit/>
        </w:trPr>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次干道</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1.03</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1.06</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1.10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1.12</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1.15</w:t>
            </w:r>
          </w:p>
        </w:tc>
      </w:tr>
      <w:tr>
        <w:trPr>
          <w:cantSplit/>
        </w:trPr>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支路</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1.02</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1.05</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1.09</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1.11</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1.12</w:t>
            </w:r>
          </w:p>
        </w:tc>
      </w:tr>
    </w:tbl>
    <w:p>
      <w:pPr>
        <w:keepNext/>
        <w:spacing w:before="0" w:after="0" w:line="480" w:lineRule="exact"/>
        <w:ind w:firstLine="561"/>
      </w:pPr>
      <w:r>
        <w:rPr>
          <w:rFonts w:ascii="仿宋_GB2312" w:hAnsi="仿宋_GB2312" w:eastAsia="仿宋_GB2312" w:cs="仿宋_GB2312"/>
          <w:b w:val="0"/>
          <w:sz w:val="28"/>
        </w:rPr>
        <w:t>8、宗地面积修正系数（Ks）的确定</w:t>
      </w:r>
    </w:p>
    <w:p>
      <w:pPr>
        <w:spacing w:before="0" w:after="0" w:line="480" w:lineRule="exact"/>
        <w:ind w:firstLine="561"/>
      </w:pPr>
      <w:r>
        <w:rPr>
          <w:rFonts w:ascii="仿宋_GB2312" w:hAnsi="仿宋_GB2312" w:eastAsia="仿宋_GB2312" w:cs="仿宋_GB2312"/>
          <w:b w:val="0"/>
          <w:sz w:val="28"/>
        </w:rPr>
        <w:t>土地面积对土地的利用有一定影响，过大或者过小均对土地的最佳利用产生不良影响。估价对象宗地面积为80平方米。根据《通道侗族自治县城镇基准地价更新技术报告》（2025年11月），查《宗地面积修正系数表》，得估价对象宗地面积修正系数Ks=1。</w:t>
      </w:r>
    </w:p>
    <w:p>
      <w:pPr>
        <w:keepNext/>
        <w:spacing w:before="157" w:after="10" w:line="480" w:lineRule="exact"/>
        <w:ind w:left="0" w:right="0" w:firstLine="0"/>
        <w:jc w:val="center"/>
      </w:pPr>
      <w:r>
        <w:rPr>
          <w:rFonts w:ascii="仿宋_GB2312" w:hAnsi="仿宋_GB2312" w:eastAsia="仿宋_GB2312" w:cs="仿宋_GB2312"/>
          <w:b w:val="0"/>
          <w:sz w:val="28"/>
        </w:rPr>
        <w:t>表3-8 宗地面积修正系数表</w:t>
      </w:r>
    </w:p>
    <w:tbl>
      <w:tblPr>
        <w:tblStyle w:val="10"/>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87"/>
        <w:gridCol w:w="1187"/>
        <w:gridCol w:w="1187"/>
        <w:gridCol w:w="1187"/>
        <w:gridCol w:w="1187"/>
        <w:gridCol w:w="1187"/>
        <w:gridCol w:w="1187"/>
      </w:tblGrid>
      <w:tr>
        <w:trPr>
          <w:tblHeader w:val="1"/>
          <w:cantSplit/>
        </w:trPr>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用地类型</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项目</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优</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较优</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一般</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较劣</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劣</w:t>
            </w:r>
          </w:p>
        </w:tc>
      </w:tr>
      <w:tr>
        <w:trPr>
          <w:cantSplit/>
        </w:trPr>
        <w:tc>
          <w:tcPr>
            <w:tcW w:type="dxa" w:w="1304"/>
            <w:gridSpan w:val="2"/>
            <w:vAlign w:val="center"/>
          </w:tcPr>
          <w:p>
            <w:pPr>
              <w:spacing w:before="0" w:after="0" w:line="260" w:lineRule="exact"/>
              <w:ind w:left="0" w:right="0" w:firstLine="0"/>
              <w:jc w:val="center"/>
            </w:pPr>
            <w:r>
              <w:rPr>
                <w:rFonts w:ascii="仿宋_GB2312" w:hAnsi="仿宋_GB2312" w:eastAsia="仿宋_GB2312" w:cs="仿宋_GB2312"/>
                <w:b w:val="0"/>
                <w:sz w:val="18"/>
              </w:rPr>
              <w:t>指标说明</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面积适中，有利于宗地利用</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面积较适中，较有利于宗地利用</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面积一般，对宗地利用基本无影响</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面积偏小或偏大，对宗地利用有一定影响</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面积过小或过大，对宗地利用影响明显</w:t>
            </w:r>
          </w:p>
        </w:tc>
      </w:tr>
      <w:tr>
        <w:trPr>
          <w:cantSplit/>
        </w:trPr>
        <w:tc>
          <w:tcPr>
            <w:tcW w:type="dxa" w:w="1304"/>
            <w:vMerge w:val="restart"/>
            <w:vAlign w:val="center"/>
          </w:tcPr>
          <w:p>
            <w:pPr>
              <w:spacing w:before="0" w:after="0" w:line="260" w:lineRule="exact"/>
              <w:ind w:left="0" w:right="0" w:firstLine="0"/>
              <w:jc w:val="center"/>
            </w:pPr>
            <w:r>
              <w:rPr>
                <w:rFonts w:ascii="仿宋_GB2312" w:hAnsi="仿宋_GB2312" w:eastAsia="仿宋_GB2312" w:cs="仿宋_GB2312"/>
                <w:b w:val="0"/>
                <w:sz w:val="18"/>
              </w:rPr>
              <w:t>商业服务业用地</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指标范围</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≥1200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[800,1200)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[500,800)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[200,500)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&lt;200</w:t>
            </w:r>
          </w:p>
        </w:tc>
      </w:tr>
      <w:tr>
        <w:trPr>
          <w:cantSplit/>
        </w:trPr>
        <w:tc>
          <w:tcPr>
            <w:tcW w:type="dxa" w:w="1187"/>
            <w:vMerge/>
          </w:tcP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修正系数</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1.02</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1.01</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0.99</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0.98</w:t>
            </w:r>
          </w:p>
        </w:tc>
      </w:tr>
      <w:tr>
        <w:trPr>
          <w:cantSplit/>
        </w:trPr>
        <w:tc>
          <w:tcPr>
            <w:tcW w:type="dxa" w:w="1304"/>
            <w:vMerge w:val="restart"/>
            <w:vAlign w:val="center"/>
          </w:tcPr>
          <w:p>
            <w:pPr>
              <w:spacing w:before="0" w:after="0" w:line="260" w:lineRule="exact"/>
              <w:ind w:left="0" w:right="0" w:firstLine="0"/>
              <w:jc w:val="center"/>
            </w:pPr>
            <w:r>
              <w:rPr>
                <w:rFonts w:ascii="仿宋_GB2312" w:hAnsi="仿宋_GB2312" w:eastAsia="仿宋_GB2312" w:cs="仿宋_GB2312"/>
                <w:b w:val="0"/>
                <w:sz w:val="18"/>
              </w:rPr>
              <w:t>居住用地</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指标范围</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≥2000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[1500,2000)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[1000,1500)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[500,1000)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&lt;500</w:t>
            </w:r>
          </w:p>
        </w:tc>
      </w:tr>
      <w:tr>
        <w:trPr>
          <w:cantSplit/>
        </w:trPr>
        <w:tc>
          <w:tcPr>
            <w:tcW w:type="dxa" w:w="1187"/>
            <w:vMerge/>
          </w:tcP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修正系数</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1.02</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1.01</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0.99</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0.98</w:t>
            </w:r>
          </w:p>
        </w:tc>
      </w:tr>
      <w:tr>
        <w:trPr>
          <w:cantSplit/>
        </w:trPr>
        <w:tc>
          <w:tcPr>
            <w:tcW w:type="dxa" w:w="1304"/>
            <w:vMerge w:val="restart"/>
            <w:vAlign w:val="center"/>
          </w:tcPr>
          <w:p>
            <w:pPr>
              <w:spacing w:before="0" w:after="0" w:line="260" w:lineRule="exact"/>
              <w:ind w:left="0" w:right="0" w:firstLine="0"/>
              <w:jc w:val="center"/>
            </w:pPr>
            <w:r>
              <w:rPr>
                <w:rFonts w:ascii="仿宋_GB2312" w:hAnsi="仿宋_GB2312" w:eastAsia="仿宋_GB2312" w:cs="仿宋_GB2312"/>
                <w:b w:val="0"/>
                <w:sz w:val="18"/>
              </w:rPr>
              <w:t>工矿用地</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指标范围</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≥9000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[6000,9000)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[4000,6000)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[2000,4000)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&lt;2000</w:t>
            </w:r>
          </w:p>
        </w:tc>
      </w:tr>
      <w:tr>
        <w:trPr>
          <w:cantSplit/>
        </w:trPr>
        <w:tc>
          <w:tcPr>
            <w:tcW w:type="dxa" w:w="1187"/>
            <w:vMerge/>
          </w:tcP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修正系数</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1.02</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1.01</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0.99</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0.98</w:t>
            </w:r>
          </w:p>
        </w:tc>
      </w:tr>
      <w:tr>
        <w:trPr>
          <w:cantSplit/>
        </w:trPr>
        <w:tc>
          <w:tcPr>
            <w:tcW w:type="dxa" w:w="1304"/>
            <w:vMerge w:val="restart"/>
            <w:vAlign w:val="center"/>
          </w:tcPr>
          <w:p>
            <w:pPr>
              <w:spacing w:before="0" w:after="0" w:line="260" w:lineRule="exact"/>
              <w:ind w:left="0" w:right="0" w:firstLine="0"/>
              <w:jc w:val="center"/>
            </w:pPr>
            <w:r>
              <w:rPr>
                <w:rFonts w:ascii="仿宋_GB2312" w:hAnsi="仿宋_GB2312" w:eastAsia="仿宋_GB2312" w:cs="仿宋_GB2312"/>
                <w:b w:val="0"/>
                <w:sz w:val="18"/>
              </w:rPr>
              <w:t>仓储用地</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指标范围</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≥9000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[6000,9000)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[4000,6000)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[2000,4000)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&lt;2000</w:t>
            </w:r>
          </w:p>
        </w:tc>
      </w:tr>
      <w:tr>
        <w:trPr>
          <w:cantSplit/>
        </w:trPr>
        <w:tc>
          <w:tcPr>
            <w:tcW w:type="dxa" w:w="1187"/>
            <w:vMerge/>
          </w:tcP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修正系数</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1.02</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1.01</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0.99</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0.98</w:t>
            </w:r>
          </w:p>
        </w:tc>
      </w:tr>
      <w:tr>
        <w:trPr>
          <w:cantSplit/>
        </w:trPr>
        <w:tc>
          <w:tcPr>
            <w:tcW w:type="dxa" w:w="1304"/>
            <w:vMerge w:val="restart"/>
            <w:vAlign w:val="center"/>
          </w:tcPr>
          <w:p>
            <w:pPr>
              <w:spacing w:before="0" w:after="0" w:line="260" w:lineRule="exact"/>
              <w:ind w:left="0" w:right="0" w:firstLine="0"/>
              <w:jc w:val="center"/>
            </w:pPr>
            <w:r>
              <w:rPr>
                <w:rFonts w:ascii="仿宋_GB2312" w:hAnsi="仿宋_GB2312" w:eastAsia="仿宋_GB2312" w:cs="仿宋_GB2312"/>
                <w:b w:val="0"/>
                <w:sz w:val="18"/>
              </w:rPr>
              <w:t>公共管理与公共服务用地</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指标范围</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≥9000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[6000,9000)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[3000,6000)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[1000,3000)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&lt;1000</w:t>
            </w:r>
          </w:p>
        </w:tc>
      </w:tr>
      <w:tr>
        <w:trPr>
          <w:cantSplit/>
        </w:trPr>
        <w:tc>
          <w:tcPr>
            <w:tcW w:type="dxa" w:w="1187"/>
            <w:vMerge/>
          </w:tcP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修正系数</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1.04</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1.02</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0.98</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0.96</w:t>
            </w:r>
          </w:p>
        </w:tc>
      </w:tr>
      <w:tr>
        <w:trPr>
          <w:cantSplit/>
        </w:trPr>
        <w:tc>
          <w:tcPr>
            <w:tcW w:type="dxa" w:w="1304"/>
            <w:vMerge w:val="restart"/>
            <w:vAlign w:val="center"/>
          </w:tcPr>
          <w:p>
            <w:pPr>
              <w:spacing w:before="0" w:after="0" w:line="260" w:lineRule="exact"/>
              <w:ind w:left="0" w:right="0" w:firstLine="0"/>
              <w:jc w:val="center"/>
            </w:pPr>
            <w:r>
              <w:rPr>
                <w:rFonts w:ascii="仿宋_GB2312" w:hAnsi="仿宋_GB2312" w:eastAsia="仿宋_GB2312" w:cs="仿宋_GB2312"/>
                <w:b w:val="0"/>
                <w:sz w:val="18"/>
              </w:rPr>
              <w:t>公用设施用地</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指标范围</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≥1200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[800,1200)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[500,800)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[200,500)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&lt;200</w:t>
            </w:r>
          </w:p>
        </w:tc>
      </w:tr>
      <w:tr>
        <w:trPr>
          <w:cantSplit/>
        </w:trPr>
        <w:tc>
          <w:tcPr>
            <w:tcW w:type="dxa" w:w="1187"/>
            <w:vMerge/>
          </w:tcP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修正系数</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1.02</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1.01</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0.99</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0.98</w:t>
            </w:r>
          </w:p>
        </w:tc>
      </w:tr>
    </w:tbl>
    <w:p>
      <w:pPr>
        <w:keepNext/>
        <w:spacing w:before="0" w:after="0" w:line="480" w:lineRule="exact"/>
        <w:ind w:firstLine="561"/>
      </w:pPr>
      <w:r>
        <w:rPr>
          <w:rFonts w:ascii="仿宋_GB2312" w:hAnsi="仿宋_GB2312" w:eastAsia="仿宋_GB2312" w:cs="仿宋_GB2312"/>
          <w:b w:val="0"/>
          <w:sz w:val="28"/>
        </w:rPr>
        <w:t>9、宗地形状修正系数（Ka）的确定</w:t>
      </w:r>
    </w:p>
    <w:p>
      <w:pPr>
        <w:spacing w:before="0" w:after="0" w:line="480" w:lineRule="exact"/>
        <w:ind w:firstLine="561"/>
      </w:pPr>
      <w:r>
        <w:rPr>
          <w:rFonts w:ascii="仿宋_GB2312" w:hAnsi="仿宋_GB2312" w:eastAsia="仿宋_GB2312" w:cs="仿宋_GB2312"/>
          <w:b w:val="0"/>
          <w:sz w:val="28"/>
        </w:rPr>
        <w:t>宗地形状对土地利用效率有一定影响。根据估价对象宗地形状条件，结合《通道侗族自治县城镇基准地价更新技术报告》（2025年11月）中《宗地形状修正系数表》，确定估价对象宗地形状优劣度为一般，宗地形状修正系数Ka=1。</w:t>
      </w:r>
    </w:p>
    <w:p>
      <w:pPr>
        <w:keepNext/>
        <w:spacing w:before="157" w:after="10" w:line="480" w:lineRule="exact"/>
        <w:ind w:left="0" w:right="0" w:firstLine="0"/>
        <w:jc w:val="center"/>
      </w:pPr>
      <w:r>
        <w:rPr>
          <w:rFonts w:ascii="仿宋_GB2312" w:hAnsi="仿宋_GB2312" w:eastAsia="仿宋_GB2312" w:cs="仿宋_GB2312"/>
          <w:b w:val="0"/>
          <w:sz w:val="28"/>
        </w:rPr>
        <w:t>表3-9 宗地形状修正系数表</w:t>
      </w:r>
    </w:p>
    <w:tbl>
      <w:tblPr>
        <w:tblStyle w:val="10"/>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84"/>
        <w:gridCol w:w="1384"/>
        <w:gridCol w:w="1384"/>
        <w:gridCol w:w="1384"/>
        <w:gridCol w:w="1384"/>
        <w:gridCol w:w="1384"/>
      </w:tblGrid>
      <w:tr>
        <w:trPr>
          <w:tblHeader w:val="1"/>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指标标准</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优</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较优</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一般</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较劣</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劣</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指标说明</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长方形或正方形</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规则，有利于宗地利用</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基本规则，不影响宗地利用</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不规则，对利用有一定影响</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不规则，对利用有严重影响</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商业服务业用地</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0.98</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居住用地</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0.98</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0.97</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工矿用地</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0.98</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0.97</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仓储用地</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0.98</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0.97</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公共管理与公共服务用地</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0.98</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0.97</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公用设施用地</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0.98</w:t>
            </w:r>
          </w:p>
        </w:tc>
      </w:tr>
    </w:tbl>
    <w:p>
      <w:pPr>
        <w:keepNext/>
        <w:spacing w:before="0" w:after="0" w:line="480" w:lineRule="exact"/>
        <w:ind w:firstLine="561"/>
      </w:pPr>
      <w:r>
        <w:rPr>
          <w:rFonts w:ascii="仿宋_GB2312" w:hAnsi="仿宋_GB2312" w:eastAsia="仿宋_GB2312" w:cs="仿宋_GB2312"/>
          <w:b w:val="0"/>
          <w:sz w:val="28"/>
        </w:rPr>
        <w:t>周边土地利用类型修正系数（Ku）的确定</w:t>
      </w:r>
    </w:p>
    <w:p>
      <w:pPr>
        <w:spacing w:before="0" w:after="0" w:line="480" w:lineRule="exact"/>
        <w:ind w:firstLine="561"/>
      </w:pPr>
      <w:r>
        <w:rPr>
          <w:rFonts w:ascii="仿宋_GB2312" w:hAnsi="仿宋_GB2312" w:eastAsia="仿宋_GB2312" w:cs="仿宋_GB2312"/>
          <w:b w:val="0"/>
          <w:sz w:val="28"/>
        </w:rPr>
        <w:t>商业服务业用地价值还受周边土地利用类型及商业集聚状况影响。本次评估估价对象周边土地利用类型优劣度为一般，根据《通道侗族自治县城镇基准地价更新技术报告》（2025年11月）中《宗地周边土地利用类型修正系数表》，确定周边土地利用类型修正系数Ku=1.0000。</w:t>
      </w:r>
    </w:p>
    <w:p>
      <w:pPr>
        <w:keepNext/>
        <w:spacing w:before="157" w:after="10" w:line="480" w:lineRule="exact"/>
        <w:ind w:left="0" w:right="0" w:firstLine="0"/>
        <w:jc w:val="center"/>
      </w:pPr>
      <w:r>
        <w:rPr>
          <w:rFonts w:ascii="仿宋_GB2312" w:hAnsi="仿宋_GB2312" w:eastAsia="仿宋_GB2312" w:cs="仿宋_GB2312"/>
          <w:b w:val="0"/>
          <w:sz w:val="28"/>
        </w:rPr>
        <w:t>表3-10 宗地周边土地利用类型修正系数表</w:t>
      </w:r>
    </w:p>
    <w:tbl>
      <w:tblPr>
        <w:tblStyle w:val="10"/>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84"/>
        <w:gridCol w:w="1384"/>
        <w:gridCol w:w="1384"/>
        <w:gridCol w:w="1384"/>
        <w:gridCol w:w="1384"/>
        <w:gridCol w:w="1384"/>
      </w:tblGrid>
      <w:tr>
        <w:trPr>
          <w:tblHeader w:val="1"/>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指标标准</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优</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较优</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一般</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较劣</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劣</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指标说明</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商业服务业用地</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商服与公建混合</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商服与居住混合</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居住用地</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其他用地</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修正系数</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0.98</w:t>
            </w:r>
          </w:p>
        </w:tc>
      </w:tr>
    </w:tbl>
    <w:p>
      <w:pPr>
        <w:keepNext/>
        <w:spacing w:before="0" w:after="0" w:line="480" w:lineRule="exact"/>
        <w:ind w:firstLine="561"/>
      </w:pPr>
      <w:r>
        <w:rPr>
          <w:rFonts w:ascii="仿宋_GB2312" w:hAnsi="仿宋_GB2312" w:eastAsia="仿宋_GB2312" w:cs="仿宋_GB2312"/>
          <w:b w:val="0"/>
          <w:sz w:val="28"/>
        </w:rPr>
        <w:t>12、开发程度修正额（Kf）的确定</w:t>
      </w:r>
    </w:p>
    <w:p>
      <w:pPr>
        <w:spacing w:before="0" w:after="0" w:line="480" w:lineRule="exact"/>
        <w:ind w:firstLine="561"/>
      </w:pPr>
      <w:r>
        <w:rPr>
          <w:rFonts w:ascii="仿宋_GB2312" w:hAnsi="仿宋_GB2312" w:eastAsia="仿宋_GB2312" w:cs="仿宋_GB2312"/>
          <w:b w:val="0"/>
          <w:sz w:val="28"/>
        </w:rPr>
        <w:t>本次评估待估宗地设定开发程度与基准地价内涵开发程度一致，故不需进行宗地开发程度修正，即 Kf=0。</w:t>
      </w:r>
    </w:p>
    <w:p>
      <w:pPr>
        <w:keepNext/>
        <w:spacing w:before="0" w:after="0" w:line="480" w:lineRule="exact"/>
        <w:ind w:firstLine="561"/>
      </w:pPr>
      <w:r>
        <w:rPr>
          <w:rFonts w:ascii="仿宋_GB2312" w:hAnsi="仿宋_GB2312" w:eastAsia="仿宋_GB2312" w:cs="仿宋_GB2312"/>
          <w:b w:val="0"/>
          <w:sz w:val="28"/>
        </w:rPr>
        <w:t>13、基准地价系数修正法地价计算</w:t>
      </w:r>
    </w:p>
    <w:p>
      <w:pPr>
        <w:keepLines/>
        <w:spacing w:before="0" w:after="0" w:line="480" w:lineRule="exact"/>
        <w:ind w:firstLine="0" w:left="561" w:right="0"/>
        <w:jc w:val="left"/>
      </w:pPr>
      <w:r>
        <w:rPr>
          <w:rFonts w:ascii="仿宋_GB2312" w:hAnsi="仿宋_GB2312" w:eastAsia="仿宋_GB2312" w:cs="仿宋_GB2312"/>
          <w:b w:val="0"/>
          <w:sz w:val="28"/>
        </w:rPr>
        <w:t>临街商业服务业用地P商=路线价×Ky×Kv×Kt×Ks×Ka×Kc×Kk×Kd×Ku＋Kf=2150×1.0000×1.0000×1.0285×1×1×1.0000×1.0000×1.0000×1.0000+0</w:t>
      </w:r>
    </w:p>
    <w:p>
      <w:pPr>
        <w:keepLines/>
        <w:spacing w:before="0" w:after="0" w:line="480" w:lineRule="exact"/>
        <w:ind w:firstLine="0" w:left="561" w:right="0"/>
        <w:jc w:val="left"/>
      </w:pPr>
      <w:r>
        <w:rPr>
          <w:rFonts w:ascii="仿宋_GB2312" w:hAnsi="仿宋_GB2312" w:eastAsia="仿宋_GB2312" w:cs="仿宋_GB2312"/>
          <w:b w:val="0"/>
          <w:sz w:val="28"/>
        </w:rPr>
        <w:t>=2211.3元/平方米。</w:t>
      </w:r>
    </w:p>
    <w:p>
      <w:pPr>
        <w:keepNext/>
        <w:spacing w:before="0" w:after="0" w:line="480" w:lineRule="exact"/>
        <w:ind w:firstLine="561"/>
      </w:pPr>
      <w:r>
        <w:rPr>
          <w:rFonts w:ascii="仿宋_GB2312" w:hAnsi="仿宋_GB2312" w:eastAsia="仿宋_GB2312" w:cs="仿宋_GB2312"/>
          <w:b/>
          <w:sz w:val="28"/>
        </w:rPr>
        <w:t>★剩余法</w:t>
      </w:r>
    </w:p>
    <w:p>
      <w:pPr>
        <w:spacing w:before="0" w:after="0" w:line="480" w:lineRule="exact"/>
      </w:pPr>
      <w:r>
        <w:rPr>
          <w:rFonts w:ascii="仿宋_GB2312" w:hAnsi="仿宋_GB2312" w:eastAsia="仿宋_GB2312" w:cs="仿宋_GB2312"/>
          <w:sz w:val="28"/>
        </w:rPr>
        <w:t>{{ residual_method_intro }}</w:t>
      </w:r>
    </w:p>
    <w:p>
      <w:pPr>
        <w:spacing w:before="0" w:after="0" w:line="480" w:lineRule="exact"/>
        <w:ind w:left="561" w:firstLine="0"/>
      </w:pPr>
      <w:r>
        <w:rPr>
          <w:rFonts w:ascii="仿宋_GB2312" w:hAnsi="仿宋_GB2312" w:eastAsia="仿宋_GB2312" w:cs="仿宋_GB2312"/>
          <w:sz w:val="28"/>
        </w:rPr>
        <w:t>{{ final_price_determination }}</w:t>
      </w:r>
    </w:p>
    <w:p w14:paraId="32C9FBCE">
      <w:pPr>
        <w:keepNext/>
        <w:spacing w:line="480" w:lineRule="exact" w:before="157" w:after="10"/>
        <w:ind w:left="0" w:right="0" w:firstLine="0"/>
        <w:jc w:val="center"/>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color w:val="000000" w:themeColor="text1"/>
          <w:sz w:val="28"/>
          <w:szCs w:val="28"/>
          <w:highlight w:val="none"/>
          <w:lang w:val="en-US" w:eastAsia="zh-CN"/>
          <w14:textFill>
            <w14:solidFill>
              <w14:schemeClr w14:val="tx1"/>
            </w14:solidFill>
          </w14:textFill>
        </w:rPr>
        <w:t>表3-1 估价对象地价结果表</w:t>
      </w:r>
    </w:p>
    <w:tbl>
      <w:tblPr>
        <w:tblStyle w:val="9"/>
        <w:tblW w:w="502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00"/>
        <w:gridCol w:w="1390"/>
        <w:gridCol w:w="781"/>
        <w:gridCol w:w="1143"/>
        <w:gridCol w:w="778"/>
        <w:gridCol w:w="1214"/>
        <w:gridCol w:w="1546"/>
      </w:tblGrid>
      <w:tr w14:paraId="17FB6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7" w:hRule="atLeast"/>
          <w:jc w:val="center"/>
        </w:trPr>
        <w:tc>
          <w:tcPr>
            <w:tcW w:w="1702" w:type="dxa"/>
            <w:vMerge w:val="restart"/>
            <w:shd w:val="clear" w:color="auto" w:fill="auto"/>
            <w:vAlign w:val="center"/>
          </w:tcPr>
          <w:p w14:paraId="5EFBCB23">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宗地名称</w:t>
            </w:r>
          </w:p>
        </w:tc>
        <w:tc>
          <w:tcPr>
            <w:tcW w:w="2172" w:type="dxa"/>
            <w:gridSpan w:val="2"/>
            <w:shd w:val="clear" w:color="auto" w:fill="auto"/>
            <w:vAlign w:val="center"/>
          </w:tcPr>
          <w:p w14:paraId="7D20C3E2">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成本逼近法</w:t>
            </w:r>
          </w:p>
        </w:tc>
        <w:tc>
          <w:tcPr>
            <w:tcW w:w="1922" w:type="dxa"/>
            <w:gridSpan w:val="2"/>
            <w:shd w:val="clear" w:color="auto" w:fill="auto"/>
            <w:vAlign w:val="center"/>
          </w:tcPr>
          <w:p w14:paraId="33BEEADB">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市场比较法</w:t>
            </w:r>
          </w:p>
        </w:tc>
        <w:tc>
          <w:tcPr>
            <w:tcW w:w="1215" w:type="dxa"/>
            <w:vMerge w:val="restart"/>
            <w:shd w:val="clear" w:color="auto" w:fill="auto"/>
            <w:vAlign w:val="center"/>
          </w:tcPr>
          <w:p w14:paraId="36B704F4">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最终评估地面单价（元/㎡）</w:t>
            </w:r>
          </w:p>
        </w:tc>
        <w:tc>
          <w:tcPr>
            <w:tcW w:w="1547" w:type="dxa"/>
            <w:vMerge w:val="restart"/>
            <w:shd w:val="clear" w:color="auto" w:fill="auto"/>
            <w:vAlign w:val="center"/>
          </w:tcPr>
          <w:p w14:paraId="3FCE9E5E">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总价（万元）</w:t>
            </w:r>
          </w:p>
        </w:tc>
      </w:tr>
      <w:tr w14:paraId="28D2C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7" w:hRule="atLeast"/>
          <w:jc w:val="center"/>
        </w:trPr>
        <w:tc>
          <w:tcPr>
            <w:tcW w:w="1702" w:type="dxa"/>
            <w:vMerge w:val="continue"/>
            <w:shd w:val="clear" w:color="auto" w:fill="auto"/>
            <w:vAlign w:val="center"/>
          </w:tcPr>
          <w:p w14:paraId="5639B7C4">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c>
          <w:tcPr>
            <w:tcW w:w="1391" w:type="dxa"/>
            <w:shd w:val="clear" w:color="auto" w:fill="auto"/>
            <w:vAlign w:val="center"/>
          </w:tcPr>
          <w:p w14:paraId="6F7076F2">
            <w:pPr>
              <w:keepNext w:val="0"/>
              <w:keepLines w:val="0"/>
              <w:suppressLineNumbers w:val="0"/>
              <w:spacing w:before="0" w:beforeAutospacing="0" w:after="0" w:afterAutospacing="0"/>
              <w:ind w:left="0" w:right="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地面单价</w:t>
            </w:r>
          </w:p>
          <w:p w14:paraId="3AB8D74E">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（元/㎡）</w:t>
            </w:r>
          </w:p>
        </w:tc>
        <w:tc>
          <w:tcPr>
            <w:tcW w:w="781" w:type="dxa"/>
            <w:shd w:val="clear" w:color="auto" w:fill="auto"/>
            <w:vAlign w:val="center"/>
          </w:tcPr>
          <w:p w14:paraId="6433603A">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权重</w:t>
            </w:r>
          </w:p>
        </w:tc>
        <w:tc>
          <w:tcPr>
            <w:tcW w:w="1144" w:type="dxa"/>
            <w:shd w:val="clear" w:color="auto" w:fill="auto"/>
            <w:vAlign w:val="center"/>
          </w:tcPr>
          <w:p w14:paraId="4623621D">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地面单价（元/㎡）</w:t>
            </w:r>
          </w:p>
        </w:tc>
        <w:tc>
          <w:tcPr>
            <w:tcW w:w="778" w:type="dxa"/>
            <w:shd w:val="clear" w:color="auto" w:fill="auto"/>
            <w:vAlign w:val="center"/>
          </w:tcPr>
          <w:p w14:paraId="55719BB4">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权重</w:t>
            </w:r>
          </w:p>
        </w:tc>
        <w:tc>
          <w:tcPr>
            <w:tcW w:w="1215" w:type="dxa"/>
            <w:vMerge w:val="continue"/>
            <w:shd w:val="clear" w:color="auto" w:fill="auto"/>
            <w:vAlign w:val="center"/>
          </w:tcPr>
          <w:p w14:paraId="63BB559B">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c>
          <w:tcPr>
            <w:tcW w:w="1547" w:type="dxa"/>
            <w:vMerge w:val="continue"/>
            <w:shd w:val="clear" w:color="auto" w:fill="auto"/>
            <w:vAlign w:val="center"/>
          </w:tcPr>
          <w:p w14:paraId="042D9111">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r>
      <w:tr w14:paraId="75157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4" w:hRule="atLeast"/>
          <w:jc w:val="center"/>
        </w:trPr>
        <w:tc>
          <w:tcPr>
            <w:tcW w:w="1702" w:type="dxa"/>
            <w:shd w:val="clear" w:color="auto" w:fill="auto"/>
            <w:vAlign w:val="center"/>
          </w:tcPr>
          <w:p w14:paraId="23C6A175">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
              <w:rPr>
                <w:rFonts w:ascii="仿宋_GB2312" w:hAnsi="仿宋_GB2312" w:eastAsia="仿宋_GB2312" w:cs="仿宋_GB2312"/>
                <w:color w:val="000000"/>
              </w:rPr>
              <w:t>{{ land_location }}</w:t>
            </w:r>
          </w:p>
        </w:tc>
        <w:tc>
          <w:tcPr>
            <w:tcW w:w="1391" w:type="dxa"/>
            <w:shd w:val="clear" w:color="auto" w:fill="auto"/>
            <w:vAlign w:val="center"/>
          </w:tcPr>
          <w:p w14:paraId="7EDAD7F6">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cost_approx_price }}</w:t>
            </w:r>
          </w:p>
        </w:tc>
        <w:tc>
          <w:tcPr>
            <w:tcW w:w="781" w:type="dxa"/>
            <w:shd w:val="clear" w:color="auto" w:fill="auto"/>
            <w:vAlign w:val="center"/>
          </w:tcPr>
          <w:p w14:paraId="1F76BBC0">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50%</w:t>
            </w:r>
          </w:p>
        </w:tc>
        <w:tc>
          <w:tcPr>
            <w:tcW w:w="1144" w:type="dxa"/>
            <w:shd w:val="clear" w:color="auto" w:fill="auto"/>
            <w:vAlign w:val="center"/>
          </w:tcPr>
          <w:p w14:paraId="0C911FBA">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market_comp_price }}</w:t>
            </w:r>
          </w:p>
        </w:tc>
        <w:tc>
          <w:tcPr>
            <w:tcW w:w="778" w:type="dxa"/>
            <w:shd w:val="clear" w:color="auto" w:fill="auto"/>
            <w:vAlign w:val="center"/>
          </w:tcPr>
          <w:p w14:paraId="458E9F29">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50%</w:t>
            </w:r>
          </w:p>
        </w:tc>
        <w:tc>
          <w:tcPr>
            <w:tcW w:w="1215" w:type="dxa"/>
            <w:shd w:val="clear" w:color="auto" w:fill="auto"/>
            <w:vAlign w:val="center"/>
          </w:tcPr>
          <w:p w14:paraId="4730094C">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final_unit_price }}</w:t>
            </w:r>
          </w:p>
        </w:tc>
        <w:tc>
          <w:tcPr>
            <w:tcW w:w="1547" w:type="dxa"/>
            <w:shd w:val="clear" w:color="auto" w:fill="auto"/>
            <w:vAlign w:val="center"/>
          </w:tcPr>
          <w:p w14:paraId="7DCA2BB8">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final_total_price }}</w:t>
            </w:r>
          </w:p>
        </w:tc>
      </w:tr>
    </w:tbl>
    <w:p w14:paraId="2789BB6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2.确定估价结果</w:t>
      </w:r>
    </w:p>
    <w:p>
      <w:pPr>
        <w:spacing w:before="0" w:after="0" w:line="480" w:lineRule="exact"/>
        <w:ind w:left="561" w:firstLine="0"/>
      </w:pPr>
      <w:r>
        <w:rPr>
          <w:rFonts w:ascii="仿宋_GB2312" w:hAnsi="仿宋_GB2312" w:eastAsia="仿宋_GB2312" w:cs="仿宋_GB2312"/>
          <w:sz w:val="28"/>
        </w:rPr>
        <w:t>{{ valuation_result_statement }}</w:t>
      </w:r>
    </w:p>
    <w:p w14:paraId="0477BC23">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rPr>
          <w:rFonts w:hint="eastAsia" w:ascii="仿宋_GB2312" w:eastAsia="仿宋_GB2312"/>
          <w:color w:val="000000" w:themeColor="text1"/>
          <w:sz w:val="28"/>
          <w:szCs w:val="30"/>
          <w:highlight w:val="none"/>
          <w14:textFill>
            <w14:solidFill>
              <w14:schemeClr w14:val="tx1"/>
            </w14:solidFill>
          </w14:textFill>
        </w:rPr>
      </w:pPr>
      <w:r>
        <w:rPr>
          <w:rFonts w:hint="eastAsia" w:ascii="宋体" w:eastAsia="宋体" w:hAnsi="宋体" w:cs="宋体"/>
          <w:b/>
          <w:bCs/>
          <w:color w:val="000000" w:themeColor="text1"/>
          <w:sz w:val="28"/>
          <w:szCs w:val="30"/>
          <w:highlight w:val="none"/>
          <w14:textFill>
            <w14:solidFill>
              <w14:schemeClr w14:val="tx1"/>
            </w14:solidFill>
          </w14:textFill>
        </w:rPr>
        <w:t>三、估价结果和估价报告的使用</w:t>
      </w:r>
    </w:p>
    <w:p w14:paraId="06B9478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（一）估价的前提条件和假设条件</w:t>
      </w:r>
    </w:p>
    <w:p w14:paraId="3D4A528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1.本次估价中估价对象的土地权属、土地用途、使用权类型、土地面积、土地利用条件等以《关于国有建设用地的规划条件的函》（2025年9月11日）、{{ basis_docs_rendered }}、《{{ county_name }}{{ land_plot_number }}号地块建设用地规划红线图》等有关资料为重要依据，并以以上资料合法、真实、有效为前提条件；</w:t>
      </w:r>
      <w:r>
        <w:rPr>
          <w:rFonts w:ascii="仿宋_GB2312" w:hAnsi="仿宋_GB2312" w:eastAsia="仿宋_GB2312" w:cs="仿宋_GB2312"/>
          <w:sz w:val="28"/>
        </w:rPr>
      </w:r>
    </w:p>
    <w:p w14:paraId="403084A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2.估价对象所处区域的不动产市场在估价期日及之后可预期的一定时期内为公开、平等、自愿、平稳持续发展的客观交易市场；</w:t>
      </w:r>
    </w:p>
    <w:p w14:paraId="3D3A7A2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3.本次评估地价内涵为估价对象在满足地价定义及本次估价的前提和假设条件下，不包括红线范围内其他土地附着物、动产、债权债务、特许经营权等其他财产或权益在内的土地使用权客观市场价格；</w:t>
      </w:r>
    </w:p>
    <w:p w14:paraId="12E99D7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4.估价对象按照《关于国有建设用地的规划条件的函》（2025年9月11日）确定的规划指标开发利用，并能持续产生土地收益；</w:t>
      </w:r>
    </w:p>
    <w:p w14:paraId="06A56B9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color w:val="000000"/>
          <w:sz w:val="28"/>
        </w:rPr>
        <w:t>5.本次评估的价格是指估价对象在公开市场条件下，于估价期日{{ valuation_date }}，评估设定开发程度为宗地红线外围“五通”（即通路、通电、通讯、供水、排水）红线内场地平整，按规划条件设定用途为工业用地，容积率设定为1.5，设定土地使用年期为30年的国有建设用地使用权市场价格。本报告及估价结果基于以上“地价定义”,如果以上“地价定义”中的参数发生变化，则地价有可能改变；</w:t>
      </w:r>
    </w:p>
    <w:p w14:paraId="62FE459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color w:val="000000"/>
          <w:sz w:val="28"/>
        </w:rPr>
        <w:t>6.任何有关估价对象的运作方式及程序符合国家、湖南省、永州市和道县于估价期日{{ valuation_date }}的有关法律法规规章和技术性规范。</w:t>
      </w:r>
    </w:p>
    <w:p w14:paraId="735B211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（二）估价结果与估价报告的使用</w:t>
      </w:r>
    </w:p>
    <w:p w14:paraId="4C2A99D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1.本估价报告和估价结果依据《中华人民共和国土地管理法》《中华人民共和国城市房地产管理法》、自然资源部《城镇土地估价规程》等法律、法规的规定发生法律效力；</w:t>
      </w:r>
    </w:p>
    <w:p w14:paraId="1ABAC3D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本估价报告为委托估价方通过集体决策确定估价对象挂牌出让底价提供国有出让建设用地使用权市场价格参考依据，不能用于除此以外的其他任何经济活动。违背规定或超越本报告特定目的及限制条件使用本估价报告和估价结果而产生的法律责任及经济损失，本估价机构概不负责；</w:t>
      </w:r>
    </w:p>
    <w:p w14:paraId="71D72AC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color w:val="000000"/>
          <w:sz w:val="28"/>
        </w:rPr>
        <w:t>3.本估价报告和估价结果的有效使用期为一年，即{{ report_date }}至{{ report_valid_until }}；</w:t>
      </w:r>
    </w:p>
    <w:p w14:paraId="4EF999A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4.本估价报告和估价结果的使用权归委托估价方所有，{{ appraisal_org }}对估价报告及估价结果拥有解释权。未经本公司书面同意，本估价报告书的全部或部分不得使用于公开的文件、通告或报告中，也不得以任何方式向第三者提供报告全文或其中内容；</w:t>
      </w:r>
    </w:p>
    <w:p w14:paraId="383752D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本报告估价结果，需经两名以上（含两名）土地估价师签名、土地估价机构盖章后方能生效。本报告必须完整使用（尤其是价格）方为有效，对仅使用本报告中的部分内容所导致的可能发生的损失，受托估价机构不承担任何责任。</w:t>
      </w:r>
    </w:p>
    <w:p w14:paraId="2056B6F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本报告及估价结果仅为本报告设定的估价目的服务，当用于其它目的，本报告估价结果无效。本报告必须完整使用，对仅使用报告中的部分内容所导致的有关损失，受托估价机构不承担责任。估价机构不承担违规使用本估价报告和估价结果的法律责任。</w:t>
      </w:r>
    </w:p>
    <w:p w14:paraId="46D825C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（三）需要特殊说明的事项</w:t>
      </w:r>
    </w:p>
    <w:p w14:paraId="69D84F5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1.评估依据资料来源情况说明</w:t>
      </w:r>
    </w:p>
    <w:p w14:paraId="54DD6DD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（1）本估价报告所依据的土地权属、土地用途、使用权类型、土地面积、土地利用条件成果等资料由委托估价双方提供。</w:t>
      </w:r>
    </w:p>
    <w:p w14:paraId="212713E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（2）土地区位条件、地产市场交易资料、土地利用现状照片等相关资料由估价师实地调查取得。</w:t>
      </w:r>
    </w:p>
    <w:p w14:paraId="4CF6803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（3）区域经济发展状况、统计数据、城市规划资料、基准地价资料、估价中的相关参数资料等由{{ appraisal_org }}土地估价师通过查阅政府部门相关文件及公开媒体资讯等途径获取。</w:t>
      </w:r>
    </w:p>
    <w:p w14:paraId="3DCBB9B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（4）{{ appraisal_org }}土地估价师结合执业经验，对上述相关评估资料的真实性、合法性、有效性、适用性进行了尽职核实和专业判断。</w:t>
      </w:r>
    </w:p>
    <w:p w14:paraId="2892C54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（5）委托方对所提供资料的真实性负责，估价机构对所收集资料的真实性、准确性负责。</w:t>
      </w:r>
    </w:p>
    <w:p w14:paraId="192EC35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2.对估价结果和估价工作可能影响的变化事项</w:t>
      </w:r>
    </w:p>
    <w:p w14:paraId="52B9CDC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（1）本次估价所引用的地价指数是根据当地土地管理部门公布的信息和估价对象所在区域土地市场的变化状况编制的；</w:t>
      </w:r>
    </w:p>
    <w:p w14:paraId="0FE626F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本报告结果是在满足地价定义所设定条件下的国有土地使用权价格，所在估价报告有效期内，估价对象的土地利用方式、估价期日、土地开发程度、土地使用年限、土地面积等影响地价的因素发生变化，该估价结果应作相应调整；</w:t>
      </w:r>
    </w:p>
    <w:p w14:paraId="7FAC5E8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（3）本估价报告中的项目开发方式是在满足最有效利用原则下，参照行业通行的做法及结合估价师自身的估价经验确定的，如与以后批准的建筑设计指标有出入而引起地价的变化，土地价格需重新评估。</w:t>
      </w:r>
    </w:p>
    <w:p w14:paraId="5222C71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3.估价对象的特殊性、估价中未考虑的因素及采取的特殊处理</w:t>
      </w:r>
    </w:p>
    <w:p w14:paraId="27A9B3F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（1）我们此次评估以估价对象已完成安置补偿为前提；</w:t>
      </w:r>
    </w:p>
    <w:p w14:paraId="54C8DAF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本报告中数据全部采用计算机连续运算得出，由于在技术报告中的计算方式数据均按四舍五入保留两位小数或取整，因此可能出现个别等式左右两边不完全相等的情况。此为正常情况，不影响计算结果及最终评估结论的准确性；</w:t>
      </w:r>
    </w:p>
    <w:p w14:paraId="7E3CCC8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（3）本报告所示货币种类为人民币。</w:t>
      </w:r>
    </w:p>
    <w:p w14:paraId="66045C6C">
      <w:pPr>
        <w:spacing w:line="460" w:lineRule="exact"/>
        <w:jc w:val="center"/>
        <w:outlineLvl w:val="9"/>
        <w:rPr>
          <w:rFonts w:ascii="宋体" w:hAnsi="宋体" w:cs="仿宋_GB2312"/>
          <w:b/>
          <w:color w:val="000000" w:themeColor="text1"/>
          <w:sz w:val="32"/>
          <w:szCs w:val="32"/>
          <w:highlight w:val="none"/>
          <w14:textFill>
            <w14:solidFill>
              <w14:schemeClr w14:val="tx1"/>
            </w14:solidFill>
          </w14:textFill>
        </w:rPr>
      </w:pPr>
      <w:r>
        <w:rPr>
          <w:rFonts w:hint="eastAsia" w:ascii="仿宋_GB2312" w:eastAsia="仿宋_GB2312"/>
          <w:bCs/>
          <w:color w:val="000000" w:themeColor="text1"/>
          <w:sz w:val="28"/>
          <w:szCs w:val="28"/>
          <w:highlight w:val="none"/>
          <w14:textFill>
            <w14:solidFill>
              <w14:schemeClr w14:val="tx1"/>
            </w14:solidFill>
          </w14:textFill>
        </w:rPr>
        <w:br w:type="page"/>
      </w:r>
    </w:p>
    <w:p w14:paraId="2B74101E">
      <w:pPr>
        <w:pageBreakBefore/>
        <w:tabs>
          <w:tab w:val="left" w:pos="-105"/>
          <w:tab w:val="left" w:pos="735"/>
          <w:tab w:val="left" w:pos="1785"/>
        </w:tabs>
        <w:adjustRightInd w:val="0"/>
        <w:snapToGrid w:val="0"/>
        <w:spacing w:line="560" w:lineRule="exact" w:before="0" w:after="0"/>
        <w:jc w:val="center"/>
        <w:outlineLvl w:val="1"/>
        <w:rPr>
          <w:rFonts w:ascii="宋体" w:hAnsi="宋体" w:cs="仿宋_GB2312"/>
          <w:b/>
          <w:color w:val="000000" w:themeColor="text1"/>
          <w:sz w:val="32"/>
          <w:szCs w:val="32"/>
          <w:highlight w:val="none"/>
          <w14:textFill>
            <w14:solidFill>
              <w14:schemeClr w14:val="tx1"/>
            </w14:solidFill>
          </w14:textFill>
        </w:rPr>
      </w:pPr>
      <w:r>
        <w:rPr>
          <w:rFonts w:hint="eastAsia" w:ascii="宋体" w:hAnsi="宋体" w:cs="宋体" w:eastAsia="宋体"/>
          <w:b/>
          <w:color w:val="000000" w:themeColor="text1"/>
          <w:sz w:val="32"/>
          <w:szCs w:val="32"/>
          <w:highlight w:val="none"/>
          <w14:textFill>
            <w14:solidFill>
              <w14:schemeClr w14:val="tx1"/>
            </w14:solidFill>
          </w14:textFill>
        </w:rPr>
        <w:t>第四部分    附   件</w:t>
      </w:r>
    </w:p>
    <w:p w14:paraId="033B851C">
      <w:pPr>
        <w:tabs>
          <w:tab w:val="left" w:pos="-105"/>
          <w:tab w:val="left" w:pos="735"/>
          <w:tab w:val="left" w:pos="1785"/>
        </w:tabs>
        <w:adjustRightInd w:val="0"/>
        <w:snapToGrid w:val="0"/>
        <w:spacing w:line="400" w:lineRule="exact"/>
        <w:rPr>
          <w:rFonts w:ascii="宋体" w:hAnsi="宋体" w:cs="仿宋_GB2312"/>
          <w:b/>
          <w:color w:val="000000" w:themeColor="text1"/>
          <w:sz w:val="32"/>
          <w:szCs w:val="32"/>
          <w:highlight w:val="none"/>
          <w14:textFill>
            <w14:solidFill>
              <w14:schemeClr w14:val="tx1"/>
            </w14:solidFill>
          </w14:textFill>
        </w:rPr>
      </w:pPr>
      <w:r>
        <w:rPr>
          <w:rFonts w:hint="eastAsia" w:ascii="宋体" w:hAnsi="宋体" w:cs="仿宋_GB2312"/>
          <w:b/>
          <w:color w:val="000000" w:themeColor="text1"/>
          <w:sz w:val="32"/>
          <w:szCs w:val="32"/>
          <w:highlight w:val="none"/>
          <w14:textFill>
            <w14:solidFill>
              <w14:schemeClr w14:val="tx1"/>
            </w14:solidFill>
          </w14:textFill>
        </w:rPr>
        <w:t xml:space="preserve"> </w:t>
      </w:r>
    </w:p>
    <w:p w14:paraId="156F5CA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1.《评估委托书》；</w:t>
      </w:r>
    </w:p>
    <w:p w14:paraId="461A8B9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2.委托方《统一社会信用代码证书》复印件；</w:t>
      </w:r>
    </w:p>
    <w:p w14:paraId="2322AFC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3.{{ basis_docs_rendered }}；</w:t>
      </w:r>
    </w:p>
    <w:p w14:paraId="2B50694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4.《关于国有建设用地的规划条件的函》（2025年9月11日）；</w:t>
      </w:r>
    </w:p>
    <w:p w14:paraId="0AFEE75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5.《{{ county_name }}{{ land_plot_number }}号地块建设用地规划红线图》；</w:t>
      </w:r>
      <w:r>
        <w:rPr>
          <w:rFonts w:ascii="仿宋_GB2312" w:hAnsi="仿宋_GB2312" w:eastAsia="仿宋_GB2312" w:cs="仿宋_GB2312"/>
          <w:color w:val="000000"/>
          <w:sz w:val="28"/>
        </w:rPr>
      </w:r>
    </w:p>
    <w:p w14:paraId="529FDBD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6.估价对象宗地区域位置示意图；</w:t>
      </w:r>
    </w:p>
    <w:p w14:paraId="6FD37B7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7.现场勘查照片；</w:t>
      </w:r>
    </w:p>
    <w:p w14:paraId="2136C5E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8.现场勘查记录表；</w:t>
      </w:r>
    </w:p>
    <w:p w14:paraId="4BB9C2F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9.土地评估中介机构企业营业执照；</w:t>
      </w:r>
    </w:p>
    <w:p w14:paraId="1A4502A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10.土地评估中介机构备案证明；</w:t>
      </w:r>
    </w:p>
    <w:p w14:paraId="4FDC97A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11.土地估价师资质证书。</w:t>
      </w:r>
    </w:p>
    <w:p w14:paraId="2AD428B8">
      <w:pPr>
        <w:pStyle w:val="2"/>
        <w:spacing w:before="0" w:after="0" w:line="480" w:lineRule="exact"/>
        <w:ind w:left="0" w:leftChars="0" w:firstLine="5320" w:firstLineChars="1900"/>
        <w:rPr>
          <w:color w:val="000000" w:themeColor="text1"/>
          <w:highlight w:val="none"/>
          <w14:textFill>
            <w14:solidFill>
              <w14:schemeClr w14:val="tx1"/>
            </w14:solidFill>
          </w14:textFill>
        </w:rPr>
      </w:pPr>
      <w:r>
        <w:rPr>
          <w:rFonts w:hint="eastAsia" w:ascii="仿宋_GB2312" w:eastAsia="仿宋_GB2312" w:hAnsi="仿宋_GB2312" w:cs="仿宋_GB2312"/>
          <w:color w:val="000000" w:themeColor="text1"/>
          <w:sz w:val="28"/>
          <w:szCs w:val="28"/>
          <w:highlight w:val="none"/>
          <w14:textFill>
            <w14:solidFill>
              <w14:schemeClr w14:val="tx1"/>
            </w14:solidFill>
          </w14:textFill>
        </w:rPr>
        <w:t>（以上资料均为复印件）</w:t>
      </w:r>
    </w:p>
    <w:p w14:paraId="52219999">
      <w:pPr>
        <w:spacing w:line="520" w:lineRule="exact"/>
        <w:jc w:val="center"/>
        <w:outlineLvl w:val="9"/>
        <w:rPr>
          <w:rFonts w:hint="eastAsia" w:ascii="宋体" w:hAnsi="宋体"/>
          <w:b/>
          <w:color w:val="000000" w:themeColor="text1"/>
          <w:sz w:val="44"/>
          <w:szCs w:val="44"/>
          <w:highlight w:val="none"/>
          <w14:textFill>
            <w14:solidFill>
              <w14:schemeClr w14:val="tx1"/>
            </w14:solidFill>
          </w14:textFill>
        </w:rPr>
        <w:sectPr>
          <w:headerReference r:id="rId17" w:type="default"/>
          <w:footerReference r:id="rId18" w:type="default"/>
          <w:endnotePr>
            <w:numFmt w:val="decimal"/>
          </w:endnotePr>
          <w:pgSz w:w="11906" w:h="16838"/>
          <w:pgMar w:top="1440" w:right="1803" w:bottom="1440" w:left="1803" w:header="851" w:footer="992" w:gutter="0"/>
          <w:pgNumType w:fmt="decimal"/>
          <w:cols w:space="720" w:num="1"/>
          <w:docGrid w:linePitch="312" w:charSpace="0"/>
        </w:sectPr>
      </w:pPr>
    </w:p>
    <w:p w14:paraId="06EECCE1">
      <w:pPr>
        <w:pStyle w:val="2"/>
        <w:rPr>
          <w:rFonts w:hint="eastAsia"/>
          <w:color w:val="000000" w:themeColor="text1"/>
          <w:highlight w:val="none"/>
          <w14:textFill>
            <w14:solidFill>
              <w14:schemeClr w14:val="tx1"/>
            </w14:solidFill>
          </w14:textFill>
        </w:rPr>
      </w:pPr>
    </w:p>
    <w:p w14:paraId="4972A347">
      <w:pPr>
        <w:spacing w:line="560" w:lineRule="exact" w:before="0" w:after="0"/>
        <w:jc w:val="center"/>
        <w:rPr>
          <w:rFonts w:ascii="宋体" w:hAnsi="宋体"/>
          <w:b/>
          <w:color w:val="000000" w:themeColor="text1"/>
          <w:sz w:val="44"/>
          <w:szCs w:val="44"/>
          <w:highlight w:val="none"/>
          <w14:textFill>
            <w14:solidFill>
              <w14:schemeClr w14:val="tx1"/>
            </w14:solidFill>
          </w14:textFill>
        </w:rPr>
      </w:pPr>
      <w:r>
        <w:rPr>
          <w:rFonts w:hint="eastAsia" w:ascii="宋体" w:hAnsi="宋体" w:eastAsia="宋体" w:cs="宋体"/>
          <w:b/>
          <w:color w:val="000000" w:themeColor="text1"/>
          <w:sz w:val="44"/>
          <w:szCs w:val="44"/>
          <w:highlight w:val="none"/>
          <w14:textFill>
            <w14:solidFill>
              <w14:schemeClr w14:val="tx1"/>
            </w14:solidFill>
          </w14:textFill>
        </w:rPr>
        <w:t>土地估价技术报告</w:t>
      </w:r>
    </w:p>
    <w:p w14:paraId="11F8E308">
      <w:pPr>
        <w:spacing w:line="480" w:lineRule="exact" w:before="0" w:after="0"/>
        <w:jc w:val="center"/>
        <w:rPr>
          <w:rFonts w:ascii="仿宋_GB2312" w:eastAsia="仿宋_GB2312"/>
          <w:color w:val="000000" w:themeColor="text1"/>
          <w:sz w:val="32"/>
          <w:highlight w:val="none"/>
          <w14:textFill>
            <w14:solidFill>
              <w14:schemeClr w14:val="tx1"/>
            </w14:solidFill>
          </w14:textFill>
        </w:rPr>
      </w:pPr>
      <w:r>
        <w:rPr>
          <w:rFonts w:hint="eastAsia" w:ascii="仿宋_GB2312" w:hAnsi="仿宋_GB2312" w:eastAsia="仿宋_GB2312" w:cs="仿宋_GB2312"/>
          <w:b/>
          <w:color w:val="000000" w:themeColor="text1"/>
          <w:sz w:val="28"/>
          <w:szCs w:val="44"/>
          <w:highlight w:val="none"/>
          <w14:textFill>
            <w14:solidFill>
              <w14:schemeClr w14:val="tx1"/>
            </w14:solidFill>
          </w14:textFill>
        </w:rPr>
        <w:t>（评估工作底稿）</w:t>
      </w:r>
    </w:p>
    <w:tbl>
      <w:tblPr>
        <w:tblStyle w:val="9"/>
        <w:tblW w:w="0" w:type="auto"/>
        <w:jc w:val="center"/>
        <w:tblLayout w:type="fixed"/>
        <w:tblCellMar>
          <w:top w:w="0" w:type="dxa"/>
          <w:left w:w="108" w:type="dxa"/>
          <w:bottom w:w="0" w:type="dxa"/>
          <w:right w:w="108" w:type="dxa"/>
        </w:tblCellMar>
      </w:tblPr>
      <w:tblGrid>
        <w:gridCol w:w="3686"/>
        <w:gridCol w:w="5729"/>
      </w:tblGrid>
      <w:tr w14:paraId="0EDE72EF">
        <w:tblPrEx>
          <w:tblCellMar>
            <w:top w:w="0" w:type="dxa"/>
            <w:left w:w="108" w:type="dxa"/>
            <w:bottom w:w="0" w:type="dxa"/>
            <w:right w:w="108" w:type="dxa"/>
          </w:tblCellMar>
        </w:tblPrEx>
        <w:trPr>
          <w:trHeight w:val="1134" w:hRule="atLeast"/>
          <w:jc w:val="center"/>
        </w:trPr>
        <w:tc>
          <w:tcPr>
            <w:tcW w:w="3686" w:type="dxa"/>
            <w:vAlign w:val="center"/>
          </w:tcPr>
          <w:p w14:paraId="7A890EB2">
            <w:pPr>
              <w:pStyle w:val="6"/>
              <w:keepNext w:val="0"/>
              <w:keepLines w:val="0"/>
              <w:suppressLineNumbers w:val="0"/>
              <w:tabs>
                <w:tab w:val="left" w:pos="468"/>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项</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目</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名</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称：</w:t>
            </w:r>
          </w:p>
        </w:tc>
        <w:tc>
          <w:tcPr>
            <w:tcW w:w="5729" w:type="dxa"/>
            <w:vAlign w:val="center"/>
          </w:tcPr>
          <w:p w14:paraId="2B726D3A">
            <w:pPr>
              <w:pStyle w:val="6"/>
              <w:keepNext w:val="0"/>
              <w:keepLines w:val="0"/>
              <w:suppressLineNumbers w:val="0"/>
              <w:tabs>
                <w:tab w:val="left" w:pos="0"/>
                <w:tab w:val="left" w:pos="2340"/>
                <w:tab w:val="left" w:pos="3360"/>
              </w:tabs>
              <w:adjustRightInd w:val="0"/>
              <w:snapToGrid w:val="0"/>
              <w:spacing w:before="0" w:beforeAutospacing="0" w:after="0" w:afterAutospacing="0" w:line="0" w:lineRule="atLeast"/>
              <w:ind w:left="2" w:right="0" w:hanging="2"/>
              <w:rPr>
                <w:rFonts w:ascii="楷体" w:hAnsi="楷体" w:eastAsia="楷体"/>
                <w:color w:val="000000" w:themeColor="text1"/>
                <w:spacing w:val="14"/>
                <w:sz w:val="32"/>
                <w:szCs w:val="32"/>
                <w:highlight w:val="none"/>
                <w14:textFill>
                  <w14:solidFill>
                    <w14:schemeClr w14:val="tx1"/>
                  </w14:solidFill>
                </w14:textFill>
              </w:rPr>
            </w:pPr>
            <w:r>
              <w:rPr>
                <w:rFonts w:ascii="仿宋_GB2312" w:hAnsi="仿宋_GB2312" w:eastAsia="仿宋_GB2312" w:cs="仿宋_GB2312"/>
              </w:rPr>
              <w:t>{{ project_name }}（{{ county_name }}）</w:t>
            </w:r>
          </w:p>
        </w:tc>
      </w:tr>
      <w:tr w14:paraId="00AF4FCE">
        <w:tblPrEx>
          <w:tblCellMar>
            <w:top w:w="0" w:type="dxa"/>
            <w:left w:w="108" w:type="dxa"/>
            <w:bottom w:w="0" w:type="dxa"/>
            <w:right w:w="108" w:type="dxa"/>
          </w:tblCellMar>
        </w:tblPrEx>
        <w:trPr>
          <w:trHeight w:val="1134" w:hRule="atLeast"/>
          <w:jc w:val="center"/>
        </w:trPr>
        <w:tc>
          <w:tcPr>
            <w:tcW w:w="3686" w:type="dxa"/>
            <w:vAlign w:val="center"/>
          </w:tcPr>
          <w:p w14:paraId="23D5F873">
            <w:pPr>
              <w:pStyle w:val="6"/>
              <w:keepNext w:val="0"/>
              <w:keepLines w:val="0"/>
              <w:suppressLineNumbers w:val="0"/>
              <w:tabs>
                <w:tab w:val="left" w:pos="468"/>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受托估价单位：</w:t>
            </w:r>
          </w:p>
        </w:tc>
        <w:tc>
          <w:tcPr>
            <w:tcW w:w="5729" w:type="dxa"/>
            <w:vAlign w:val="center"/>
          </w:tcPr>
          <w:p w14:paraId="6BC75290">
            <w:pPr>
              <w:pStyle w:val="6"/>
              <w:keepNext w:val="0"/>
              <w:keepLines w:val="0"/>
              <w:suppressLineNumbers w:val="0"/>
              <w:tabs>
                <w:tab w:val="left" w:pos="0"/>
                <w:tab w:val="left" w:pos="2340"/>
              </w:tabs>
              <w:adjustRightInd w:val="0"/>
              <w:snapToGrid w:val="0"/>
              <w:spacing w:before="0" w:beforeAutospacing="0" w:after="0" w:afterAutospacing="0" w:line="0" w:lineRule="atLeast"/>
              <w:ind w:left="-10" w:leftChars="-5" w:right="0"/>
              <w:jc w:val="both"/>
              <w:rPr>
                <w:rFonts w:hint="eastAsia" w:ascii="楷体" w:hAnsi="楷体" w:eastAsia="楷体"/>
                <w:color w:val="000000" w:themeColor="text1"/>
                <w:spacing w:val="14"/>
                <w:sz w:val="32"/>
                <w:szCs w:val="32"/>
                <w:highlight w:val="none"/>
                <w:lang w:eastAsia="zh-CN"/>
                <w14:textFill>
                  <w14:solidFill>
                    <w14:schemeClr w14:val="tx1"/>
                  </w14:solidFill>
                </w14:textFill>
              </w:rPr>
            </w:pPr>
            <w:r/>
            <w:r>
              <w:rPr>
                <w:rFonts w:ascii="仿宋_GB2312" w:hAnsi="仿宋_GB2312" w:eastAsia="仿宋_GB2312" w:cs="仿宋_GB2312"/>
                <w:color w:val="000000"/>
                <w:sz w:val="32"/>
              </w:rPr>
              <w:t>{{ appraisal_org }}</w:t>
            </w:r>
          </w:p>
        </w:tc>
      </w:tr>
      <w:tr w14:paraId="459EF903">
        <w:tblPrEx>
          <w:tblCellMar>
            <w:top w:w="0" w:type="dxa"/>
            <w:left w:w="108" w:type="dxa"/>
            <w:bottom w:w="0" w:type="dxa"/>
            <w:right w:w="108" w:type="dxa"/>
          </w:tblCellMar>
        </w:tblPrEx>
        <w:trPr>
          <w:trHeight w:val="1134" w:hRule="atLeast"/>
          <w:jc w:val="center"/>
        </w:trPr>
        <w:tc>
          <w:tcPr>
            <w:tcW w:w="3686" w:type="dxa"/>
            <w:vAlign w:val="center"/>
          </w:tcPr>
          <w:p w14:paraId="443674ED">
            <w:pPr>
              <w:pStyle w:val="6"/>
              <w:keepNext w:val="0"/>
              <w:keepLines w:val="0"/>
              <w:suppressLineNumbers w:val="0"/>
              <w:tabs>
                <w:tab w:val="left" w:pos="2235"/>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土地估价报告编号：</w:t>
            </w:r>
          </w:p>
        </w:tc>
        <w:tc>
          <w:tcPr>
            <w:tcW w:w="5729" w:type="dxa"/>
            <w:vAlign w:val="center"/>
          </w:tcPr>
          <w:p w14:paraId="093BD832">
            <w:pPr>
              <w:pStyle w:val="6"/>
              <w:keepNext w:val="0"/>
              <w:keepLines w:val="0"/>
              <w:suppressLineNumbers w:val="0"/>
              <w:tabs>
                <w:tab w:val="left" w:pos="0"/>
                <w:tab w:val="left" w:pos="2340"/>
              </w:tabs>
              <w:adjustRightInd w:val="0"/>
              <w:snapToGrid w:val="0"/>
              <w:spacing w:before="0" w:beforeAutospacing="0" w:after="0" w:afterAutospacing="0" w:line="0" w:lineRule="atLeast"/>
              <w:ind w:left="0" w:leftChars="0" w:right="0" w:firstLine="0" w:firstLineChars="0"/>
              <w:jc w:val="both"/>
              <w:rPr>
                <w:rFonts w:hint="eastAsia" w:ascii="楷体" w:hAnsi="楷体" w:eastAsia="楷体"/>
                <w:color w:val="000000" w:themeColor="text1"/>
                <w:spacing w:val="14"/>
                <w:sz w:val="32"/>
                <w:szCs w:val="32"/>
                <w:highlight w:val="none"/>
                <w:lang w:eastAsia="zh-CN"/>
                <w14:textFill>
                  <w14:solidFill>
                    <w14:schemeClr w14:val="tx1"/>
                  </w14:solidFill>
                </w14:textFill>
              </w:rPr>
            </w:pPr>
            <w:r>
              <w:rPr>
                <w:rFonts w:ascii="仿宋_GB2312" w:hAnsi="仿宋_GB2312" w:eastAsia="仿宋_GB2312" w:cs="仿宋_GB2312"/>
              </w:rPr>
              <w:t>{{ report_no }}</w:t>
            </w:r>
          </w:p>
        </w:tc>
      </w:tr>
      <w:tr w14:paraId="6493152D">
        <w:tblPrEx>
          <w:tblCellMar>
            <w:top w:w="0" w:type="dxa"/>
            <w:left w:w="108" w:type="dxa"/>
            <w:bottom w:w="0" w:type="dxa"/>
            <w:right w:w="108" w:type="dxa"/>
          </w:tblCellMar>
        </w:tblPrEx>
        <w:trPr>
          <w:trHeight w:val="1303" w:hRule="atLeast"/>
          <w:jc w:val="center"/>
        </w:trPr>
        <w:tc>
          <w:tcPr>
            <w:tcW w:w="3686" w:type="dxa"/>
            <w:vAlign w:val="center"/>
          </w:tcPr>
          <w:p w14:paraId="41C71B30">
            <w:pPr>
              <w:pStyle w:val="6"/>
              <w:keepNext w:val="0"/>
              <w:keepLines w:val="0"/>
              <w:suppressLineNumbers w:val="0"/>
              <w:tabs>
                <w:tab w:val="left" w:pos="2235"/>
                <w:tab w:val="left" w:pos="2340"/>
              </w:tabs>
              <w:adjustRightInd w:val="0"/>
              <w:snapToGrid w:val="0"/>
              <w:spacing w:before="0" w:beforeAutospacing="0" w:after="0" w:afterAutospacing="0" w:line="0" w:lineRule="atLeast"/>
              <w:ind w:left="0" w:right="-78" w:rightChars="-37"/>
              <w:jc w:val="distribute"/>
              <w:rPr>
                <w:rFonts w:ascii="楷体" w:hAnsi="楷体" w:eastAsia="楷体"/>
                <w:b/>
                <w:bCs/>
                <w:color w:val="000000" w:themeColor="text1"/>
                <w:spacing w:val="14"/>
                <w:sz w:val="32"/>
                <w:szCs w:val="32"/>
                <w:highlight w:val="none"/>
                <w14:textFill>
                  <w14:solidFill>
                    <w14:schemeClr w14:val="tx1"/>
                  </w14:solidFill>
                </w14:textFill>
              </w:rPr>
            </w:pPr>
            <w:r>
              <w:rPr>
                <w:rFonts w:hint="eastAsia" w:ascii="楷体" w:hAnsi="楷体" w:eastAsia="楷体"/>
                <w:b/>
                <w:bCs/>
                <w:color w:val="000000" w:themeColor="text1"/>
                <w:spacing w:val="14"/>
                <w:sz w:val="32"/>
                <w:szCs w:val="32"/>
                <w:highlight w:val="none"/>
                <w14:textFill>
                  <w14:solidFill>
                    <w14:schemeClr w14:val="tx1"/>
                  </w14:solidFill>
                </w14:textFill>
              </w:rPr>
              <w:t>土地</w:t>
            </w:r>
            <w:r>
              <w:rPr>
                <w:rFonts w:ascii="楷体" w:hAnsi="楷体" w:eastAsia="楷体"/>
                <w:b/>
                <w:bCs/>
                <w:color w:val="000000" w:themeColor="text1"/>
                <w:spacing w:val="14"/>
                <w:sz w:val="32"/>
                <w:szCs w:val="32"/>
                <w:highlight w:val="none"/>
                <w14:textFill>
                  <w14:solidFill>
                    <w14:schemeClr w14:val="tx1"/>
                  </w14:solidFill>
                </w14:textFill>
              </w:rPr>
              <w:t>估价技术报告</w:t>
            </w:r>
          </w:p>
          <w:p w14:paraId="02A01E41">
            <w:pPr>
              <w:pStyle w:val="6"/>
              <w:keepNext w:val="0"/>
              <w:keepLines w:val="0"/>
              <w:suppressLineNumbers w:val="0"/>
              <w:tabs>
                <w:tab w:val="left" w:pos="2235"/>
                <w:tab w:val="left" w:pos="2340"/>
              </w:tabs>
              <w:adjustRightInd w:val="0"/>
              <w:snapToGrid w:val="0"/>
              <w:spacing w:before="0" w:beforeAutospacing="0" w:after="0" w:afterAutospacing="0" w:line="0" w:lineRule="atLeast"/>
              <w:ind w:left="0" w:right="-78" w:rightChars="-37"/>
              <w:jc w:val="distribute"/>
              <w:rPr>
                <w:rFonts w:ascii="楷体" w:hAnsi="楷体" w:eastAsia="楷体"/>
                <w:b/>
                <w:bCs/>
                <w:color w:val="000000" w:themeColor="text1"/>
                <w:spacing w:val="14"/>
                <w:sz w:val="32"/>
                <w:szCs w:val="32"/>
                <w:highlight w:val="none"/>
                <w14:textFill>
                  <w14:solidFill>
                    <w14:schemeClr w14:val="tx1"/>
                  </w14:solidFill>
                </w14:textFill>
              </w:rPr>
            </w:pPr>
            <w:r>
              <w:rPr>
                <w:rFonts w:hint="eastAsia" w:ascii="楷体" w:hAnsi="楷体" w:eastAsia="楷体"/>
                <w:b/>
                <w:bCs/>
                <w:color w:val="000000" w:themeColor="text1"/>
                <w:spacing w:val="14"/>
                <w:sz w:val="32"/>
                <w:szCs w:val="32"/>
                <w:highlight w:val="none"/>
                <w14:textFill>
                  <w14:solidFill>
                    <w14:schemeClr w14:val="tx1"/>
                  </w14:solidFill>
                </w14:textFill>
              </w:rPr>
              <w:t>（评估工作</w:t>
            </w:r>
            <w:r>
              <w:rPr>
                <w:rFonts w:ascii="楷体" w:hAnsi="楷体" w:eastAsia="楷体"/>
                <w:b/>
                <w:bCs/>
                <w:color w:val="000000" w:themeColor="text1"/>
                <w:spacing w:val="14"/>
                <w:sz w:val="32"/>
                <w:szCs w:val="32"/>
                <w:highlight w:val="none"/>
                <w14:textFill>
                  <w14:solidFill>
                    <w14:schemeClr w14:val="tx1"/>
                  </w14:solidFill>
                </w14:textFill>
              </w:rPr>
              <w:t>底稿）编号：</w:t>
            </w:r>
          </w:p>
        </w:tc>
        <w:tc>
          <w:tcPr>
            <w:tcW w:w="5729" w:type="dxa"/>
            <w:vAlign w:val="center"/>
          </w:tcPr>
          <w:p w14:paraId="7443F6D1">
            <w:pPr>
              <w:pStyle w:val="6"/>
              <w:keepNext w:val="0"/>
              <w:keepLines w:val="0"/>
              <w:suppressLineNumbers w:val="0"/>
              <w:tabs>
                <w:tab w:val="left" w:pos="0"/>
                <w:tab w:val="left" w:pos="2235"/>
                <w:tab w:val="left" w:pos="2340"/>
              </w:tabs>
              <w:adjustRightInd w:val="0"/>
              <w:snapToGrid w:val="0"/>
              <w:spacing w:before="0" w:beforeAutospacing="0" w:after="0" w:afterAutospacing="0" w:line="0" w:lineRule="atLeast"/>
              <w:ind w:left="0" w:right="-78" w:rightChars="-37"/>
              <w:jc w:val="both"/>
              <w:rPr>
                <w:rFonts w:hint="eastAsia" w:ascii="楷体" w:hAnsi="楷体" w:eastAsia="楷体"/>
                <w:color w:val="000000" w:themeColor="text1"/>
                <w:spacing w:val="14"/>
                <w:sz w:val="32"/>
                <w:szCs w:val="32"/>
                <w:highlight w:val="none"/>
                <w:lang w:eastAsia="zh-CN"/>
                <w14:textFill>
                  <w14:solidFill>
                    <w14:schemeClr w14:val="tx1"/>
                  </w14:solidFill>
                </w14:textFill>
              </w:rPr>
            </w:pPr>
            <w:r>
              <w:rPr>
                <w:rFonts w:ascii="仿宋_GB2312" w:hAnsi="仿宋_GB2312" w:eastAsia="仿宋_GB2312" w:cs="仿宋_GB2312"/>
              </w:rPr>
              <w:t>{{ technical_report_no }}</w:t>
            </w:r>
          </w:p>
        </w:tc>
      </w:tr>
      <w:tr w14:paraId="273DE4B2">
        <w:tblPrEx>
          <w:tblCellMar>
            <w:top w:w="0" w:type="dxa"/>
            <w:left w:w="108" w:type="dxa"/>
            <w:bottom w:w="0" w:type="dxa"/>
            <w:right w:w="108" w:type="dxa"/>
          </w:tblCellMar>
        </w:tblPrEx>
        <w:trPr>
          <w:trHeight w:val="1303" w:hRule="atLeast"/>
          <w:jc w:val="center"/>
        </w:trPr>
        <w:tc>
          <w:tcPr>
            <w:tcW w:w="3686" w:type="dxa"/>
            <w:vAlign w:val="center"/>
          </w:tcPr>
          <w:p w14:paraId="417DE6E6">
            <w:pPr>
              <w:pStyle w:val="6"/>
              <w:keepNext w:val="0"/>
              <w:keepLines w:val="0"/>
              <w:suppressLineNumbers w:val="0"/>
              <w:tabs>
                <w:tab w:val="left" w:pos="2235"/>
                <w:tab w:val="left" w:pos="2340"/>
              </w:tabs>
              <w:adjustRightInd w:val="0"/>
              <w:snapToGrid w:val="0"/>
              <w:spacing w:before="0" w:beforeAutospacing="0" w:after="0" w:afterAutospacing="0" w:line="0" w:lineRule="atLeast"/>
              <w:ind w:left="0" w:right="-78" w:rightChars="-37"/>
              <w:jc w:val="left"/>
              <w:rPr>
                <w:rFonts w:hint="eastAsia" w:ascii="楷体" w:hAnsi="楷体" w:eastAsia="楷体"/>
                <w:b/>
                <w:bCs/>
                <w:color w:val="000000" w:themeColor="text1"/>
                <w:spacing w:val="14"/>
                <w:sz w:val="32"/>
                <w:szCs w:val="32"/>
                <w:highlight w:val="none"/>
                <w14:textFill>
                  <w14:solidFill>
                    <w14:schemeClr w14:val="tx1"/>
                  </w14:solidFill>
                </w14:textFill>
              </w:rPr>
            </w:pPr>
            <w:r>
              <w:rPr>
                <w:rFonts w:hint="eastAsia" w:ascii="楷体" w:hAnsi="楷体" w:eastAsia="楷体"/>
                <w:b/>
                <w:bCs/>
                <w:color w:val="000000" w:themeColor="text1"/>
                <w:spacing w:val="14"/>
                <w:sz w:val="32"/>
                <w:szCs w:val="32"/>
                <w:highlight w:val="none"/>
                <w14:textFill>
                  <w14:solidFill>
                    <w14:schemeClr w14:val="tx1"/>
                  </w14:solidFill>
                </w14:textFill>
              </w:rPr>
              <w:t>电 子 备 案 编 号：</w:t>
            </w:r>
          </w:p>
        </w:tc>
        <w:tc>
          <w:tcPr>
            <w:tcW w:w="5729" w:type="dxa"/>
            <w:vAlign w:val="center"/>
          </w:tcPr>
          <w:p w14:paraId="2568F5A9">
            <w:pPr>
              <w:pStyle w:val="6"/>
              <w:keepNext w:val="0"/>
              <w:keepLines w:val="0"/>
              <w:suppressLineNumbers w:val="0"/>
              <w:tabs>
                <w:tab w:val="left" w:pos="0"/>
                <w:tab w:val="left" w:pos="2340"/>
                <w:tab w:val="left" w:pos="2745"/>
                <w:tab w:val="left" w:pos="3030"/>
                <w:tab w:val="left" w:pos="3180"/>
              </w:tabs>
              <w:adjustRightInd w:val="0"/>
              <w:snapToGrid w:val="0"/>
              <w:spacing w:before="0" w:beforeAutospacing="0" w:after="0" w:afterAutospacing="0" w:line="0" w:lineRule="atLeast"/>
              <w:ind w:left="0" w:right="0"/>
              <w:jc w:val="left"/>
              <w:rPr>
                <w:rFonts w:hint="default" w:ascii="楷体" w:hAnsi="楷体" w:eastAsia="楷体"/>
                <w:color w:val="000000" w:themeColor="text1"/>
                <w:spacing w:val="-11"/>
                <w:sz w:val="32"/>
                <w:szCs w:val="32"/>
                <w:highlight w:val="none"/>
                <w:lang w:val="en-US" w:eastAsia="zh-CN"/>
                <w14:textFill>
                  <w14:solidFill>
                    <w14:schemeClr w14:val="tx1"/>
                  </w14:solidFill>
                </w14:textFill>
              </w:rPr>
            </w:pPr>
            <w:r>
              <w:rPr>
                <w:rFonts w:hint="eastAsia" w:ascii="楷体" w:hAnsi="楷体" w:eastAsia="楷体"/>
                <w:color w:val="000000" w:themeColor="text1"/>
                <w:spacing w:val="-11"/>
                <w:sz w:val="32"/>
                <w:szCs w:val="32"/>
                <w:highlight w:val="none"/>
                <w:lang w:val="en-US" w:eastAsia="zh-CN"/>
                <w14:textFill>
                  <w14:solidFill>
                    <w14:schemeClr w14:val="tx1"/>
                  </w14:solidFill>
                </w14:textFill>
              </w:rPr>
              <w:t>详见备案页</w:t>
            </w:r>
          </w:p>
        </w:tc>
      </w:tr>
      <w:tr w14:paraId="631CAA27">
        <w:tblPrEx>
          <w:tblCellMar>
            <w:top w:w="0" w:type="dxa"/>
            <w:left w:w="108" w:type="dxa"/>
            <w:bottom w:w="0" w:type="dxa"/>
            <w:right w:w="108" w:type="dxa"/>
          </w:tblCellMar>
        </w:tblPrEx>
        <w:trPr>
          <w:trHeight w:val="1134" w:hRule="atLeast"/>
          <w:jc w:val="center"/>
        </w:trPr>
        <w:tc>
          <w:tcPr>
            <w:tcW w:w="3686" w:type="dxa"/>
            <w:vAlign w:val="center"/>
          </w:tcPr>
          <w:p w14:paraId="2606B662">
            <w:pPr>
              <w:pStyle w:val="6"/>
              <w:keepNext w:val="0"/>
              <w:keepLines w:val="0"/>
              <w:suppressLineNumbers w:val="0"/>
              <w:tabs>
                <w:tab w:val="left" w:pos="2235"/>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提交估价报告日期：</w:t>
            </w:r>
          </w:p>
        </w:tc>
        <w:tc>
          <w:tcPr>
            <w:tcW w:w="5729" w:type="dxa"/>
            <w:vAlign w:val="center"/>
          </w:tcPr>
          <w:p w14:paraId="0ECF64B3">
            <w:pPr>
              <w:pStyle w:val="6"/>
              <w:keepNext w:val="0"/>
              <w:keepLines w:val="0"/>
              <w:suppressLineNumbers w:val="0"/>
              <w:tabs>
                <w:tab w:val="left" w:pos="0"/>
                <w:tab w:val="left" w:pos="2340"/>
                <w:tab w:val="left" w:pos="2745"/>
                <w:tab w:val="left" w:pos="3030"/>
                <w:tab w:val="left" w:pos="3180"/>
              </w:tabs>
              <w:adjustRightInd w:val="0"/>
              <w:snapToGrid w:val="0"/>
              <w:spacing w:before="0" w:beforeAutospacing="0" w:after="0" w:afterAutospacing="0" w:line="0" w:lineRule="atLeast"/>
              <w:ind w:left="0" w:right="0"/>
              <w:jc w:val="left"/>
              <w:rPr>
                <w:rFonts w:hint="eastAsia" w:ascii="楷体" w:hAnsi="楷体" w:eastAsia="楷体"/>
                <w:color w:val="000000" w:themeColor="text1"/>
                <w:spacing w:val="14"/>
                <w:sz w:val="32"/>
                <w:szCs w:val="32"/>
                <w:highlight w:val="none"/>
                <w:lang w:eastAsia="zh-CN"/>
                <w14:textFill>
                  <w14:solidFill>
                    <w14:schemeClr w14:val="tx1"/>
                  </w14:solidFill>
                </w14:textFill>
              </w:rPr>
            </w:pPr>
            <w:r>
              <w:rPr>
                <w:rFonts w:ascii="仿宋_GB2312" w:hAnsi="仿宋_GB2312" w:eastAsia="仿宋_GB2312" w:cs="仿宋_GB2312"/>
                <w:color w:val="000000"/>
                <w:sz w:val="32"/>
              </w:rPr>
              <w:t>{{ report_date }}</w:t>
            </w:r>
          </w:p>
        </w:tc>
      </w:tr>
      <w:tr w14:paraId="322DFC10">
        <w:tblPrEx>
          <w:tblCellMar>
            <w:top w:w="0" w:type="dxa"/>
            <w:left w:w="108" w:type="dxa"/>
            <w:bottom w:w="0" w:type="dxa"/>
            <w:right w:w="108" w:type="dxa"/>
          </w:tblCellMar>
        </w:tblPrEx>
        <w:trPr>
          <w:trHeight w:val="609" w:hRule="atLeast"/>
          <w:jc w:val="center"/>
        </w:trPr>
        <w:tc>
          <w:tcPr>
            <w:tcW w:w="3686" w:type="dxa"/>
            <w:vAlign w:val="center"/>
          </w:tcPr>
          <w:p w14:paraId="0A37E88A">
            <w:pPr>
              <w:pStyle w:val="6"/>
              <w:keepNext w:val="0"/>
              <w:keepLines w:val="0"/>
              <w:suppressLineNumbers w:val="0"/>
              <w:tabs>
                <w:tab w:val="left" w:pos="2235"/>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p>
        </w:tc>
        <w:tc>
          <w:tcPr>
            <w:tcW w:w="5729" w:type="dxa"/>
            <w:vAlign w:val="center"/>
          </w:tcPr>
          <w:p w14:paraId="633DAF45">
            <w:pPr>
              <w:pStyle w:val="6"/>
              <w:keepNext w:val="0"/>
              <w:keepLines w:val="0"/>
              <w:suppressLineNumbers w:val="0"/>
              <w:tabs>
                <w:tab w:val="left" w:pos="0"/>
                <w:tab w:val="left" w:pos="2340"/>
                <w:tab w:val="left" w:pos="2745"/>
                <w:tab w:val="left" w:pos="3030"/>
                <w:tab w:val="left" w:pos="3180"/>
              </w:tabs>
              <w:adjustRightInd w:val="0"/>
              <w:snapToGrid w:val="0"/>
              <w:spacing w:before="0" w:beforeAutospacing="0" w:after="0" w:afterAutospacing="0" w:line="0" w:lineRule="atLeast"/>
              <w:ind w:left="0" w:right="0"/>
              <w:jc w:val="left"/>
              <w:rPr>
                <w:rFonts w:hint="eastAsia" w:ascii="楷体" w:hAnsi="楷体" w:eastAsia="楷体" w:cs="楷体"/>
                <w:color w:val="000000" w:themeColor="text1"/>
                <w:spacing w:val="-20"/>
                <w:sz w:val="32"/>
                <w:szCs w:val="32"/>
                <w:highlight w:val="none"/>
                <w:lang w:eastAsia="zh-CN"/>
                <w14:textFill>
                  <w14:solidFill>
                    <w14:schemeClr w14:val="tx1"/>
                  </w14:solidFill>
                </w14:textFill>
              </w:rPr>
            </w:pPr>
          </w:p>
        </w:tc>
      </w:tr>
    </w:tbl>
    <w:tbl>
      <w:tblPr>
        <w:tblStyle w:val="10"/>
        <w:tblpPr w:leftFromText="180" w:rightFromText="180" w:vertAnchor="text" w:horzAnchor="page" w:tblpX="1355" w:tblpY="831"/>
        <w:tblOverlap w:val="never"/>
        <w:tblW w:w="94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92"/>
        <w:gridCol w:w="7523"/>
      </w:tblGrid>
      <w:tr w14:paraId="3CF058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8" w:hRule="atLeast"/>
        </w:trPr>
        <w:tc>
          <w:tcPr>
            <w:tcW w:w="1892" w:type="dxa"/>
            <w:vAlign w:val="center"/>
          </w:tcPr>
          <w:p w14:paraId="54F89A7C">
            <w:pPr>
              <w:keepNext w:val="0"/>
              <w:keepLines w:val="0"/>
              <w:suppressLineNumbers w:val="0"/>
              <w:spacing w:before="0" w:beforeAutospacing="0" w:after="0" w:afterAutospacing="0" w:line="360" w:lineRule="auto"/>
              <w:ind w:left="0" w:right="0"/>
              <w:jc w:val="distribute"/>
              <w:rPr>
                <w:rFonts w:ascii="楷体" w:hAnsi="楷体" w:eastAsia="楷体"/>
                <w:b/>
                <w:color w:val="000000" w:themeColor="text1"/>
                <w:spacing w:val="14"/>
                <w:sz w:val="32"/>
                <w:szCs w:val="32"/>
                <w:highlight w:val="none"/>
                <w14:textFill>
                  <w14:solidFill>
                    <w14:schemeClr w14:val="tx1"/>
                  </w14:solidFill>
                </w14:textFill>
              </w:rPr>
            </w:pPr>
            <w:r>
              <w:rPr>
                <w:rFonts w:hint="eastAsia" w:ascii="楷体" w:hAnsi="楷体" w:eastAsia="楷体"/>
                <w:color w:val="000000" w:themeColor="text1"/>
                <w:spacing w:val="14"/>
                <w:sz w:val="32"/>
                <w:szCs w:val="32"/>
                <w:highlight w:val="none"/>
                <w14:textFill>
                  <w14:solidFill>
                    <w14:schemeClr w14:val="tx1"/>
                  </w14:solidFill>
                </w14:textFill>
              </w:rPr>
              <w:t>关键词：</w:t>
            </w:r>
          </w:p>
        </w:tc>
        <w:tc>
          <w:tcPr>
            <w:tcW w:w="7523" w:type="dxa"/>
            <w:vAlign w:val="center"/>
          </w:tcPr>
          <w:p w14:paraId="2E8B3852">
            <w:pPr>
              <w:keepNext w:val="0"/>
              <w:keepLines w:val="0"/>
              <w:suppressLineNumbers w:val="0"/>
              <w:spacing w:before="0" w:beforeAutospacing="0" w:after="0" w:afterAutospacing="0" w:line="360" w:lineRule="auto"/>
              <w:ind w:left="0" w:right="0"/>
              <w:rPr>
                <w:rFonts w:hint="eastAsia" w:ascii="楷体" w:hAnsi="楷体" w:eastAsia="楷体"/>
                <w:b/>
                <w:color w:val="000000" w:themeColor="text1"/>
                <w:spacing w:val="14"/>
                <w:sz w:val="32"/>
                <w:szCs w:val="32"/>
                <w:highlight w:val="none"/>
                <w:lang w:eastAsia="zh-CN"/>
                <w14:textFill>
                  <w14:solidFill>
                    <w14:schemeClr w14:val="tx1"/>
                  </w14:solidFill>
                </w14:textFill>
              </w:rPr>
            </w:pPr>
            <w:r>
              <w:rPr>
                <w:rFonts w:hint="eastAsia" w:ascii="楷体" w:hAnsi="楷体" w:eastAsia="楷体"/>
                <w:color w:val="000000" w:themeColor="text1"/>
                <w:sz w:val="32"/>
                <w:szCs w:val="32"/>
                <w:highlight w:val="none"/>
                <w:lang w:val="en-US" w:eastAsia="zh-CN"/>
                <w14:textFill>
                  <w14:solidFill>
                    <w14:schemeClr w14:val="tx1"/>
                  </w14:solidFill>
                </w14:textFill>
              </w:rPr>
              <w:t>{{ county_name }}</w:t>
            </w:r>
            <w:r>
              <w:rPr>
                <w:rFonts w:hint="eastAsia" w:ascii="楷体" w:hAnsi="楷体" w:eastAsia="楷体"/>
                <w:color w:val="000000" w:themeColor="text1"/>
                <w:sz w:val="32"/>
                <w:szCs w:val="32"/>
                <w:highlight w:val="none"/>
                <w14:textFill>
                  <w14:solidFill>
                    <w14:schemeClr w14:val="tx1"/>
                  </w14:solidFill>
                </w14:textFill>
              </w:rPr>
            </w:r>
            <w:r>
              <w:rPr>
                <w:rFonts w:hint="eastAsia" w:ascii="楷体" w:hAnsi="楷体" w:eastAsia="楷体"/>
                <w:color w:val="000000" w:themeColor="text1"/>
                <w:sz w:val="32"/>
                <w:szCs w:val="32"/>
                <w:highlight w:val="none"/>
                <w:lang w:val="en-US" w:eastAsia="zh-CN"/>
                <w14:textFill>
                  <w14:solidFill>
                    <w14:schemeClr w14:val="tx1"/>
                  </w14:solidFill>
                </w14:textFill>
              </w:rPr>
            </w:r>
          </w:p>
        </w:tc>
      </w:tr>
      <w:tr w14:paraId="427288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6" w:hRule="atLeast"/>
        </w:trPr>
        <w:tc>
          <w:tcPr>
            <w:tcW w:w="1892" w:type="dxa"/>
            <w:vAlign w:val="center"/>
          </w:tcPr>
          <w:p w14:paraId="75853364">
            <w:pPr>
              <w:keepNext w:val="0"/>
              <w:keepLines w:val="0"/>
              <w:suppressLineNumbers w:val="0"/>
              <w:spacing w:before="0" w:beforeAutospacing="0" w:after="0" w:afterAutospacing="0" w:line="360" w:lineRule="auto"/>
              <w:ind w:left="0" w:right="0"/>
              <w:rPr>
                <w:rFonts w:ascii="楷体" w:hAnsi="楷体" w:eastAsia="楷体"/>
                <w:b/>
                <w:color w:val="000000" w:themeColor="text1"/>
                <w:spacing w:val="14"/>
                <w:sz w:val="32"/>
                <w:szCs w:val="32"/>
                <w:highlight w:val="none"/>
                <w14:textFill>
                  <w14:solidFill>
                    <w14:schemeClr w14:val="tx1"/>
                  </w14:solidFill>
                </w14:textFill>
              </w:rPr>
            </w:pPr>
          </w:p>
        </w:tc>
        <w:tc>
          <w:tcPr>
            <w:tcW w:w="7523" w:type="dxa"/>
            <w:vAlign w:val="center"/>
          </w:tcPr>
          <w:p w14:paraId="7AC77F87">
            <w:pPr>
              <w:keepNext w:val="0"/>
              <w:keepLines w:val="0"/>
              <w:suppressLineNumbers w:val="0"/>
              <w:spacing w:before="0" w:beforeAutospacing="0" w:after="0" w:afterAutospacing="0" w:line="360" w:lineRule="auto"/>
              <w:ind w:left="0" w:right="0"/>
              <w:rPr>
                <w:rFonts w:hint="default" w:ascii="楷体" w:hAnsi="楷体" w:eastAsia="楷体"/>
                <w:b/>
                <w:color w:val="000000" w:themeColor="text1"/>
                <w:spacing w:val="14"/>
                <w:sz w:val="32"/>
                <w:szCs w:val="32"/>
                <w:highlight w:val="none"/>
                <w:lang w:val="en-US" w:eastAsia="zh-CN"/>
                <w14:textFill>
                  <w14:solidFill>
                    <w14:schemeClr w14:val="tx1"/>
                  </w14:solidFill>
                </w14:textFill>
              </w:rPr>
            </w:pPr>
            <w:r>
              <w:rPr>
                <w:rFonts w:hint="eastAsia" w:ascii="楷体" w:hAnsi="楷体" w:eastAsia="楷体"/>
                <w:b w:val="0"/>
                <w:bCs/>
                <w:color w:val="000000" w:themeColor="text1"/>
                <w:spacing w:val="14"/>
                <w:sz w:val="32"/>
                <w:szCs w:val="32"/>
                <w:highlight w:val="none"/>
                <w:lang w:val="en-US" w:eastAsia="zh-CN"/>
                <w14:textFill>
                  <w14:solidFill>
                    <w14:schemeClr w14:val="tx1"/>
                  </w14:solidFill>
                </w14:textFill>
              </w:rPr>
              <w:t>出让</w:t>
            </w:r>
          </w:p>
        </w:tc>
      </w:tr>
      <w:tr w14:paraId="769176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1892" w:type="dxa"/>
            <w:vAlign w:val="center"/>
          </w:tcPr>
          <w:p w14:paraId="51DB07B7">
            <w:pPr>
              <w:keepNext w:val="0"/>
              <w:keepLines w:val="0"/>
              <w:suppressLineNumbers w:val="0"/>
              <w:spacing w:before="0" w:beforeAutospacing="0" w:after="0" w:afterAutospacing="0" w:line="360" w:lineRule="auto"/>
              <w:ind w:left="0" w:right="0"/>
              <w:rPr>
                <w:rFonts w:ascii="楷体" w:hAnsi="楷体" w:eastAsia="楷体"/>
                <w:b/>
                <w:color w:val="000000" w:themeColor="text1"/>
                <w:spacing w:val="14"/>
                <w:sz w:val="32"/>
                <w:szCs w:val="32"/>
                <w:highlight w:val="none"/>
                <w14:textFill>
                  <w14:solidFill>
                    <w14:schemeClr w14:val="tx1"/>
                  </w14:solidFill>
                </w14:textFill>
              </w:rPr>
            </w:pPr>
          </w:p>
        </w:tc>
        <w:tc>
          <w:tcPr>
            <w:tcW w:w="7523" w:type="dxa"/>
            <w:vAlign w:val="center"/>
          </w:tcPr>
          <w:p w14:paraId="53899026">
            <w:pPr>
              <w:keepNext w:val="0"/>
              <w:keepLines w:val="0"/>
              <w:suppressLineNumbers w:val="0"/>
              <w:spacing w:before="0" w:beforeAutospacing="0" w:after="0" w:afterAutospacing="0" w:line="360" w:lineRule="auto"/>
              <w:ind w:left="0" w:right="0"/>
              <w:rPr>
                <w:rFonts w:hint="eastAsia" w:ascii="楷体" w:hAnsi="楷体" w:eastAsia="楷体"/>
                <w:b/>
                <w:color w:val="000000" w:themeColor="text1"/>
                <w:spacing w:val="14"/>
                <w:sz w:val="32"/>
                <w:szCs w:val="32"/>
                <w:highlight w:val="none"/>
                <w:lang w:eastAsia="zh-CN"/>
                <w14:textFill>
                  <w14:solidFill>
                    <w14:schemeClr w14:val="tx1"/>
                  </w14:solidFill>
                </w14:textFill>
              </w:rPr>
            </w:pPr>
            <w:r/>
            <w:r>
              <w:rPr>
                <w:rFonts w:ascii="仿宋_GB2312" w:hAnsi="仿宋_GB2312" w:eastAsia="仿宋_GB2312" w:cs="仿宋_GB2312"/>
                <w:color w:val="000000"/>
                <w:sz w:val="32"/>
              </w:rPr>
              <w:t>{{ appraisal_org }}</w:t>
            </w:r>
          </w:p>
        </w:tc>
      </w:tr>
      <w:tr w14:paraId="63D08A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6" w:hRule="atLeast"/>
        </w:trPr>
        <w:tc>
          <w:tcPr>
            <w:tcW w:w="1892" w:type="dxa"/>
            <w:vAlign w:val="center"/>
          </w:tcPr>
          <w:p w14:paraId="05B3D7B4">
            <w:pPr>
              <w:keepNext w:val="0"/>
              <w:keepLines w:val="0"/>
              <w:suppressLineNumbers w:val="0"/>
              <w:spacing w:before="0" w:beforeAutospacing="0" w:after="0" w:afterAutospacing="0" w:line="360" w:lineRule="auto"/>
              <w:ind w:left="0" w:right="0"/>
              <w:rPr>
                <w:rFonts w:ascii="楷体" w:hAnsi="楷体" w:eastAsia="楷体"/>
                <w:b/>
                <w:color w:val="000000" w:themeColor="text1"/>
                <w:spacing w:val="14"/>
                <w:sz w:val="32"/>
                <w:szCs w:val="32"/>
                <w:highlight w:val="none"/>
                <w14:textFill>
                  <w14:solidFill>
                    <w14:schemeClr w14:val="tx1"/>
                  </w14:solidFill>
                </w14:textFill>
              </w:rPr>
            </w:pPr>
          </w:p>
        </w:tc>
        <w:tc>
          <w:tcPr>
            <w:tcW w:w="7523" w:type="dxa"/>
            <w:vAlign w:val="center"/>
          </w:tcPr>
          <w:p w14:paraId="1D85D4CF">
            <w:pPr>
              <w:keepNext w:val="0"/>
              <w:keepLines w:val="0"/>
              <w:suppressLineNumbers w:val="0"/>
              <w:spacing w:before="0" w:beforeAutospacing="0" w:after="0" w:afterAutospacing="0" w:line="360" w:lineRule="auto"/>
              <w:ind w:left="0" w:right="0"/>
              <w:rPr>
                <w:rFonts w:hint="eastAsia" w:ascii="楷体" w:hAnsi="楷体" w:eastAsia="楷体"/>
                <w:b/>
                <w:color w:val="000000" w:themeColor="text1"/>
                <w:spacing w:val="14"/>
                <w:sz w:val="32"/>
                <w:szCs w:val="32"/>
                <w:highlight w:val="none"/>
                <w:lang w:eastAsia="zh-CN"/>
                <w14:textFill>
                  <w14:solidFill>
                    <w14:schemeClr w14:val="tx1"/>
                  </w14:solidFill>
                </w14:textFill>
              </w:rPr>
            </w:pPr>
            <w:r>
              <w:rPr>
                <w:rFonts w:ascii="仿宋_GB2312" w:hAnsi="仿宋_GB2312" w:eastAsia="仿宋_GB2312" w:cs="仿宋_GB2312"/>
                <w:color w:val="000000"/>
                <w:sz w:val="32"/>
              </w:rPr>
              <w:t>{{ report_year_text }}</w:t>
            </w:r>
          </w:p>
        </w:tc>
      </w:tr>
    </w:tbl>
    <w:p w14:paraId="18F7A8E1">
      <w:pPr>
        <w:spacing w:line="360" w:lineRule="auto"/>
        <w:ind w:left="643" w:firstLine="688" w:firstLineChars="197"/>
        <w:rPr>
          <w:rFonts w:ascii="楷体" w:hAnsi="楷体" w:eastAsia="楷体"/>
          <w:b/>
          <w:color w:val="000000" w:themeColor="text1"/>
          <w:spacing w:val="14"/>
          <w:sz w:val="32"/>
          <w:szCs w:val="32"/>
          <w:highlight w:val="none"/>
          <w14:textFill>
            <w14:solidFill>
              <w14:schemeClr w14:val="tx1"/>
            </w14:solidFill>
          </w14:textFill>
        </w:rPr>
      </w:pPr>
    </w:p>
    <w:p w14:paraId="78F28FD3">
      <w:pPr>
        <w:spacing w:line="360" w:lineRule="auto"/>
        <w:ind w:left="643" w:firstLine="688" w:firstLineChars="197"/>
        <w:rPr>
          <w:rFonts w:ascii="楷体" w:hAnsi="楷体" w:eastAsia="楷体"/>
          <w:b/>
          <w:color w:val="000000" w:themeColor="text1"/>
          <w:spacing w:val="14"/>
          <w:sz w:val="32"/>
          <w:szCs w:val="32"/>
          <w:highlight w:val="none"/>
          <w14:textFill>
            <w14:solidFill>
              <w14:schemeClr w14:val="tx1"/>
            </w14:solidFill>
          </w14:textFill>
        </w:rPr>
        <w:sectPr>
          <w:headerReference r:id="rId19" w:type="default"/>
          <w:footerReference r:id="rId20" w:type="default"/>
          <w:endnotePr>
            <w:numFmt w:val="decimal"/>
          </w:endnotePr>
          <w:pgSz w:w="11906" w:h="16838"/>
          <w:pgMar w:top="1440" w:right="1803" w:bottom="1440" w:left="1803" w:header="851" w:footer="850" w:gutter="0"/>
          <w:pgNumType w:fmt="decimal"/>
          <w:cols w:space="720" w:num="1"/>
          <w:docGrid w:linePitch="312" w:charSpace="0"/>
        </w:sectPr>
      </w:pPr>
    </w:p>
    <w:p w14:paraId="5B1DDF0A">
      <w:pPr>
        <w:pStyle w:val="13"/>
        <w:keepNext w:val="0"/>
        <w:keepLines w:val="0"/>
        <w:pageBreakBefore w:val="0"/>
        <w:widowControl w:val="0"/>
        <w:kinsoku/>
        <w:wordWrap/>
        <w:overflowPunct/>
        <w:topLinePunct w:val="0"/>
        <w:autoSpaceDE/>
        <w:autoSpaceDN/>
        <w:bidi w:val="0"/>
        <w:adjustRightInd w:val="0"/>
        <w:snapToGrid w:val="0"/>
        <w:spacing w:before="0" w:beforeLines="50" w:after="0" w:afterLines="100" w:line="480" w:lineRule="exact"/>
        <w:ind w:firstLine="643"/>
        <w:jc w:val="center"/>
        <w:textAlignment w:val="auto"/>
        <w:outlineLvl w:val="2"/>
        <w:rPr>
          <w:rFonts w:ascii="宋体" w:hAnsi="宋体" w:eastAsia="宋体" w:cs="仿宋_GB2312"/>
          <w:b/>
          <w:color w:val="000000" w:themeColor="text1"/>
          <w:sz w:val="32"/>
          <w:szCs w:val="32"/>
          <w:highlight w:val="none"/>
          <w14:textFill>
            <w14:solidFill>
              <w14:schemeClr w14:val="tx1"/>
            </w14:solidFill>
          </w14:textFill>
        </w:rPr>
      </w:pPr>
      <w:r>
        <w:rPr>
          <w:rFonts w:hint="eastAsia" w:ascii="仿宋_GB2312" w:hAnsi="仿宋_GB2312" w:eastAsia="仿宋_GB2312" w:cs="仿宋_GB2312"/>
          <w:b/>
          <w:color w:val="000000" w:themeColor="text1"/>
          <w:sz w:val="28"/>
          <w:szCs w:val="32"/>
          <w:highlight w:val="none"/>
          <w14:textFill>
            <w14:solidFill>
              <w14:schemeClr w14:val="tx1"/>
            </w14:solidFill>
          </w14:textFill>
        </w:rPr>
        <w:t>土地估价技术报告（评估工作底稿）</w:t>
      </w:r>
    </w:p>
    <w:p w14:paraId="4B26D5AC">
      <w:pPr>
        <w:pStyle w:val="13"/>
        <w:keepNext w:val="0"/>
        <w:keepLines w:val="0"/>
        <w:pageBreakBefore w:val="0"/>
        <w:widowControl w:val="0"/>
        <w:kinsoku/>
        <w:wordWrap/>
        <w:overflowPunct/>
        <w:topLinePunct w:val="0"/>
        <w:autoSpaceDE/>
        <w:autoSpaceDN/>
        <w:bidi w:val="0"/>
        <w:adjustRightInd w:val="0"/>
        <w:snapToGrid w:val="0"/>
        <w:spacing w:before="0" w:beforeLines="50" w:after="0" w:afterLines="100" w:line="560" w:lineRule="exact"/>
        <w:ind w:firstLine="643"/>
        <w:jc w:val="center"/>
        <w:textAlignment w:val="auto"/>
        <w:outlineLvl w:val="1"/>
        <w:rPr>
          <w:rFonts w:ascii="宋体" w:hAnsi="宋体" w:eastAsia="宋体" w:cs="仿宋_GB2312"/>
          <w:b/>
          <w:color w:val="000000" w:themeColor="text1"/>
          <w:sz w:val="32"/>
          <w:szCs w:val="32"/>
          <w:highlight w:val="none"/>
          <w14:textFill>
            <w14:solidFill>
              <w14:schemeClr w14:val="tx1"/>
            </w14:solidFill>
          </w14:textFill>
        </w:rPr>
      </w:pPr>
      <w:r>
        <w:rPr>
          <w:rFonts w:hint="eastAsia" w:ascii="宋体" w:hAnsi="宋体" w:eastAsia="宋体" w:cs="宋体"/>
          <w:b/>
          <w:color w:val="000000" w:themeColor="text1"/>
          <w:sz w:val="32"/>
          <w:szCs w:val="32"/>
          <w:highlight w:val="none"/>
          <w14:textFill>
            <w14:solidFill>
              <w14:schemeClr w14:val="tx1"/>
            </w14:solidFill>
          </w14:textFill>
        </w:rPr>
        <w:t>第一部分  总  述</w:t>
      </w:r>
    </w:p>
    <w:p w14:paraId="72376AF3">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一、估价项目名称</w:t>
      </w:r>
    </w:p>
    <w:p w14:paraId="01DE218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 project_name }}（{{ county_name }}）</w:t>
      </w:r>
    </w:p>
    <w:p w14:paraId="5CC112C1">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_GB2312" w:eastAsia="仿宋_GB2312"/>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二、委托估价方</w:t>
      </w:r>
    </w:p>
    <w:p w14:paraId="54EFEF6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 xml:space="preserve">委托估价方：{{ client_name }} </w:t>
      </w:r>
    </w:p>
    <w:p w14:paraId="5A32024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社会统一信用代码：{{ client_org_code }}</w:t>
      </w:r>
    </w:p>
    <w:p w14:paraId="37FE95B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负责人：{{ client_principal }}</w:t>
      </w:r>
    </w:p>
    <w:p w14:paraId="061C797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机构性质：{{ client_org_type }}</w:t>
      </w:r>
    </w:p>
    <w:p w14:paraId="257F81F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机构地址：{{ client_address }}</w:t>
      </w:r>
    </w:p>
    <w:p w14:paraId="1F86021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hAnsi="仿宋_GB2312" w:cs="仿宋_GB2312"/>
          <w:color w:val="000000" w:themeColor="text1"/>
          <w:sz w:val="28"/>
          <w:szCs w:val="30"/>
          <w:highlight w:val="none"/>
          <w14:textFill>
            <w14:solidFill>
              <w14:schemeClr w14:val="tx1"/>
            </w14:solidFill>
          </w14:textFill>
        </w:rPr>
        <w:t>联 系 人：{{ client_contact }}</w:t>
      </w: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r>
      <w:r>
        <w:rPr>
          <w:rFonts w:hint="eastAsia" w:ascii="仿宋_GB2312" w:eastAsia="仿宋_GB2312" w:hAnsi="仿宋_GB2312" w:cs="仿宋_GB2312"/>
          <w:color w:val="000000" w:themeColor="text1"/>
          <w:sz w:val="28"/>
          <w:szCs w:val="30"/>
          <w:highlight w:val="none"/>
          <w14:textFill>
            <w14:solidFill>
              <w14:schemeClr w14:val="tx1"/>
            </w14:solidFill>
          </w14:textFill>
        </w:rPr>
      </w:r>
    </w:p>
    <w:p w14:paraId="1753603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hAnsi="仿宋_GB2312" w:cs="仿宋_GB2312"/>
          <w:color w:val="000000" w:themeColor="text1"/>
          <w:sz w:val="28"/>
          <w:szCs w:val="28"/>
          <w:highlight w:val="none"/>
          <w14:textFill>
            <w14:solidFill>
              <w14:schemeClr w14:val="tx1"/>
            </w14:solidFill>
          </w14:textFill>
        </w:rPr>
        <w:t>联系电话：{{ client_phone }}</w:t>
      </w:r>
    </w:p>
    <w:p w14:paraId="24D255A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邮    编：{{ client_postcode }}</w:t>
      </w:r>
    </w:p>
    <w:p w14:paraId="0ACFDDA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与估价对象土地使用者之间的关系：委托方为本次估价委托方，土地使用者为{{ land_user }}。</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p>
    <w:p w14:paraId="030F9BDE">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 w:hAnsi="仿宋" w:eastAsia="仿宋"/>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三、受托估价方</w:t>
      </w:r>
    </w:p>
    <w:p w14:paraId="28EC2EC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名    称：{{ appraisal_org }}</w:t>
      </w:r>
    </w:p>
    <w:p w14:paraId="5C5120B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类    型：有限责任公司（自然人投资或控股）</w:t>
      </w:r>
    </w:p>
    <w:p w14:paraId="4047D00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住所：湖南省长沙市芙蓉区荷花园街道远大一路348号东方摩卡二楼201房-584号</w:t>
      </w:r>
    </w:p>
    <w:p w14:paraId="2DB71AA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法定代表人：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彭翀</w:t>
      </w:r>
    </w:p>
    <w:p w14:paraId="066E5E2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注册资本：贰佰万元整</w:t>
      </w:r>
    </w:p>
    <w:p w14:paraId="2ADB809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成立日期：20</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22</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w:t>
      </w:r>
    </w:p>
    <w:p w14:paraId="66536C0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经营范围：经营范围包括许可项目：国土空间规划编制；测绘服务（依法须经批准的项目，经相关部门批准后方可开展经营活动，具体经营项目以相关部门批准文件或许可证件为准）一般项目：土地调查评估服务；土地整治服务；不动产登记代理服务；土地使用权租赁；农业专业及辅助性活动；规划设计管理；环保咨询服务；数据处理和存储支持服务；工程技术服务（规划管理、勘察、设计、监理除外）；信息技术咨询服务；卫星遥感应用系统集成；工业设计服务；水土流失防治服务；工程造价咨询业务；水利相关咨询服务；信息咨询服务（不含许可类信息咨询服务）；房地产评估；房地产咨询；地理遥感信息服务；社会稳定风险评估；基础地质勘查；地质勘查技术服务；资产评估；矿产资源储量估算和报告编制服务（须在中国矿业权评估师协会完成登记备案后方可从事经营活动）；矿业权评估服务；矿产资源储量评估服务（须在中国矿业权评估师协会完成登记备案后方可从事经营活动）（除依法须经批准的项目外，凭营业执照依法自主开展经营活动）。</w:t>
      </w:r>
    </w:p>
    <w:p w14:paraId="3C2664D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机构</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备案编号</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2022430010</w:t>
      </w:r>
    </w:p>
    <w:p w14:paraId="6235E5A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联 系 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彭翀</w:t>
      </w:r>
    </w:p>
    <w:p w14:paraId="523DD7C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联系电话：</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15388005188</w:t>
      </w:r>
    </w:p>
    <w:p w14:paraId="270CB9A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邮    编：4100</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00</w:t>
      </w:r>
    </w:p>
    <w:p w14:paraId="28F87BE8">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 w:hAnsi="仿宋" w:eastAsia="仿宋"/>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四、估价目的</w:t>
      </w:r>
    </w:p>
    <w:p w14:paraId="44A7FAC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ascii="仿宋_GB2312" w:hAnsi="仿宋_GB2312" w:eastAsia="仿宋_GB2312" w:cs="仿宋_GB2312"/>
          <w:sz w:val="28"/>
        </w:rPr>
        <w:t>{{ client_name }}拟按《关于国有建设用地的规划条件的函》（2025年9月11日）确定的规划条件，对位于{{ land_location_full }}的{{ parcel_count }}{{ land_usage }}国有建设用地使用权开展{{ transfer_purpose }}相关工作。</w:t>
      </w:r>
      <w:r>
        <w:rPr>
          <w:rFonts w:ascii="仿宋_GB2312" w:hAnsi="仿宋_GB2312" w:eastAsia="仿宋_GB2312" w:cs="仿宋_GB2312"/>
          <w:color w:val="000000"/>
          <w:sz w:val="28"/>
        </w:rPr>
      </w:r>
    </w:p>
    <w:p w14:paraId="71359E7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00" w:themeColor="text1"/>
          <w:sz w:val="28"/>
          <w:szCs w:val="30"/>
          <w:highlight w:val="none"/>
          <w:lang w:eastAsia="zh-CN"/>
          <w14:textFill>
            <w14:solidFill>
              <w14:schemeClr w14:val="tx1"/>
            </w14:solidFill>
          </w14:textFill>
        </w:rPr>
      </w:pPr>
      <w:r>
        <w:rPr>
          <w:rFonts w:ascii="仿宋_GB2312" w:hAnsi="仿宋_GB2312" w:eastAsia="仿宋_GB2312" w:cs="仿宋_GB2312"/>
          <w:sz w:val="28"/>
        </w:rPr>
        <w:t>根据《中华人民共和国资产评估法》《中华人民共和国土地管理法》《中华人民共和国民法典》和《招标拍卖挂牌出让国有建设用地使用权规定》（自然资源部第39号令，2007年9月28日）、《招标拍卖挂牌出让国有土地使用权规范》（试行）（国土资发[2006]114号，2006年5月31日）、《关于印发&lt;国有建设用地使用权出让地价评估技术规范&gt;的通知》（国土资厅发（2018）4号，2018年3月9日）等有关规定及委托方提供的《评估委托书》，本次评估受{{ client_name }}委托，为委托方办理{{ transfer_purpose }}相关事项提供设定条件下国有建设用地使用权正常市场价格参考依据。</w:t>
      </w:r>
      <w:r>
        <w:rPr>
          <w:rFonts w:ascii="仿宋_GB2312" w:hAnsi="仿宋_GB2312" w:eastAsia="仿宋_GB2312" w:cs="仿宋_GB2312"/>
          <w:color w:val="000000"/>
          <w:sz w:val="28"/>
        </w:rPr>
      </w:r>
    </w:p>
    <w:p w14:paraId="26074F7F">
      <w:pPr>
        <w:keepNext w:val="0"/>
        <w:keepLines w:val="0"/>
        <w:pageBreakBefore w:val="0"/>
        <w:widowControl w:val="0"/>
        <w:kinsoku/>
        <w:wordWrap/>
        <w:topLinePunct w:val="0"/>
        <w:bidi w:val="0"/>
        <w:spacing w:line="480" w:lineRule="exact" w:before="0" w:after="0"/>
        <w:ind w:firstLine="562" w:firstLineChars="200"/>
        <w:textAlignment w:val="auto"/>
        <w:outlineLvl w:val="2"/>
        <w:rPr>
          <w:rFonts w:hint="default" w:ascii="仿宋_GB2312" w:eastAsia="仿宋_GB2312"/>
          <w:color w:val="000000" w:themeColor="text1"/>
          <w:sz w:val="28"/>
          <w:szCs w:val="30"/>
          <w:highlight w:val="none"/>
          <w:lang w:val="en-US" w:eastAsia="zh-CN"/>
          <w14:textFill>
            <w14:solidFill>
              <w14:schemeClr w14:val="tx1"/>
            </w14:solidFill>
          </w14:textFill>
        </w:rPr>
      </w:pPr>
      <w:r>
        <w:rPr>
          <w:rFonts w:hint="eastAsia" w:ascii="宋体" w:eastAsia="宋体" w:hAnsi="宋体" w:cs="宋体"/>
          <w:b/>
          <w:color w:val="000000" w:themeColor="text1"/>
          <w:sz w:val="28"/>
          <w:szCs w:val="28"/>
          <w:highlight w:val="none"/>
          <w:lang w:val="en-US" w:eastAsia="zh-CN"/>
          <w14:textFill>
            <w14:solidFill>
              <w14:schemeClr w14:val="tx1"/>
            </w14:solidFill>
          </w14:textFill>
        </w:rPr>
        <w:t>五、估价依据</w:t>
      </w:r>
    </w:p>
    <w:p w14:paraId="5E2DAC3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（一）国家相关法律、法规及行政规章</w:t>
      </w:r>
    </w:p>
    <w:p w14:paraId="18140FD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1.《中华人民共和国资产评估法》（中华人民共和国主席令第46号，2016年12月1日起实施）；</w:t>
      </w:r>
    </w:p>
    <w:p w14:paraId="340EE58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2.《中华人民共和国民法典》（2020年5月28日中华人民共和国主席令第45号公布，自2021年1月1日起施行）；</w:t>
      </w:r>
    </w:p>
    <w:p w14:paraId="3210C97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中华人民共和国土地管理法》（中华人民共和国主席令第28号，自1999年1月1日起施行，根据2019年8月26日第十三届全国人民代表大会常务委员会第十二次会议《关于修改〈中华人民共和国土地管理法〉〈中华人民共和国城市房地产管理法〉的决定》第三次修正，2020年1月1日起施行）；</w:t>
      </w:r>
    </w:p>
    <w:p w14:paraId="46301B3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中华人民共和国城市房地产管理法》（中华人民共和国主席令第72号，自1995年1月1日起施行，根据2019年8月26日第十三届全国人民代表大会常务委员会第十二次会议《关于修改〈中华人民共和国土地管理法〉、〈中华人民共和国城市房地产管理法〉的决定》第三次修正）；</w:t>
      </w:r>
    </w:p>
    <w:p w14:paraId="06D3F9A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中华人民共和国城乡规划法》（2007年10月28日，第十届全国人民代表大会常务委员会第三十次会通过，自2008年1月1日起施行。根据2019年4月23日第十三届全国人民代表大会常务委员会第十次会议《关于修改〈中华人民共和国建筑法〉等八部法律的决定》第二次修正）；</w:t>
      </w:r>
    </w:p>
    <w:p w14:paraId="32306CD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6.《中华人民共和国土地管理法实施条例》（1998年12月27日中华人民共和国国务院令第256号发布，根据2021年7月2日中华人民共和国国务院令第743号第三次修订）；</w:t>
      </w:r>
    </w:p>
    <w:p w14:paraId="42EE733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7.《中华人民共和国城镇国有土地使用权出让和转让暂行条例》（1990年5月19日国务院令第55号发布，根据2020年11月29日《国务院关于修改和废止部分行政法规的决定》修订,自发布之日起施行）；</w:t>
      </w:r>
    </w:p>
    <w:p w14:paraId="7DC546E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8.国土资源部办公厅《国有土地使用权出让地价评估技术规范》（国土资厅发〔2018〕4号，2018年3月9日）；</w:t>
      </w:r>
    </w:p>
    <w:p w14:paraId="01713F0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9.国土资源部《招标拍卖挂牌出让国有建设用地使用权规定》（国土资源部部令第 39 号，2007年9月28日）；</w:t>
      </w:r>
    </w:p>
    <w:p w14:paraId="248868F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10.《国土资源部办公厅关于实施《城镇土地分等定级规程》和《城镇土地估价规程》有关问题的通知》（国土资厅发〔2015〕12号，2015年3月18日）；</w:t>
      </w:r>
    </w:p>
    <w:p w14:paraId="6DF3CDE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11.《国务院关于深化改革严格土地管理的决定》（国发[2004]28号，2004年10月21日）；</w:t>
      </w:r>
    </w:p>
    <w:p w14:paraId="5082358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12.《国务院关于加强国有土地资产管理的通知》（国发[2001]15号，2001年4月30日）；</w:t>
      </w:r>
    </w:p>
    <w:p w14:paraId="4139C23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13.《国务院关于加强土地调控有关问题的通知》（国发[2006]31号，2006年8月31日）；</w:t>
      </w:r>
    </w:p>
    <w:p w14:paraId="737EAA8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14.《节约集约利用土地规定》（2014年5月22日国土资源部令第61号公布，根据2019年7月16日自然资源部第2次部务会议《自然资源部关于第一批废止和修改的部门规章的决定》修正）；</w:t>
      </w:r>
    </w:p>
    <w:p w14:paraId="165F431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15.《国土资源部办公厅关于实行电子化备案完善土地估价报告备案制度的通知》（国土资厅发[2012]35号，2012年6月24日）；</w:t>
      </w:r>
    </w:p>
    <w:p w14:paraId="700CFD5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16.《国土资源部关于进一步加强城市地价动态监测工作的通知》（国土资发[2008]51号）；</w:t>
      </w:r>
    </w:p>
    <w:p w14:paraId="59DADC8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17.《国土资源部关于贯彻实施&lt;中华人民共和国资产评估法&gt;的通知》（国土资发〔2016〕181号，2016年11月25日）；</w:t>
      </w:r>
    </w:p>
    <w:p w14:paraId="4AE259F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18.《中华人民共和国增值税暂行条例》（1993年12月13日中华人民共和国国务院令第134号公布，根据2017年11月19日《国务院关于废止〈中华人民共和国营业税暂行条例〉和修改〈中华人民共和国增值税暂行条例〉的决定》第二次修订）；</w:t>
      </w:r>
    </w:p>
    <w:p w14:paraId="56AF31C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19.《营业税改征增值税试点实施办法》（财税〔2016〕36号，2016年3月24日）；</w:t>
      </w:r>
    </w:p>
    <w:p w14:paraId="11F1BC4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20.财政部、国家税务总局《关于调整增值税税率的通知》（财税[2018]32号，2018年4月4日）；</w:t>
      </w:r>
    </w:p>
    <w:p w14:paraId="30688E5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21.《关于深化增值税改革有关政策的公告》（财政部、税务总局、海关总署公告2019年第39号，2019年3月20日）；</w:t>
      </w:r>
    </w:p>
    <w:p w14:paraId="1CEACAA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22.《中华人民共和国契税法》（中华人民共和国第十三届全国人民代表大会常务委员会第二十一次会议于2020年8月11日通过，自2021年9月1日起施行）；</w:t>
      </w:r>
    </w:p>
    <w:p w14:paraId="70C7589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23.《中华人民共和国城市维护建设税法》（中华人民共和国主席令（第五十一号），中华人民共和国第十三届全国人民代表大会常务委员会第二十一次会议于2020年8月11日通过，自2021年9月1日起施行）；</w:t>
      </w:r>
    </w:p>
    <w:p w14:paraId="5670CE9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24.《国务院关于统一内外资企业和个人城市维护建设税和教育费附加制度的通知》（国发[2010]35号，2010年12月1日）；</w:t>
      </w:r>
    </w:p>
    <w:p w14:paraId="382CAC6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25.《关于贯彻落实&lt;自然资源部办公厅关于做好2021年度自然资源评价评估有关工作的通知&gt;加强业务能力建设规范执业行为的通知》（中估协发〔2021〕16号，2021年5月15日）；</w:t>
      </w:r>
    </w:p>
    <w:p w14:paraId="49445EE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26.其他有关的国家相关法律、法规及行政规章。</w:t>
      </w:r>
    </w:p>
    <w:p w14:paraId="70C8A83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（二）地方政府及有关部门颁发的法规规章及相关文件</w:t>
      </w:r>
    </w:p>
    <w:p w14:paraId="581F7FA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1.湖南省实施《中华人民共和国土地管理法》办法（湖南省第十三届人民代表大会常务委员会第五次会议通过，2022年3月1日施行）；</w:t>
      </w:r>
    </w:p>
    <w:p w14:paraId="1A32ECB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2.《湖南省城镇国有土地使用权出让和转让实施办法》(1994年11月19日湖南省人民政府令第38号公布，2002年3月7日湖南省人民政府令152号第二次修改，自1994年11月19日起施行)；</w:t>
      </w:r>
    </w:p>
    <w:p w14:paraId="4F9AE64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3.湖南省人民政府《湖南省土地市场管理办法》（2005年1月20日湖南省人民政府令第195号公布，2011年1月30日湖南省人民政府令第251号修改，自2005年3月1日起施行）；</w:t>
      </w:r>
    </w:p>
    <w:p w14:paraId="0EECA29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4.湖南省人民政府办公厅关于印发《湖南省国有土地使用权出让收支管理办法》的通知（湘政办发[2015]1号，2015年3月12日）；</w:t>
      </w:r>
    </w:p>
    <w:p w14:paraId="1A69C74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5.湖南省人民政府《湖南省教育费附加和地方教育附加征收管理办法》（2007年12月31日湖南省人民政府令第218号公布，2022年10月8日湖南省人民政府令第310号修改，自2008年1月1日起施行）；</w:t>
      </w:r>
    </w:p>
    <w:p w14:paraId="183652C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6.湖南省财政厅、湖南省地方税务局《关于调整地方教育附加征收标准的通知》（湘财综〔2018〕35号，2018年10月 24日）；</w:t>
      </w:r>
    </w:p>
    <w:p w14:paraId="7CE384D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7.《湖南省人民代表大会常务委员会关于契税具体适用税率等事项的决定》（2021年5月27日湖南省第十三届人民代表大会常务委员会第二十四次会议通过，自2021年9月1日起施行）；</w:t>
      </w:r>
    </w:p>
    <w:p w14:paraId="1872692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8.湖南省发改委、省财政厅《关于我省公共资源交易服务费有关问题的通知》（湘发改价服〔2016〕147号，2016年3月9日）；</w:t>
      </w:r>
    </w:p>
    <w:p w14:paraId="19CCC16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9.湖南省地方税务局《关于加强土地增值税管理的公告》（湖南省地方税务局公告2015年第4号，2015年6月18日）；</w:t>
      </w:r>
    </w:p>
    <w:p w14:paraId="678B79B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湖南省人民政府关于调整湖南省征地补偿标准的通知</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》（湘政发〔2024〕1号，2024年1月31日）；</w:t>
      </w:r>
    </w:p>
    <w:p w14:paraId="404D3DF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eastAsia="仿宋_GB2312" w:ascii="仿宋_GB2312" w:hAnsi="仿宋_GB2312" w:cs="仿宋_GB2312"/>
          <w:color w:val="000000" w:themeColor="text1"/>
          <w:sz w:val="28"/>
          <w:szCs w:val="28"/>
          <w:highlight w:val="none"/>
          <w:lang w:eastAsia="zh-CN"/>
          <w14:textFill>
            <w14:solidFill>
              <w14:schemeClr w14:val="tx1"/>
            </w14:solidFill>
          </w14:textFill>
        </w:rPr>
        <w:t>《湖南省自然资源厅关于调整征收农用地补偿区片空间范围的通知》（湘自资发〔2024〕7号，</w:t>
      </w:r>
      <w:r>
        <w:rPr>
          <w:rFonts w:hint="eastAsia" w:eastAsia="仿宋_GB2312" w:ascii="仿宋_GB2312" w:hAnsi="仿宋_GB2312" w:cs="仿宋_GB2312"/>
          <w:color w:val="000000" w:themeColor="text1"/>
          <w:sz w:val="28"/>
          <w:szCs w:val="28"/>
          <w:highlight w:val="none"/>
          <w:lang w:val="en-US" w:eastAsia="zh-CN"/>
          <w14:textFill>
            <w14:solidFill>
              <w14:schemeClr w14:val="tx1"/>
            </w14:solidFill>
          </w14:textFill>
        </w:rPr>
        <w:t>2024年2月1日</w:t>
      </w:r>
      <w:r>
        <w:rPr>
          <w:rFonts w:hint="eastAsia" w:eastAsia="仿宋_GB2312" w:ascii="仿宋_GB2312" w:hAnsi="仿宋_GB2312" w:cs="仿宋_GB2312"/>
          <w:color w:val="000000" w:themeColor="text1"/>
          <w:sz w:val="28"/>
          <w:szCs w:val="28"/>
          <w:highlight w:val="none"/>
          <w:lang w:eastAsia="zh-CN"/>
          <w14:textFill>
            <w14:solidFill>
              <w14:schemeClr w14:val="tx1"/>
            </w14:solidFill>
          </w14:textFill>
        </w:rPr>
        <w:t>）；</w:t>
      </w:r>
    </w:p>
    <w:p w14:paraId="6DB786C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12.</w:t>
      </w:r>
      <w:r>
        <w:rPr>
          <w:rFonts w:hint="eastAsia" w:ascii="仿宋_GB2312" w:hAnsi="仿宋_GB2312" w:eastAsia="仿宋_GB2312" w:cs="仿宋_GB2312"/>
          <w:color w:val="000000" w:themeColor="text1"/>
          <w:sz w:val="28"/>
          <w:szCs w:val="28"/>
          <w:highlight w:val="none"/>
          <w14:textFill>
            <w14:solidFill>
              <w14:schemeClr w14:val="tx1"/>
            </w14:solidFill>
          </w14:textFill>
        </w:rPr>
        <w:t>湖南省人民政府关于印发《湖南省水利建设基金筹集和使用管理办法》的通知（湘政发[2011]27号）</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p>
    <w:p w14:paraId="72F6DB2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13.</w:t>
      </w:r>
      <w:r>
        <w:rPr>
          <w:rFonts w:hint="eastAsia" w:ascii="仿宋_GB2312" w:hAnsi="仿宋_GB2312" w:eastAsia="仿宋_GB2312" w:cs="仿宋_GB2312"/>
          <w:color w:val="000000" w:themeColor="text1"/>
          <w:sz w:val="28"/>
          <w:highlight w:val="none"/>
          <w14:textFill>
            <w14:solidFill>
              <w14:schemeClr w14:val="tx1"/>
            </w14:solidFill>
          </w14:textFill>
        </w:rPr>
        <w:t>《湖南省人民政府办公厅&lt;湖南省耕地开垦费征收使用管理办法&gt;的通知》（湘政办〔2019〕38号）</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5689C64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14.</w:t>
      </w:r>
      <w:r>
        <w:rPr>
          <w:rFonts w:hint="eastAsia" w:ascii="仿宋_GB2312" w:hAnsi="仿宋_GB2312" w:eastAsia="仿宋_GB2312" w:cs="仿宋_GB2312"/>
          <w:color w:val="000000" w:themeColor="text1"/>
          <w:sz w:val="28"/>
          <w:highlight w:val="none"/>
          <w14:textFill>
            <w14:solidFill>
              <w14:schemeClr w14:val="tx1"/>
            </w14:solidFill>
          </w14:textFill>
        </w:rPr>
        <w:t>湖南省人力资源社会保障厅《关于进一步做好被征地农民社会保障工作的通知》（湘人社规〔2023〕1号，2023年4月28日）</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13FAAD0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15.《湖南省财政厅 国家税务总局湖南省税务局 湖南省林业局 中国人民银行湖南省分行关于印发&lt;湖南省森林植被恢复费征收使用管理实施办法&gt;的通知》（湘财税〔2024〕10号）；</w:t>
      </w:r>
    </w:p>
    <w:p w14:paraId="57F9CE0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16.</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《道县国土空间总体规划（2021-2035年）》；</w:t>
      </w:r>
    </w:p>
    <w:p w14:paraId="2BD5F20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17.《道县2024年国民经济和社会发展统计公报》；</w:t>
      </w:r>
    </w:p>
    <w:p w14:paraId="4B289DD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18.</w:t>
      </w:r>
      <w:r>
        <w:rPr>
          <w:rFonts w:hint="eastAsia" w:ascii="仿宋_GB2312" w:hAnsi="仿宋_GB2312" w:eastAsia="仿宋_GB2312" w:cs="仿宋_GB2312"/>
          <w:color w:val="000000" w:themeColor="text1"/>
          <w:sz w:val="28"/>
          <w:highlight w:val="none"/>
          <w14:textFill>
            <w14:solidFill>
              <w14:schemeClr w14:val="tx1"/>
            </w14:solidFill>
          </w14:textFill>
        </w:rPr>
        <w:t>《永州市集体土地与房屋征收补偿安置办法》的通知（永政发〔2024〕4号，2024年5月11日）</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3E7A514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19.湖南省人民政府、永州市人民政府、{{ base_price_doc_authority }}及有关部门颁布的其他有关政策、规定、实施办法、通知等法规文件。</w:t>
      </w:r>
    </w:p>
    <w:p w14:paraId="1A7026C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（三）采用的技术规程及标准</w:t>
      </w:r>
    </w:p>
    <w:p w14:paraId="10DF808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1.中华人民共和国国家标准《城镇土地估价规程》（GB/T18508-2014）；</w:t>
      </w:r>
    </w:p>
    <w:p w14:paraId="3F70022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2.中华人民共和国国家标准《城镇土地分等定级规程》（GB/T18507-2014）；</w:t>
      </w:r>
    </w:p>
    <w:p w14:paraId="48CF03F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3.中华人民共和国国家标准《土地利用现状分类》（GB/T21010-2017）；</w:t>
      </w:r>
    </w:p>
    <w:p w14:paraId="1B26097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4.中华人民共和国国家标准《城市用地分类与规划建设用地标准》（GB50136.73-2011）；</w:t>
      </w:r>
    </w:p>
    <w:p w14:paraId="06AC2D3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5.中华人民共和国土地管理行业标准《城市地价动态监测技术规范》（TD/T1009-2007）；</w:t>
      </w:r>
    </w:p>
    <w:p w14:paraId="6EE8931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6.中华人民共和国自然资源管理行业标准《自然资源分等定级通则》（TD/T1060-2021）；</w:t>
      </w:r>
    </w:p>
    <w:p w14:paraId="4C67D83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7.中华人民共和国自然资源管理行业标准《自然资源价格评估通则》（TD/T1061-2021）;</w:t>
      </w:r>
    </w:p>
    <w:p w14:paraId="616631D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8.《国有建设用地使用权出让地价评估技术规范》；</w:t>
      </w:r>
    </w:p>
    <w:p w14:paraId="14EAC42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9.中国地价信息服务平台地价动态监测网数据。</w:t>
      </w:r>
    </w:p>
    <w:p w14:paraId="2001F8C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（四）委托估价方提供的资料</w:t>
      </w:r>
    </w:p>
    <w:p w14:paraId="7FAE255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1.《评估委托书》；</w:t>
      </w:r>
    </w:p>
    <w:p w14:paraId="44120CE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2.委托方《统一社会信用代码证书》复印件；</w:t>
      </w:r>
    </w:p>
    <w:p w14:paraId="6385A10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3.《关于国有建设用地的规划条件的函》（2025年9月11日）；</w:t>
      </w:r>
    </w:p>
    <w:p w14:paraId="0A09C35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4.《{{ county_name }}{{ land_plot_number }}号地块建设用地规划红线图》；</w:t>
      </w:r>
      <w:r>
        <w:rPr>
          <w:rFonts w:ascii="仿宋_GB2312" w:hAnsi="仿宋_GB2312" w:eastAsia="仿宋_GB2312" w:cs="仿宋_GB2312"/>
          <w:color w:val="000000"/>
          <w:sz w:val="28"/>
        </w:rPr>
      </w:r>
    </w:p>
    <w:p w14:paraId="442BA5B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5、{{ basis_docs_rendered }}；</w:t>
      </w:r>
    </w:p>
    <w:p w14:paraId="1F366D0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6.委托估价方提供的其它与土地估价相关的资料。</w:t>
      </w:r>
    </w:p>
    <w:p w14:paraId="09283F7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（五）受托估价方掌握的有关资料及土地估价师实地勘查、调查所获取的资料。</w:t>
      </w:r>
    </w:p>
    <w:p w14:paraId="4E0ABC4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1.估价对象宗地现场查勘表;</w:t>
      </w:r>
    </w:p>
    <w:p w14:paraId="14ABC0D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2.估价对象现状利用资料（宗地照片、位置示意图）;</w:t>
      </w:r>
    </w:p>
    <w:p w14:paraId="2D91417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3.宗地内外基础设施调查收集的资料;</w:t>
      </w:r>
    </w:p>
    <w:p w14:paraId="7F70FDF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4.市场比较法比较实例所处位置、照片等资料；</w:t>
      </w:r>
    </w:p>
    <w:p w14:paraId="3003321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5.宗地所在区域土地利用现状、基础设施、环境状况等资料;</w:t>
      </w:r>
    </w:p>
    <w:p w14:paraId="4437674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6.宗地所在区域房地产市场情况；</w:t>
      </w:r>
    </w:p>
    <w:p w14:paraId="1A6FE54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7.宗地所在区域土地市场交易情况；</w:t>
      </w:r>
    </w:p>
    <w:p w14:paraId="7D9DA36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8.估价人员现场调查收集的其它相关资料。</w:t>
      </w:r>
    </w:p>
    <w:p w14:paraId="7DDABD01">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六、估价期日</w:t>
      </w:r>
    </w:p>
    <w:p w14:paraId="123C69C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color w:val="000000"/>
          <w:sz w:val="28"/>
        </w:rPr>
        <w:t>本次土地估价师现场勘查日期为{{ valuation_date }}，结合本次估价目的和委托估价方提供的《评估委托书》，本次估价设定估价期日为{{ valuation_date }}。</w:t>
      </w:r>
    </w:p>
    <w:p w14:paraId="74BE4A5E">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lang w:val="en-US" w:eastAsia="zh-CN"/>
          <w14:textFill>
            <w14:solidFill>
              <w14:schemeClr w14:val="tx1"/>
            </w14:solidFill>
          </w14:textFill>
        </w:rPr>
        <w:t>七</w:t>
      </w:r>
      <w:r>
        <w:rPr>
          <w:rFonts w:hint="eastAsia" w:ascii="宋体" w:eastAsia="宋体" w:hAnsi="宋体" w:cs="宋体"/>
          <w:b/>
          <w:color w:val="000000" w:themeColor="text1"/>
          <w:sz w:val="28"/>
          <w:szCs w:val="28"/>
          <w:highlight w:val="none"/>
          <w14:textFill>
            <w14:solidFill>
              <w14:schemeClr w14:val="tx1"/>
            </w14:solidFill>
          </w14:textFill>
        </w:rPr>
        <w:t>、估价日期</w:t>
      </w:r>
    </w:p>
    <w:p w14:paraId="08CFC2B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ascii="仿宋_GB2312" w:eastAsia="仿宋_GB2312"/>
          <w:color w:val="000000" w:themeColor="text1"/>
          <w:sz w:val="28"/>
          <w:szCs w:val="28"/>
          <w:highlight w:val="none"/>
          <w14:textFill>
            <w14:solidFill>
              <w14:schemeClr w14:val="tx1"/>
            </w14:solidFill>
          </w14:textFill>
        </w:rPr>
      </w:pPr>
      <w:r>
        <w:rPr>
          <w:rFonts w:ascii="仿宋_GB2312" w:hAnsi="仿宋_GB2312" w:eastAsia="仿宋_GB2312" w:cs="仿宋_GB2312"/>
          <w:color w:val="000000"/>
          <w:sz w:val="28"/>
        </w:rPr>
        <w:t>{{ valuation_work_date }}。</w:t>
      </w:r>
    </w:p>
    <w:p w14:paraId="6A96C307">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lang w:val="en-US" w:eastAsia="zh-CN"/>
          <w14:textFill>
            <w14:solidFill>
              <w14:schemeClr w14:val="tx1"/>
            </w14:solidFill>
          </w14:textFill>
        </w:rPr>
        <w:t>八、</w:t>
      </w:r>
      <w:r>
        <w:rPr>
          <w:rFonts w:hint="eastAsia" w:ascii="宋体" w:eastAsia="宋体" w:hAnsi="宋体" w:cs="宋体"/>
          <w:b/>
          <w:color w:val="000000" w:themeColor="text1"/>
          <w:sz w:val="28"/>
          <w:szCs w:val="28"/>
          <w:highlight w:val="none"/>
          <w14:textFill>
            <w14:solidFill>
              <w14:schemeClr w14:val="tx1"/>
            </w14:solidFill>
          </w14:textFill>
        </w:rPr>
        <w:t>地价定义</w:t>
      </w:r>
    </w:p>
    <w:p w14:paraId="4B8FF7C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sz w:val="28"/>
        </w:rPr>
        <w:t>根据委托方出具的《关于国有建设用地的规划条件的函》（2025年9月11日）及现场勘查状况，估价对象总土地面积为{{ land_area }}平方米，估价对象规划用途为{{ land_usage }}，至估价期日，估价对象实际土地开发程度为{{ land_development_actual }}。</w:t>
      </w:r>
      <w:r>
        <w:rPr>
          <w:rFonts w:ascii="仿宋_GB2312" w:hAnsi="仿宋_GB2312" w:eastAsia="仿宋_GB2312" w:cs="仿宋_GB2312"/>
          <w:color w:val="000000"/>
          <w:sz w:val="28"/>
        </w:rPr>
      </w:r>
    </w:p>
    <w:p w14:paraId="0DE086C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根据《城镇土地估价规程》（GB/T18508—2014）及</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此项目估价目的、土地的权属性质和用途特点，对</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地价定义</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中有关事项作以下设定</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p>
    <w:p w14:paraId="5D07852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1.估价期日的设定</w:t>
      </w:r>
    </w:p>
    <w:p w14:paraId="5840598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color w:val="000000"/>
          <w:sz w:val="28"/>
        </w:rPr>
        <w:t>本次土地估价师现场勘查日期为{{ valuation_date }}，本次估价设定估价期日为{{ valuation_date }}。</w:t>
      </w:r>
    </w:p>
    <w:p w14:paraId="5CCE34A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2.土地用途的设定</w:t>
      </w:r>
    </w:p>
    <w:p w14:paraId="45D0486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根据土地估价师现场勘查及委托方提供资料，估价对象现状用途及规划用途以委托方资料为准。根据《关于国有建设用地的规划条件的函》（2025年9月11日），估价对象规划用途为{{ land_usage }}，根据《土地利用现状分类》(GB/T21010-2017，2017年11月01日)和估价目的，本次评估设定土地用途为{{ land_usage }}。</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2DAAE98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3.土地使用权类型</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设定</w:t>
      </w:r>
    </w:p>
    <w:p w14:paraId="4FBADCF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至估价期日止，估价对象原登记或现状权利类型为{{ registered_right_type }}，结合本次估价目的，本次评估设定土地使用权类型为{{ right_type }}。</w:t>
      </w:r>
    </w:p>
    <w:p w14:paraId="5291152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4.土地使用年期的设定</w:t>
      </w:r>
    </w:p>
    <w:p w14:paraId="7E4026D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根据《中华人民共和国城镇国有土地使用权出让和转让暂行条例》（1990年5月19日国务院令第55号）规定，并结合《评估委托书》约定和估价目的，估价对象土地使用权出让年限为{{ land_use_term }}，此次评估设定土地使用权年限为{{ land_use_term }}。</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7CF62B3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5.土地开发程度的设定</w:t>
      </w:r>
    </w:p>
    <w:p w14:paraId="3E39277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color w:val="000000"/>
          <w:sz w:val="28"/>
        </w:rPr>
        <w:t>根据土地估价师实地勘查，估价对象于估价期日{{ valuation_date }}实际开发程度为{{ land_development_actual }}。结合估价目的及实际情况，本次评估设定土地开发程度为{{ land_development_set }}。</w:t>
      </w:r>
    </w:p>
    <w:p w14:paraId="744985D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6.用地利用条件的设定</w:t>
      </w:r>
    </w:p>
    <w:p w14:paraId="5C69489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根据实地勘查和《关于国有建设用地的规划条件的函》（2025年9月11日），估价对象规划建筑密度{{ building_density_min }}-{{ building_density_max }}，容积率{{ plot_ratio_display }}，绿地率{{ greening_rate }}，建筑限高{{ building_height_limit }}。根据土地最有效利用原则，本次评估设定容积率为{{ plot_ratio }}。</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409DBE5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7.价格类型的设定</w:t>
      </w:r>
    </w:p>
    <w:p w14:paraId="7D0A0D3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委托方提供的资料及估价人员调查所获取的资料，估价对象为拟出让国有建设用地使用权，未设立抵押权、租赁权、地役权、地上权等附加权利。本次评估设定估价对象为未设立抵押权、租赁权、地役权、地上权等附加权利下的国有建设用地使用权。</w:t>
      </w:r>
    </w:p>
    <w:p w14:paraId="03436F6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sz w:val="28"/>
        </w:rPr>
        <w:t>综上所述，此次评估的地价内涵是指：估价对象在公开市场条件下，于估价期日{{ valuation_date }}，土地使用权面积{{ land_area }}平方米，土地用途设定为{{ land_usage }}，容积率设定为{{ plot_ratio }}，土地使用权类型设定为{{ right_type }}，出让年期为{{ land_use_term }}，土地开发程度设定为{{ land_development_set }}条件下的土地使用权市场价格。</w:t>
      </w:r>
    </w:p>
    <w:p w14:paraId="2075FDA7">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 xml:space="preserve">九、估价结果 </w:t>
      </w:r>
    </w:p>
    <w:p w14:paraId="31924DA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eastAsia="zh-CN"/>
          <w14:textFill>
            <w14:solidFill>
              <w14:schemeClr w14:val="tx1"/>
            </w14:solidFill>
          </w14:textFill>
        </w:rPr>
        <w:t>（</w:t>
      </w: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一</w:t>
      </w:r>
      <w:r>
        <w:rPr>
          <w:rFonts w:hint="eastAsia" w:ascii="宋体" w:hAnsi="宋体" w:eastAsia="宋体" w:cs="宋体"/>
          <w:b/>
          <w:bCs/>
          <w:color w:val="000000" w:themeColor="text1"/>
          <w:sz w:val="28"/>
          <w:szCs w:val="28"/>
          <w:highlight w:val="none"/>
          <w:lang w:eastAsia="zh-CN"/>
          <w14:textFill>
            <w14:solidFill>
              <w14:schemeClr w14:val="tx1"/>
            </w14:solidFill>
          </w14:textFill>
        </w:rPr>
        <w:t>）</w:t>
      </w: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估价结论</w:t>
      </w:r>
    </w:p>
    <w:p>
      <w:pPr>
        <w:spacing w:before="0" w:after="0" w:line="480" w:lineRule="exact"/>
        <w:ind w:left="561" w:firstLine="0"/>
      </w:pPr>
      <w:r>
        <w:rPr>
          <w:rFonts w:ascii="仿宋_GB2312" w:hAnsi="仿宋_GB2312" w:eastAsia="仿宋_GB2312" w:cs="仿宋_GB2312"/>
          <w:sz w:val="28"/>
        </w:rPr>
        <w:t>{{ valuation_result_statement }}</w:t>
      </w:r>
    </w:p>
    <w:p w14:paraId="52CF380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宋体" w:hAnsi="宋体" w:eastAsia="宋体" w:cs="宋体"/>
          <w:b/>
          <w:bCs/>
          <w:color w:val="000000" w:themeColor="text1"/>
          <w:sz w:val="28"/>
          <w:szCs w:val="28"/>
          <w:highlight w:val="none"/>
          <w:lang w:eastAsia="zh-CN"/>
          <w14:textFill>
            <w14:solidFill>
              <w14:schemeClr w14:val="tx1"/>
            </w14:solidFill>
          </w14:textFill>
        </w:rPr>
        <w:t>（二）出让底价建议</w:t>
      </w:r>
    </w:p>
    <w:p w14:paraId="4B4D1AE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 county_name }}土地市场情况及有关法律法规和政策规定，该地区土地出让底价由选定的估价机构的估价结果及具体宗地的实际情况综合确定。建议估价对象出让底价与本次估价结果相一致，具体由出让方根据出让土地的实际情况综合确定。</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1C791D2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建议出让地价的理由：1.评估操作过程技术合理，本次评估技术操作方面严格参照《城镇土地估价规程》(GB／T18508-2014)及《关于印发&lt;国有建设用地使用权出让地价评估技术规范&gt;的通知》（国土资厅发〔2018〕4号，2018年3月9日）要求，采用成本逼近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市场比较法分别进行测算，取</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成本逼近法和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市场比较法估价结果</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的简单算数平均数作</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为最终结果。</w:t>
      </w:r>
    </w:p>
    <w:p w14:paraId="0B35853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评估操作过程技术合理，本次评估技术操作方面严格参照《城镇土地估价规程》(GB／T18508-2014)及《关于印发&lt;国有建设用地使用权出让地价评估技术规范&gt;的通知》（国土资厅发〔2018〕4号，2018年3月9日）要求，本次评估采用成本逼近法和市场比较法分别进行测算，</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取成本逼近法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市场比较法估价结果</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的简单算数平均数作</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为最终结果。</w:t>
      </w:r>
    </w:p>
    <w:p w14:paraId="55B93CD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t>2.通过湖南省国土资源网上交易系统、中国土地交易市场网查询，{{ county_name }}近期通过“招拍挂”途径出让的估价对象周边土地单位面积地价与估价结果较为接近，估价结果符合该区域规划发展的趋势。</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6F12FB1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依据财政部、自然资源部、中国人民银行《关于加强土地成交价款管理规范资金缴库行为的通知》（财综[2009]89号，2009年12月31日），与土地出让有关的评估费、交易服务费等经营服务性成本费用应纳入土地出让底价。前述建议底价未包含契税、评估费及交易服务费等价外税费及经营服务性费用。</w:t>
      </w:r>
    </w:p>
    <w:p w14:paraId="31F1C200">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b/>
          <w:color w:val="000000" w:themeColor="text1"/>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十、需要特殊说明的事项</w:t>
      </w:r>
    </w:p>
    <w:p w14:paraId="1C659CC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(一)评估依据资料来源情况说明</w:t>
      </w:r>
    </w:p>
    <w:p w14:paraId="13FBE7F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1.本估价报告所依据的土地权属、土地用途、使用权类型、土地面积、土地利用条件成果等资料由委托估价双方提供。</w:t>
      </w:r>
    </w:p>
    <w:p w14:paraId="384BE3F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2.土地区位条件、地产市场交易资料、土地利用现状照片等相关资料由估价师实地调查取得。</w:t>
      </w:r>
    </w:p>
    <w:p w14:paraId="02045F7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3.区域经济发展状况、统计数据、城市规划资料、基准地价资料、估价中的相关参数资料等由{{ appraisal_org }}土地估价师通过查阅政府部门相关文件及公开媒体资讯等途径获取。</w:t>
      </w:r>
    </w:p>
    <w:p w14:paraId="0B9D473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4.{{ appraisal_org }}土地估价师结合执业经验，对上述相关评估资料的真实性、合法性、有效性、适用性进行了尽职核实和专业判断。</w:t>
      </w:r>
    </w:p>
    <w:p w14:paraId="413C68F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5.委托方对所提供资料的真实性负责，估价机构对所收集资料的真实性、准确性负责。</w:t>
      </w:r>
    </w:p>
    <w:p w14:paraId="10511C7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（二）对估价结果和估价工作可能影响的变化事项</w:t>
      </w:r>
    </w:p>
    <w:p w14:paraId="7FE3879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1.本次估价所引用的地价指数是根据当地土地管理部门公布的信息和估价对象所在区域土地市场的变化状况编制的；</w:t>
      </w:r>
    </w:p>
    <w:p w14:paraId="3903F42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本报告结果是在满足地价定义所设定条件下的国有土地使用权价格，所在估价报告有效期内，估价对象的土地利用方式、估价期日、土地开发程度、土地使用年限、土地面积等影响地价的因素发生变化，该估价结果应作相应调整；</w:t>
      </w:r>
    </w:p>
    <w:p w14:paraId="77F44C0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3.本估价报告中的项目开发方式是在满足最有效利用原则下，参照行业通行的做法及结合估价师自身的估价经验确定的，如与以后批准的建筑设计指标有出入而引起地价的变化，土地价格需重新评估。</w:t>
      </w:r>
    </w:p>
    <w:p w14:paraId="44AACDD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（三）估价对象的特殊性、估价中未考虑的因素及采取的特殊处理</w:t>
      </w:r>
    </w:p>
    <w:p w14:paraId="39BB669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1.我们此次评估以估价对象已完成安置补偿为前提；</w:t>
      </w:r>
    </w:p>
    <w:p w14:paraId="2B6BA92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本报告中数据全部采用计算机连续运算得出，由于在技术报告中的计算方式数据均按四舍五入保留两位小数或取整，因此可能出现个别等式左右两边不完全相等的情况。此为正常情况，不影响计算结果及最终评估结论的准确性；</w:t>
      </w:r>
    </w:p>
    <w:p w14:paraId="6839BD7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3.本报告所示货币种类为人民币。</w:t>
      </w:r>
    </w:p>
    <w:p w14:paraId="6C3FF39D">
      <w:pPr>
        <w:rPr>
          <w:rFonts w:hint="eastAsia"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br w:type="page"/>
      </w:r>
    </w:p>
    <w:p w14:paraId="36168FE4">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十一、土地估价师签字</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98"/>
        <w:gridCol w:w="2925"/>
        <w:gridCol w:w="2799"/>
      </w:tblGrid>
      <w:tr w14:paraId="57F893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17" w:hRule="atLeast"/>
        </w:trPr>
        <w:tc>
          <w:tcPr>
            <w:tcW w:w="3093" w:type="dxa"/>
            <w:tcBorders>
              <w:tl2br w:val="nil"/>
              <w:tr2bl w:val="nil"/>
            </w:tcBorders>
            <w:vAlign w:val="center"/>
          </w:tcPr>
          <w:p w14:paraId="4C1055E2">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估价师姓名</w:t>
            </w:r>
          </w:p>
        </w:tc>
        <w:tc>
          <w:tcPr>
            <w:tcW w:w="3093" w:type="dxa"/>
            <w:tcBorders>
              <w:tl2br w:val="nil"/>
              <w:tr2bl w:val="nil"/>
            </w:tcBorders>
            <w:vAlign w:val="center"/>
          </w:tcPr>
          <w:p w14:paraId="27853007">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土地估价师资格证号</w:t>
            </w:r>
          </w:p>
        </w:tc>
        <w:tc>
          <w:tcPr>
            <w:tcW w:w="3093" w:type="dxa"/>
            <w:tcBorders>
              <w:tl2br w:val="nil"/>
              <w:tr2bl w:val="nil"/>
            </w:tcBorders>
            <w:vAlign w:val="center"/>
          </w:tcPr>
          <w:p w14:paraId="3EA5FC2B">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签    字</w:t>
            </w:r>
          </w:p>
        </w:tc>
      </w:tr>
      <w:tr w14:paraId="698057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20" w:hRule="atLeast"/>
        </w:trPr>
        <w:tc>
          <w:tcPr>
            <w:tcW w:w="3093" w:type="dxa"/>
            <w:tcBorders>
              <w:tl2br w:val="nil"/>
              <w:tr2bl w:val="nil"/>
            </w:tcBorders>
            <w:vAlign w:val="center"/>
          </w:tcPr>
          <w:p w14:paraId="1D448017">
            <w:pPr>
              <w:keepNext w:val="0"/>
              <w:keepLines w:val="0"/>
              <w:suppressLineNumbers w:val="0"/>
              <w:spacing w:before="120" w:beforeLines="50" w:beforeAutospacing="0" w:after="240" w:afterLines="100" w:afterAutospacing="0" w:line="440" w:lineRule="exact"/>
              <w:ind w:left="0" w:leftChars="0" w:right="0" w:rightChars="0"/>
              <w:jc w:val="cente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谢良元</w:t>
            </w:r>
          </w:p>
        </w:tc>
        <w:tc>
          <w:tcPr>
            <w:tcW w:w="3093" w:type="dxa"/>
            <w:tcBorders>
              <w:tl2br w:val="nil"/>
              <w:tr2bl w:val="nil"/>
            </w:tcBorders>
            <w:vAlign w:val="center"/>
          </w:tcPr>
          <w:p w14:paraId="65796B58">
            <w:pPr>
              <w:keepNext w:val="0"/>
              <w:keepLines w:val="0"/>
              <w:suppressLineNumbers w:val="0"/>
              <w:spacing w:before="0" w:beforeAutospacing="0" w:after="0" w:afterAutospacing="0" w:line="460" w:lineRule="exact"/>
              <w:ind w:left="0" w:leftChars="0" w:right="0" w:rightChars="0" w:firstLine="0" w:firstLineChars="0"/>
              <w:jc w:val="center"/>
              <w:rPr>
                <w:rFonts w:hint="eastAsia" w:ascii="仿宋_GB2312" w:hAnsi="仿宋_GB2312" w:eastAsia="仿宋_GB2312" w:cs="仿宋_GB2312"/>
                <w:color w:val="000000" w:themeColor="text1"/>
                <w:sz w:val="28"/>
                <w:szCs w:val="1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2019430003</w:t>
            </w:r>
          </w:p>
        </w:tc>
        <w:tc>
          <w:tcPr>
            <w:tcW w:w="3093" w:type="dxa"/>
            <w:tcBorders>
              <w:tl2br w:val="nil"/>
              <w:tr2bl w:val="nil"/>
            </w:tcBorders>
          </w:tcPr>
          <w:p w14:paraId="1DC309EB">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p>
        </w:tc>
      </w:tr>
      <w:tr w14:paraId="0B53B2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66" w:hRule="atLeast"/>
        </w:trPr>
        <w:tc>
          <w:tcPr>
            <w:tcW w:w="3093" w:type="dxa"/>
            <w:tcBorders>
              <w:tl2br w:val="nil"/>
              <w:tr2bl w:val="nil"/>
            </w:tcBorders>
            <w:vAlign w:val="center"/>
          </w:tcPr>
          <w:p w14:paraId="1C17DE07">
            <w:pPr>
              <w:keepNext w:val="0"/>
              <w:keepLines w:val="0"/>
              <w:suppressLineNumbers w:val="0"/>
              <w:spacing w:before="120" w:beforeLines="50" w:beforeAutospacing="0" w:after="240" w:afterLines="100" w:afterAutospacing="0" w:line="440" w:lineRule="exact"/>
              <w:ind w:left="0" w:leftChars="0" w:right="0" w:rightChars="0"/>
              <w:jc w:val="center"/>
              <w:rPr>
                <w:rFonts w:hint="default" w:ascii="仿宋_GB2312" w:hAnsi="仿宋_GB2312" w:eastAsia="仿宋_GB2312" w:cs="仿宋_GB2312"/>
                <w:color w:val="000000" w:themeColor="text1"/>
                <w:sz w:val="28"/>
                <w:szCs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彭翀</w:t>
            </w:r>
          </w:p>
        </w:tc>
        <w:tc>
          <w:tcPr>
            <w:tcW w:w="3093" w:type="dxa"/>
            <w:tcBorders>
              <w:tl2br w:val="nil"/>
              <w:tr2bl w:val="nil"/>
            </w:tcBorders>
            <w:vAlign w:val="center"/>
          </w:tcPr>
          <w:p w14:paraId="3CD3FA03">
            <w:pPr>
              <w:keepNext w:val="0"/>
              <w:keepLines w:val="0"/>
              <w:suppressLineNumbers w:val="0"/>
              <w:spacing w:before="0" w:beforeAutospacing="0" w:after="0" w:afterAutospacing="0" w:line="480" w:lineRule="exact"/>
              <w:ind w:left="0" w:leftChars="0" w:right="0" w:rightChars="0" w:firstLine="0" w:firstLineChars="0"/>
              <w:jc w:val="center"/>
              <w:rPr>
                <w:rFonts w:hint="eastAsia" w:ascii="仿宋_GB2312" w:hAnsi="仿宋_GB2312" w:eastAsia="仿宋_GB2312" w:cs="仿宋_GB2312"/>
                <w:color w:val="000000" w:themeColor="text1"/>
                <w:sz w:val="28"/>
                <w:szCs w:val="1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2004450008</w:t>
            </w:r>
          </w:p>
        </w:tc>
        <w:tc>
          <w:tcPr>
            <w:tcW w:w="3093" w:type="dxa"/>
            <w:tcBorders>
              <w:tl2br w:val="nil"/>
              <w:tr2bl w:val="nil"/>
            </w:tcBorders>
          </w:tcPr>
          <w:p w14:paraId="12382CDA">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p>
        </w:tc>
      </w:tr>
    </w:tbl>
    <w:p w14:paraId="1541E1CE">
      <w:pPr>
        <w:spacing w:line="480" w:lineRule="exact" w:before="0" w:after="0"/>
        <w:ind w:firstLine="562" w:firstLineChars="200"/>
        <w:outlineLvl w:val="2"/>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lang w:val="en-US" w:eastAsia="zh-CN"/>
          <w14:textFill>
            <w14:solidFill>
              <w14:schemeClr w14:val="tx1"/>
            </w14:solidFill>
          </w14:textFill>
        </w:rPr>
        <w:t>十二</w:t>
      </w:r>
      <w:r>
        <w:rPr>
          <w:rFonts w:hint="eastAsia" w:ascii="宋体" w:eastAsia="宋体" w:hAnsi="宋体" w:cs="宋体"/>
          <w:b/>
          <w:color w:val="000000" w:themeColor="text1"/>
          <w:sz w:val="28"/>
          <w:szCs w:val="28"/>
          <w:highlight w:val="none"/>
          <w14:textFill>
            <w14:solidFill>
              <w14:schemeClr w14:val="tx1"/>
            </w14:solidFill>
          </w14:textFill>
        </w:rPr>
        <w:t>、土地估价机构</w:t>
      </w:r>
    </w:p>
    <w:p w14:paraId="29C8241E">
      <w:pPr>
        <w:tabs>
          <w:tab w:val="left" w:pos="3780"/>
        </w:tabs>
        <w:spacing w:before="0" w:beforeLines="100" w:line="480" w:lineRule="exact" w:after="0"/>
        <w:jc w:val="left"/>
        <w:rPr>
          <w:rFonts w:hint="eastAsia" w:ascii="仿宋_GB2312" w:eastAsia="仿宋_GB2312"/>
          <w:color w:val="000000" w:themeColor="text1"/>
          <w:sz w:val="28"/>
          <w:highlight w:val="none"/>
          <w14:textFill>
            <w14:solidFill>
              <w14:schemeClr w14:val="tx1"/>
            </w14:solidFill>
          </w14:textFill>
        </w:rPr>
      </w:pPr>
      <w:r>
        <w:rPr>
          <w:rFonts w:hint="eastAsia" w:ascii="仿宋_GB2312" w:eastAsia="仿宋_GB2312" w:hAnsi="仿宋_GB2312" w:cs="仿宋_GB2312"/>
          <w:color w:val="000000" w:themeColor="text1"/>
          <w:sz w:val="28"/>
          <w:highlight w:val="none"/>
          <w14:textFill>
            <w14:solidFill>
              <w14:schemeClr w14:val="tx1"/>
            </w14:solidFill>
          </w14:textFill>
        </w:rPr>
        <w:t xml:space="preserve">   估价机构法定代表人签字：</w:t>
      </w:r>
    </w:p>
    <w:p w14:paraId="26F7102B">
      <w:pPr>
        <w:pStyle w:val="2"/>
        <w:rPr>
          <w:color w:val="000000" w:themeColor="text1"/>
          <w:highlight w:val="none"/>
          <w14:textFill>
            <w14:solidFill>
              <w14:schemeClr w14:val="tx1"/>
            </w14:solidFill>
          </w14:textFill>
        </w:rPr>
      </w:pPr>
    </w:p>
    <w:p w14:paraId="74287A11">
      <w:pPr>
        <w:keepNext w:val="0"/>
        <w:keepLines w:val="0"/>
        <w:pageBreakBefore w:val="0"/>
        <w:widowControl w:val="0"/>
        <w:kinsoku/>
        <w:wordWrap/>
        <w:overflowPunct/>
        <w:topLinePunct w:val="0"/>
        <w:autoSpaceDE/>
        <w:autoSpaceDN/>
        <w:bidi w:val="0"/>
        <w:spacing w:line="480" w:lineRule="exact"/>
        <w:ind w:right="140"/>
        <w:jc w:val="right"/>
        <w:textAlignment w:val="auto"/>
        <w:rPr>
          <w:rFonts w:ascii="仿宋_GB2312" w:eastAsia="仿宋_GB2312"/>
          <w:color w:val="000000" w:themeColor="text1"/>
          <w:sz w:val="28"/>
          <w:highlight w:val="none"/>
          <w14:textFill>
            <w14:solidFill>
              <w14:schemeClr w14:val="tx1"/>
            </w14:solidFill>
          </w14:textFill>
        </w:rPr>
      </w:pPr>
    </w:p>
    <w:p w14:paraId="3253D565">
      <w:pPr>
        <w:keepNext w:val="0"/>
        <w:keepLines w:val="0"/>
        <w:pageBreakBefore w:val="0"/>
        <w:widowControl w:val="0"/>
        <w:kinsoku/>
        <w:wordWrap/>
        <w:overflowPunct/>
        <w:topLinePunct w:val="0"/>
        <w:autoSpaceDE/>
        <w:autoSpaceDN/>
        <w:bidi w:val="0"/>
        <w:spacing w:line="480" w:lineRule="exact" w:before="0" w:after="0"/>
        <w:ind w:right="140"/>
        <w:jc w:val="right"/>
        <w:textAlignment w:val="auto"/>
        <w:outlineLvl w:val="9"/>
        <w:rPr>
          <w:rFonts w:ascii="仿宋_GB2312" w:eastAsia="仿宋_GB2312"/>
          <w:color w:val="000000" w:themeColor="text1"/>
          <w:sz w:val="28"/>
          <w:highlight w:val="none"/>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 appraisal_org }}</w:t>
      </w:r>
    </w:p>
    <w:p w14:paraId="49E3943B">
      <w:pPr>
        <w:pStyle w:val="13"/>
        <w:keepNext w:val="0"/>
        <w:keepLines w:val="0"/>
        <w:pageBreakBefore w:val="0"/>
        <w:widowControl w:val="0"/>
        <w:kinsoku/>
        <w:wordWrap/>
        <w:overflowPunct/>
        <w:topLinePunct w:val="0"/>
        <w:autoSpaceDE/>
        <w:autoSpaceDN/>
        <w:bidi w:val="0"/>
        <w:adjustRightInd/>
        <w:snapToGrid/>
        <w:spacing w:line="480" w:lineRule="exact" w:before="0" w:after="0"/>
        <w:ind w:firstLine="560"/>
        <w:textAlignment w:val="auto"/>
        <w:rPr>
          <w:rFonts w:hint="eastAsia" w:eastAsia="仿宋_GB2312"/>
          <w:color w:val="000000" w:themeColor="text1"/>
          <w:highlight w:val="none"/>
          <w:lang w:eastAsia="zh-CN"/>
          <w14:textFill>
            <w14:solidFill>
              <w14:schemeClr w14:val="tx1"/>
            </w14:solidFill>
          </w14:textFill>
        </w:rPr>
      </w:pPr>
      <w:r>
        <w:rPr>
          <w:rFonts w:ascii="仿宋_GB2312" w:hAnsi="仿宋_GB2312" w:eastAsia="仿宋_GB2312" w:cs="仿宋_GB2312"/>
          <w:color w:val="000000"/>
          <w:sz w:val="28"/>
        </w:rPr>
        <w:t xml:space="preserve">                                  {{ report_date }}</w:t>
      </w:r>
    </w:p>
    <w:p w14:paraId="4400C43F">
      <w:pPr>
        <w:keepNext w:val="0"/>
        <w:keepLines w:val="0"/>
        <w:pageBreakBefore w:val="0"/>
        <w:widowControl w:val="0"/>
        <w:kinsoku/>
        <w:wordWrap/>
        <w:overflowPunct/>
        <w:topLinePunct w:val="0"/>
        <w:autoSpaceDE/>
        <w:autoSpaceDN/>
        <w:bidi w:val="0"/>
        <w:adjustRightInd/>
        <w:snapToGrid/>
        <w:spacing w:line="480" w:lineRule="exact"/>
        <w:textAlignment w:val="auto"/>
        <w:rPr>
          <w:rFonts w:ascii="仿宋_GB2312" w:eastAsia="仿宋_GB2312"/>
          <w:color w:val="000000" w:themeColor="text1"/>
          <w:sz w:val="28"/>
          <w:highlight w:val="none"/>
          <w14:textFill>
            <w14:solidFill>
              <w14:schemeClr w14:val="tx1"/>
            </w14:solidFill>
          </w14:textFill>
        </w:rPr>
        <w:sectPr>
          <w:footerReference r:id="rId21" w:type="default"/>
          <w:endnotePr>
            <w:numFmt w:val="decimal"/>
          </w:endnotePr>
          <w:pgSz w:w="11906" w:h="16838"/>
          <w:pgMar w:top="1440" w:right="1800" w:bottom="1440" w:left="1800" w:header="851" w:footer="850" w:gutter="0"/>
          <w:pgNumType w:fmt="decimal"/>
          <w:cols w:space="720" w:num="1"/>
          <w:docGrid w:linePitch="312" w:charSpace="0"/>
        </w:sectPr>
      </w:pPr>
    </w:p>
    <w:p w14:paraId="0AC74737">
      <w:pPr>
        <w:spacing w:line="480" w:lineRule="exact" w:before="0" w:after="0"/>
        <w:ind w:left="538" w:hanging="537" w:hangingChars="192"/>
        <w:jc w:val="center"/>
        <w:outlineLvl w:val="3"/>
        <w:rPr>
          <w:rFonts w:hint="eastAsia" w:ascii="仿宋_GB2312" w:eastAsia="仿宋_GB2312"/>
          <w:b/>
          <w:bCs/>
          <w:color w:val="000000" w:themeColor="text1"/>
          <w:sz w:val="28"/>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highlight w:val="none"/>
          <w14:textFill>
            <w14:solidFill>
              <w14:schemeClr w14:val="tx1"/>
            </w14:solidFill>
          </w14:textFill>
        </w:rPr>
        <w:t xml:space="preserve"> </w:t>
      </w:r>
      <w:r>
        <w:rPr>
          <w:rFonts w:hint="eastAsia" w:ascii="仿宋_GB2312" w:eastAsia="仿宋_GB2312" w:hAnsi="仿宋_GB2312" w:cs="仿宋_GB2312"/>
          <w:b/>
          <w:bCs/>
          <w:color w:val="000000" w:themeColor="text1"/>
          <w:sz w:val="28"/>
          <w:highlight w:val="none"/>
          <w14:textFill>
            <w14:solidFill>
              <w14:schemeClr w14:val="tx1"/>
            </w14:solidFill>
          </w14:textFill>
        </w:rPr>
        <w:t xml:space="preserve">  土地估价结果一览表</w:t>
      </w:r>
      <w:r>
        <w:rPr>
          <w:rFonts w:hint="eastAsia" w:ascii="仿宋_GB2312" w:eastAsia="仿宋_GB2312" w:hAnsi="仿宋_GB2312" w:cs="仿宋_GB2312"/>
          <w:b/>
          <w:bCs/>
          <w:color w:val="000000" w:themeColor="text1"/>
          <w:sz w:val="28"/>
          <w:highlight w:val="none"/>
          <w:lang w:val="en-US" w:eastAsia="zh-CN"/>
          <w14:textFill>
            <w14:solidFill>
              <w14:schemeClr w14:val="tx1"/>
            </w14:solidFill>
          </w14:textFill>
        </w:rPr>
        <w:t xml:space="preserve"> </w:t>
      </w:r>
    </w:p>
    <w:p w14:paraId="2D9E7F20">
      <w:pPr>
        <w:spacing w:line="480" w:lineRule="exact" w:before="0" w:after="0"/>
        <w:ind w:left="-2478" w:leftChars="-1180" w:right="-227" w:firstLine="2625" w:firstLineChars="1250"/>
        <w:rPr>
          <w:rFonts w:hint="eastAsia" w:ascii="仿宋_GB2312" w:hAnsi="仿宋_GB2312" w:eastAsia="仿宋_GB2312" w:cs="仿宋_GB2312"/>
          <w:color w:val="000000" w:themeColor="text1"/>
          <w:szCs w:val="21"/>
          <w:highlight w:val="none"/>
          <w:lang w:eastAsia="zh-CN"/>
          <w14:textFill>
            <w14:solidFill>
              <w14:schemeClr w14:val="tx1"/>
            </w14:solidFill>
          </w14:textFill>
        </w:rPr>
      </w:pPr>
      <w:r>
        <w:rPr>
          <w:rFonts w:ascii="仿宋_GB2312" w:hAnsi="仿宋_GB2312" w:eastAsia="仿宋_GB2312" w:cs="仿宋_GB2312"/>
          <w:sz w:val="28"/>
        </w:rPr>
        <w:t>估价机构：{{ appraisal_org }}                                                                                估价期日：{{ valuation_date }}</w:t>
      </w:r>
    </w:p>
    <w:p w14:paraId="3F6401EE">
      <w:pPr>
        <w:spacing w:line="480" w:lineRule="exact" w:before="0" w:after="0"/>
        <w:ind w:right="-227" w:firstLine="105" w:firstLineChars="50"/>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t>估价报告编号：{{ technical_report_no }}                      估价目的：出让                       估价期日的土地使用权性质：拟出让</w:t>
      </w:r>
    </w:p>
    <w:tbl>
      <w:tblPr>
        <w:tblStyle w:val="9"/>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8"/>
        <w:gridCol w:w="975"/>
        <w:gridCol w:w="1126"/>
        <w:gridCol w:w="824"/>
        <w:gridCol w:w="809"/>
        <w:gridCol w:w="551"/>
        <w:gridCol w:w="611"/>
        <w:gridCol w:w="811"/>
        <w:gridCol w:w="463"/>
        <w:gridCol w:w="950"/>
        <w:gridCol w:w="1356"/>
        <w:gridCol w:w="1614"/>
        <w:gridCol w:w="840"/>
        <w:gridCol w:w="1007"/>
        <w:gridCol w:w="689"/>
        <w:gridCol w:w="721"/>
        <w:gridCol w:w="891"/>
        <w:gridCol w:w="683"/>
      </w:tblGrid>
      <w:tr w14:paraId="020E2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tblHeader/>
          <w:jc w:val="center"/>
        </w:trPr>
        <w:tc>
          <w:tcPr>
            <w:tcW w:w="254" w:type="pct"/>
            <w:vMerge w:val="restart"/>
            <w:vAlign w:val="center"/>
            <w:tcMar>
              <w:top w:w="35" w:type="dxa"/>
              <w:left w:w="35" w:type="dxa"/>
              <w:bottom w:w="35" w:type="dxa"/>
              <w:right w:w="35" w:type="dxa"/>
            </w:tcMar>
          </w:tcPr>
          <w:p w14:paraId="2E45760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估价期日土地使用者</w:t>
            </w:r>
          </w:p>
        </w:tc>
        <w:tc>
          <w:tcPr>
            <w:tcW w:w="310" w:type="pct"/>
            <w:vMerge w:val="restart"/>
            <w:vAlign w:val="center"/>
            <w:tcMar>
              <w:top w:w="35" w:type="dxa"/>
              <w:left w:w="35" w:type="dxa"/>
              <w:bottom w:w="35" w:type="dxa"/>
              <w:right w:w="35" w:type="dxa"/>
            </w:tcMar>
          </w:tcPr>
          <w:p w14:paraId="3F14AFC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宗地</w:t>
            </w:r>
          </w:p>
          <w:p w14:paraId="0C83D99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编号</w:t>
            </w:r>
          </w:p>
        </w:tc>
        <w:tc>
          <w:tcPr>
            <w:tcW w:w="358" w:type="pct"/>
            <w:vMerge w:val="restart"/>
            <w:vAlign w:val="center"/>
            <w:tcMar>
              <w:top w:w="35" w:type="dxa"/>
              <w:left w:w="35" w:type="dxa"/>
              <w:bottom w:w="35" w:type="dxa"/>
              <w:right w:w="35" w:type="dxa"/>
            </w:tcMar>
          </w:tcPr>
          <w:p w14:paraId="4AE433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宗地名称</w:t>
            </w:r>
          </w:p>
        </w:tc>
        <w:tc>
          <w:tcPr>
            <w:tcW w:w="262" w:type="pct"/>
            <w:vMerge w:val="restart"/>
            <w:vAlign w:val="center"/>
            <w:tcMar>
              <w:top w:w="35" w:type="dxa"/>
              <w:left w:w="35" w:type="dxa"/>
              <w:bottom w:w="35" w:type="dxa"/>
              <w:right w:w="35" w:type="dxa"/>
            </w:tcMar>
          </w:tcPr>
          <w:p w14:paraId="59B9192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土地使用证编号</w:t>
            </w:r>
          </w:p>
        </w:tc>
        <w:tc>
          <w:tcPr>
            <w:tcW w:w="626" w:type="pct"/>
            <w:gridSpan w:val="3"/>
            <w:vAlign w:val="center"/>
            <w:tcMar>
              <w:top w:w="35" w:type="dxa"/>
              <w:left w:w="35" w:type="dxa"/>
              <w:bottom w:w="35" w:type="dxa"/>
              <w:right w:w="35" w:type="dxa"/>
            </w:tcMar>
          </w:tcPr>
          <w:p w14:paraId="1BF04AD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估价期日的用途</w:t>
            </w:r>
          </w:p>
        </w:tc>
        <w:tc>
          <w:tcPr>
            <w:tcW w:w="706" w:type="pct"/>
            <w:gridSpan w:val="3"/>
            <w:vAlign w:val="center"/>
            <w:tcMar>
              <w:top w:w="35" w:type="dxa"/>
              <w:left w:w="35" w:type="dxa"/>
              <w:bottom w:w="35" w:type="dxa"/>
              <w:right w:w="35" w:type="dxa"/>
            </w:tcMar>
          </w:tcPr>
          <w:p w14:paraId="3E1472C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容积率</w:t>
            </w:r>
          </w:p>
        </w:tc>
        <w:tc>
          <w:tcPr>
            <w:tcW w:w="431" w:type="pct"/>
            <w:vMerge w:val="restart"/>
            <w:vAlign w:val="center"/>
            <w:tcMar>
              <w:top w:w="35" w:type="dxa"/>
              <w:left w:w="35" w:type="dxa"/>
              <w:bottom w:w="35" w:type="dxa"/>
              <w:right w:w="35" w:type="dxa"/>
            </w:tcMar>
          </w:tcPr>
          <w:p w14:paraId="2C34BB8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估价期日实际土地开发程度</w:t>
            </w:r>
          </w:p>
        </w:tc>
        <w:tc>
          <w:tcPr>
            <w:tcW w:w="513" w:type="pct"/>
            <w:vMerge w:val="restart"/>
            <w:vAlign w:val="center"/>
            <w:tcMar>
              <w:top w:w="35" w:type="dxa"/>
              <w:left w:w="35" w:type="dxa"/>
              <w:bottom w:w="35" w:type="dxa"/>
              <w:right w:w="35" w:type="dxa"/>
            </w:tcMar>
          </w:tcPr>
          <w:p w14:paraId="68D4D39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估价设定土地开发程度</w:t>
            </w:r>
          </w:p>
        </w:tc>
        <w:tc>
          <w:tcPr>
            <w:tcW w:w="267" w:type="pct"/>
            <w:vMerge w:val="restart"/>
            <w:vAlign w:val="center"/>
            <w:tcMar>
              <w:top w:w="35" w:type="dxa"/>
              <w:left w:w="35" w:type="dxa"/>
              <w:bottom w:w="35" w:type="dxa"/>
              <w:right w:w="35" w:type="dxa"/>
            </w:tcMar>
          </w:tcPr>
          <w:p w14:paraId="69605D8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剩余土地使用权年期（年）</w:t>
            </w:r>
          </w:p>
        </w:tc>
        <w:tc>
          <w:tcPr>
            <w:tcW w:w="320" w:type="pct"/>
            <w:vMerge w:val="restart"/>
            <w:vAlign w:val="center"/>
            <w:tcMar>
              <w:top w:w="35" w:type="dxa"/>
              <w:left w:w="35" w:type="dxa"/>
              <w:bottom w:w="35" w:type="dxa"/>
              <w:right w:w="35" w:type="dxa"/>
            </w:tcMar>
          </w:tcPr>
          <w:p w14:paraId="5789F92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面积(㎡)</w:t>
            </w:r>
          </w:p>
        </w:tc>
        <w:tc>
          <w:tcPr>
            <w:tcW w:w="219" w:type="pct"/>
            <w:vMerge w:val="restart"/>
            <w:vAlign w:val="center"/>
            <w:tcMar>
              <w:top w:w="35" w:type="dxa"/>
              <w:left w:w="35" w:type="dxa"/>
              <w:bottom w:w="35" w:type="dxa"/>
              <w:right w:w="35" w:type="dxa"/>
            </w:tcMar>
          </w:tcPr>
          <w:p w14:paraId="771137E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地面地价(元/㎡)</w:t>
            </w:r>
          </w:p>
        </w:tc>
        <w:tc>
          <w:tcPr>
            <w:tcW w:w="229" w:type="pct"/>
            <w:vMerge w:val="restart"/>
            <w:vAlign w:val="center"/>
            <w:tcMar>
              <w:top w:w="35" w:type="dxa"/>
              <w:left w:w="35" w:type="dxa"/>
              <w:bottom w:w="35" w:type="dxa"/>
              <w:right w:w="35" w:type="dxa"/>
            </w:tcMar>
          </w:tcPr>
          <w:p w14:paraId="7A2444B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楼面地价(元/㎡)</w:t>
            </w:r>
          </w:p>
        </w:tc>
        <w:tc>
          <w:tcPr>
            <w:tcW w:w="283" w:type="pct"/>
            <w:vMerge w:val="restart"/>
            <w:vAlign w:val="center"/>
            <w:tcMar>
              <w:top w:w="35" w:type="dxa"/>
              <w:left w:w="35" w:type="dxa"/>
              <w:bottom w:w="35" w:type="dxa"/>
              <w:right w:w="35" w:type="dxa"/>
            </w:tcMar>
          </w:tcPr>
          <w:p w14:paraId="24CBC0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总价</w:t>
            </w:r>
          </w:p>
          <w:p w14:paraId="5527E3B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(万元)</w:t>
            </w:r>
          </w:p>
        </w:tc>
        <w:tc>
          <w:tcPr>
            <w:tcW w:w="217" w:type="pct"/>
            <w:vMerge w:val="restart"/>
            <w:vAlign w:val="center"/>
            <w:tcMar>
              <w:top w:w="35" w:type="dxa"/>
              <w:left w:w="35" w:type="dxa"/>
              <w:bottom w:w="35" w:type="dxa"/>
              <w:right w:w="35" w:type="dxa"/>
            </w:tcMar>
          </w:tcPr>
          <w:p w14:paraId="5447EB2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备注</w:t>
            </w:r>
          </w:p>
        </w:tc>
      </w:tr>
      <w:tr w14:paraId="60C09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0" w:hRule="atLeast"/>
          <w:tblHeader/>
          <w:jc w:val="center"/>
        </w:trPr>
        <w:tc>
          <w:tcPr>
            <w:tcW w:w="254" w:type="pct"/>
            <w:vMerge w:val="continue"/>
            <w:vAlign w:val="center"/>
          </w:tcPr>
          <w:p w14:paraId="240571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10" w:type="pct"/>
            <w:vMerge w:val="continue"/>
            <w:vAlign w:val="center"/>
          </w:tcPr>
          <w:p w14:paraId="56CE40B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58" w:type="pct"/>
            <w:vMerge w:val="continue"/>
            <w:vAlign w:val="center"/>
          </w:tcPr>
          <w:p w14:paraId="3E0A7C0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62" w:type="pct"/>
            <w:vMerge w:val="continue"/>
            <w:vAlign w:val="center"/>
          </w:tcPr>
          <w:p w14:paraId="71F2FAA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57" w:type="pct"/>
            <w:vAlign w:val="center"/>
            <w:tcMar>
              <w:top w:w="35" w:type="dxa"/>
              <w:left w:w="35" w:type="dxa"/>
              <w:bottom w:w="35" w:type="dxa"/>
              <w:right w:w="35" w:type="dxa"/>
            </w:tcMar>
          </w:tcPr>
          <w:p w14:paraId="2D357C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证载（或批准）</w:t>
            </w:r>
          </w:p>
        </w:tc>
        <w:tc>
          <w:tcPr>
            <w:tcW w:w="175" w:type="pct"/>
            <w:vAlign w:val="center"/>
            <w:tcMar>
              <w:top w:w="35" w:type="dxa"/>
              <w:left w:w="35" w:type="dxa"/>
              <w:bottom w:w="35" w:type="dxa"/>
              <w:right w:w="35" w:type="dxa"/>
            </w:tcMar>
          </w:tcPr>
          <w:p w14:paraId="0517EBD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实际</w:t>
            </w:r>
          </w:p>
        </w:tc>
        <w:tc>
          <w:tcPr>
            <w:tcW w:w="194" w:type="pct"/>
            <w:vAlign w:val="center"/>
            <w:tcMar>
              <w:top w:w="35" w:type="dxa"/>
              <w:left w:w="35" w:type="dxa"/>
              <w:bottom w:w="35" w:type="dxa"/>
              <w:right w:w="35" w:type="dxa"/>
            </w:tcMar>
          </w:tcPr>
          <w:p w14:paraId="1EF5DD4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设定</w:t>
            </w:r>
          </w:p>
        </w:tc>
        <w:tc>
          <w:tcPr>
            <w:tcW w:w="257" w:type="pct"/>
            <w:vAlign w:val="center"/>
            <w:tcMar>
              <w:top w:w="35" w:type="dxa"/>
              <w:left w:w="35" w:type="dxa"/>
              <w:bottom w:w="35" w:type="dxa"/>
              <w:right w:w="35" w:type="dxa"/>
            </w:tcMar>
          </w:tcPr>
          <w:p w14:paraId="5E90F40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规划</w:t>
            </w:r>
          </w:p>
        </w:tc>
        <w:tc>
          <w:tcPr>
            <w:tcW w:w="147" w:type="pct"/>
            <w:vAlign w:val="center"/>
            <w:tcMar>
              <w:top w:w="35" w:type="dxa"/>
              <w:left w:w="35" w:type="dxa"/>
              <w:bottom w:w="35" w:type="dxa"/>
              <w:right w:w="35" w:type="dxa"/>
            </w:tcMar>
          </w:tcPr>
          <w:p w14:paraId="1D6701F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实际</w:t>
            </w:r>
          </w:p>
        </w:tc>
        <w:tc>
          <w:tcPr>
            <w:tcW w:w="300" w:type="pct"/>
            <w:vAlign w:val="center"/>
            <w:tcMar>
              <w:top w:w="35" w:type="dxa"/>
              <w:left w:w="35" w:type="dxa"/>
              <w:bottom w:w="35" w:type="dxa"/>
              <w:right w:w="35" w:type="dxa"/>
            </w:tcMar>
          </w:tcPr>
          <w:p w14:paraId="7940331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设定</w:t>
            </w:r>
          </w:p>
        </w:tc>
        <w:tc>
          <w:tcPr>
            <w:tcW w:w="431" w:type="pct"/>
            <w:vMerge w:val="continue"/>
            <w:vAlign w:val="center"/>
          </w:tcPr>
          <w:p w14:paraId="2F7C8B0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513" w:type="pct"/>
            <w:vMerge w:val="continue"/>
            <w:vAlign w:val="center"/>
          </w:tcPr>
          <w:p w14:paraId="2A8B7E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67" w:type="pct"/>
            <w:vMerge w:val="continue"/>
            <w:vAlign w:val="center"/>
          </w:tcPr>
          <w:p w14:paraId="02C5C48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20" w:type="pct"/>
            <w:vMerge w:val="continue"/>
            <w:vAlign w:val="center"/>
          </w:tcPr>
          <w:p w14:paraId="642B483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19" w:type="pct"/>
            <w:vMerge w:val="continue"/>
            <w:vAlign w:val="center"/>
          </w:tcPr>
          <w:p w14:paraId="1F8372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29" w:type="pct"/>
            <w:vMerge w:val="continue"/>
            <w:vAlign w:val="center"/>
          </w:tcPr>
          <w:p w14:paraId="4A4E5E4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83" w:type="pct"/>
            <w:vMerge w:val="continue"/>
            <w:vAlign w:val="center"/>
          </w:tcPr>
          <w:p w14:paraId="0B303F7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17" w:type="pct"/>
            <w:vMerge w:val="continue"/>
            <w:vAlign w:val="center"/>
          </w:tcPr>
          <w:p w14:paraId="717D6F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r>
      <w:tr w14:paraId="320F0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atLeast"/>
          <w:jc w:val="center"/>
        </w:trPr>
        <w:tc>
          <w:tcPr>
            <w:tcW w:w="254" w:type="pct"/>
            <w:vAlign w:val="center"/>
            <w:tcMar>
              <w:top w:w="35" w:type="dxa"/>
              <w:left w:w="35" w:type="dxa"/>
              <w:bottom w:w="35" w:type="dxa"/>
              <w:right w:w="35" w:type="dxa"/>
            </w:tcMar>
          </w:tcPr>
          <w:p w14:paraId="1A427A7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 land_user }}</w:t>
            </w:r>
          </w:p>
        </w:tc>
        <w:tc>
          <w:tcPr>
            <w:tcW w:w="310" w:type="pct"/>
            <w:vAlign w:val="center"/>
            <w:tcMar>
              <w:top w:w="35" w:type="dxa"/>
              <w:left w:w="35" w:type="dxa"/>
              <w:bottom w:w="35" w:type="dxa"/>
              <w:right w:w="35" w:type="dxa"/>
            </w:tcMar>
          </w:tcPr>
          <w:p w14:paraId="38125FC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
              <w:rPr>
                <w:rFonts w:ascii="仿宋_GB2312" w:hAnsi="仿宋_GB2312" w:eastAsia="仿宋_GB2312" w:cs="仿宋_GB2312"/>
                <w:color w:val="000000"/>
                <w:sz w:val="16"/>
              </w:rPr>
              <w:t>{{ land_plot_number }}</w:t>
            </w:r>
          </w:p>
        </w:tc>
        <w:tc>
          <w:tcPr>
            <w:tcW w:w="358" w:type="pct"/>
            <w:vAlign w:val="center"/>
            <w:tcMar>
              <w:top w:w="35" w:type="dxa"/>
              <w:left w:w="35" w:type="dxa"/>
              <w:bottom w:w="35" w:type="dxa"/>
              <w:right w:w="35" w:type="dxa"/>
            </w:tcMar>
          </w:tcPr>
          <w:p w14:paraId="565E584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
              <w:rPr>
                <w:rFonts w:ascii="仿宋_GB2312" w:hAnsi="仿宋_GB2312" w:eastAsia="仿宋_GB2312" w:cs="仿宋_GB2312"/>
                <w:color w:val="000000"/>
                <w:sz w:val="16"/>
              </w:rPr>
              <w:t>{{ land_location }}{{ land_plot_number }}</w:t>
            </w:r>
          </w:p>
        </w:tc>
        <w:tc>
          <w:tcPr>
            <w:tcW w:w="262" w:type="pct"/>
            <w:vAlign w:val="center"/>
            <w:tcMar>
              <w:top w:w="35" w:type="dxa"/>
              <w:left w:w="35" w:type="dxa"/>
              <w:bottom w:w="35" w:type="dxa"/>
              <w:right w:w="35" w:type="dxa"/>
            </w:tcMar>
          </w:tcPr>
          <w:p w14:paraId="05E391A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待办</w:t>
            </w:r>
          </w:p>
        </w:tc>
        <w:tc>
          <w:tcPr>
            <w:tcW w:w="257" w:type="pct"/>
            <w:vAlign w:val="center"/>
            <w:tcMar>
              <w:top w:w="35" w:type="dxa"/>
              <w:left w:w="35" w:type="dxa"/>
              <w:bottom w:w="35" w:type="dxa"/>
              <w:right w:w="35" w:type="dxa"/>
            </w:tcMar>
          </w:tcPr>
          <w:p w14:paraId="61EE4C0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land_usage_short }}</w:t>
            </w:r>
          </w:p>
        </w:tc>
        <w:tc>
          <w:tcPr>
            <w:tcW w:w="175" w:type="pct"/>
            <w:vAlign w:val="center"/>
            <w:tcMar>
              <w:top w:w="35" w:type="dxa"/>
              <w:left w:w="35" w:type="dxa"/>
              <w:bottom w:w="35" w:type="dxa"/>
              <w:right w:w="35" w:type="dxa"/>
            </w:tcMar>
          </w:tcPr>
          <w:p w14:paraId="4AEB17C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w:t>
            </w:r>
          </w:p>
        </w:tc>
        <w:tc>
          <w:tcPr>
            <w:tcW w:w="194" w:type="pct"/>
            <w:vAlign w:val="center"/>
            <w:tcMar>
              <w:top w:w="35" w:type="dxa"/>
              <w:left w:w="35" w:type="dxa"/>
              <w:bottom w:w="35" w:type="dxa"/>
              <w:right w:w="35" w:type="dxa"/>
            </w:tcMar>
          </w:tcPr>
          <w:p w14:paraId="159C3B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land_usage_short }}</w:t>
            </w:r>
          </w:p>
        </w:tc>
        <w:tc>
          <w:tcPr>
            <w:tcW w:w="257" w:type="pct"/>
            <w:vAlign w:val="center"/>
            <w:tcMar>
              <w:top w:w="35" w:type="dxa"/>
              <w:left w:w="35" w:type="dxa"/>
              <w:bottom w:w="35" w:type="dxa"/>
              <w:right w:w="35" w:type="dxa"/>
            </w:tcMar>
          </w:tcPr>
          <w:p w14:paraId="152F363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plot_ratio_display }}</w:t>
            </w:r>
          </w:p>
        </w:tc>
        <w:tc>
          <w:tcPr>
            <w:tcW w:w="147" w:type="pct"/>
            <w:vAlign w:val="center"/>
            <w:tcMar>
              <w:top w:w="35" w:type="dxa"/>
              <w:left w:w="35" w:type="dxa"/>
              <w:bottom w:w="35" w:type="dxa"/>
              <w:right w:w="35" w:type="dxa"/>
            </w:tcMar>
          </w:tcPr>
          <w:p w14:paraId="5EB5BF3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w:t>
            </w:r>
          </w:p>
        </w:tc>
        <w:tc>
          <w:tcPr>
            <w:tcW w:w="300" w:type="pct"/>
            <w:vAlign w:val="center"/>
            <w:tcMar>
              <w:top w:w="35" w:type="dxa"/>
              <w:left w:w="35" w:type="dxa"/>
              <w:bottom w:w="35" w:type="dxa"/>
              <w:right w:w="35" w:type="dxa"/>
            </w:tcMar>
          </w:tcPr>
          <w:p w14:paraId="6EABBF8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plot_ratio }}</w:t>
            </w:r>
          </w:p>
        </w:tc>
        <w:tc>
          <w:tcPr>
            <w:tcW w:w="431" w:type="pct"/>
            <w:vAlign w:val="center"/>
            <w:tcMar>
              <w:top w:w="35" w:type="dxa"/>
              <w:left w:w="35" w:type="dxa"/>
              <w:bottom w:w="35" w:type="dxa"/>
              <w:right w:w="35" w:type="dxa"/>
            </w:tcMar>
          </w:tcPr>
          <w:p w14:paraId="5182F01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 land_development_actual }}</w:t>
            </w: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r>
            <w:r>
              <w:rPr>
                <w:rFonts w:hint="eastAsia" w:ascii="宋体" w:hAnsi="宋体" w:eastAsia="宋体" w:cs="宋体"/>
                <w:color w:val="000000" w:themeColor="text1"/>
                <w:spacing w:val="-20"/>
                <w:sz w:val="16"/>
                <w:szCs w:val="21"/>
                <w:highlight w:val="none"/>
                <w:lang w:eastAsia="zh-CN"/>
                <w14:textFill>
                  <w14:solidFill>
                    <w14:schemeClr w14:val="tx1"/>
                  </w14:solidFill>
                </w14:textFill>
              </w:rPr>
            </w:r>
          </w:p>
        </w:tc>
        <w:tc>
          <w:tcPr>
            <w:tcW w:w="513" w:type="pct"/>
            <w:vAlign w:val="center"/>
            <w:tcMar>
              <w:top w:w="35" w:type="dxa"/>
              <w:left w:w="35" w:type="dxa"/>
              <w:bottom w:w="35" w:type="dxa"/>
              <w:right w:w="35" w:type="dxa"/>
            </w:tcMar>
          </w:tcPr>
          <w:p w14:paraId="22DBE50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 land_development_set }}</w:t>
            </w: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r>
            <w:r>
              <w:rPr>
                <w:rFonts w:hint="eastAsia" w:ascii="宋体" w:hAnsi="宋体" w:eastAsia="宋体" w:cs="宋体"/>
                <w:color w:val="000000" w:themeColor="text1"/>
                <w:spacing w:val="-20"/>
                <w:sz w:val="16"/>
                <w:szCs w:val="21"/>
                <w:highlight w:val="none"/>
                <w:lang w:eastAsia="zh-CN"/>
                <w14:textFill>
                  <w14:solidFill>
                    <w14:schemeClr w14:val="tx1"/>
                  </w14:solidFill>
                </w14:textFill>
              </w:rPr>
            </w:r>
          </w:p>
        </w:tc>
        <w:tc>
          <w:tcPr>
            <w:tcW w:w="267" w:type="pct"/>
            <w:vAlign w:val="center"/>
            <w:tcMar>
              <w:top w:w="35" w:type="dxa"/>
              <w:left w:w="35" w:type="dxa"/>
              <w:bottom w:w="35" w:type="dxa"/>
              <w:right w:w="35" w:type="dxa"/>
            </w:tcMar>
          </w:tcPr>
          <w:p w14:paraId="3C29191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land_use_term_years }}</w:t>
            </w:r>
          </w:p>
        </w:tc>
        <w:tc>
          <w:tcPr>
            <w:tcW w:w="320" w:type="pct"/>
            <w:vAlign w:val="center"/>
            <w:tcMar>
              <w:top w:w="35" w:type="dxa"/>
              <w:left w:w="35" w:type="dxa"/>
              <w:bottom w:w="35" w:type="dxa"/>
              <w:right w:w="35" w:type="dxa"/>
            </w:tcMar>
          </w:tcPr>
          <w:p w14:paraId="1F7F662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
              <w:rPr>
                <w:rFonts w:ascii="仿宋_GB2312" w:hAnsi="仿宋_GB2312" w:eastAsia="仿宋_GB2312" w:cs="仿宋_GB2312"/>
                <w:color w:val="000000"/>
                <w:sz w:val="16"/>
              </w:rPr>
              <w:t>{{ land_area }}</w:t>
            </w:r>
          </w:p>
        </w:tc>
        <w:tc>
          <w:tcPr>
            <w:tcW w:w="219" w:type="pct"/>
            <w:vAlign w:val="center"/>
            <w:tcMar>
              <w:top w:w="35" w:type="dxa"/>
              <w:left w:w="35" w:type="dxa"/>
              <w:bottom w:w="35" w:type="dxa"/>
              <w:right w:w="35" w:type="dxa"/>
            </w:tcMar>
          </w:tcPr>
          <w:p w14:paraId="0FFD06A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ascii="仿宋_GB2312" w:hAnsi="仿宋_GB2312" w:eastAsia="仿宋_GB2312" w:cs="仿宋_GB2312"/>
                <w:color w:val="000000"/>
                <w:sz w:val="16"/>
              </w:rPr>
              <w:t>{{ final_unit_price }}</w:t>
            </w:r>
          </w:p>
        </w:tc>
        <w:tc>
          <w:tcPr>
            <w:tcW w:w="229" w:type="pct"/>
            <w:vAlign w:val="center"/>
            <w:tcMar>
              <w:top w:w="35" w:type="dxa"/>
              <w:left w:w="35" w:type="dxa"/>
              <w:bottom w:w="35" w:type="dxa"/>
              <w:right w:w="35" w:type="dxa"/>
            </w:tcMar>
          </w:tcPr>
          <w:p w14:paraId="46A3BE6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w:t>
            </w:r>
          </w:p>
        </w:tc>
        <w:tc>
          <w:tcPr>
            <w:tcW w:w="283" w:type="pct"/>
            <w:shd w:val="clear" w:color="auto" w:fill="auto"/>
            <w:vAlign w:val="center"/>
            <w:tcMar>
              <w:top w:w="35" w:type="dxa"/>
              <w:left w:w="35" w:type="dxa"/>
              <w:bottom w:w="35" w:type="dxa"/>
              <w:right w:w="35" w:type="dxa"/>
            </w:tcMar>
          </w:tcPr>
          <w:p w14:paraId="113C291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等线" w:hAnsi="等线" w:eastAsia="等线" w:cs="等线"/>
                <w:i w:val="0"/>
                <w:iCs w:val="0"/>
                <w:color w:val="000000" w:themeColor="text1"/>
                <w:kern w:val="2"/>
                <w:sz w:val="22"/>
                <w:szCs w:val="22"/>
                <w:highlight w:val="none"/>
                <w:u w:val="none"/>
                <w:lang w:val="en-US" w:eastAsia="zh-CN" w:bidi="ar-SA"/>
                <w14:textFill>
                  <w14:solidFill>
                    <w14:schemeClr w14:val="tx1"/>
                  </w14:solidFill>
                </w14:textFill>
              </w:rPr>
            </w:pPr>
            <w:r>
              <w:rPr>
                <w:rFonts w:ascii="仿宋_GB2312" w:hAnsi="仿宋_GB2312" w:eastAsia="仿宋_GB2312" w:cs="仿宋_GB2312"/>
                <w:color w:val="000000"/>
                <w:sz w:val="16"/>
              </w:rPr>
              <w:t>{{ final_total_price }}</w:t>
            </w:r>
          </w:p>
        </w:tc>
        <w:tc>
          <w:tcPr>
            <w:tcW w:w="217" w:type="pct"/>
            <w:vAlign w:val="center"/>
            <w:tcMar>
              <w:top w:w="35" w:type="dxa"/>
              <w:left w:w="35" w:type="dxa"/>
              <w:bottom w:w="35" w:type="dxa"/>
              <w:right w:w="35" w:type="dxa"/>
            </w:tcMar>
          </w:tcPr>
          <w:p w14:paraId="564A63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合</w:t>
            </w:r>
            <w:r>
              <w:rPr>
                <w:rFonts w:hint="eastAsia" w:ascii="宋体" w:hAnsi="宋体" w:eastAsia="宋体" w:cs="宋体"/>
                <w:color w:val="000000" w:themeColor="text1"/>
                <w:spacing w:val="0"/>
                <w:sz w:val="16"/>
                <w:szCs w:val="21"/>
                <w:highlight w:val="none"/>
                <w:lang w:val="en-US" w:eastAsia="zh-CN"/>
                <w14:textFill>
                  <w14:solidFill>
                    <w14:schemeClr w14:val="tx1"/>
                  </w14:solidFill>
                </w14:textFill>
              </w:rPr>
              <w:t>10.7</w:t>
            </w: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万元/亩</w:t>
            </w:r>
          </w:p>
        </w:tc>
      </w:tr>
    </w:tbl>
    <w:p w14:paraId="5EA0BA2B">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注：上表中“</w:t>
      </w:r>
      <w:r>
        <w:rPr>
          <w:rFonts w:hint="eastAsia" w:ascii="仿宋_GB2312" w:hAnsi="仿宋_GB2312" w:eastAsia="仿宋_GB2312" w:cs="仿宋_GB2312"/>
          <w:color w:val="000000" w:themeColor="text1"/>
          <w:sz w:val="28"/>
          <w:szCs w:val="21"/>
          <w:highlight w:val="none"/>
          <w:lang w:val="en-US" w:eastAsia="zh-CN"/>
          <w14:textFill>
            <w14:solidFill>
              <w14:schemeClr w14:val="tx1"/>
            </w14:solidFill>
          </w14:textFill>
        </w:rPr>
        <w:t>五通</w:t>
      </w:r>
      <w:r>
        <w:rPr>
          <w:rFonts w:hint="eastAsia" w:ascii="仿宋_GB2312" w:hAnsi="仿宋_GB2312" w:eastAsia="仿宋_GB2312" w:cs="仿宋_GB2312"/>
          <w:color w:val="000000" w:themeColor="text1"/>
          <w:sz w:val="28"/>
          <w:szCs w:val="21"/>
          <w:highlight w:val="none"/>
          <w14:textFill>
            <w14:solidFill>
              <w14:schemeClr w14:val="tx1"/>
            </w14:solidFill>
          </w14:textFill>
        </w:rPr>
        <w:t>”指宗地红外围通路、通电、通讯</w:t>
      </w:r>
      <w:r>
        <w:rPr>
          <w:rFonts w:hint="eastAsia" w:ascii="仿宋_GB2312" w:hAnsi="仿宋_GB2312" w:eastAsia="仿宋_GB2312" w:cs="仿宋_GB2312"/>
          <w:color w:val="000000" w:themeColor="text1"/>
          <w:sz w:val="28"/>
          <w:szCs w:val="21"/>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1"/>
          <w:highlight w:val="none"/>
          <w:lang w:val="en-US" w:eastAsia="zh-CN"/>
          <w14:textFill>
            <w14:solidFill>
              <w14:schemeClr w14:val="tx1"/>
            </w14:solidFill>
          </w14:textFill>
        </w:rPr>
        <w:t>供水、排水</w:t>
      </w:r>
      <w:r>
        <w:rPr>
          <w:rFonts w:hint="eastAsia" w:ascii="仿宋_GB2312" w:hAnsi="仿宋_GB2312" w:eastAsia="仿宋_GB2312" w:cs="仿宋_GB2312"/>
          <w:color w:val="000000" w:themeColor="text1"/>
          <w:sz w:val="28"/>
          <w:szCs w:val="21"/>
          <w:highlight w:val="none"/>
          <w14:textFill>
            <w14:solidFill>
              <w14:schemeClr w14:val="tx1"/>
            </w14:solidFill>
          </w14:textFill>
        </w:rPr>
        <w:t>。</w:t>
      </w:r>
    </w:p>
    <w:p w14:paraId="70A56C7C">
      <w:pPr>
        <w:keepNext w:val="0"/>
        <w:keepLines w:val="0"/>
        <w:pageBreakBefore w:val="0"/>
        <w:widowControl w:val="0"/>
        <w:tabs>
          <w:tab w:val="left" w:pos="560"/>
        </w:tabs>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宋体" w:hAnsi="宋体" w:eastAsia="宋体" w:cs="宋体"/>
          <w:b/>
          <w:color w:val="000000" w:themeColor="text1"/>
          <w:sz w:val="28"/>
          <w:szCs w:val="21"/>
          <w:highlight w:val="none"/>
          <w14:textFill>
            <w14:solidFill>
              <w14:schemeClr w14:val="tx1"/>
            </w14:solidFill>
          </w14:textFill>
        </w:rPr>
        <w:t>一、上述土地估价结果的限定条件</w:t>
      </w:r>
    </w:p>
    <w:p w14:paraId="11A3E73B">
      <w:pPr>
        <w:keepNext w:val="0"/>
        <w:keepLines w:val="0"/>
        <w:pageBreakBefore w:val="0"/>
        <w:widowControl w:val="0"/>
        <w:tabs>
          <w:tab w:val="left" w:pos="560"/>
        </w:tabs>
        <w:kinsoku/>
        <w:wordWrap/>
        <w:overflowPunct/>
        <w:topLinePunct w:val="0"/>
        <w:autoSpaceDE/>
        <w:autoSpaceDN/>
        <w:bidi w:val="0"/>
        <w:adjustRightInd/>
        <w:snapToGrid/>
        <w:spacing w:line="480" w:lineRule="exact" w:before="0" w:after="0"/>
        <w:ind w:left="-283" w:leftChars="-135" w:firstLine="707" w:firstLineChars="337"/>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t>1.根据《关于国有建设用地的规划条件的函》（2025年9月11日），估价对象位于{{ land_location_full }}，估价对象土地所有权为国有，本次评估设定土地使用权性质为{{ right_type }}，土地使用者为{{ land_user }}。根据委托方提供相关资料和估价人员调查结果，截至估价期日估价对象未有抵押权、地役权、租赁权等他项权利登记，本次评估设定估价对象地上无抵押权、地役权、租赁权等他项权利登记；</w:t>
      </w:r>
      <w:r>
        <w:rPr>
          <w:rFonts w:ascii="仿宋_GB2312" w:hAnsi="仿宋_GB2312" w:eastAsia="仿宋_GB2312" w:cs="仿宋_GB2312"/>
          <w:color w:val="000000"/>
          <w:sz w:val="28"/>
        </w:rPr>
      </w:r>
    </w:p>
    <w:p w14:paraId="764C00F5">
      <w:pPr>
        <w:keepNext w:val="0"/>
        <w:keepLines w:val="0"/>
        <w:pageBreakBefore w:val="0"/>
        <w:widowControl w:val="0"/>
        <w:tabs>
          <w:tab w:val="left" w:pos="560"/>
        </w:tabs>
        <w:kinsoku/>
        <w:wordWrap/>
        <w:overflowPunct/>
        <w:topLinePunct w:val="0"/>
        <w:autoSpaceDE/>
        <w:autoSpaceDN/>
        <w:bidi w:val="0"/>
        <w:adjustRightInd/>
        <w:snapToGrid/>
        <w:spacing w:line="480" w:lineRule="exact" w:before="0" w:after="0"/>
        <w:ind w:left="-283" w:leftChars="-135" w:firstLine="707" w:firstLineChars="337"/>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2.基础设施条件：估价对象土地实际开发程度为{{ land_development_actual }}，详见下表。</w:t>
      </w:r>
      <w:r>
        <w:rPr>
          <w:rFonts w:hint="eastAsia" w:ascii="仿宋_GB2312" w:hAnsi="仿宋_GB2312" w:eastAsia="仿宋_GB2312" w:cs="仿宋_GB2312"/>
          <w:color w:val="000000" w:themeColor="text1"/>
          <w:sz w:val="28"/>
          <w:szCs w:val="21"/>
          <w:highlight w:val="none"/>
          <w:lang w:eastAsia="zh-CN"/>
          <w14:textFill>
            <w14:solidFill>
              <w14:schemeClr w14:val="tx1"/>
            </w14:solidFill>
          </w14:textFill>
        </w:rPr>
      </w:r>
      <w:r>
        <w:rPr>
          <w:rFonts w:hint="eastAsia" w:ascii="仿宋_GB2312" w:hAnsi="仿宋_GB2312" w:eastAsia="仿宋_GB2312" w:cs="仿宋_GB2312"/>
          <w:color w:val="000000" w:themeColor="text1"/>
          <w:sz w:val="28"/>
          <w:szCs w:val="21"/>
          <w:highlight w:val="none"/>
          <w14:textFill>
            <w14:solidFill>
              <w14:schemeClr w14:val="tx1"/>
            </w14:solidFill>
          </w14:textFill>
        </w:rPr>
      </w:r>
      <w:r>
        <w:rPr>
          <w:rFonts w:hint="eastAsia" w:ascii="仿宋_GB2312" w:hAnsi="仿宋_GB2312" w:eastAsia="仿宋_GB2312" w:cs="仿宋_GB2312"/>
          <w:color w:val="000000" w:themeColor="text1"/>
          <w:sz w:val="28"/>
          <w:szCs w:val="21"/>
          <w:highlight w:val="none"/>
          <w:lang w:eastAsia="zh-CN"/>
          <w14:textFill>
            <w14:solidFill>
              <w14:schemeClr w14:val="tx1"/>
            </w14:solidFill>
          </w14:textFill>
        </w:rPr>
      </w:r>
      <w:r>
        <w:rPr>
          <w:rFonts w:hint="eastAsia" w:ascii="仿宋_GB2312" w:hAnsi="仿宋_GB2312" w:eastAsia="仿宋_GB2312" w:cs="仿宋_GB2312"/>
          <w:color w:val="000000" w:themeColor="text1"/>
          <w:sz w:val="28"/>
          <w:szCs w:val="21"/>
          <w:highlight w:val="none"/>
          <w:lang w:val="en-US" w:eastAsia="zh-CN"/>
          <w14:textFill>
            <w14:solidFill>
              <w14:schemeClr w14:val="tx1"/>
            </w14:solidFill>
          </w14:textFill>
        </w:rPr>
      </w:r>
      <w:r>
        <w:rPr>
          <w:rFonts w:hint="eastAsia" w:ascii="仿宋_GB2312" w:hAnsi="仿宋_GB2312" w:eastAsia="仿宋_GB2312" w:cs="仿宋_GB2312"/>
          <w:color w:val="000000" w:themeColor="text1"/>
          <w:sz w:val="28"/>
          <w:szCs w:val="21"/>
          <w:highlight w:val="none"/>
          <w:lang w:eastAsia="zh-CN"/>
          <w14:textFill>
            <w14:solidFill>
              <w14:schemeClr w14:val="tx1"/>
            </w14:solidFill>
          </w14:textFill>
        </w:rPr>
      </w:r>
      <w:r>
        <w:rPr>
          <w:rFonts w:hint="eastAsia" w:ascii="仿宋_GB2312" w:hAnsi="仿宋_GB2312" w:eastAsia="仿宋_GB2312" w:cs="仿宋_GB2312"/>
          <w:color w:val="000000" w:themeColor="text1"/>
          <w:sz w:val="28"/>
          <w:szCs w:val="21"/>
          <w:highlight w:val="none"/>
          <w14:textFill>
            <w14:solidFill>
              <w14:schemeClr w14:val="tx1"/>
            </w14:solidFill>
          </w14:textFill>
        </w:rPr>
      </w:r>
    </w:p>
    <w:tbl>
      <w:tblPr>
        <w:tblStyle w:val="9"/>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6"/>
        <w:gridCol w:w="2322"/>
        <w:gridCol w:w="3011"/>
        <w:gridCol w:w="2672"/>
        <w:gridCol w:w="2672"/>
        <w:gridCol w:w="3342"/>
      </w:tblGrid>
      <w:tr w14:paraId="050C4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93" w:hRule="atLeast"/>
          <w:jc w:val="center"/>
        </w:trPr>
        <w:tc>
          <w:tcPr>
            <w:tcW w:w="542" w:type="pct"/>
            <w:noWrap w:val="0"/>
            <w:vAlign w:val="center"/>
          </w:tcPr>
          <w:p w14:paraId="21D2CBE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 w:hAnsi="仿宋" w:eastAsia="仿宋" w:cs="仿宋"/>
                <w:b/>
                <w:snapToGrid w:val="0"/>
                <w:color w:val="auto"/>
                <w:sz w:val="18"/>
                <w:szCs w:val="18"/>
                <w:highlight w:val="none"/>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地面平整状况</w:t>
            </w:r>
          </w:p>
        </w:tc>
        <w:tc>
          <w:tcPr>
            <w:tcW w:w="738" w:type="pct"/>
            <w:noWrap w:val="0"/>
            <w:vAlign w:val="center"/>
          </w:tcPr>
          <w:p w14:paraId="1514222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周围道路状况</w:t>
            </w:r>
          </w:p>
        </w:tc>
        <w:tc>
          <w:tcPr>
            <w:tcW w:w="957" w:type="pct"/>
            <w:noWrap w:val="0"/>
            <w:vAlign w:val="center"/>
          </w:tcPr>
          <w:p w14:paraId="619A401E">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供电状况</w:t>
            </w:r>
          </w:p>
        </w:tc>
        <w:tc>
          <w:tcPr>
            <w:tcW w:w="849" w:type="pct"/>
            <w:noWrap w:val="0"/>
            <w:vAlign w:val="center"/>
          </w:tcPr>
          <w:p w14:paraId="7754268C">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供水状况</w:t>
            </w:r>
          </w:p>
        </w:tc>
        <w:tc>
          <w:tcPr>
            <w:tcW w:w="849" w:type="pct"/>
            <w:noWrap w:val="0"/>
            <w:vAlign w:val="center"/>
          </w:tcPr>
          <w:p w14:paraId="011F24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排水状况</w:t>
            </w:r>
          </w:p>
        </w:tc>
        <w:tc>
          <w:tcPr>
            <w:tcW w:w="1062" w:type="pct"/>
            <w:noWrap w:val="0"/>
            <w:vAlign w:val="center"/>
          </w:tcPr>
          <w:p w14:paraId="0A181C4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通</w:t>
            </w:r>
            <w:r>
              <w:rPr>
                <w:rFonts w:hint="eastAsia" w:ascii="仿宋_GB2312" w:hAnsi="仿宋_GB2312" w:eastAsia="仿宋_GB2312" w:cs="仿宋_GB2312"/>
                <w:b/>
                <w:bCs/>
                <w:snapToGrid/>
                <w:color w:val="000000" w:themeColor="text1"/>
                <w:spacing w:val="-10"/>
                <w:sz w:val="21"/>
                <w:szCs w:val="21"/>
                <w:highlight w:val="none"/>
                <w:lang w:eastAsia="zh-CN"/>
                <w14:textFill>
                  <w14:solidFill>
                    <w14:schemeClr w14:val="tx1"/>
                  </w14:solidFill>
                </w14:textFill>
              </w:rPr>
              <w:t>讯</w:t>
            </w: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状况</w:t>
            </w:r>
          </w:p>
        </w:tc>
      </w:tr>
      <w:tr w14:paraId="0F845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33" w:hRule="atLeast"/>
          <w:jc w:val="center"/>
        </w:trPr>
        <w:tc>
          <w:tcPr>
            <w:tcW w:w="542" w:type="pct"/>
            <w:noWrap w:val="0"/>
            <w:vAlign w:val="center"/>
          </w:tcPr>
          <w:p w14:paraId="14E7BCF4">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 w:hAnsi="仿宋" w:eastAsia="仿宋" w:cs="仿宋"/>
                <w:snapToGrid w:val="0"/>
                <w:color w:val="auto"/>
                <w:sz w:val="18"/>
                <w:szCs w:val="18"/>
                <w:highlight w:val="none"/>
                <w:lang w:val="en-US" w:eastAsia="zh-CN"/>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宗地红线外“五通”宗地红线内场地平整</w:t>
            </w:r>
          </w:p>
        </w:tc>
        <w:tc>
          <w:tcPr>
            <w:tcW w:w="738" w:type="pct"/>
            <w:noWrap w:val="0"/>
            <w:vAlign w:val="center"/>
          </w:tcPr>
          <w:p w14:paraId="0D257ED3">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场内道路为山皮石路面，路面宽4.5m</w:t>
            </w:r>
          </w:p>
          <w:p w14:paraId="14914478">
            <w:pPr>
              <w:spacing w:line="220" w:lineRule="exact"/>
              <w:jc w:val="center"/>
              <w:outlineLvl w:val="9"/>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p>
        </w:tc>
        <w:tc>
          <w:tcPr>
            <w:tcW w:w="957" w:type="pct"/>
            <w:noWrap w:val="0"/>
            <w:vAlign w:val="center"/>
          </w:tcPr>
          <w:p w14:paraId="3268153C">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区域内接市政双回路110KV供电管网，供电保证率一般</w:t>
            </w:r>
          </w:p>
        </w:tc>
        <w:tc>
          <w:tcPr>
            <w:tcW w:w="849" w:type="pct"/>
            <w:noWrap w:val="0"/>
            <w:vAlign w:val="center"/>
          </w:tcPr>
          <w:p w14:paraId="6BBADA87">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区域内供水主要来自区内的市政供水</w:t>
            </w:r>
          </w:p>
        </w:tc>
        <w:tc>
          <w:tcPr>
            <w:tcW w:w="849" w:type="pct"/>
            <w:noWrap w:val="0"/>
            <w:vAlign w:val="center"/>
          </w:tcPr>
          <w:p w14:paraId="4F3EE01A">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宗地外接排水设施，在雨水大的情况下无洪涝和积水</w:t>
            </w:r>
          </w:p>
        </w:tc>
        <w:tc>
          <w:tcPr>
            <w:tcW w:w="1062" w:type="pct"/>
            <w:noWrap w:val="0"/>
            <w:vAlign w:val="center"/>
          </w:tcPr>
          <w:p w14:paraId="65083410">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宗地接市政通讯设施，有中国电信光缆、移动、联通综合网络覆盖该区域，区域通讯直接与市政通信网络相联，线路畅通，现有通讯能力保障率为100%。</w:t>
            </w:r>
          </w:p>
        </w:tc>
      </w:tr>
    </w:tbl>
    <w:p w14:paraId="694D251B">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t>3.规划限制条件：根据《关于国有建设用地的规划条件的函》（2025年9月11日），估价对象位于{{ land_location_full }}，用地面积{{ land_area }}平方米。</w:t>
      </w:r>
      <w:r>
        <w:rPr>
          <w:rFonts w:ascii="仿宋_GB2312" w:hAnsi="仿宋_GB2312" w:eastAsia="仿宋_GB2312" w:cs="仿宋_GB2312"/>
          <w:color w:val="000000"/>
          <w:sz w:val="28"/>
        </w:rPr>
      </w:r>
    </w:p>
    <w:p w14:paraId="09B67B4D">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4.影响土地价值的其他限定条件：无。</w:t>
      </w:r>
    </w:p>
    <w:p w14:paraId="37668B38">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宋体" w:hAnsi="宋体" w:eastAsia="宋体" w:cs="宋体"/>
          <w:b/>
          <w:color w:val="000000" w:themeColor="text1"/>
          <w:sz w:val="28"/>
          <w:szCs w:val="21"/>
          <w:highlight w:val="none"/>
          <w14:textFill>
            <w14:solidFill>
              <w14:schemeClr w14:val="tx1"/>
            </w14:solidFill>
          </w14:textFill>
        </w:rPr>
        <w:t xml:space="preserve">二、其他需要说明的事项 </w:t>
      </w:r>
    </w:p>
    <w:p w14:paraId="693969C3">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1.本次估价目的为土地出让方通过集体决策确定估价对象挂牌出让底价提供国有建设用地使用权市场价格参考依据。</w:t>
      </w:r>
    </w:p>
    <w:p w14:paraId="4C809085">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color w:val="000000"/>
          <w:sz w:val="28"/>
        </w:rPr>
        <w:t>2.本估价报告有效期自提交估价报告日{{ report_date }}至{{ report_valid_until }}一年内有效。</w:t>
      </w:r>
    </w:p>
    <w:p w14:paraId="0F35ED77">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3.估价结果按规定须报请自然资源主管部门备案。</w:t>
      </w:r>
    </w:p>
    <w:p w14:paraId="40C5D862">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t>4.本评估报告中涉及的土地面积、土地权属、土地用途、规划利用指标以委托方提供的《关于国有建设用地的规划条件的函》（2025年9月11日）和《{{ county_name }}{{ land_plot_number }}号地块建设用地规划红线图》为依据，本报告估价结果是在满足地价定义所设定条件下的使用权价格，若估价期日、土地利用方式、土地开发状况、土地面积等影响地价的任一因素发生变化，则该估价结果应作相应调整。</w:t>
      </w:r>
      <w:r>
        <w:rPr>
          <w:rFonts w:ascii="仿宋_GB2312" w:hAnsi="仿宋_GB2312" w:eastAsia="仿宋_GB2312" w:cs="仿宋_GB2312"/>
          <w:color w:val="000000"/>
          <w:sz w:val="28"/>
        </w:rPr>
      </w:r>
    </w:p>
    <w:p w14:paraId="3B160255">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5.依据{{ client_name }}《关于国有建设用地的规划条件的函》（2025年9月11日），用地面积{{ land_area }}平方米，本次评估面积以拟出让地块红线图的供应面积为准。</w:t>
      </w:r>
    </w:p>
    <w:p w14:paraId="0A4925A6">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lang w:val="en-US" w:eastAsia="zh-CN"/>
          <w14:textFill>
            <w14:solidFill>
              <w14:schemeClr w14:val="tx1"/>
            </w14:solidFill>
          </w14:textFill>
        </w:rPr>
        <w:t>6</w:t>
      </w:r>
      <w:r>
        <w:rPr>
          <w:rFonts w:hint="eastAsia" w:ascii="仿宋_GB2312" w:hAnsi="仿宋_GB2312" w:eastAsia="仿宋_GB2312" w:cs="仿宋_GB2312"/>
          <w:color w:val="000000" w:themeColor="text1"/>
          <w:sz w:val="28"/>
          <w:szCs w:val="21"/>
          <w:highlight w:val="none"/>
          <w14:textFill>
            <w14:solidFill>
              <w14:schemeClr w14:val="tx1"/>
            </w14:solidFill>
          </w14:textFill>
        </w:rPr>
        <w:t>.本估价结果仅作为委托估价方在本次估价目的下使用，不得用做验资证明、征收补偿、司法、房地产交易等除本次目的之外的其他用途。未经本估价机构和土地估价师的同意，该结果不得向委托估价方及报告审查部门以外的单位及个人提供，凡因委托人使用估价报告不当而引起的后果，估价机构和土地估价师不承担相应的责任。</w:t>
      </w:r>
    </w:p>
    <w:p w14:paraId="1834D88E">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right"/>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 xml:space="preserve"> </w:t>
      </w:r>
    </w:p>
    <w:p w14:paraId="505FC6D9">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jc w:val="right"/>
        <w:textAlignment w:val="auto"/>
        <w:outlineLvl w:val="9"/>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 xml:space="preserve">{{ appraisal_org }}                                                                                                                                                                                                                    </w:t>
      </w:r>
    </w:p>
    <w:p w14:paraId="68903E91">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jc w:val="center"/>
        <w:textAlignment w:val="auto"/>
        <w:outlineLvl w:val="9"/>
        <w:rPr>
          <w:rFonts w:hint="eastAsia" w:ascii="仿宋_GB2312" w:hAnsi="仿宋_GB2312" w:eastAsia="仿宋_GB2312" w:cs="仿宋_GB2312"/>
          <w:color w:val="000000" w:themeColor="text1"/>
          <w:highlight w:val="none"/>
          <w:lang w:eastAsia="zh-CN"/>
          <w14:textFill>
            <w14:solidFill>
              <w14:schemeClr w14:val="tx1"/>
            </w14:solidFill>
          </w14:textFill>
        </w:rPr>
      </w:pPr>
      <w:r>
        <w:rPr>
          <w:rFonts w:ascii="仿宋_GB2312" w:hAnsi="仿宋_GB2312" w:eastAsia="仿宋_GB2312" w:cs="仿宋_GB2312"/>
          <w:color w:val="000000"/>
          <w:sz w:val="28"/>
        </w:rPr>
        <w:t xml:space="preserve">                                                                                                                   {{ report_date }}</w:t>
      </w:r>
    </w:p>
    <w:p w14:paraId="6E9FCE23">
      <w:pPr>
        <w:pStyle w:val="14"/>
        <w:rPr>
          <w:rFonts w:hint="eastAsia" w:ascii="仿宋_GB2312" w:hAnsi="仿宋_GB2312" w:eastAsia="仿宋_GB2312" w:cs="仿宋_GB2312"/>
          <w:color w:val="000000" w:themeColor="text1"/>
          <w:highlight w:val="none"/>
          <w14:textFill>
            <w14:solidFill>
              <w14:schemeClr w14:val="tx1"/>
            </w14:solidFill>
          </w14:textFill>
        </w:rPr>
        <w:sectPr>
          <w:endnotePr>
            <w:numFmt w:val="decimal"/>
          </w:endnotePr>
          <w:pgSz w:w="16838" w:h="11906" w:orient="landscape"/>
          <w:pgMar w:top="720" w:right="663" w:bottom="720" w:left="663" w:header="624" w:footer="624" w:gutter="0"/>
          <w:pgNumType w:fmt="decimal"/>
          <w:cols w:space="720" w:num="1"/>
          <w:docGrid w:linePitch="312" w:charSpace="0"/>
        </w:sectPr>
      </w:pPr>
    </w:p>
    <w:p w14:paraId="21F5523A">
      <w:pPr>
        <w:pStyle w:val="13"/>
        <w:spacing w:before="0" w:beforeLines="50" w:after="0" w:afterLines="100" w:line="560" w:lineRule="exact"/>
        <w:ind w:firstLine="643"/>
        <w:jc w:val="center"/>
        <w:outlineLvl w:val="1"/>
        <w:rPr>
          <w:rFonts w:ascii="宋体" w:cs="宋体"/>
          <w:b/>
          <w:color w:val="000000" w:themeColor="text1"/>
          <w:sz w:val="32"/>
          <w:highlight w:val="none"/>
          <w14:textFill>
            <w14:solidFill>
              <w14:schemeClr w14:val="tx1"/>
            </w14:solidFill>
          </w14:textFill>
        </w:rPr>
      </w:pPr>
      <w:r>
        <w:rPr>
          <w:rFonts w:hint="eastAsia" w:ascii="宋体" w:hAnsi="宋体" w:eastAsia="宋体" w:cs="宋体"/>
          <w:b/>
          <w:color w:val="000000" w:themeColor="text1"/>
          <w:sz w:val="32"/>
          <w:szCs w:val="32"/>
          <w:highlight w:val="none"/>
          <w14:textFill>
            <w14:solidFill>
              <w14:schemeClr w14:val="tx1"/>
            </w14:solidFill>
          </w14:textFill>
        </w:rPr>
        <w:t>第二部分  估价对象描述及地价影响因素分析</w:t>
      </w:r>
    </w:p>
    <w:p w14:paraId="557DF9F1">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 w:hAnsi="仿宋" w:eastAsia="仿宋"/>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一、估价对象描述</w:t>
      </w:r>
    </w:p>
    <w:p w14:paraId="50C194C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宋体" w:hAnsi="宋体" w:eastAsia="宋体" w:cs="宋体"/>
          <w:b/>
          <w:bCs/>
          <w:color w:val="000000" w:themeColor="text1"/>
          <w:sz w:val="28"/>
          <w:szCs w:val="28"/>
          <w:highlight w:val="none"/>
          <w:lang w:val="en-GB" w:eastAsia="zh-CN"/>
          <w14:textFill>
            <w14:solidFill>
              <w14:schemeClr w14:val="tx1"/>
            </w14:solidFill>
          </w14:textFill>
        </w:rPr>
        <w:t>（一）土地登记状况</w:t>
      </w:r>
    </w:p>
    <w:p>
      <w:pPr>
        <w:spacing w:before="0" w:after="0" w:line="480" w:lineRule="exact"/>
        <w:ind w:left="561" w:firstLine="0"/>
      </w:pPr>
      <w:r>
        <w:rPr>
          <w:rFonts w:ascii="仿宋_GB2312" w:hAnsi="仿宋_GB2312" w:eastAsia="仿宋_GB2312" w:cs="仿宋_GB2312"/>
          <w:sz w:val="28"/>
        </w:rPr>
        <w:t>{{ land_registration_desc }}</w:t>
      </w:r>
    </w:p>
    <w:p w14:paraId="647664D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宋体" w:hAnsi="宋体" w:eastAsia="宋体" w:cs="宋体"/>
          <w:b/>
          <w:bCs/>
          <w:color w:val="000000" w:themeColor="text1"/>
          <w:sz w:val="28"/>
          <w:szCs w:val="28"/>
          <w:highlight w:val="none"/>
          <w:lang w:val="en-GB" w:eastAsia="zh-CN"/>
          <w14:textFill>
            <w14:solidFill>
              <w14:schemeClr w14:val="tx1"/>
            </w14:solidFill>
          </w14:textFill>
        </w:rPr>
        <w:t>（二）土地权利状况</w:t>
      </w:r>
    </w:p>
    <w:p>
      <w:pPr>
        <w:spacing w:before="0" w:after="0" w:line="480" w:lineRule="exact"/>
        <w:ind w:left="561" w:firstLine="0"/>
      </w:pPr>
      <w:r>
        <w:rPr>
          <w:rFonts w:ascii="仿宋_GB2312" w:hAnsi="仿宋_GB2312" w:eastAsia="仿宋_GB2312" w:cs="仿宋_GB2312"/>
          <w:sz w:val="28"/>
        </w:rPr>
        <w:t>{{ land_right_desc }}</w:t>
      </w:r>
    </w:p>
    <w:p w14:paraId="4A6C838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宋体" w:hAnsi="宋体" w:eastAsia="宋体" w:cs="宋体"/>
          <w:b/>
          <w:bCs/>
          <w:color w:val="000000" w:themeColor="text1"/>
          <w:sz w:val="28"/>
          <w:szCs w:val="28"/>
          <w:highlight w:val="none"/>
          <w:lang w:val="en-GB" w:eastAsia="zh-CN"/>
          <w14:textFill>
            <w14:solidFill>
              <w14:schemeClr w14:val="tx1"/>
            </w14:solidFill>
          </w14:textFill>
        </w:rPr>
        <w:t>（三）土地利用状况</w:t>
      </w:r>
    </w:p>
    <w:p w14:paraId="1936EED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1.土地利用现状</w:t>
      </w:r>
    </w:p>
    <w:p>
      <w:pPr>
        <w:spacing w:before="0" w:after="0" w:line="480" w:lineRule="exact"/>
        <w:ind w:left="561" w:firstLine="0"/>
      </w:pPr>
      <w:r>
        <w:rPr>
          <w:rFonts w:ascii="仿宋_GB2312" w:hAnsi="仿宋_GB2312" w:eastAsia="仿宋_GB2312" w:cs="仿宋_GB2312"/>
          <w:sz w:val="28"/>
        </w:rPr>
        <w:t>{{ land_use_status_desc }}</w:t>
      </w:r>
    </w:p>
    <w:p>
      <w:pPr>
        <w:spacing w:before="0" w:after="0" w:line="480" w:lineRule="exact"/>
        <w:ind w:left="561" w:firstLine="0"/>
      </w:pPr>
      <w:r>
        <w:rPr>
          <w:rFonts w:ascii="仿宋_GB2312" w:hAnsi="仿宋_GB2312" w:eastAsia="仿宋_GB2312" w:cs="仿宋_GB2312"/>
          <w:sz w:val="28"/>
        </w:rPr>
        <w:t>估价对象利用现状如下：</w:t>
      </w:r>
    </w:p>
    <w:p w14:paraId="5DBDB51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2.规划利用条件</w:t>
      </w:r>
    </w:p>
    <w:p w14:paraId="70F1366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（1）规划利用状况</w:t>
      </w:r>
    </w:p>
    <w:p w14:paraId="5C6105B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根据《关于国有建设用地的规划条件的函》（2025年9月11日）及现场勘查状况，估价对象土地面积为{{ land_area }}平方米，规划建筑密度{{ building_density_min }}-{{ building_density_max }}，容积率{{ plot_ratio_display }}，绿地率{{ greening_rate }}，建筑限高{{ building_height_limit }}，规划指标批准机关为{{ planning_approval_authority }}，批准日期为2025年9月11日。</w:t>
      </w:r>
      <w:r>
        <w:rPr>
          <w:rFonts w:ascii="仿宋_GB2312" w:hAnsi="仿宋_GB2312" w:eastAsia="仿宋_GB2312" w:cs="仿宋_GB2312"/>
          <w:color w:val="000000"/>
          <w:sz w:val="28"/>
        </w:rPr>
      </w:r>
    </w:p>
    <w:p w14:paraId="3A8FFFC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（2）最佳利用</w:t>
      </w:r>
    </w:p>
    <w:p w14:paraId="34563E3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本次评估根据最有效利用原则，估价对象在规划利用下价值利用状况为最有效利用。故设定估价对象用途为{{ land_usage }}，设定容积率为{{ plot_ratio }}，其余指标均取规划值为最佳利用方式。</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r>
    </w:p>
    <w:p w14:paraId="53D7141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规划</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利用限制和缺陷情况</w:t>
      </w:r>
    </w:p>
    <w:p w14:paraId="00FF7F8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根据委托方提供的资料及估价人员了解，宗地无明显利用限制和缺陷。</w:t>
      </w:r>
    </w:p>
    <w:p w14:paraId="574D5991">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_GB2312" w:eastAsia="仿宋_GB2312"/>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二、地价影响因素分析</w:t>
      </w:r>
    </w:p>
    <w:p w14:paraId="643CF53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宋体" w:hAnsi="宋体" w:eastAsia="宋体" w:cs="宋体"/>
          <w:b/>
          <w:bCs/>
          <w:color w:val="000000" w:themeColor="text1"/>
          <w:sz w:val="28"/>
          <w:szCs w:val="28"/>
          <w:highlight w:val="none"/>
          <w:lang w:val="en-GB" w:eastAsia="zh-CN"/>
          <w14:textFill>
            <w14:solidFill>
              <w14:schemeClr w14:val="tx1"/>
            </w14:solidFill>
          </w14:textFill>
        </w:rPr>
        <w:t>(一)一般因素</w:t>
      </w:r>
    </w:p>
    <w:p w14:paraId="3EBE37B6">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一般因素是指影响土地价格的一般、普遍、共同的因素，主要是指社会经济、政策和自然因素等诸方面的综合。其包括城市资源状况、不动产制度与不动产市场状况、产业政策、城市规划与发展目标、城市社会经济发展状况等，通过土地供求两方面的不同作用，从而影响城市总体地价水平的变化。</w:t>
      </w:r>
    </w:p>
    <w:p w14:paraId="5B12B97F">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1.城市资源状况</w:t>
      </w:r>
    </w:p>
    <w:p w14:paraId="08B8F3A5">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（1）地理位置</w:t>
      </w:r>
    </w:p>
    <w:p w14:paraId="587C0A3F">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道县位于湖南省南部、永州市中部。介于东经111°17′-111°56′，北纬25°09′-25°50′之间。东邻宁远县，南界江华瑶族自治县、江永县，西接灌阳县、全州县，北连双牌县，总面积2441.78平方千米。</w:t>
      </w:r>
    </w:p>
    <w:p w14:paraId="642F9C5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（2）地形地貌</w:t>
      </w:r>
    </w:p>
    <w:p w14:paraId="4885202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属南岭地区，四周高山环绕，中部岗丘起伏，平川交错。整个地势从四周向中间倾斜，呈盆状结构。山地占总面积的44.7%，丘陵占11.4%，岗地占24.6%，平原占14.9%。大致分为东南山地、西北山地、中部岗平三个一级地貌区，岩溶地貌发育较好。东南有九嶷山，南有铜山岭，西有都庞岭，北有紫金山。海拔千米以上的山峰150多个，且多与邻近山脉连成整体，最高峰韭菜岭，海拔2009米。</w:t>
      </w:r>
    </w:p>
    <w:p w14:paraId="56D66B1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（3）气候</w:t>
      </w:r>
    </w:p>
    <w:p w14:paraId="0CCF567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属亚热带湿润季风气候区，热量丰富，雨量充沛，光能潜力大，无霜期长达309天。年平均温度18.6℃。年平均太阳总辐射量105.3千卡/平方厘米，年日照时间为1569.9小时，日照百分率35%，年蒸发量1634.6毫米。全县雨量充沛，年平均降雨量为1506.7毫米，是全省有名的多雨中心之一，但分布不均匀。降雨集中在春季和初夏，与光、热基本同季，有效性好，对农业生产极为有利；春末夏初常有暴雨，造成洪涝；夏秋时节，降雨偏少，常出现干旱。</w:t>
      </w:r>
    </w:p>
    <w:p w14:paraId="00E6F60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（4）水文</w:t>
      </w:r>
    </w:p>
    <w:p w14:paraId="76E0DEE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内河流稠密，塘库面积广阔，水量丰盈。全县有长度在5千米以上的河流63条，总长1019千米。泡水河、洑水河、永明河、九嶷河、濂溪河等连结大小支流，顺着地势，汇入县内的潇水，流进湘江，形成叶脉状的完整水系。县内还有中型水库4座，小一型水库15座，小二型水库82座，山塘4400口。全县多年平均径流深917.9毫米，径流量22.41亿立方米。年产水量由东南向西北递减，东南部最多的地区年产水量104.5万立方米/平方公里，中部丘平区年产水量90万立方米/平方公里，西北部为78万立方米/平方公里。地表水总量达89.50亿立方米，其中，客水67.09亿立方米。不计客水和地下水，全县人平均拥有水量3069.86立方米，为全省人均水资源的1.15倍。加上客水，全县人平均拥有水量12260立方米，大大高于全国、长江流域和湖南省平均水平。目前已利用水量仅占9%。</w:t>
      </w:r>
    </w:p>
    <w:p w14:paraId="0AE3F86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人口</w:t>
      </w:r>
    </w:p>
    <w:p w14:paraId="222041E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第七次人口普查数据，道县常住人口62.1275万人，其中城镇人口29.8236万人，农村人口32.3039万人，常住人口城镇化率48.00%，与湖南省城镇化率平均水平基本持平。道县人口密度253.79人/平方公里，高于永州市人口密度237.65人/平方公里，低于湖南省及长沙市人口密度。</w:t>
      </w:r>
    </w:p>
    <w:p w14:paraId="2231D99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（6）交通运输</w:t>
      </w:r>
    </w:p>
    <w:p w14:paraId="76EF749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道县处于湘粤桂三省交汇区，与长沙、南宁均相距400公里，距离广州360公里，历史上是兵家必争之地、商贾云集之处，</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是</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三省通衢要塞。洛湛铁路，厦蓉、道贺高速公路，207国道纵横县域。县城距离桂林国际机场、京广高铁、湘桂高铁、贵广高铁均不到两小时车程，是全省以至中部地区对接东盟，融入泛珠三角经济圈、泛北部湾经济圈的重要节点城市。</w:t>
      </w:r>
    </w:p>
    <w:p w14:paraId="145ED87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土地概况</w:t>
      </w:r>
    </w:p>
    <w:p w14:paraId="0DD9A82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2022年2月8日，道县第三次国土调查结果经县政府、永州市“三调”办审议并原则同意后，道县第三次国土调查领导小组办公室、{{ client_name }}、道县统计局印发了《道县第三次国土调查主要数据公报》，道县主要地类数据如下：</w:t>
      </w:r>
    </w:p>
    <w:p w14:paraId="2F97057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耕地664793.55亩(44319.57公顷)。其中，水田482092.50亩(32139.50公顷),占比72.52%;旱地182701.05亩(12180.07公顷),占比27.48%。另外，还有6060.45亩(404.03公顷)现状耕地位于城镇村庄范围内尚未建设的土地中，其中水田3225.90亩(215.06公顷),旱地2834.55亩(188.97公顷)。总体来看，耕地主要分布在清塘镇、寿雁镇、祥霖铺镇、白芒铺镇、柑子园镇、蚣坝镇等。耕地整体位于国家划定的一年两熟制区域，均位于年降水量1000mm以上地区。位于2度以下坡度(含2度)的耕地 402443.40亩(26829.56公顷),占比60.54%;位于2-6度坡度(含6度)的耕地193651.65亩(12910.11公顷),占比29.13%;位于6-15度坡度(含15度)的耕地59623.05亩(3974.87公顷),占比8.97%;位于15-25度坡度(含25度)的耕地6413.85亩(427.59公顷),占比0.96%;位于25度以上坡度的耕地2661.60亩(177.44公顷),占比0.40%。</w:t>
      </w:r>
    </w:p>
    <w:p w14:paraId="6F6E394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2）园地337559.10亩(22503.94公顷)。其中，果园166497.00亩(11099.80公顷),占比49.32%;茶园209.55 亩(13.97公顷),占比0.06%;其他园地170852.55亩(11390.17公顷),占比50.62%。总体来看，园地主要分布在祥霖铺镇、审章塘瑶族乡、白芒铺镇、柑子园镇、蚣坝镇、白马渡镇、东门街道和上关街道等。</w:t>
      </w:r>
    </w:p>
    <w:p w14:paraId="3F79FBF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3）林地2182564.20亩(145504.28公顷)。其中，乔木林地1606323.75亩(107088.25公顷),占比73.60%; 竹林地37044.75亩(2469.65公顷),占比1.70%;灌木林地276271.80亩(18418.12公顷),占比12.66%;其他林地262923.90亩(17528.26公顷),占比12.04%。总体来看，林地主要分布在桥头镇、乐福堂乡、仙子脚镇、清塘镇、四马桥镇、横岭瑶族乡、洪塘营瑶族乡、寿雁镇等。</w:t>
      </w:r>
    </w:p>
    <w:p w14:paraId="2F89D77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4）草地49423.20亩(3294.88公顷)。其中，其他草地49423.20亩(3294.88公顷),占比100%。总体来看，草地主要分布在白芒铺镇、蚣坝镇、祥霖铺镇、清塘镇等。</w:t>
      </w:r>
    </w:p>
    <w:p w14:paraId="341DB13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5）湿地11854.05亩(790.27公顷)。湿地是“三调” 新增的一级地类，包括8个二级地类，道县涉及4个二级地类。其中，森林沼泽5075.10亩(338.34公顷),占比42.81%;灌丛沼泽555.00亩(37.00公顷),占比4.68%;沼泽草地118.95亩(7.93公顷),占比1.01%;内陆滩涂6105.00亩(407.00公顷),占比51.50%。总体来看，湿地主要分布在白马渡镇、祥霖铺镇和四马桥镇等。</w:t>
      </w:r>
    </w:p>
    <w:p w14:paraId="25EE97D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6）城镇村及工矿用地190153.80亩(12676.92公顷)。</w:t>
      </w:r>
    </w:p>
    <w:p w14:paraId="3E8FDE6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其中，建制镇用地36675.75亩(2445.05公顷),占比19.29%; 村庄用地142302.45亩(9486.83公顷),占比74.83%;工业用地8931.15亩(595.41公顷),占比4.70%;风景名胜及特殊用地2244.45亩(149.63公顷),占比1.18%。总体来看，城镇村及工矿用地主要分布在濂溪街道、西洲街道、东门街道等。</w:t>
      </w:r>
    </w:p>
    <w:p w14:paraId="4931F81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交通运输用地51000.90亩(3400.06公顷)。其中，铁路用地2208.90亩(147.26公顷),占比4.33%;公路用地13619.70亩(907.98公顷),占比26.71%;农村道路35163.75亩(2344.25公顷),占比68.95%;机场用地7.35亩(0.49公顷),占比0.01%;港口码头用地1.20亩(0.08公顷)。总体来看，交通运输用地中面积占比最大的地类是农村道路。</w:t>
      </w:r>
    </w:p>
    <w:p w14:paraId="23427B8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8）水域及水利设施用地145174.35亩(9678.29公顷)。</w:t>
      </w:r>
    </w:p>
    <w:p w14:paraId="5B9E0DF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其中，河流水面52697.40亩(3513.16公顷),占比36.30%; 水库水面15825.00亩(1055.00公顷),占比10.90%;坑 塘水面61042.65亩(4069.51公顷),占比42.05%;沟渠 14012.25亩(934.15公顷),占比9.65%;水工建筑用地 1597.05亩(106.47公顷),占比1.10%。总体来看，祥霖 铺镇、清塘镇、白马渡镇、寿雁镇、东门街道等乡镇街道的水域及水利设施用地面积较大。</w:t>
      </w:r>
    </w:p>
    <w:p w14:paraId="1CB98AB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2.不动产制度与不动产市场状况</w:t>
      </w:r>
    </w:p>
    <w:p w14:paraId="7DBF67E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（1）土地制度</w:t>
      </w:r>
    </w:p>
    <w:p w14:paraId="65B5549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根据《中华人民共和国宪法》《中华人民共和国土地管理法》和《中华人民共和国民法典》等规定，按照国家现行的土地政策进行土地施政。</w:t>
      </w:r>
    </w:p>
    <w:p w14:paraId="74266FC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1）土地所有制</w:t>
      </w:r>
    </w:p>
    <w:p w14:paraId="22F01A9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《土地管理法》第二条规定：“中华人民共和国实行土地的社会主义公有制，即全民所有制和劳动群众集体所有制。”</w:t>
      </w:r>
    </w:p>
    <w:p w14:paraId="0A31F27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①国有土地</w:t>
      </w:r>
    </w:p>
    <w:p w14:paraId="146E455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全民所有制的土地被称为国家所有土地，简称国有土地，其所有权由国务院代表国家行使。《土地管理法》第二条规定：“全民所有，即国家所有土地的所有权由国务院代表国家行驶。”</w:t>
      </w:r>
    </w:p>
    <w:p w14:paraId="45A1A9C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城市市区的土地属于国家所有。《宪法》《民法典》都明确规定，城市的土地属于国家所有。《土地管理法》第八条更明确规定：“城市市区的土地属于国家所有。”这里所说的城市是指国家设立市建制的城市，不同于某些法律、法规中的城市含义。建制镇不属于《宪法》《土地管理法》所说的城市范畴，也不属于其所说的农村和城市郊区的范畴。《土地管理法实施条例》第二条进一步明确了国有土地的范畴，其规定如下：①城市市区的土地；②农村和城市郊区中已经依法没收、征收、征购为国有的土地；③国家依法征收的土地； ④依法不属于集体所有的林地、草地、荒地、滩涂及其他土地；⑤农村集体经济组织全部成员转为城镇居民的，原属于其成员集体所有的土地；⑥因国家组织移民、自然灾害等原因，农民成建制地集体迁移后不再使用的原属于迁移农民集体所有的土地。</w:t>
      </w:r>
    </w:p>
    <w:p w14:paraId="443CB0A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②集体土地</w:t>
      </w:r>
    </w:p>
    <w:p w14:paraId="206EDAB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劳动群众集体所有制的土地采取的是农民集体所有的形式，该种所有制的土地被称为农民集体所有土地，简称集体土地。农民集体的范围有下列三种：①村农民集体；②村内两个以上农村集体经济组织的农民集体；③乡（镇）农民集体。《土地管理法》第十条规定：“农民集体所有的土地依法属于农民集体所有的，由村集体经济组织或者村民委员会经营、管理；已经分别属于村内两个以上农村集体经济组织的农民集体所有的，由村内给该农村集体经济组织或者村民小组经营、管理；已经属于乡（镇）农民集体所有的，由乡（镇）农村集体经济组织经营、管理。”</w:t>
      </w:r>
    </w:p>
    <w:p w14:paraId="2D28514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2）土地管理的基本制度</w:t>
      </w:r>
    </w:p>
    <w:p w14:paraId="5206E4B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①实行土地登记制度</w:t>
      </w:r>
    </w:p>
    <w:p w14:paraId="46B61DC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土地管理法》和《土地登记规则》，国家依法对国有土地使用权、集体土地所有权、集体土地使用权和土地他项权利进行登记。土地登记由县级以上人民政府登记造册，确认有关土地权利。属于国有土地的，核发相应的《不动产权证书》，确认国有建设用地使用权；属于农民集体所有土地的，核发相应的《不动产权证书》，确认集体土地所有权；使用集体土地的，核发《集体建设用地使用证》，确认集体土地使用权；属于土地他项权利的，核发土地他项权利证明书，确认土地他相权。他项权利包括抵押权、承租权以及法律、行政法规规定需要登记的他项权利。</w:t>
      </w:r>
    </w:p>
    <w:p w14:paraId="599559F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②实行土地有偿有限期使用制度</w:t>
      </w:r>
    </w:p>
    <w:p w14:paraId="047774F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除国家核准的划拨用地以外，凡新增土地和原使用的土地改变用途或使用条件、进行市场交易等，均实行有偿有限期使用。</w:t>
      </w:r>
    </w:p>
    <w:p w14:paraId="1B91AF1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管理法》第二条规定：“国家依法实行国有土地有偿使用制度。但是，国家在法律规定的范围内划拨国有土地使用权的除外。”《中华人民共和国城镇国有土地使用权出让和转让暂行条例》第八条也明确规定：“土地使用权出让是指国家以土地所有者的身份将土地使用权在一定年限内让与土地使用者，并由土地使用者向国家支付土地使用权出让金的行为。”</w:t>
      </w:r>
    </w:p>
    <w:p w14:paraId="029F129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③实行土地用途管制制度</w:t>
      </w:r>
    </w:p>
    <w:p w14:paraId="3611448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土地利用总体规划，将土地用途分为农用地、建设用地和未利用地。土地用途管制的核心是不能随意改变农用地的用途。农用地转用须经有批准权的人民政府核准。控制建设用地总量，严格限制农用地转为建设用地。</w:t>
      </w:r>
    </w:p>
    <w:p w14:paraId="22C2EF3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④实行耕地保护制度</w:t>
      </w:r>
    </w:p>
    <w:p w14:paraId="4BB124C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十分珍惜、合理利用土地和切实保护耕地是我国的基本国策。《民法典》规定，国家对耕地实行特殊保护，严格限制农用地转为建设用地，控制建设用地总规模。耕地主要是指种植农作物的土地，包括新开垦荒地、轮歇地、草田轮作地；以种植农作物为主间有零星果树、桑树或其他树木的土地；耕种3年以上的滩地和滩涂等。</w:t>
      </w:r>
    </w:p>
    <w:p w14:paraId="606D554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（2）住房制度</w:t>
      </w:r>
    </w:p>
    <w:p w14:paraId="33EA554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目前</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实行“市场型、商品性、工资化分配、社会化管理”的住房制度，其基本特点是：主要通过市场机制调节住房的生产、分配、交换、消费，决定住房资源的配置、分配和使用。住房投资建设由开发商自主进行。住房消费包含在职工工资之中。住房分配通过市场交换进行，职工以其收入自由选择购买或租房入住。住房管理与政府和单位分离，由物业公司进行社会化、专业化管理。政府的作用主要体现在调控市场和对低收入者提供基本的住房社会保障方面。</w:t>
      </w:r>
    </w:p>
    <w:p w14:paraId="0AF285B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sz w:val="28"/>
        </w:rPr>
        <w:t>2020年8月18日，{{ base_price_doc_authority }}发布了《道县农村宅基地管理办法》（道政发〔2020〕5号），强调农村村（居）民住房建设应当遵循规划先行、先批后建、一户一宅、适度集中的原则，鼓励乡镇（街道）、村集体经济组织对废旧宅基地进行复垦并落实耕种，对复垦项目经验收确认的新增建设用地指标和耕地占补指标，按县人民政府规定的奖励标准予以补偿。节余的新增建设用地指标和耕地占补指标由县人民政府统筹安排，用于全县范围内的项目建设。复垦后的农用地由当地集体经济组织进行承包经营和分配。</w:t>
      </w:r>
    </w:p>
    <w:p w14:paraId="1BDE3A0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2022年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月，湖南省发展和改革委员会 湖南省住房和城乡建设厅 印发</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了</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湖南省公共租赁住房租金管理办法》的通知，“实行政府定价的公共租赁住房的租金标准在制定和调整时，属省直单位投资筹集的由省直有关单位提出建议方案，属市、县投资筹集的由市、县住房和城乡建设部门负责提出建议方案，同级发展改革部门在履行相关定价程序后作出价格决定，并向社会公布；实行政府指导价管理的公共租赁住房租金标准在制定和调整时可按照不超过同地段或同区域、同类型住房市场租金水平的70％确定，具体标准由公共租赁住房的所有权人或其委托的运营管理机构确定，并报送同级发展改革部门和住房和城乡建设部门审查同意后向社会公布实施。”。</w:t>
      </w:r>
    </w:p>
    <w:p w14:paraId="7D3C7B9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（3）地价政策</w:t>
      </w:r>
    </w:p>
    <w:p w14:paraId="7BC7AB2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现行土地征收补偿标准是根据《湖南省人民政府关于调整湖南省征地补偿标准的通知》（湘政发〔2024〕1号，202</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日）文件执行，相较于上一轮，现行土地征收补偿标准有</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%的上调，各等级片区划分有一定微调。</w:t>
      </w:r>
    </w:p>
    <w:p w14:paraId="0640B7B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现行的农村集体土地地上附着物及青苗补偿标准按照《关于印发</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&lt;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永州市集体土地与房屋征收补偿安置办法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&gt;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的通知》（永政发〔2024〕4号，20</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24</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日）文件执行。</w:t>
      </w:r>
    </w:p>
    <w:p w14:paraId="0294BE6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（4）不动产市场状况</w:t>
      </w:r>
    </w:p>
    <w:p w14:paraId="400CAFB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1）土地市场状况</w:t>
      </w:r>
    </w:p>
    <w:p w14:paraId="3634BD1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①土地供应总量 </w:t>
      </w:r>
    </w:p>
    <w:p w14:paraId="54D9608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土地动态监测监管系统数据显示，2020年以来，道县土地供应情况总体呈下降的特征。其中2020年供应土地面积最大，达256.4公顷。2022年供应土地最少，仅为161.63公顷。近5年共供应土地总面积达到972.42公顷，其中出让土地415.14公顷，占供应总量的42.69%，划拨土地557.28公顷，占供应总量的57.31%，总体年均供地194.49公顷，其中出让年均供应83.03公顷，划拨年均供地111.46公顷，详见下表。</w:t>
      </w:r>
    </w:p>
    <w:p w14:paraId="7725B682">
      <w:pPr>
        <w:keepNext w:val="0"/>
        <w:keepLines w:val="0"/>
        <w:pageBreakBefore w:val="0"/>
        <w:widowControl w:val="0"/>
        <w:kinsoku/>
        <w:wordWrap/>
        <w:overflowPunct/>
        <w:topLinePunct w:val="0"/>
        <w:autoSpaceDE/>
        <w:autoSpaceDN/>
        <w:bidi w:val="0"/>
        <w:spacing w:line="480" w:lineRule="exact" w:before="0" w:after="0"/>
        <w:ind w:firstLine="560" w:firstLineChars="200"/>
        <w:jc w:val="center"/>
        <w:textAlignment w:val="auto"/>
        <w:outlineLvl w:val="9"/>
        <w:rPr>
          <w:rFonts w:hint="eastAsia" w:ascii="仿宋_GB2312" w:eastAsia="仿宋_GB2312"/>
          <w:color w:val="000000" w:themeColor="text1"/>
          <w:sz w:val="28"/>
          <w:szCs w:val="30"/>
          <w:highlight w:val="none"/>
          <w14:textFill>
            <w14:solidFill>
              <w14:schemeClr w14:val="tx1"/>
            </w14:solidFill>
          </w14:textFill>
        </w:rPr>
      </w:pPr>
      <w:r>
        <w:rPr>
          <w:rFonts w:hint="eastAsia" w:ascii="仿宋_GB2312" w:hAnsi="仿宋_GB2312" w:eastAsia="仿宋_GB2312" w:cs="仿宋_GB2312"/>
          <w:color w:val="000000" w:themeColor="text1"/>
          <w:kern w:val="0"/>
          <w:sz w:val="28"/>
          <w:szCs w:val="28"/>
          <w:highlight w:val="none"/>
          <w:lang w:val="en-US" w:eastAsia="zh-CN" w:bidi="ar"/>
          <w14:textFill>
            <w14:solidFill>
              <w14:schemeClr w14:val="tx1"/>
            </w14:solidFill>
          </w14:textFill>
        </w:rPr>
        <w:t>道县 2020—2024年土地供应情况一览表</w:t>
      </w:r>
    </w:p>
    <w:tbl>
      <w:tblPr>
        <w:tblStyle w:val="9"/>
        <w:tblW w:w="4962"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60"/>
        <w:gridCol w:w="2591"/>
        <w:gridCol w:w="2298"/>
        <w:gridCol w:w="2408"/>
      </w:tblGrid>
      <w:tr w14:paraId="6C1BE9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E36B9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年份</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FC30F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出让土地（公顷）</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995AB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划拨土地（公顷）</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F2A60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总面积（公顷）</w:t>
            </w:r>
          </w:p>
        </w:tc>
      </w:tr>
      <w:tr w14:paraId="1C3243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83809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default"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2020</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78D57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91.77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C564A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164.63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EC312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256.40 </w:t>
            </w:r>
          </w:p>
        </w:tc>
      </w:tr>
      <w:tr w14:paraId="3F18E6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95E1D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2021</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3973F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100.84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10729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83.89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0C475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184.73 </w:t>
            </w:r>
          </w:p>
        </w:tc>
      </w:tr>
      <w:tr w14:paraId="459652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D63C1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2022</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A895D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67.23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956B4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94.40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A9CF0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161.63 </w:t>
            </w:r>
          </w:p>
        </w:tc>
      </w:tr>
      <w:tr w14:paraId="6D3845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BE413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2023</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4B53F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20.42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AE20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181.51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7BA89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201.93 </w:t>
            </w:r>
          </w:p>
        </w:tc>
      </w:tr>
      <w:tr w14:paraId="5E12B8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F868B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2024</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C6E76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134.88</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CE6F4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32.85</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569A3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167.73 </w:t>
            </w:r>
          </w:p>
        </w:tc>
      </w:tr>
      <w:tr w14:paraId="788338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BC6C2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合计</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115D1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415.14</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40064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557.28</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BD81C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972.42</w:t>
            </w:r>
          </w:p>
        </w:tc>
      </w:tr>
      <w:tr w14:paraId="07FEAC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F99B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年均</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06A06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83.03</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6A441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111.46</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B9B4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194.49</w:t>
            </w:r>
          </w:p>
        </w:tc>
      </w:tr>
      <w:tr w14:paraId="7A79E7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8"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59A3C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占比</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EDE5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42.69%</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27D88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57.31%</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BCC86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100.00%</w:t>
            </w:r>
          </w:p>
        </w:tc>
      </w:tr>
    </w:tbl>
    <w:p w14:paraId="744A3F63">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0" w:firstLineChars="0"/>
        <w:jc w:val="center"/>
        <w:textAlignment w:val="auto"/>
        <w:outlineLvl w:val="9"/>
        <w:rPr>
          <w:rFonts w:hint="eastAsia" w:eastAsia="仿宋_GB2312"/>
          <w:color w:val="000000" w:themeColor="text1"/>
          <w:highlight w:val="none"/>
          <w:lang w:eastAsia="zh-CN"/>
          <w14:textFill>
            <w14:solidFill>
              <w14:schemeClr w14:val="tx1"/>
            </w14:solidFill>
          </w14:textFill>
        </w:rPr>
      </w:pPr>
    </w:p>
    <w:p w14:paraId="320C8676">
      <w:pPr>
        <w:keepNext w:val="0"/>
        <w:keepLines w:val="0"/>
        <w:pageBreakBefore w:val="0"/>
        <w:widowControl w:val="0"/>
        <w:kinsoku/>
        <w:wordWrap/>
        <w:overflowPunct/>
        <w:topLinePunct w:val="0"/>
        <w:autoSpaceDE/>
        <w:autoSpaceDN/>
        <w:bidi w:val="0"/>
        <w:adjustRightInd/>
        <w:snapToGrid/>
        <w:spacing w:line="460" w:lineRule="exact"/>
        <w:ind w:left="0" w:leftChars="0" w:firstLine="0" w:firstLineChars="0"/>
        <w:jc w:val="center"/>
        <w:textAlignment w:val="auto"/>
        <w:outlineLvl w:val="9"/>
        <w:rPr>
          <w:rFonts w:hint="eastAsia" w:ascii="仿宋_GB2312" w:eastAsia="仿宋_GB2312"/>
          <w:color w:val="000000" w:themeColor="text1"/>
          <w:sz w:val="28"/>
          <w:szCs w:val="30"/>
          <w:highlight w:val="none"/>
          <w:lang w:eastAsia="zh-CN"/>
          <w14:textFill>
            <w14:solidFill>
              <w14:schemeClr w14:val="tx1"/>
            </w14:solidFill>
          </w14:textFill>
        </w:rPr>
      </w:pPr>
      <w:r>
        <w:rPr>
          <w:color w:val="000000" w:themeColor="text1"/>
          <w:highlight w:val="none"/>
          <w14:textFill>
            <w14:solidFill>
              <w14:schemeClr w14:val="tx1"/>
            </w14:solidFill>
          </w14:textFill>
        </w:rPr>
        <w:drawing>
          <wp:anchor distT="0" distB="0" distL="114300" distR="114300" simplePos="0" relativeHeight="251659264" behindDoc="0" locked="0" layoutInCell="1" allowOverlap="1">
            <wp:simplePos x="0" y="0"/>
            <wp:positionH relativeFrom="column">
              <wp:posOffset>385445</wp:posOffset>
            </wp:positionH>
            <wp:positionV relativeFrom="paragraph">
              <wp:posOffset>33020</wp:posOffset>
            </wp:positionV>
            <wp:extent cx="4654550" cy="2590800"/>
            <wp:effectExtent l="4445" t="4445" r="19685" b="10795"/>
            <wp:wrapTopAndBottom/>
            <wp:docPr id="65"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anchor>
        </w:drawing>
      </w:r>
    </w:p>
    <w:p w14:paraId="6293E6B3">
      <w:pPr>
        <w:keepNext w:val="0"/>
        <w:keepLines w:val="0"/>
        <w:pageBreakBefore w:val="0"/>
        <w:widowControl w:val="0"/>
        <w:kinsoku/>
        <w:wordWrap/>
        <w:overflowPunct/>
        <w:topLinePunct w:val="0"/>
        <w:autoSpaceDE/>
        <w:autoSpaceDN/>
        <w:bidi w:val="0"/>
        <w:spacing w:line="480" w:lineRule="exact" w:before="0" w:after="0"/>
        <w:ind w:left="0" w:leftChars="0" w:firstLine="0" w:firstLineChars="0"/>
        <w:jc w:val="center"/>
        <w:textAlignment w:val="auto"/>
        <w:outlineLvl w:val="9"/>
        <w:rPr>
          <w:rFonts w:hint="eastAsia" w:ascii="仿宋" w:hAnsi="仿宋" w:eastAsia="仿宋" w:cs="仿宋"/>
          <w:color w:val="000000" w:themeColor="text1"/>
          <w:kern w:val="0"/>
          <w:sz w:val="28"/>
          <w:szCs w:val="28"/>
          <w:highlight w:val="none"/>
          <w:lang w:val="en-US" w:eastAsia="zh-CN" w:bidi="ar"/>
          <w14:textFill>
            <w14:solidFill>
              <w14:schemeClr w14:val="tx1"/>
            </w14:solidFill>
          </w14:textFill>
        </w:rPr>
      </w:pPr>
      <w:r>
        <w:rPr>
          <w:rFonts w:hint="eastAsia" w:ascii="仿宋_GB2312" w:hAnsi="仿宋_GB2312" w:eastAsia="仿宋_GB2312" w:cs="仿宋_GB2312"/>
          <w:color w:val="000000" w:themeColor="text1"/>
          <w:kern w:val="0"/>
          <w:sz w:val="28"/>
          <w:szCs w:val="28"/>
          <w:highlight w:val="none"/>
          <w:lang w:val="en-US" w:eastAsia="zh-CN" w:bidi="ar"/>
          <w14:textFill>
            <w14:solidFill>
              <w14:schemeClr w14:val="tx1"/>
            </w14:solidFill>
          </w14:textFill>
        </w:rPr>
        <w:t>道县2020-2024年土地供应总量图</w:t>
      </w:r>
    </w:p>
    <w:p w14:paraId="08EBD63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②土地供应结构 </w:t>
      </w:r>
    </w:p>
    <w:p w14:paraId="35C0BF5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近几年发展形势来看，宏观经济进入新常态发展时期，经济增速逐步趋缓，2020-2024年土地市场供应有所起伏，2020年土地市场趋于活跃。从道县近5年的房地产开发用地商服、住宅及工矿仓储用地供应情况来看，三类用地占土地供应总量的34.5%，其中住宅用地供应量最大，占土地供应总量的19.01%，其次是工矿仓储用地，占土地供应总量的12.24%，商服用地最小，仅占土地供应总量的3.25%。从其他用地的供应情况来看，其他土地占总供应量的65.5%。其中公共管理与公共服务用地、交通运输用地的供应面积比例较大，占土地供应总面积的比例分别为29.5%、35.1%，另外还有少量特殊用地的供应，占土地供应总面积的0.9%，详见下表。</w:t>
      </w:r>
    </w:p>
    <w:p w14:paraId="069582CC">
      <w:pPr>
        <w:keepNext w:val="0"/>
        <w:keepLines w:val="0"/>
        <w:pageBreakBefore w:val="0"/>
        <w:widowControl w:val="0"/>
        <w:kinsoku/>
        <w:wordWrap/>
        <w:overflowPunct/>
        <w:topLinePunct w:val="0"/>
        <w:autoSpaceDE/>
        <w:autoSpaceDN/>
        <w:bidi w:val="0"/>
        <w:spacing w:line="480" w:lineRule="exact" w:before="0" w:after="0"/>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道县2020-2024年土地供应情况表</w:t>
      </w:r>
    </w:p>
    <w:p w14:paraId="586B4914">
      <w:pPr>
        <w:pStyle w:val="14"/>
        <w:keepNext w:val="0"/>
        <w:keepLines w:val="0"/>
        <w:pageBreakBefore w:val="0"/>
        <w:widowControl w:val="0"/>
        <w:kinsoku/>
        <w:wordWrap/>
        <w:overflowPunct/>
        <w:topLinePunct w:val="0"/>
        <w:autoSpaceDE/>
        <w:autoSpaceDN/>
        <w:bidi w:val="0"/>
        <w:spacing w:line="480" w:lineRule="exact" w:before="0" w:after="0"/>
        <w:jc w:val="right"/>
        <w:textAlignment w:val="auto"/>
        <w:rPr>
          <w:rFonts w:hint="default"/>
          <w:color w:val="000000" w:themeColor="text1"/>
          <w:highlight w:val="none"/>
          <w:lang w:val="en-US" w:eastAsia="zh-CN"/>
          <w14:textFill>
            <w14:solidFill>
              <w14:schemeClr w14:val="tx1"/>
            </w14:solidFill>
          </w14:textFill>
        </w:rPr>
      </w:pPr>
      <w:r>
        <w:rPr>
          <w:rFonts w:ascii="仿宋_GB2312" w:hAnsi="仿宋_GB2312" w:eastAsia="仿宋_GB2312" w:cs="仿宋_GB2312"/>
          <w:color w:val="000000" w:themeColor="text1"/>
          <w:sz w:val="28"/>
          <w:highlight w:val="none"/>
          <w14:textFill>
            <w14:solidFill>
              <w14:schemeClr w14:val="tx1"/>
            </w14:solidFill>
          </w14:textFill>
        </w:rPr>
        <w:drawing>
          <wp:anchor distT="0" distB="0" distL="114300" distR="114300" simplePos="0" relativeHeight="251660288" behindDoc="0" locked="0" layoutInCell="1" allowOverlap="1">
            <wp:simplePos x="0" y="0"/>
            <wp:positionH relativeFrom="column">
              <wp:posOffset>-167005</wp:posOffset>
            </wp:positionH>
            <wp:positionV relativeFrom="paragraph">
              <wp:posOffset>125095</wp:posOffset>
            </wp:positionV>
            <wp:extent cx="5757545" cy="2015490"/>
            <wp:effectExtent l="0" t="0" r="3175" b="11430"/>
            <wp:wrapTopAndBottom/>
            <wp:docPr id="6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2"/>
                    <pic:cNvPicPr>
                      <a:picLocks noChangeAspect="1"/>
                    </pic:cNvPicPr>
                  </pic:nvPicPr>
                  <pic:blipFill>
                    <a:blip r:embed="rId33"/>
                    <a:stretch>
                      <a:fillRect/>
                    </a:stretch>
                  </pic:blipFill>
                  <pic:spPr>
                    <a:xfrm>
                      <a:off x="0" y="0"/>
                      <a:ext cx="5757545" cy="2015490"/>
                    </a:xfrm>
                    <a:prstGeom prst="rect">
                      <a:avLst/>
                    </a:prstGeom>
                    <a:noFill/>
                    <a:ln>
                      <a:noFill/>
                    </a:ln>
                  </pic:spPr>
                </pic:pic>
              </a:graphicData>
            </a:graphic>
          </wp:anchor>
        </w:drawing>
      </w: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单位：公顷</w:t>
      </w:r>
    </w:p>
    <w:p w14:paraId="1CC80A22">
      <w:pPr>
        <w:keepNext w:val="0"/>
        <w:keepLines w:val="0"/>
        <w:pageBreakBefore w:val="0"/>
        <w:widowControl w:val="0"/>
        <w:kinsoku/>
        <w:wordWrap/>
        <w:overflowPunct/>
        <w:topLinePunct w:val="0"/>
        <w:autoSpaceDE/>
        <w:autoSpaceDN/>
        <w:bidi w:val="0"/>
        <w:adjustRightInd/>
        <w:snapToGrid/>
        <w:spacing w:line="460" w:lineRule="exact"/>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color w:val="000000" w:themeColor="text1"/>
          <w:highlight w:val="none"/>
          <w14:textFill>
            <w14:solidFill>
              <w14:schemeClr w14:val="tx1"/>
            </w14:solidFill>
          </w14:textFill>
        </w:rPr>
        <w:drawing>
          <wp:anchor distT="0" distB="0" distL="114300" distR="114300" simplePos="0" relativeHeight="251661312" behindDoc="0" locked="0" layoutInCell="1" allowOverlap="1">
            <wp:simplePos x="0" y="0"/>
            <wp:positionH relativeFrom="column">
              <wp:posOffset>692150</wp:posOffset>
            </wp:positionH>
            <wp:positionV relativeFrom="paragraph">
              <wp:posOffset>285115</wp:posOffset>
            </wp:positionV>
            <wp:extent cx="3742055" cy="2219960"/>
            <wp:effectExtent l="4445" t="4445" r="17780" b="15875"/>
            <wp:wrapTopAndBottom/>
            <wp:docPr id="67" name="图表 2" descr="7b0a202020202263686172745265734964223a202234353338343530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anchor>
        </w:drawing>
      </w:r>
    </w:p>
    <w:p w14:paraId="68E8A7B7">
      <w:pPr>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道县2020-2024年土地供应结构图</w:t>
      </w:r>
    </w:p>
    <w:p w14:paraId="1C8CA7E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③土地供应方式 </w:t>
      </w:r>
    </w:p>
    <w:p w14:paraId="04E5434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从供应方式来看，主要包括划拨和出让两种方式，从近5年的累计数据来看，道县以划拨方式供应土地557.28公顷，占供应土地总量的57.31%，出让土地面积415.14公顷，占42.69%，出让方式均为招拍挂出让。</w:t>
      </w:r>
    </w:p>
    <w:p w14:paraId="12E476A0">
      <w:pPr>
        <w:keepNext w:val="0"/>
        <w:keepLines w:val="0"/>
        <w:pageBreakBefore w:val="0"/>
        <w:widowControl w:val="0"/>
        <w:kinsoku/>
        <w:wordWrap/>
        <w:overflowPunct/>
        <w:topLinePunct w:val="0"/>
        <w:autoSpaceDE/>
        <w:autoSpaceDN/>
        <w:bidi w:val="0"/>
        <w:spacing w:line="480" w:lineRule="exact" w:before="0" w:after="0"/>
        <w:ind w:firstLine="560" w:firstLineChars="20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道县2020-2024年土地供应方式情况表</w:t>
      </w:r>
    </w:p>
    <w:p w14:paraId="2F822F26">
      <w:pPr>
        <w:pStyle w:val="14"/>
        <w:keepNext w:val="0"/>
        <w:keepLines w:val="0"/>
        <w:pageBreakBefore w:val="0"/>
        <w:widowControl w:val="0"/>
        <w:kinsoku/>
        <w:wordWrap/>
        <w:overflowPunct/>
        <w:topLinePunct w:val="0"/>
        <w:autoSpaceDE/>
        <w:autoSpaceDN/>
        <w:bidi w:val="0"/>
        <w:spacing w:line="480" w:lineRule="exact" w:before="0" w:after="0"/>
        <w:jc w:val="right"/>
        <w:textAlignment w:val="auto"/>
        <w:rPr>
          <w:rFonts w:hint="default"/>
          <w:color w:val="000000" w:themeColor="text1"/>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单位：公顷</w:t>
      </w:r>
    </w:p>
    <w:tbl>
      <w:tblPr>
        <w:tblStyle w:val="9"/>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130"/>
        <w:gridCol w:w="2130"/>
        <w:gridCol w:w="2130"/>
        <w:gridCol w:w="2132"/>
      </w:tblGrid>
      <w:tr w14:paraId="491D6D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D6413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年份</w:t>
            </w:r>
          </w:p>
        </w:tc>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CFDC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出让面积</w:t>
            </w:r>
          </w:p>
        </w:tc>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15ADB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划拨面积</w:t>
            </w:r>
          </w:p>
        </w:tc>
        <w:tc>
          <w:tcPr>
            <w:tcW w:w="12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7CF03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供应总量</w:t>
            </w:r>
          </w:p>
        </w:tc>
      </w:tr>
      <w:tr w14:paraId="58A247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87683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2020</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4F8AB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91.77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E3832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164.63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6A97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256.40 </w:t>
            </w:r>
          </w:p>
        </w:tc>
      </w:tr>
      <w:tr w14:paraId="286B7D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F4BF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2021</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398F8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100.84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84FA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83.89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FE5FF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184.73 </w:t>
            </w:r>
          </w:p>
        </w:tc>
      </w:tr>
      <w:tr w14:paraId="7D641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DEE55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2022</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F3A62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67.23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B2333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94.40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F036E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161.63 </w:t>
            </w:r>
          </w:p>
        </w:tc>
      </w:tr>
      <w:tr w14:paraId="0B107F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E0AD4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2023</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9515E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20.42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D3029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181.51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78348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201.93 </w:t>
            </w:r>
          </w:p>
        </w:tc>
      </w:tr>
      <w:tr w14:paraId="38CCAD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287B8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2024</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AA9E6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134.88</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9BFF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32.85</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966E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167.73 </w:t>
            </w:r>
          </w:p>
        </w:tc>
      </w:tr>
      <w:tr w14:paraId="0E7DED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E533E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合计</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52CAE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415.14</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60F04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557.28</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C9567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972.42</w:t>
            </w:r>
          </w:p>
        </w:tc>
      </w:tr>
    </w:tbl>
    <w:p w14:paraId="528D1F42">
      <w:pPr>
        <w:keepNext w:val="0"/>
        <w:keepLines w:val="0"/>
        <w:pageBreakBefore w:val="0"/>
        <w:widowControl w:val="0"/>
        <w:kinsoku/>
        <w:wordWrap/>
        <w:overflowPunct/>
        <w:topLinePunct w:val="0"/>
        <w:autoSpaceDE/>
        <w:autoSpaceDN/>
        <w:bidi w:val="0"/>
        <w:adjustRightInd/>
        <w:snapToGrid/>
        <w:spacing w:line="460" w:lineRule="exact"/>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p>
    <w:p w14:paraId="33B96FA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④土地供应分布 </w:t>
      </w:r>
    </w:p>
    <w:p w14:paraId="58E1EEB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土地供应分布情况来看，根据对道县往年出让台账统计数据显示，近5年道县城区商服用地土地出让主要分布在富元路、振兴路等城北区域，住宅用地主要分布在城北路、道州北路、道州南路、道州中路、环城西路、潇水沿线等区域，工矿仓储用地主要分布在道县高新技术产业开发区区域；公共管理与公共服务用地主要分布在各乡镇和道县高新技术产业开发区等区域。另外各用途出让地块在清塘镇、审章塘瑶族乡有少量分布。</w:t>
      </w:r>
    </w:p>
    <w:p w14:paraId="63EE23F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2）房地产市场状况</w:t>
      </w:r>
    </w:p>
    <w:p w14:paraId="49F5962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近几年来，道县房地产业在宏观调控中不断发展壮大，总体上呈现持续、稳定、快速发展的格局，已成为推动全县国民经济和社会发展的有力支撑点。</w:t>
      </w:r>
    </w:p>
    <w:p w14:paraId="4172201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房地产业作为关系国计民生的重要产业，对于推进道县城市建设、改善民生、拉动投资增长、增加财政收入都具有十分重要意义。 </w:t>
      </w:r>
    </w:p>
    <w:p w14:paraId="278547C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当前道县很多开发商重视市场调查和分析，开发建设地段选择、环境配套、套型设计、房屋档次各方面与市场需求较适应。推出了一批具有一定档次的小区式住宅，连片式开发已成势头。出现了一批有规模、有实力、有信誉的大型房地产开发经营企业，这些房地产开发企业的规模、资金实力、技术力量、经营水平等都有了大幅度提高，推动了我县房地产开发业持续、稳定、健康发展。</w:t>
      </w:r>
    </w:p>
    <w:p w14:paraId="3FC6601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道县实现建筑业增加值177396万元，比上年增长9.8%。具有资质等级的总承包和专业承包建筑企业完成产值586174.6万元，增长19.05%；房屋建筑施工面积174.88万平方米,比上年增长16.22%；房屋建筑竣工面积124.28万平方米,比上年上升15.39%。实现房地产业（k门类）增加值39342万元,下降15.5%。完成房地产开发投资41337万元,下降44.16%。房屋施工面积74.73万平方米,下降14.56%；竣工面积32.78万平方米，下降6.76%。商品房销售面积33.79万平方米,下降19.89%；商品房销售额14.05亿元,下降28.84%。</w:t>
      </w:r>
    </w:p>
    <w:p w14:paraId="5969717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为了解决中低收入城镇居民的住房问题，道县实施解困房工程建设，向社会提供价格低廉的商品房，建立以商品房住宅供应为主体，安居工程住宅供应为补充的住宅供应体系。 </w:t>
      </w:r>
    </w:p>
    <w:p w14:paraId="01926F5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3.产业政策</w:t>
      </w:r>
    </w:p>
    <w:p w14:paraId="16327F0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（1）相关产业政策</w:t>
      </w:r>
    </w:p>
    <w:p w14:paraId="63E738D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2022年1月，湖南省发改委发布关于对《湖南省物业服务收费管理办法》（征求意见稿）（以下简称《办法》）公开征求意见的公告。</w:t>
      </w:r>
    </w:p>
    <w:p w14:paraId="77B63B3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《办法》明确，物业应当于每年第一季度公示上一年度物业服务合同履行情况、物业服务项目收支情况、利用公共部位公共设施设备进行经营等收入情况，本年度收支预算。</w:t>
      </w:r>
    </w:p>
    <w:p w14:paraId="0E065C0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同时，鼓励物业对未入住或未使用的空置房业主，实行适当费用优惠。</w:t>
      </w:r>
    </w:p>
    <w:p w14:paraId="1B25431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2022年6月，永州市住房和城乡建设局印发《永州市中心城区进一步促进房地产市场平稳发展的若干措施》，在引导住房合理消费需求方面有七条措施：</w:t>
      </w:r>
    </w:p>
    <w:p w14:paraId="15DFB29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1）实行购房契税补贴。在本措施有效期内购买中心城区新建商品房（含住宅、非住宅）均可享受其所缴纳契税总额80％的财政补贴。</w:t>
      </w:r>
    </w:p>
    <w:p w14:paraId="4F9A7D0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2）实行人才购房补贴。对全日制本科生、全日制研究生和副高级职称人才、全日制博士研究生和正高级职称人才购房，分别补贴2万元、3万元、5万元。</w:t>
      </w:r>
    </w:p>
    <w:p w14:paraId="4F08721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3）切实解决业主子女入学问题。购房业主子女凭房屋不动产权证或购房合同并契税缴纳凭证，享受房屋所在地义务教育阶段学校学位。</w:t>
      </w:r>
    </w:p>
    <w:p w14:paraId="2328BFC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4）加大房地产信贷支持力度。实施差别化住房信贷政策，鼓励金融机构支持个人购房贷款，支持房地产企业贷款。</w:t>
      </w:r>
    </w:p>
    <w:p w14:paraId="7B1F590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5）提高住房公积金贷款额度。全面放开异地贷款业务，先进模范人物和高层次人才最高贷款额度提高至100万元，生育二孩、三孩的家庭最高贷款额度可上浮10万元和20万元。</w:t>
      </w:r>
    </w:p>
    <w:p w14:paraId="6BBCCCF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6）停止新建安置房和自建安置房。采用以货币化为主的安置方式，鼓励征收户选择已建成的安置房或商品房进行产权调换。</w:t>
      </w:r>
    </w:p>
    <w:p w14:paraId="0B083B6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7）下调二手房评税价格。将住房类、商业类、其他非住宅存量房分别按当前系统评估价格下调20%、40%、30%。</w:t>
      </w:r>
    </w:p>
    <w:p w14:paraId="57E51ED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在帮助企业纾困解难方面有六条措施：</w:t>
      </w:r>
    </w:p>
    <w:p w14:paraId="2802674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1）加大税收支持力度。房地产开发企业可以依法办理延期缴纳税款，确保税收优惠应享尽享。</w:t>
      </w:r>
    </w:p>
    <w:p w14:paraId="03888DB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2）优化预售资金监管政策。对信用等级良好的房地产开发企业适当放宽预售资金解控比例，支持启动应急用款方式支付项目工程建设费用。</w:t>
      </w:r>
    </w:p>
    <w:p w14:paraId="2CC1414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分期缴纳土地价款，调整延缓缴纳相关费用。土地出让金1亿元以上的项目，在中标后缴纳50%土地出让金，余款可以分次交清。全市土地挂牌出让交易服务费按现行标准下浮40%。延缓城市基础设施配套费缴纳时间至在取得预售许可证后3个月内缴清。</w:t>
      </w:r>
    </w:p>
    <w:p w14:paraId="68F08B4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4）实行“商改住”。采取“商改住”、“商改租”、降低商住配比、降低公寓业主使用成本、加大购买非住宅金融支持等方式加快非住宅库存去化。</w:t>
      </w:r>
    </w:p>
    <w:p w14:paraId="2CBB9D4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5）加速公共服务配套。破解“大开发、小配套”问题，鼓励房企引入优质医疗、教育等公共资源，引导社会资本投资配建公共服务和市政基础设施。</w:t>
      </w:r>
    </w:p>
    <w:p w14:paraId="248952F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6）实行新建商品房“交房即交证”。缩短房地产开发建设项目从竣工验收到办理不动产首次登记及转移登记的全过程时限，推动地下车位、车库出售、出租、办理不动产权证。</w:t>
      </w:r>
    </w:p>
    <w:p w14:paraId="3366B83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2023年5月，{{ base_price_doc_authority }}关于印发《道县进一步促进房地产市场平稳健康发展的十条措施》的通知，结合道县实际，制定十条措施保障房地产市场健康发展：</w:t>
      </w:r>
    </w:p>
    <w:p w14:paraId="1F63E76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1）实行购房契税补贴。本措施有效期内在道县城区购买新建商 品房（不含商业门面和二手房），签订商品房网签合同、备案并缴纳契税的，由县财政按其所缴纳契税金额的100%对购房人予以补贴。</w:t>
      </w:r>
    </w:p>
    <w:p w14:paraId="37FA40E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2）实行人才购房补贴。对企事业单位全职引进的35周岁以下全日制硕士研究生或副高级专业技术职称人才和“双一流”建设高校全日制本科生、其他高校全日制本科生分别给予5万元、2万元购房补贴。</w:t>
      </w:r>
    </w:p>
    <w:p w14:paraId="3083CBC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3）切实解决业主子女入学问题。在义务教育学段，根据招生政 策及学位情况，购房人凭商品房买卖合同备案证明或不动产证可申请子女就近入学。教育部门根据辖区的人口分布等情况，按道路和住宅小区的边界等调整义务教育招生辖区。学校学位不足时，由教育部门统筹安排入学。</w:t>
      </w:r>
    </w:p>
    <w:p w14:paraId="20501B0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4）鼓励房企团购让利销售。支持机关、企事业单位、村（社区）、社会团体等组团购买商品住房，鼓励房地产企业对团购合理合 规让利销售，团购价格可按商品住房备案价格优惠2%—10%。</w:t>
      </w:r>
    </w:p>
    <w:p w14:paraId="333C48C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完善公共配套和基础设施。根据道县国土空间总体规划完善房地产项目周边的交通、教育、医疗、公园等公共配套和基础设施建设,为楼盘开发销售创造优良环境，确保房地产开发项目配套完善、功能齐全，满足业主的入住条件。</w:t>
      </w:r>
    </w:p>
    <w:p w14:paraId="09E4CF2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容缺办理相关审批手续。房地产开发企业购置国有建设用地使用权的，在签订土地出让合同并缴纳不低于50%土地出让金后，相关职能部门可容缺办理建设用地规划许可证、规划设计方案审查、建设工程规划许可证、施工许可证等行政审批手续；在完成规划条件核实、竣工验收并缴清相关费用后，给予办理不动产登记手续。</w:t>
      </w:r>
    </w:p>
    <w:p w14:paraId="7CBD3F7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加大金融支持力度。落实个人住房贷款首付比例、利率等优惠政策，争取首套房首付比例不高于永州全辖金融机构最低规定比例，首套房贷款年利率不高于4.3%。实施差别化住房信贷政策，个人按揭贷款放款周期缩短到3个月内，对拥有1套住房并已结清购房贷款的家庭，为改善居住条件再次申请贷款购买商品住房的，金融机构贷 款执行首套房贷款政策。鼓励金融机构对符合条件的小微企业主、个体工商户，购买商铺、公寓等非住宅商品房按房地产贷款政策给予利率优惠。住房公积金全面放开异地贷款业务，支持全国住房公积金缴存职工到道县购房，不受缴存地、户籍地的限制。</w:t>
      </w:r>
    </w:p>
    <w:p w14:paraId="3A64351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加大税收支持力度。房地产开发企业可以按规定申请延期纳税申报。对有特殊困难而不能按期缴纳税款的，由企业申请，依法办理延期缴纳税款，最长不超过3个月。对房地产企业销售未完工产品计税毛利率统一下调至10%。对纳税信用等级好、管理规范的房地产企业，税务部门依法受理审批增值税期末留抵退税，确保税收优惠应享尽享。</w:t>
      </w:r>
    </w:p>
    <w:p w14:paraId="6FF72BA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实行新建商品房“交房即交证”。通过部门协同、整合平台、强化监管、再造流程、信息共享等方式，缩短房地产开发建设项目从竣工验收到办理不动产首次登记及转移登记的全过程时限，努力构建行之有效、可复制的新建商品房“交房即交证”工作模式。</w:t>
      </w:r>
    </w:p>
    <w:p w14:paraId="5E2466C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切实维护房地产市场秩序。加强房地产政策宣传，适时举办住博会；加大违法建设查处力度，禁止任何单位和个人建设和销售小产权房；加大对未批先售、未经竣工验收即交付使用、虚假违法宣传、未明码标价、价格欺诈、相互串通、操纵市场价格、低于成本价格倾销、以及哄抬价格等违法违规行为的查处力度，持续有效地促进房地产市场平稳健康发展。</w:t>
      </w:r>
    </w:p>
    <w:p w14:paraId="331E1A7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（2）税收政策</w:t>
      </w:r>
    </w:p>
    <w:p w14:paraId="2F28F38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根据国家有关税法文件规定，房地产开发企业主要涉及的税费包括：</w:t>
      </w:r>
    </w:p>
    <w:p w14:paraId="7731C55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1）契税</w:t>
      </w:r>
    </w:p>
    <w:p w14:paraId="3114C8C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纳税人：转移土地、房屋权属，承受的单位和个人；</w:t>
      </w:r>
    </w:p>
    <w:p w14:paraId="6FBD5A1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计税依据：市场价格或差额，计征契税的成交价格不含增值税；</w:t>
      </w:r>
    </w:p>
    <w:p w14:paraId="5A11D06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税率：3%—5%</w:t>
      </w:r>
    </w:p>
    <w:p w14:paraId="72FFE30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w:t>
      </w:r>
    </w:p>
    <w:p w14:paraId="66284A4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2）城镇土地使用税</w:t>
      </w:r>
    </w:p>
    <w:p w14:paraId="16D4292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纳税人：在城市、县城、建制镇、工矿区范围内拥有土地使用权的单位和个人；</w:t>
      </w:r>
    </w:p>
    <w:p w14:paraId="5556E14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计税依据：实际占用土地面积；</w:t>
      </w:r>
    </w:p>
    <w:p w14:paraId="63231B2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适用税额：大城市1.5-30元，中等城市1.2-24元，小城市0.9-18元，县城、建制镇、工矿区0.6-12元；</w:t>
      </w:r>
    </w:p>
    <w:p w14:paraId="07E59F3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纳税义务发生时间：取得土地后次月；</w:t>
      </w:r>
    </w:p>
    <w:p w14:paraId="370C26D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涉税阶段：前期准备阶段、建设施工阶段、预售阶段。</w:t>
      </w:r>
    </w:p>
    <w:p w14:paraId="432DB6A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3）耕地占用税</w:t>
      </w:r>
    </w:p>
    <w:p w14:paraId="6BF2DC2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纳税人：占用耕地建房或者从事非农业建设的单位或者个人；</w:t>
      </w:r>
    </w:p>
    <w:p w14:paraId="09E42EE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计税依据：占用的耕地面积</w:t>
      </w:r>
    </w:p>
    <w:p w14:paraId="28A6C6D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适用税额：人均耕地不超过1亩的地区，每平方米为10~50元；人均耕地占用超过1亩但不超过2亩的地区，每平方米为8~40元；人均耕地占用超过2亩但不超过3亩的地区，每平方米为6~30元；人均耕地超过3亩的地区，每平方米为5~25元；</w:t>
      </w:r>
    </w:p>
    <w:p w14:paraId="7E0F672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涉税阶段：土地获取阶段、前期准备阶段。</w:t>
      </w:r>
    </w:p>
    <w:p w14:paraId="1F973F3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4）印花税</w:t>
      </w:r>
    </w:p>
    <w:p w14:paraId="2098259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纳税人：经济活动和经济交往中书立、领受应税凭证的单位和个人；</w:t>
      </w:r>
    </w:p>
    <w:p w14:paraId="75E9E0F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应税对象：经济合同、产权转移数据、营业账簿、权利许可证照等；</w:t>
      </w:r>
    </w:p>
    <w:p w14:paraId="08C0B55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房地产涉及的印花税：取得土地和销售阶段签订的房屋销售合同；建设工程合同、借款合同、财产保险合同、注册资本等；</w:t>
      </w:r>
    </w:p>
    <w:p w14:paraId="6D6D68E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涉税阶段：土地获取阶段、建设施工阶段、预售阶段；</w:t>
      </w:r>
    </w:p>
    <w:p w14:paraId="2573B4E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5）增值税</w:t>
      </w:r>
    </w:p>
    <w:p w14:paraId="6CB9271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纳税人：在中华人民共和国境内销售货物或者加工、修理修配劳务，销售服务、无形资产、不动产以及进口货物的单位和个人；</w:t>
      </w:r>
    </w:p>
    <w:p w14:paraId="635DB78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计税方法：一般计税和简易计税；</w:t>
      </w:r>
    </w:p>
    <w:p w14:paraId="567AC34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预缴增值税：在取得预收款的次月纳税申报期预缴税款</w:t>
      </w:r>
    </w:p>
    <w:p w14:paraId="0D3D997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房地产开发企业纳税义务发生时间：</w:t>
      </w:r>
    </w:p>
    <w:p w14:paraId="51916D9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发生应税行为并收讫销售款项或者取得索取销售款项凭据的当天；先开具发票的，为开具发票的当天。收讫销售款项，是指纳税人销售服务、无形资产、不动产过程中或者完成后收到款项。取得索取销售款项凭据的当天，是指书面合同确定的付款日期；未签订书面合同或者书面合同未确定付款日期的，为服务、无形资产转让完成的当天或者不动产权属变更的当天。</w:t>
      </w:r>
    </w:p>
    <w:p w14:paraId="6B322D7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08558DC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6）城市维护建设税</w:t>
      </w:r>
    </w:p>
    <w:p w14:paraId="3DF1BCF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纳税人：缴纳增值税、消费税的单位和个人；</w:t>
      </w:r>
    </w:p>
    <w:p w14:paraId="15413E7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计税依据：纳税人实际缴纳的增值税、消费税税额；</w:t>
      </w:r>
    </w:p>
    <w:p w14:paraId="170C673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计税税率：1.纳税人所在地在市区，税率为7%；2.纳税人所在地在县城、镇的，税率为 5%；3.纳税人不在上述地区的，税率为1%；</w:t>
      </w:r>
    </w:p>
    <w:p w14:paraId="6F0EF60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房地产开发企业纳税义务：跨地区提供建筑服务、销售和出租不动产的，按预缴所在地城建税税率计算缴纳。与增值税的纳税期限一致，与增值税同时缴纳。</w:t>
      </w:r>
    </w:p>
    <w:p w14:paraId="5CC75A4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41E2CAB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7）教育费附加</w:t>
      </w:r>
    </w:p>
    <w:p w14:paraId="445B93A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纳税人：凡缴纳增值税、消费税的单位和个人，按3%计征；</w:t>
      </w:r>
    </w:p>
    <w:p w14:paraId="2F00544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计税依据：实际缴纳的增值税、消费税税额；</w:t>
      </w:r>
    </w:p>
    <w:p w14:paraId="26B2F2C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4E112F6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8）地方教育附加</w:t>
      </w:r>
    </w:p>
    <w:p w14:paraId="0FC2197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纳税人：缴纳增值税、消费税的单位和个人，按 2%计征；</w:t>
      </w:r>
    </w:p>
    <w:p w14:paraId="544497C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计税依据：实际缴纳的增值税、消费税税额；</w:t>
      </w:r>
    </w:p>
    <w:p w14:paraId="34B1A0D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涉税阶段：销售阶段</w:t>
      </w:r>
    </w:p>
    <w:p w14:paraId="1CBA6ED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9）房产税</w:t>
      </w:r>
    </w:p>
    <w:p w14:paraId="5D683A0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纳税人：房屋产权所有人；</w:t>
      </w:r>
    </w:p>
    <w:p w14:paraId="3E5640F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计税依据：房屋的计税余值或租金收入，房屋出租的，计征租金收入不含增值税；</w:t>
      </w:r>
    </w:p>
    <w:p w14:paraId="1C4633E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房地产开发企业纳税义务：自用房屋，房产税依照房产原值一次减除10%-30% 后的余值计算缴纳，具体减除幅度由省、自治区、直辖市人民政府规定，适用税率 1.2%；房屋出租的，以房产租金收入和税率 12%计算缴纳。对于个人按市场价格出租的居民住房，房产税暂减按 4%税率征收。</w:t>
      </w:r>
    </w:p>
    <w:p w14:paraId="11DDC3A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涉税阶段：前期准备阶段、建设施工阶段、销售阶段</w:t>
      </w:r>
    </w:p>
    <w:p w14:paraId="10873F7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10）土地增值税</w:t>
      </w:r>
    </w:p>
    <w:p w14:paraId="135CDC6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纳税人：有偿转让国有土地使用权及地上建筑物和其他附着物产权，取得增值收入的单位和个人；</w:t>
      </w:r>
    </w:p>
    <w:p w14:paraId="4AC62BC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房地产开发企业纳税义务：房地产开发企业转让土地时，要按照其转让房地产时取得的收入减去允许扣除的项目金额后的余额，依照规定的税率缴纳土地增值税；</w:t>
      </w:r>
    </w:p>
    <w:p w14:paraId="0938E00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计税依据：对增值额征税，增值额计算要素如下：</w:t>
      </w:r>
    </w:p>
    <w:p w14:paraId="410B444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①计税收入为房地产企业转让房地产取得的收入，土地增值税应税收入=营改增之前转让房地产取得的收入+营改增后转让房地产取得的不含税收入</w:t>
      </w:r>
    </w:p>
    <w:p w14:paraId="0939223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允许扣除项目包括取得土地使用权所支付的金额、开发土地和新建房及配套设施的成本、开发土地和新建房及配套设施的费用以及前述两项20%加计扣除，还有与转让房地产有关的税金。与转让房地产有关的税金=营改 增前实际缴纳的营业税、城市维护建设税、教育费附加+营改增后允许扣除的城市维护建设税、教育费附加。</w:t>
      </w:r>
    </w:p>
    <w:p w14:paraId="73FBF40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③建造普通住宅出售，增值额未超过扣除项目金额20%的，免征土地增值税。</w:t>
      </w:r>
    </w:p>
    <w:p w14:paraId="2730BB0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④征收方式：采取按期预征、项目完工清算的方法。也就是按照当期取得的售房收入，依照预征率计算征收，项目完工后清算，多退少补。对于无法查账征收土地增值税的企业，可以核定征收。</w:t>
      </w:r>
    </w:p>
    <w:p w14:paraId="033540D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⑤涉税阶段：销售阶段、土增税清算阶段。</w:t>
      </w:r>
    </w:p>
    <w:p w14:paraId="0EC2330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11）企业所得税</w:t>
      </w:r>
    </w:p>
    <w:p w14:paraId="19CD904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征收方式：查账征收和核定征收。房地产企业一般采用查账征收，适用 25%税率。企业所得税是按年计算，分月或者分季预缴，年终汇算清缴，多退少补。自年度终了之日起5个月内，向税务机关报送年度企业所得税纳税申报表，并汇算清缴，结清应缴应退税款；</w:t>
      </w:r>
    </w:p>
    <w:p w14:paraId="2CA2D8D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2021.1.1～2022.12.31，对小型微利企业年应纳税所得额不超过100万元的部分，减按12.5%计入应纳税所得额，按20%的税率缴纳企业所得税（税负2.5％）；对年应纳税所得额超过100万元但不超过300万元的部分，减按50%计入应纳税所得额，按20%的税率缴纳企业所得税（税负10％）。</w:t>
      </w:r>
    </w:p>
    <w:p w14:paraId="5B4D7C3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小型微利企业是指从事国家非限制和禁止行业，且同时符合年度应纳税所得额不超过300万元、从业人数不超过300人、资产总额不超过5000万元等三个条件的企业。</w:t>
      </w:r>
    </w:p>
    <w:p w14:paraId="14F54F4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所得税预缴：房地产开发企业销售未完工产品取得的收入，应先按预计毛利率分季（或月）计算出预计毛利额，计入当期应纳税所得额。</w:t>
      </w:r>
    </w:p>
    <w:p w14:paraId="0F40DD6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涉税阶段：项目全周期</w:t>
      </w:r>
    </w:p>
    <w:p w14:paraId="1133516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12）个人所得税</w:t>
      </w:r>
    </w:p>
    <w:p w14:paraId="0363CCC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征税对象：工资、薪金所得；劳务报酬所得；稿酬所得；特许权使用费所得；利息、股息、红利所得；财产租赁所得；财产转让所得；偶然所得。</w:t>
      </w:r>
    </w:p>
    <w:p w14:paraId="544DEC1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房地产开发企业纳税义务：代扣代缴个人所得税；</w:t>
      </w:r>
    </w:p>
    <w:p w14:paraId="596C5E9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涉税阶段：项目全周期</w:t>
      </w:r>
    </w:p>
    <w:p w14:paraId="1F0242C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目前道县房地产税收政策与国家政策保持完全一致。</w:t>
      </w:r>
    </w:p>
    <w:p w14:paraId="1519BA2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4.城市规划与发展目标</w:t>
      </w:r>
    </w:p>
    <w:p w14:paraId="676E3A1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（1）城市规划</w:t>
      </w:r>
    </w:p>
    <w:p w14:paraId="2DBDEAB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根据道县国土空间总体规划征求意见稿，道县县域规划产业发展形成“一核、一轴、三区、多基地 ”空间布局。一核：县城，以道县工业集中区为基础，打造县域产业发展极核。一轴：沿国道G357产业发展主轴。三区：国道G357以北的北部特色农业发展区、南部瑶族乡为主南部生态保护 和旅游发展区，中部乡镇形成城郊型产业发展区。多基地：分布于县域产业发展基地，主要有工业发展基地、旅游基地、烟草 基地、脐橙基地等。</w:t>
      </w:r>
    </w:p>
    <w:p w14:paraId="361A6FD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结合产业发展现状，根据工业园内的现状路网和总体规划路网、自然地形及规划用地性质，规划以城区为依托，以工业大道与东环二路为工业园发展主轴，按照工业向北向东拓展的用地布局设想，形成清晰的规划结构。整个工业园区为“一心、两轴、多板块”的规划结构。“一心”是指：以工业大道与东环二路相交区域为依托规划形成的片区园区综合服务核心；该中心将集中园区主要的商业金融、商务办公及行政办公等设施，设置绿化、广场，以林荫步道与周围镇区道路相连，把生态和市民活动引入内部，形成真正集聚人们各种公共活动的园区中心。“两轴”是指：工业园内的产业发展轴。即工业大道两厢的以工业为主，以生活服务、综合居住为辅的产业发展主轴线。以东环二路两厢的工业为主、生活服务为辅的产业发展次要轴线。“多板块”是指：工业板块、综合办公板块、综合居住板块、生活服务板块四大板块。</w:t>
      </w:r>
    </w:p>
    <w:p w14:paraId="0667910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通过对自然地貌的分析梳理和城市空间构思设想，规划构建县城“一带双心、二廊四轴、七组团”的县城整体空间结构。一带：即沿潇水的县城核心景观带，由南至北，串联县城各核心组团；双心：即县城中心的商业服务中心和历史文化核心城区。二廊：指濂溪河生态廊道和板坝河生态廊道；四轴：南北向即以道洲路为依托的县城综合发展轴、营阳大道综合发展发展轴；东西向以月岩路为依托的综合发展轴、工业大道发展轴；七组团：即县城七大核心组团，分别为工业园组团、城北组团、历史城区组团、火车站站前城西现代商贸组团、中部综合服务组团、城南物流园组团、城东文旅康养组团。</w:t>
      </w:r>
    </w:p>
    <w:p w14:paraId="07C9CC1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（2）发展目标</w:t>
      </w:r>
    </w:p>
    <w:p w14:paraId="06C26BDD">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2025年目标</w:t>
      </w:r>
    </w:p>
    <w:p w14:paraId="2145BA0F">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生态保护红线和永久基本农田保护红线得到严格落实，国土空间开发保护格 局得到优化；潇水及其支流水系、森林、山体等生态功能得到大幅提升，资源利 用水平显著提高；重点环境问题得到有效整治，城乡污水处理、生活垃圾分类无 害化处理实现全覆盖，生态环境持续改善，生态安全屏障更加牢固，城乡人居环 境明显改善；“江湾映城、山水相融 ”的城市空间格局基本形成，民生设施建设 取得显著成效，乡村地区基本实现集约发展，传统历史文化得到保护、传承和弘 扬；现代化产业体系初具规模，科技创新能力显著增强，对外开放与区域协同水 平全面提升，成为湘粤桂交汇区经济发展的核心引擎。</w:t>
      </w:r>
    </w:p>
    <w:p w14:paraId="6382785F">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2035年目标</w:t>
      </w:r>
    </w:p>
    <w:p w14:paraId="22173121">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国土空间治理体系和治理能力现代化基本实现，优良的生态格局全面稳固；城市功能完善，人居环境品质优良，文化吸引力突出；创新驱动的开放型现代产业体系基本建立，发展形成全省内陆开放前沿阵地；绿色生产生活方式广泛形成、蔚然成风，生态优势持续放大，人与自然和谐共生；理学文化、红色文化持续发扬光大；全面建成湘粤桂交汇区山水城园和谐共生、城乡深度融合、创新开放品质活力的中心城市。</w:t>
      </w:r>
    </w:p>
    <w:p w14:paraId="2633AE54">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远景展望目标</w:t>
      </w:r>
    </w:p>
    <w:p w14:paraId="1CBCCFFE">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到本世纪中叶，县域各项经济社会发展指标达到区域领先水平，国土空间治理体系和治理能力实现现代化；城乡互补、区域互通、三生互动、山水林田湖有 机融合的国土空间“生命共同体”格局全面形成，生态环境进入自然良性循环；传统文化与现代文化交相呼应、繁荣发展；对外开放水平和国际影响力不断提高，科技创新和高端高新产业引领发展；城市功能趋于完善，交通网络便捷高效，现代化基础设施系统完备；全面建成经济繁荣、社会和谐、生态宜居的现代化样板 区和质量变革、效率变革、动力变革的领先发展区。</w:t>
      </w:r>
    </w:p>
    <w:p w14:paraId="4B2A29B5">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5.城市社会经济发展状况</w:t>
      </w:r>
    </w:p>
    <w:p w14:paraId="49400646">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（1）城市经济布局</w:t>
      </w:r>
    </w:p>
    <w:p w14:paraId="733CAFAE">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根据{{ base_price_doc_authority }}网发布的消息，道县目前城市经济布局主要突出以下几个方面：</w:t>
      </w:r>
    </w:p>
    <w:p w14:paraId="42EBDC77">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优化城镇空间布局。立足道县资源禀赋，落实国家、省市主体功能区战略，科学构建“一核两轴六带”县域发展新格局。一核：以县城为核心，加快中心城区扩容提质，提升城市首位度。两轴：统筹推动沿G207和G357构成的“大十字架”经济发展轴，串联县域高速和国、省、县交通干线，注重推动资源、项目、产业、人口沿着两轴聚集发展，精心打造沿线特色小镇、特色农业 集群发展轴；六带：以县域潇水、濂溪、洑水、泡水、淹水、九嶷河六大水系为纽带，形成六大国土空间开发保护格局。重点加强沿河两岸国土空间开发保护，统筹山水林田湖草系统治理，推进沿河岸线治岸治污治渔，落实好长江十年禁渔，优化村庄规划布局，开展乡村建设行动，提升建房质量，建设美丽道县。</w:t>
      </w:r>
    </w:p>
    <w:p w14:paraId="67FEC096">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优化城区空间布局。按照“六纵十八横”的空间架构进行布局， 以千年州府为底色，打造 “一水两岸、双星闪耀”的城市新景观，加快构建“一心两河四岸三新城”的城市空间布局，努力把道县建成现代智慧新城、生态山水洲城、历史文化名城。一心：以县城老城区为核心，突出城区提质扩容、老旧小区改造。两河四岸：以潇水河、濂溪河为纽带，注重以水活城、以洲载城、以文润城，统筹推进城市濂溪河两岸提质、潇水河两岸扩容，推动 城市由“沿线发展”向“沿河发展”转变。三新城：以道县高新区调规扩区为契机，重点发展电子信息、智能智造两大百亿产业，积极培育新材料、新能源两大战略型新兴产业，打造北部工业新城，带动玉潭片区、树湘片区开发发展。 以湘粤桂综合物流园为依托，建设以一个综合物流园、多个专业物流园（汽贸物流园、 家居建材物流园、钢贸物流园、陶瓷建材物流园、 日化物流园和 冷链物流园等）、一个电商综合配送中心为主体的立足湘南、辐射桂东粤西北的区域性综合物流集散基地，加快建设城西路，推 动火车站片区、物流园片区组团滚动发展，打造南部现代物流新 城。以潇水为发展纵轴，以营阳大道（G207 道县绕城公路）、树湘大道为环线，突出上关片区开发建设，加快路网成型，产业导入，打造东部文化生态新城。</w:t>
      </w:r>
    </w:p>
    <w:p w14:paraId="24BC7BEA">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构建新型城镇化体系。打造现代智慧新城。加快城市片区开发， 以濂溪为发展横轴，南面城区突出沿潇水东西拓展，建设东部文化生态新城、南部现代物流新城；北面城区突出提质，改造古城历史文化街区，提升工业新城。以潇水为发展纵轴，以营阳大道（G207 道县绕城公路）、树湘大道为环线，突出上关片区开 发建设，加快路网成型，产业导入，打造东部文化生态新城；以湘粤桂综合物流园为依托，加快建设城西路，推进物流园片区与火车站片区组团滚动发展，打造南部现代物流新城，形成“ 一水两岸、双星闪耀”的城市新景观。以园区调规扩区为契机，健全功能，完善配套，壮大电子信息、智能制造、轻纺制鞋等产业，打造现代工业新城，带动玉潭片区、树湘片区开发发展。提升城市路网建设。加快完成营阳大道（G207道县绕城公路）、东环二路、树湘大道、城西路等城区主干道建设，拆除重建潇水大桥，拓宽建设西关桥，拉通状元路、城北路、振兴路、滨河路等城区“断头路”，形成“六纵十八横”城市路网框架。完善城市功能。持续推进城市更新，实施城中村提质改造，加快老旧小区改造，加强社区建设，支持智慧社区应用和平台建设，完善储能设施、新能源汽车充电桩、换电站及车路协同设施，推进智慧城市建设。创建国家文明城市，强化市容市貌管理整治，规范城市综合执法，推动城市治理方式向全周期管理转变。打造生态山水洲城。依托城市自然生态和山水脉络，建好东洲河坝、濂溪河坝，精心打造东洲生态湿地公园和潇水、濂溪沿岸滨河生态风光带，加强濂溪河生态廊道和板坝河生态廊道建设，完善城市防洪保护圈，加快城市绿地公园建设，创建省级园林、森林城市，打造生态宜居山水洲城。打造历史文化名城。注重将地域特色文化融入城市建设全过程，精心建设城市文化地标，改造寇公街、次山街、湾里街等历史街区，启动绍基故里保护开发，修缮保护古城墙，建好“道州府衙”，建设国家历史文化名城。同时，完善城镇发展体系。</w:t>
      </w:r>
    </w:p>
    <w:p w14:paraId="575C7705">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新型城镇化提质扩能。推进环境卫生设施提级扩能。完善垃圾无害化资源化处理设施。全面推进生活垃圾分类，逐步建立分类投放、分类收集、分类运输、分类无害化资源化处理的生活垃圾处理系统。完善道县城区、寿雁和祥霖铺特大镇生活垃圾收运体系，配备分类清运、密封性好、压缩式收运车辆，改造垃圾房和转运站。加快建设道县生活垃圾焚烧终端处理设施，逐步减少原生垃圾直接填埋。建设餐厨垃圾处理中心，建立餐厨垃圾等回收及再生利用体系。加快医疗废物、污水集中处理设施，完善收转运体系，因地制宜建设危险废物处理设施。建设规范的回收网点和分拣中心，对大件垃圾、园林垃圾、装修垃圾等生活垃圾进行回收利用，实现城区生活垃圾分类全覆盖。健全污水集中处理设施。以“共抓长江大保护”试点为契机，按照“厂网配套、泥水并重”要求，建设城区污水集中处理设施，提升管网收集能力，积极推进“雨污分流”，加强混错接、漏接、老化和破损管网更 新修复。加快建设污泥无害化资源化处理设施，推进濂溪河、潇 水河等片区治理。改善县城公共厕所。在旧城区、人流密集区和主次干路等区域，配建、补建2类以上土建厕所、2类装配式移 动厕所，利用节能环保技术配置除臭设施。改造老旧公共厕所，分批进行拆除或改建。新区建设和商业开发要严格按标准配建公共厕所。合理增加无障碍厕位和第三卫生间。推进市政公用设施提档升级。优化市政交通设施。重点推进东二环、营阳大道（G207道县绕城公路）、站前大道、城西路等两条环城路建设；推进东西横线建设，实施金都路、滨河路三段、万家庄路、公园东路、红星西路、文化西路、长征西路、状元路、城北路（东段）、湘源西路、荷叶塘东路、振兴西路、乌家山路等道路建设，完善高新技术产业开发区、物流园区路网建设。完善市政管网设施。全面完善地下给水、雨水、污水、电力、电讯、燃气等工程管线，推进地下综合管廊建设，试点推进海绵城市建设。重点建设一批城市消防站和地下人防工程，推进水系整治、防洪堤和防洪排涝设施建设。发展配送投递设施。建设道县统一分拨中转的公共配送中心，鼓励发展共同配送等新模式，满足小微企业和群众日常物流分拨配送需要。支持社会力量面向家庭用户和单位职工等受众群体，布设不同类型智能快件箱及末端网点设施，升级配套系统管理软硬件等，提供便捷安全的“最后一百米”服务。推进县城智慧化改造。实施道县5G网络建设工程，建设5G基站1200个。推行县城智慧化改造，实现政务服务“一网通办”，部署智 慧交通、智慧电网、智慧水务等感知终端，推进市政公用设施智慧化。建设政务信息数据共享交换平台、智慧安防城市项目，推行智慧教育、智慧医疗、智慧文旅、智慧城管、智慧环卫推进社会治理精细化、公共服务供给便捷化。更新改造老旧小区。推进道县老旧小区改造及基础设施配套，重点实施地下管网改造、强弱电下地、燃气管道铺设、道路提质、房屋修缮加固、安装电梯等项目。鼓励探索以社区乃至街区为单元进行改造的商业模式，吸引社会资本参与有一定盈利的改造项目。推进产业培育设施提 质增效。完善产业平台配套设施。培育城区内生增长动力和 “造 血”能力，引导乡间、夜间、网间经济蓬勃发展和服务业集聚发展，促进农业转移人口就近城镇化。完善文化产业园、特色小镇等产业集聚区配套设施，建设道县检测认证园区；优化技术研发转化中心，提供厚朴等共性技术公用研发设备；在有条件的地区建设智能标准厂房，提供共用生产空间，降低企业成本、提高生产效率；完善便企政务服务中心，优化“最多跑一次”的一站式 服务；完善道县农村资源产权交易平台，盘活农村闲置资源资产。加大高新区产业转型升级力度，争取建设一批产业转型升级示范园区。健全冷链物流设施。建设湘粤桂综合物流园、中农批冷链粤港澳大湾区湖南农副产品配送中心冷链物流产业园等冷链配送设施，保障农副产品全程冷鲜冷冻保存和运输。建设面向城市消费 的生鲜食品低温加工处理中心，推广“生鲜电商+冷链宅配”“中央厨房+食材冷链配送”等新模式。引导社会力量在大中型商场超市建设冷链物流前置仓，解决冷链物流“最后一公里”问题。提升农贸市场水平。新建畜禽批发市场、提质农贸市场、集贸市 场，合理扩大规模和服务半径，改善交易棚厅等经营条件。在批发型农贸市场配置检测检疫设备，确保进场农副产品质量安全。完善零售型农贸市场和社区菜市场环保设施，解决卫生“脏乱差”问题。支持社会力量改造建设畜禽定点屠宰加工厂。</w:t>
      </w:r>
    </w:p>
    <w:p w14:paraId="6E551611">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（2）城市发展水平</w:t>
      </w:r>
    </w:p>
    <w:p w14:paraId="24A2469A">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实现地区生产总值2938136万元，比上年增长7.0%。其中，第一产业增加值548917万元，增长3.3%；第二产业增加值1002533万元,增长11.3%；第三产业增加值1386686万元，增长5.5%。按常住人口计算，2024年人均地区生产总值为51483元，比上年增长8.3%。</w:t>
      </w:r>
    </w:p>
    <w:p w14:paraId="416E09D0">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三次产业结构为18.68:34.12:47.2。工业增加值占地区生产总值的比重为28.08%，比上年提高4.58个百分点；高新技术产业增加值占地区生产总值的比重为10.2%，比上年下降1.6个百分点。第一、二、三产业对经济增长的贡献率分别为9.7%、54.2%和36.1%，分别拉动GDP增长0.68个、3.8个、2.52个百分点。2024年非公有制经济增加值189.73亿元，比上年增长7.3%，占地区生产总值的比重为64.58%，比上年提高1.18个百分点。</w:t>
      </w:r>
    </w:p>
    <w:p w14:paraId="0372FD1D">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实现工业增加值82.51亿元，增长11.6%，其中：规模工业总产值198.71亿元，增长15.81%，规模工业增加值52.97亿元，增长14.0%。2024年新增规模以上工业企业20家，规模以上工业企业达到154家。规模工业企业实现主营业务收入159.9亿元，增长3.8%；实现利税总额7.55亿元,下降38.96%，其中利润总额5.92亿元,下降48.75%。实现建筑业增加值177396万元，比上年增长9.8%。具有资质等级的总承包和专业承包建筑企业完成产值586174.6万元，增长19.05%；房屋建筑施工面积174.88万平方米,比上年增长16.22%；房屋建筑竣工面积124.28万平方米,比上年上升15.39%。</w:t>
      </w:r>
    </w:p>
    <w:p w14:paraId="2FCEBB0B">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（3）综合实力</w:t>
      </w:r>
    </w:p>
    <w:p w14:paraId="1CA725A1">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是湖南省历史文化名城、全国糖料作物生产基地、全国秸秆养牛示范基地、全国粮食生产先进县、全国蔬菜产业重点县、全国厚朴生产基地县、全国生猪生产调出大县、全国能繁母牛养殖示范县、全国出口食品农产品质量安全示范县、全国100个柑橘生产基地、中国脐橙之乡。</w:t>
      </w:r>
    </w:p>
    <w:p w14:paraId="3D1DAC3F">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（4）社会储蓄与投资</w:t>
      </w:r>
    </w:p>
    <w:p w14:paraId="153A9402">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2024年道县完成财政总收入172805万元，下降0.94%,其中一般预算收入146235万元，下降6.7%。全县一般公共预算支出539101万元，增长0.8%。</w:t>
      </w:r>
    </w:p>
    <w:p w14:paraId="6FF7BB40">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金融机构各项存款余额350.9万元，比上年增长13.59%，比年初净增41.99万元。其中城乡居民储蓄存款余额296.88万元，增长11.03%，比年初净增29.5万元；年末全县金融机构各项贷款余额223.57万元，比上年增长11.16%，比年初净增22.44万元。其中中长期贷款余额170.18万元，比上年增长10.09%，比年初净增15.77万元。</w:t>
      </w:r>
    </w:p>
    <w:p w14:paraId="144B83AF">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（5）物价变动</w:t>
      </w:r>
    </w:p>
    <w:p w14:paraId="36D886DC">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居民消费价格总指数(CPI)比上年上涨0.4%，其中消费品价格指数比上年上涨0.5%。居民消费八大类指标中：食品烟酒类上涨0.3%，衣着类上涨0.1%，居住类上涨0.3%，生活用品及服务上涨0.9%，交通和通信类下跌0.2%，教育文化和娱乐类上涨0.3%，医疗保健类上涨1.4%，其他用品和服务上涨3.7%。</w:t>
      </w:r>
    </w:p>
    <w:p w14:paraId="60FB60D6">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 综合考虑以上影响地价的一般因素，评估分析：道县地理位置优越，对外交通便利，城市规划前景良好，随着道县社会经济的不断发展，对于土地的需求将逐渐增加；受全国房地产市场形势的影响，近两年道县的房地产市场趋于平稳，整体市场保持稳健。在宏观调控的综合作用下，道县房地产市场将保持健康平稳态势发展。</w:t>
      </w:r>
    </w:p>
    <w:p w14:paraId="3CC6E7E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(二)区域因素</w:t>
      </w: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ab/>
      </w:r>
    </w:p>
    <w:p w14:paraId="0A6009D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区域因素指估价对象对地价有影响的内部区域条件，即影响内部区域之间地价水平的商服繁华程度及区域在城镇中的位置、交通条件、公用设施及基础设施水平、区域环境条件、土地使用限制和自然条件等。</w:t>
      </w:r>
    </w:p>
    <w:p w14:paraId="57B46E1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1.区域概况</w:t>
      </w:r>
    </w:p>
    <w:p w14:paraId="184446B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（1）区域位置</w:t>
      </w:r>
    </w:p>
    <w:p w14:paraId="75ECDD4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 land_location_full }}。</w:t>
      </w:r>
    </w:p>
    <w:p w14:paraId="540109C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四马桥镇位于道县东南部，东界宁远县水市镇，南接洪塘营瑶族乡，西临横岭瑶族乡、蚣坝镇，北与白芒铺镇、宁远县天堂镇毗邻。县城至湘源温泉风景区公路、湘江二级支流泡水河横贯南北。</w:t>
      </w:r>
    </w:p>
    <w:p w14:paraId="1DA8826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（2）人口</w:t>
      </w:r>
    </w:p>
    <w:p w14:paraId="71D124C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户籍人口3.86万人，集镇人口9800余人，共10,792户。</w:t>
      </w:r>
    </w:p>
    <w:p w14:paraId="7643CD2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（3）土地级别</w:t>
      </w:r>
    </w:p>
    <w:p w14:paraId="2993737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 county_name }}城镇基准地价的颁布实施时间为{{ base_price_publish_date }}，批准文号为{{ base_price_doc_no }}，文件名称为{{ base_price_doc_name }}（{{ base_price_doc_no }}，{{ base_price_publish_date }}），批准机关为{{ base_price_doc_authority }}，基准地价估价基准日为{{ base_price_base_date }}，距基准地价估价基准日已满{{ base_price_elapsed_years_text }}年，故暂无土地级别信息。</w:t>
      </w:r>
    </w:p>
    <w:p w14:paraId="4EFEB1A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（4）经济发展</w:t>
      </w:r>
    </w:p>
    <w:p w14:paraId="7FA8F6B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FF"/>
          <w:sz w:val="28"/>
          <w:szCs w:val="30"/>
          <w:highlight w:val="none"/>
          <w:lang w:val="en-US" w:eastAsia="zh-CN"/>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四马桥镇是道县重要的产粮区和烤烟生产主产区。2024年，大豆、玉米种植4400亩，油菜5000亩，水稻种植面积达18,600余亩，蔬菜产业对接粤港澳大湾区，华山村等地绿色蔬菜产业基地扩展至2000亩以上。</w:t>
      </w:r>
    </w:p>
    <w:p w14:paraId="57F9C3D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2.交通条件</w:t>
      </w:r>
    </w:p>
    <w:p w14:paraId="36EE100F">
      <w:pPr>
        <w:spacing w:line="480" w:lineRule="exact" w:before="0" w:after="0"/>
        <w:ind w:firstLine="560" w:firstLineChars="200"/>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（1）对内交通条件</w:t>
      </w:r>
    </w:p>
    <w:p w14:paraId="22A6A9A8">
      <w:pPr>
        <w:spacing w:line="480" w:lineRule="exact" w:before="0" w:after="0"/>
        <w:ind w:firstLine="560" w:firstLineChars="200"/>
        <w:outlineLvl w:val="9"/>
        <w:rPr>
          <w:rFonts w:hint="eastAsia" w:ascii="仿宋_GB2312" w:eastAsia="仿宋_GB2312"/>
          <w:color w:val="000000" w:themeColor="text1"/>
          <w:sz w:val="28"/>
          <w:szCs w:val="30"/>
          <w:highlight w:val="none"/>
          <w14:textFill>
            <w14:solidFill>
              <w14:schemeClr w14:val="tx1"/>
            </w14:solidFill>
          </w14:textFill>
        </w:rPr>
      </w:pPr>
      <w:r>
        <w:rPr>
          <w:rFonts w:hint="default" w:ascii="仿宋_GB2312" w:eastAsia="仿宋_GB2312" w:hAnsi="仿宋_GB2312" w:cs="仿宋_GB2312"/>
          <w:color w:val="000000" w:themeColor="text1"/>
          <w:sz w:val="28"/>
          <w:szCs w:val="30"/>
          <w:highlight w:val="none"/>
          <w14:textFill>
            <w14:solidFill>
              <w14:schemeClr w14:val="tx1"/>
            </w14:solidFill>
          </w14:textFill>
        </w:rPr>
        <w:t>四马桥镇</w:t>
      </w:r>
      <w:r>
        <w:rPr>
          <w:rFonts w:hint="eastAsia" w:ascii="仿宋_GB2312" w:eastAsia="仿宋_GB2312" w:hAnsi="仿宋_GB2312" w:cs="仿宋_GB2312"/>
          <w:color w:val="000000" w:themeColor="text1"/>
          <w:sz w:val="28"/>
          <w:szCs w:val="30"/>
          <w:highlight w:val="none"/>
          <w14:textFill>
            <w14:solidFill>
              <w14:schemeClr w14:val="tx1"/>
            </w14:solidFill>
          </w14:textFill>
        </w:rPr>
        <w:t>境内有县城到</w:t>
      </w: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四马桥镇</w:t>
      </w:r>
      <w:r>
        <w:rPr>
          <w:rFonts w:hint="eastAsia" w:ascii="仿宋_GB2312" w:eastAsia="仿宋_GB2312" w:hAnsi="仿宋_GB2312" w:cs="仿宋_GB2312"/>
          <w:color w:val="000000" w:themeColor="text1"/>
          <w:sz w:val="28"/>
          <w:szCs w:val="30"/>
          <w:highlight w:val="none"/>
          <w14:textFill>
            <w14:solidFill>
              <w14:schemeClr w14:val="tx1"/>
            </w14:solidFill>
          </w14:textFill>
        </w:rPr>
        <w:t>、县城到大洞田的客运汽车，6个村通了客运班车，日均客容量140余人次。</w:t>
      </w:r>
    </w:p>
    <w:p w14:paraId="140C29A0">
      <w:pPr>
        <w:spacing w:line="480" w:lineRule="exact" w:before="0" w:after="0"/>
        <w:ind w:firstLine="560" w:firstLineChars="200"/>
        <w:outlineLvl w:val="9"/>
        <w:rPr>
          <w:rFonts w:hint="default"/>
          <w:color w:val="000000" w:themeColor="text1"/>
          <w:lang w:eastAsia="zh-CN"/>
          <w14:textFill>
            <w14:solidFill>
              <w14:schemeClr w14:val="tx1"/>
            </w14:solidFill>
          </w14:textFill>
        </w:rPr>
      </w:pPr>
      <w:r>
        <w:rPr>
          <w:rFonts w:hint="default" w:ascii="仿宋_GB2312" w:eastAsia="仿宋_GB2312" w:hAnsi="仿宋_GB2312" w:cs="仿宋_GB2312"/>
          <w:color w:val="000000" w:themeColor="text1"/>
          <w:sz w:val="28"/>
          <w:szCs w:val="30"/>
          <w:highlight w:val="none"/>
          <w14:textFill>
            <w14:solidFill>
              <w14:schemeClr w14:val="tx1"/>
            </w14:solidFill>
          </w14:textFill>
        </w:rPr>
        <w:t>估价对象距四马桥镇客运站12km。</w:t>
      </w:r>
    </w:p>
    <w:p w14:paraId="3012DFBF">
      <w:pPr>
        <w:spacing w:line="480" w:lineRule="exact" w:before="0" w:after="0"/>
        <w:ind w:firstLine="560" w:firstLineChars="200"/>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（2）对外交通条件</w:t>
      </w:r>
    </w:p>
    <w:p w14:paraId="62BFA1D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①公路：</w:t>
      </w:r>
      <w:r>
        <w:rPr>
          <w:rFonts w:hint="eastAsia" w:ascii="仿宋_GB2312" w:eastAsia="仿宋_GB2312" w:hAnsi="仿宋_GB2312" w:cs="仿宋_GB2312"/>
          <w:color w:val="000000" w:themeColor="text1"/>
          <w:sz w:val="28"/>
          <w:szCs w:val="30"/>
          <w:highlight w:val="none"/>
          <w14:textFill>
            <w14:solidFill>
              <w14:schemeClr w14:val="tx1"/>
            </w14:solidFill>
          </w14:textFill>
        </w:rPr>
        <w:t>区域的外联道路主要</w:t>
      </w:r>
      <w:r>
        <w:rPr>
          <w:rFonts w:hint="default" w:ascii="仿宋_GB2312" w:eastAsia="仿宋_GB2312" w:hAnsi="仿宋_GB2312" w:cs="仿宋_GB2312"/>
          <w:color w:val="000000" w:themeColor="text1"/>
          <w:sz w:val="28"/>
          <w:szCs w:val="30"/>
          <w:highlight w:val="none"/>
          <w14:textFill>
            <w14:solidFill>
              <w14:schemeClr w14:val="tx1"/>
            </w14:solidFill>
          </w14:textFill>
        </w:rPr>
        <w:t>有县道X089、县道X069、县道X090、XA43等</w:t>
      </w: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等。</w:t>
      </w:r>
    </w:p>
    <w:p w14:paraId="48E14F8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②铁路：江华火车站主要线路为益湛铁路，估价对象所在区域中心距离该火车站约15km。</w:t>
      </w:r>
    </w:p>
    <w:p w14:paraId="624E0EC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③高铁：估价对象区域距东安高铁站约127km。</w:t>
      </w:r>
    </w:p>
    <w:p w14:paraId="31DF683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④航空：估价对象区域距离最近的机场为永州零陵机场约117km。</w:t>
      </w:r>
    </w:p>
    <w:p w14:paraId="7EF3BAB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⑤水运：四马桥镇境内有</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begin"/>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instrText xml:space="preserve"> HYPERLINK "https://m.baike.so.com/"/doc/5408752-5646740.html/"" \t "/home/hsl/Documents\\x/\\"_blank\\"" </w:instrTex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separate"/>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湘江</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end"/>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水系二级支流</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begin"/>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instrText xml:space="preserve"> HYPERLINK "https://m.baike.so.com/"/doc/304737-322616.html/"" \t "/home/hsl/Documents\\x/\\"_blank\\"" </w:instrTex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separate"/>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泡水</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end"/>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河穿境而过，境内河道长15.5千米</w:t>
      </w:r>
      <w:r>
        <w:rPr>
          <w:rFonts w:hint="default" w:ascii="仿宋_GB2312" w:hAnsi="仿宋_GB2312" w:eastAsia="仿宋_GB2312" w:cs="仿宋_GB2312"/>
          <w:bCs/>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水位较浅，未形成水运条件，水运主要依托长沙湘江流域。</w:t>
      </w:r>
    </w:p>
    <w:p w14:paraId="0FF65E2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3.基础设施和市政公用设施</w:t>
      </w:r>
    </w:p>
    <w:p w14:paraId="5AC4A59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（1）供电：区域内接市政双回路110KV供电管网，供电保证率一般。</w:t>
      </w:r>
    </w:p>
    <w:p w14:paraId="6DA4A31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（2）通讯：区域内通讯与市政通讯网相联，通讯线路以地下管道为主，辅以架空线路，通讯线路畅通，区内已实现移动电话全国漫游，区内全面铺设了高速宽带通讯光缆。</w:t>
      </w:r>
    </w:p>
    <w:p w14:paraId="4ABE210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（3）给水：区域内供水主要来自区内的市政供水。自来水供应管道标准φ1000mm、φ800mm、φ600mm，供水保证率高。</w:t>
      </w:r>
    </w:p>
    <w:p w14:paraId="1DA6CA4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（4）排水：区内排水为雨污分流方式，排污管沿主要道路铺设，以污水处理厂为终结，市政排水体系完备。</w:t>
      </w:r>
    </w:p>
    <w:p w14:paraId="73DB429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（5）通气：/。</w:t>
      </w:r>
    </w:p>
    <w:p w14:paraId="4D04D99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（6）供暖：/。</w:t>
      </w:r>
    </w:p>
    <w:p w14:paraId="7E74A24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4.环境条件</w:t>
      </w:r>
    </w:p>
    <w:p w14:paraId="7E564168">
      <w:pPr>
        <w:spacing w:line="480" w:lineRule="exact" w:before="0" w:after="0"/>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hAnsi="仿宋_GB2312" w:cs="仿宋_GB2312"/>
          <w:color w:val="000000" w:themeColor="text1"/>
          <w:sz w:val="28"/>
          <w:szCs w:val="30"/>
          <w:highlight w:val="none"/>
          <w14:textFill>
            <w14:solidFill>
              <w14:schemeClr w14:val="tx1"/>
            </w14:solidFill>
          </w14:textFill>
        </w:rPr>
        <w:t>（1）人文环境</w:t>
      </w:r>
    </w:p>
    <w:p w14:paraId="209AB62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w:t>
      </w:r>
      <w:r>
        <w:rPr>
          <w:rFonts w:hint="eastAsia" w:ascii="仿宋_GB2312" w:hAnsi="仿宋_GB2312" w:eastAsia="仿宋_GB2312" w:cs="仿宋_GB2312"/>
          <w:bCs/>
          <w:color w:val="000000" w:themeColor="text1"/>
          <w:sz w:val="28"/>
          <w:szCs w:val="28"/>
          <w:highlight w:val="none"/>
          <w14:textFill>
            <w14:solidFill>
              <w14:schemeClr w14:val="tx1"/>
            </w14:solidFill>
          </w14:textFill>
        </w:rPr>
        <w:t>居民整体文化素质一般，周边治安稳定，文人环境一般。</w:t>
      </w:r>
    </w:p>
    <w:p w14:paraId="0F85F2CA">
      <w:pPr>
        <w:spacing w:line="480" w:lineRule="exact" w:before="0" w:after="0"/>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hAnsi="仿宋_GB2312" w:cs="仿宋_GB2312"/>
          <w:color w:val="000000" w:themeColor="text1"/>
          <w:sz w:val="28"/>
          <w:szCs w:val="30"/>
          <w:highlight w:val="none"/>
          <w14:textFill>
            <w14:solidFill>
              <w14:schemeClr w14:val="tx1"/>
            </w14:solidFill>
          </w14:textFill>
        </w:rPr>
        <w:t>（2）自然环境</w:t>
      </w:r>
    </w:p>
    <w:p w14:paraId="301FE25B">
      <w:pPr>
        <w:spacing w:line="480" w:lineRule="exact" w:before="0" w:after="0"/>
        <w:ind w:firstLine="560" w:firstLineChars="200"/>
        <w:outlineLvl w:val="9"/>
        <w:rPr>
          <w:rFonts w:hint="default" w:ascii="仿宋_GB2312" w:eastAsia="仿宋_GB2312"/>
          <w:color w:val="auto"/>
          <w:sz w:val="28"/>
          <w:szCs w:val="30"/>
          <w:highlight w:val="none"/>
        </w:rPr>
      </w:pPr>
      <w:r>
        <w:rPr>
          <w:rFonts w:hint="default" w:ascii="仿宋_GB2312" w:eastAsia="仿宋_GB2312" w:hAnsi="仿宋_GB2312" w:cs="仿宋_GB2312"/>
          <w:color w:val="auto"/>
          <w:sz w:val="28"/>
          <w:szCs w:val="30"/>
          <w:highlight w:val="none"/>
        </w:rPr>
        <w:t>四马桥镇境内麻子寨、分水凹等山矗立南部，地势东高西低，南高北低。泡水流注其间，沿河两岸为较大面积的溪谷平原，地势平坦。地面高度一般在海拔350米，最高点牛鸾心海拔1037米，最低点泡水河海拔200米。</w:t>
      </w:r>
    </w:p>
    <w:p w14:paraId="1278DDA5">
      <w:pPr>
        <w:spacing w:line="480" w:lineRule="exact" w:before="0" w:after="0"/>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hAnsi="仿宋_GB2312" w:cs="仿宋_GB2312"/>
          <w:color w:val="auto"/>
          <w:sz w:val="28"/>
          <w:szCs w:val="30"/>
          <w:highlight w:val="none"/>
        </w:rPr>
        <w:t>宗地所在区域，地质条</w:t>
      </w:r>
      <w:r>
        <w:rPr>
          <w:rFonts w:hint="eastAsia" w:ascii="仿宋_GB2312" w:eastAsia="仿宋_GB2312" w:hAnsi="仿宋_GB2312" w:cs="仿宋_GB2312"/>
          <w:color w:val="000000" w:themeColor="text1"/>
          <w:sz w:val="28"/>
          <w:szCs w:val="30"/>
          <w:highlight w:val="none"/>
          <w14:textFill>
            <w14:solidFill>
              <w14:schemeClr w14:val="tx1"/>
            </w14:solidFill>
          </w14:textFill>
        </w:rPr>
        <w:t>件较好，宗地无异常地质现象，地基承载力</w:t>
      </w: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大于25</w:t>
      </w:r>
      <w:r>
        <w:rPr>
          <w:rFonts w:hint="eastAsia" w:ascii="仿宋_GB2312" w:eastAsia="仿宋_GB2312" w:hAnsi="仿宋_GB2312" w:cs="仿宋_GB2312"/>
          <w:color w:val="000000" w:themeColor="text1"/>
          <w:sz w:val="28"/>
          <w:szCs w:val="30"/>
          <w:highlight w:val="none"/>
          <w14:textFill>
            <w14:solidFill>
              <w14:schemeClr w14:val="tx1"/>
            </w14:solidFill>
          </w14:textFill>
        </w:rPr>
        <w:t>吨/平方米，地势平坦。区域内无大型污染性企业，区域内自然灾害率大于100年一遇。</w:t>
      </w:r>
    </w:p>
    <w:p w14:paraId="501D6C7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5.产业集聚度</w:t>
      </w:r>
    </w:p>
    <w:p w14:paraId="019BF5E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估价对象位于产业独立分布区，产业集聚度劣。</w:t>
      </w:r>
    </w:p>
    <w:p w14:paraId="7C2755C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6.规划限制</w:t>
      </w:r>
    </w:p>
    <w:p w14:paraId="69D91AD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目前城市规划对估价对象所在区域无特殊限制，具体的开发建设必须符合规划管理部门的控制性详细规划。</w:t>
      </w:r>
    </w:p>
    <w:p w14:paraId="35C0DC3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7.微观区位因素</w:t>
      </w:r>
    </w:p>
    <w:p w14:paraId="32E03FD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估价对象位于{{ land_location }}，估价对价对象交通由支路构成，区域交通条件差。距离最近火车站（江华火车站）约12km，距火车站距离差；区域基础设施状况一般，区域内产业集聚度差。</w:t>
      </w:r>
    </w:p>
    <w:p w14:paraId="01D169C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综合考虑以上影响地价区域因素，评估分析：估价对象所在区域交通条件差，基础设施齐全，产业集聚度差，地质条件好，区域无特殊规划限制。</w:t>
      </w:r>
    </w:p>
    <w:p w14:paraId="4F3A20D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(三)个别因素</w:t>
      </w:r>
    </w:p>
    <w:p w14:paraId="41488DB6">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影响宗地的个别因素主要指与土地利用直接有关的宗地自身条件，包括估价对象位置、面积、用途、土地利用现状、宗地形状、地质条件、地势、基础设施条件等。</w:t>
      </w:r>
    </w:p>
    <w:p w14:paraId="39BBC5DD">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1.土地位置</w:t>
      </w:r>
    </w:p>
    <w:p w14:paraId="21CE7312">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 land_location_full }}。</w:t>
      </w:r>
    </w:p>
    <w:p w14:paraId="08A6E39F">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2.土地面积</w:t>
      </w:r>
    </w:p>
    <w:p w14:paraId="320D6C64">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根据委托估价方提供的《关于国有建设用地的规划条件的函》（2025年9月11日），估价对象土地面积为{{ land_area }}平方米，面积适中，对土地利用有利。</w:t>
      </w:r>
    </w:p>
    <w:p w14:paraId="282E8E15">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3.宗地四至：东临林地，南临林地，西临林地，北临林地。</w:t>
      </w:r>
    </w:p>
    <w:p w14:paraId="0474EA8B">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4.土地用途</w:t>
      </w:r>
    </w:p>
    <w:p w14:paraId="50EED013">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根据《关于国有建设用地的规划条件的函》（2025年9月11日），土地用途为工业用地。</w:t>
      </w:r>
    </w:p>
    <w:p w14:paraId="1D28F272">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5.土地形状</w:t>
      </w:r>
    </w:p>
    <w:p w14:paraId="763F5C9F">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根据委托估价方提供的《{{ county_name }}{{ land_plot_number }}号地块建设用地规划红线图》，宗地形状基本规则，对利用无影响。</w:t>
      </w:r>
      <w:r>
        <w:rPr>
          <w:rFonts w:ascii="仿宋_GB2312" w:hAnsi="仿宋_GB2312" w:eastAsia="仿宋_GB2312" w:cs="仿宋_GB2312"/>
          <w:color w:val="000000"/>
          <w:sz w:val="28"/>
        </w:rPr>
      </w:r>
    </w:p>
    <w:p w14:paraId="295C5803">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6.地质条件</w:t>
      </w:r>
    </w:p>
    <w:p w14:paraId="15B2C1D3">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估价对象地基承载大于25吨/平方米，地质条件优。</w:t>
      </w:r>
    </w:p>
    <w:p w14:paraId="70EB7FF3">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7.地势条件</w:t>
      </w:r>
    </w:p>
    <w:p w14:paraId="1A7A143D">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根据估价师现场勘查，宗地地势较平坦。</w:t>
      </w:r>
    </w:p>
    <w:p w14:paraId="541CD05F">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8.土地利用条件</w:t>
      </w:r>
    </w:p>
    <w:p w14:paraId="6F31C964">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（1）土地利用现状</w:t>
      </w:r>
    </w:p>
    <w:p w14:paraId="0D342094">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根据委托估价方提供的资料和土地估价师现场勘查结果，宗地现状开发程度为宗地红线外围“五通”（即通路、通电、通讯、供水、排水）红线内场地平整，利用现状为待开发建设用地。</w:t>
      </w:r>
    </w:p>
    <w:p w14:paraId="14177A72">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估价对象利用现状如下：</w:t>
      </w:r>
    </w:p>
    <w:tbl>
      <w:tblPr>
        <w:tblStyle w:val="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18"/>
        <w:gridCol w:w="4204"/>
      </w:tblGrid>
      <w:tr w14:paraId="1066EC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92" w:hRule="atLeast"/>
          <w:jc w:val="center"/>
        </w:trPr>
        <w:tc>
          <w:tcPr>
            <w:tcW w:w="2533" w:type="pct"/>
          </w:tcPr>
          <w:p w14:paraId="463D352E">
            <w:pPr>
              <w:pStyle w:val="14"/>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19680" cy="1889760"/>
                  <wp:effectExtent l="0" t="0" r="13970" b="15240"/>
                  <wp:docPr id="19" name="图片 19" descr="0d1c4769464c08c55cd7d263fc47bf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0d1c4769464c08c55cd7d263fc47bf45"/>
                          <pic:cNvPicPr>
                            <a:picLocks noChangeAspect="1"/>
                          </pic:cNvPicPr>
                        </pic:nvPicPr>
                        <pic:blipFill>
                          <a:blip r:embed="rId30"/>
                          <a:stretch>
                            <a:fillRect/>
                          </a:stretch>
                        </pic:blipFill>
                        <pic:spPr>
                          <a:xfrm>
                            <a:off x="0" y="0"/>
                            <a:ext cx="2519680" cy="1889760"/>
                          </a:xfrm>
                          <a:prstGeom prst="rect">
                            <a:avLst/>
                          </a:prstGeom>
                        </pic:spPr>
                      </pic:pic>
                    </a:graphicData>
                  </a:graphic>
                </wp:inline>
              </w:drawing>
            </w:r>
          </w:p>
        </w:tc>
        <w:tc>
          <w:tcPr>
            <w:tcW w:w="2466" w:type="pct"/>
          </w:tcPr>
          <w:p w14:paraId="43AB98BF">
            <w:pPr>
              <w:pStyle w:val="14"/>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22220" cy="1891030"/>
                  <wp:effectExtent l="0" t="0" r="11430" b="13970"/>
                  <wp:docPr id="13" name="图片 13" descr="b9ee6a2c6791617f1697764a5113a0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b9ee6a2c6791617f1697764a5113a0eb"/>
                          <pic:cNvPicPr>
                            <a:picLocks noChangeAspect="1"/>
                          </pic:cNvPicPr>
                        </pic:nvPicPr>
                        <pic:blipFill>
                          <a:blip r:embed="rId31"/>
                          <a:stretch>
                            <a:fillRect/>
                          </a:stretch>
                        </pic:blipFill>
                        <pic:spPr>
                          <a:xfrm>
                            <a:off x="0" y="0"/>
                            <a:ext cx="2522220" cy="1891030"/>
                          </a:xfrm>
                          <a:prstGeom prst="rect">
                            <a:avLst/>
                          </a:prstGeom>
                        </pic:spPr>
                      </pic:pic>
                    </a:graphicData>
                  </a:graphic>
                </wp:inline>
              </w:drawing>
            </w:r>
          </w:p>
        </w:tc>
      </w:tr>
    </w:tbl>
    <w:p w14:paraId="1BEC50B9">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（2）规划利用条件</w:t>
      </w:r>
    </w:p>
    <w:p w14:paraId="3AC578A4">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①规划利用状况</w:t>
      </w:r>
    </w:p>
    <w:p w14:paraId="505CCBE9">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根据《关于国有建设用地的规划条件的函》（2025年9月11日）及现场勘查状况，估价对象土地面积为{{ land_area }}平方米，规划建筑密度{{ building_density_min }}-{{ building_density_max }}，容积率{{ plot_ratio_display }}，绿地率{{ greening_rate }}，建筑限高{{ building_height_limit }}，规划指标批准机关为{{ planning_approval_authority }}，批准日期为2025年9月11日。</w:t>
      </w:r>
      <w:r>
        <w:rPr>
          <w:rFonts w:ascii="仿宋_GB2312" w:hAnsi="仿宋_GB2312" w:eastAsia="仿宋_GB2312" w:cs="仿宋_GB2312"/>
          <w:color w:val="000000"/>
          <w:sz w:val="28"/>
        </w:rPr>
      </w:r>
    </w:p>
    <w:p w14:paraId="678B10FF">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②最佳利用</w:t>
      </w:r>
    </w:p>
    <w:p w14:paraId="5B241C40">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本次评估根据最有效利用原则，估价对象在规划利用下价值利用状况为最有效利用。故设定估价对象用途为{{ land_usage }}，设定容积率为{{ plot_ratio }}，其余指标均取规划值为最佳利用方式。</w:t>
      </w:r>
    </w:p>
    <w:p w14:paraId="2E49811A">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③规划利用限制和缺陷情况</w:t>
      </w:r>
    </w:p>
    <w:p w14:paraId="088C442B">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根据委托方提供的资料及估价人员了解，宗地无明显规划利用限制和缺陷。</w:t>
      </w:r>
    </w:p>
    <w:p w14:paraId="59D2F98F">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9.基础设施条件</w:t>
      </w:r>
    </w:p>
    <w:p w14:paraId="21443532">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估价对象宗地实际土地开发程度为宗地红线外“五通”（即通路、通电、通讯、供水、排水），宗地红线内场地平整。</w:t>
      </w:r>
    </w:p>
    <w:p w14:paraId="04BAD813">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（1）通路：临支路。</w:t>
      </w:r>
    </w:p>
    <w:p w14:paraId="6054CBC0">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（2）供电：区域内接市政双回路110KV供电管网，供电保证率一般。</w:t>
      </w:r>
    </w:p>
    <w:p w14:paraId="32B2EBFF">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（3）通讯：区域内通讯与市政通讯网相联，通讯线路以地下管道为主，辅以架空线路，通讯线路畅通，区内已实现移动电话全国漫游，区内全面铺设了高速宽带通讯光缆。</w:t>
      </w:r>
    </w:p>
    <w:p w14:paraId="591D11B5">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（4）给水：/。</w:t>
      </w:r>
    </w:p>
    <w:p w14:paraId="1A45C66B">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（5）排水：/。</w:t>
      </w:r>
    </w:p>
    <w:p w14:paraId="2EBE6F46">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14:textFill>
            <w14:solidFill>
              <w14:schemeClr w14:val="tx1"/>
            </w14:solidFill>
          </w14:textFill>
        </w:rPr>
        <w:sectPr>
          <w:headerReference r:id="rId22" w:type="first"/>
          <w:footerReference r:id="rId23" w:type="first"/>
          <w:endnotePr>
            <w:numFmt w:val="decimal"/>
          </w:endnotePr>
          <w:pgSz w:w="11906" w:h="16838"/>
          <w:pgMar w:top="1440" w:right="1800" w:bottom="1440" w:left="1800" w:header="851" w:footer="850" w:gutter="0"/>
          <w:pgNumType w:fmt="decimal"/>
          <w:cols w:space="720" w:num="1"/>
          <w:docGrid w:linePitch="312" w:charSpace="0"/>
        </w:sect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综合考虑以上影响地价的个别因素，评估分析：面积适中，对土地利用有利，宗地形状基本规则，对利用有一定影响，地质地势条件优，主要进出道路为支路，道路通达度较差，距最近货运火车站距离为劣。估价对象作为设定用途符合有效利用原则，其他个别条件均对宗地产生较有利影响。</w:t>
      </w:r>
    </w:p>
    <w:p w14:paraId="15151CC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p>
    <w:p w14:paraId="7D5E358A">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sectPr>
          <w:headerReference r:id="rId24" w:type="first"/>
          <w:footerReference r:id="rId25" w:type="first"/>
          <w:endnotePr>
            <w:numFmt w:val="decimal"/>
          </w:endnotePr>
          <w:type w:val="continuous"/>
          <w:pgSz w:w="11906" w:h="16838"/>
          <w:pgMar w:top="1440" w:right="1800" w:bottom="1440" w:left="1800" w:header="851" w:footer="992" w:gutter="0"/>
          <w:pgNumType w:fmt="decimal"/>
          <w:cols w:space="720" w:num="1"/>
          <w:docGrid w:linePitch="312" w:charSpace="0"/>
        </w:sectPr>
      </w:pPr>
    </w:p>
    <w:p w14:paraId="4EB4596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p>
    <w:p w14:paraId="18481D74">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sectPr>
          <w:headerReference r:id="rId26" w:type="first"/>
          <w:footerReference r:id="rId27" w:type="first"/>
          <w:endnotePr>
            <w:numFmt w:val="decimal"/>
          </w:endnotePr>
          <w:type w:val="continuous"/>
          <w:pgSz w:w="11906" w:h="16838"/>
          <w:pgMar w:top="1440" w:right="1800" w:bottom="1440" w:left="1800" w:header="851" w:footer="992" w:gutter="0"/>
          <w:pgNumType w:fmt="decimal"/>
          <w:cols w:space="720" w:num="1"/>
          <w:docGrid w:linePitch="312" w:charSpace="0"/>
        </w:sectPr>
      </w:pPr>
    </w:p>
    <w:p w14:paraId="085EF71D">
      <w:pPr>
        <w:adjustRightInd w:val="0"/>
        <w:snapToGrid w:val="0"/>
        <w:spacing w:line="560" w:lineRule="exact" w:before="0" w:after="0"/>
        <w:ind w:firstLine="643" w:firstLineChars="200"/>
        <w:jc w:val="center"/>
        <w:outlineLvl w:val="1"/>
        <w:rPr>
          <w:rFonts w:ascii="宋体" w:hAnsi="宋体" w:cs="仿宋_GB2312"/>
          <w:b/>
          <w:color w:val="000000" w:themeColor="text1"/>
          <w:sz w:val="32"/>
          <w:szCs w:val="32"/>
          <w:highlight w:val="none"/>
          <w14:textFill>
            <w14:solidFill>
              <w14:schemeClr w14:val="tx1"/>
            </w14:solidFill>
          </w14:textFill>
        </w:rPr>
      </w:pPr>
      <w:r>
        <w:rPr>
          <w:rFonts w:hint="eastAsia" w:ascii="宋体" w:hAnsi="宋体" w:cs="宋体" w:eastAsia="宋体"/>
          <w:b/>
          <w:color w:val="000000" w:themeColor="text1"/>
          <w:sz w:val="32"/>
          <w:szCs w:val="32"/>
          <w:highlight w:val="none"/>
          <w14:textFill>
            <w14:solidFill>
              <w14:schemeClr w14:val="tx1"/>
            </w14:solidFill>
          </w14:textFill>
        </w:rPr>
        <w:t>第三部分  土地估价</w:t>
      </w:r>
    </w:p>
    <w:p w14:paraId="719AFE8F">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一、估价原则</w:t>
      </w:r>
    </w:p>
    <w:p w14:paraId="245563C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地价是由其效用、相对稀缺性及有效需求三者相互作用影响所形成的。而这些因素又经常处于变动之中，土地估价必须要对此做细致分析并准确判断其变动趋向，了解土地价格组成的各种因素及各因素之间相互作用，才能做出正确的估价。我们在本次估价过程中根据《城镇土地估价规程》（中华人民共和国国家标准GB/T18508-2014）、《关于印发&lt;国有建设用地使用权出让地价评估技术规范&gt;的通知》（国土资厅发（2018）4号，2018年3月9日）及估价对象的具体情况主要遵循以下原则：</w:t>
      </w:r>
    </w:p>
    <w:p w14:paraId="0904C42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替代原则：根据市场运行规律，在同一商品市场中，商品或提供服务的效用相同或大致相似时，价格低者吸引需求，即有两个以上互有替代性的商品或服务同时存在时，商品或服务的价格是经过相互影响与比较之后来决定的。土地价值也同样遵循替代规律，某块土地的价格，受其它具有相同使用价值的地块，即同类型具有替代可能的地块价格所牵制。换言之，具有相同使用价值、替代可能的地块之间，会相互影响和竞争，使价格相互牵制而趋于一致。</w:t>
      </w:r>
    </w:p>
    <w:p w14:paraId="64604CB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本次评估中采用的市场比较法以该原则为基础。市场比较法选择的交易实例与估价对象位于同一供求圈，土地用途一致，区位条件相近，替代性较强。估价对象土地价格受同类型替代性的地块价格的牵制。</w:t>
      </w:r>
    </w:p>
    <w:p w14:paraId="00593F8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市场比较法选择的交易实例与估价对象位于同一供求圈，土地用途一致，区位条件相近，替代性较强。估价对象土地价格受同类型替代性的地块价格的牵制。</w:t>
      </w:r>
    </w:p>
    <w:p w14:paraId="7DA3531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2.最有效利用原则：土地估价应以估价对象的最有效利用为前提。判断土地的最有效利用以土地利用是否符合其自身利用条件、法律法规政策及规划限制、市场要求和最佳利用程度等为依据。</w:t>
      </w:r>
    </w:p>
    <w:p w14:paraId="1D91315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以估价对象最有效利用为前提。根据委托人提供的《关于国有建设用地的规划条件的函》（2025年9月11日），开发建设时，投资人将使土地利用达到最有效利用，因此本次评估按规划指标最高值进行设定，符合最有效利用原则。</w:t>
      </w:r>
    </w:p>
    <w:p w14:paraId="5889C60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预期收益原则：土地价值可由土地产生的未来预期收益折现值来反映，土地投资者在预测该土地将来所能带来的收益或效用后进行投资的。土地评估应以估价对象在正常利用下的未来客观有效的预期收益为依据。</w:t>
      </w:r>
    </w:p>
    <w:p w14:paraId="37933D5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本次评估估价对象土地价格为规划条件下的市场价格，考虑了土地在未来所能产生的利润，体现了预期收益原则。</w:t>
      </w:r>
    </w:p>
    <w:p w14:paraId="1EE1F15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供需原则：在完全的市场竞争中，一般商品的价格都取决于供求的均衡点。由于土地与一般商品相比，具有独特的人文和自然特性，因此在进行土地估价时既要考虑到所假设的公平市场，又要考虑土地供应的垄断特性。土地评估要充分考虑土地供需的特殊性和土地市场的地域性。</w:t>
      </w:r>
    </w:p>
    <w:p w14:paraId="548B81F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由于估价对象所在区域内土地供给有限，土地市场正常价格有潜在的增长趋势，估价人员充分分析区域市场的供需情况，合理确定宗地价格。</w:t>
      </w:r>
    </w:p>
    <w:p w14:paraId="086DEDF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5.贡献原则：不动产总收益是由土地及其他生产要素共同作用的结果，土地价格可根据土地对不动产收益的贡献大小确定。</w:t>
      </w:r>
    </w:p>
    <w:p w14:paraId="184154F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评估中土地还原利率的确定考虑了贡献原则。本次评估土地价格为规划条件下的市场价格，是土地对总收益贡献大小的最终体现。</w:t>
      </w:r>
    </w:p>
    <w:p w14:paraId="7A440F3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6.价值主导原则：土地综合质量优劣是对地价产生影响的主要因素。</w:t>
      </w:r>
    </w:p>
    <w:p w14:paraId="3F31A0A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本次评估综合考虑了影响土地价格的自然、社会、经济状况等因素，并对其起控制主导作用的因素进行分析，符合价值主导原则。</w:t>
      </w:r>
    </w:p>
    <w:p w14:paraId="5272A1F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7.审慎原则：在评估中确定相关参数和结果时，应分析并充分考虑土地市场运行状况、有关行业发展状况，以及存在的风险。</w:t>
      </w:r>
    </w:p>
    <w:p w14:paraId="090101D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人员对不动产的未来收益或市场状况不应予以过于乐观的估计，同时，尽管统计数据或经验表明土地价格可能上升，但在评估时人应以估价期日的不动产市场价格为估价结果。对因土地市场运行状况、有关行业发展状况及存在的风险对外来可能造成的减值应给予充分的重视。本次评估中各参数的确定，充分考虑了国家对房地产行业的宏观调控政策，以谨慎的态度来选取各项参数。</w:t>
      </w:r>
    </w:p>
    <w:p w14:paraId="582E0D1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8.公开市场原则：评估结果在公平、公正、公开的土地市场上可实现。</w:t>
      </w:r>
    </w:p>
    <w:p w14:paraId="5496561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本次评估中市场比较法中各案例均来源来公开市场，是公开市场原则的具体体现。</w:t>
      </w:r>
    </w:p>
    <w:p w14:paraId="4F6FB3C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总之，在评估过程中，要按照国家、地方的有关规定，恪守客观、公正、科学、合法总原则进行土地价格评估，做到评估过程合理、评估方法科学、评估结果准确、严格保守评估秘密。</w:t>
      </w:r>
    </w:p>
    <w:p w14:paraId="772B11E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（二）估价方法</w:t>
      </w:r>
    </w:p>
    <w:p w14:paraId="5799354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1.土地使用权估价方法选择原则</w:t>
      </w:r>
    </w:p>
    <w:p w14:paraId="57CEB95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A.根据《城镇土地估价规程》（GB/T18508-2014,2014年12月01日实施）中关于工矿仓储用地估价方法选择的原则：</w:t>
      </w:r>
    </w:p>
    <w:p w14:paraId="6809CEE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（1）评估工矿仓储用地价格，宜选择市场比较法，并至少辅以另一种适宜的估价方法。</w:t>
      </w:r>
    </w:p>
    <w:p w14:paraId="1181B28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（2）如缺少市场可比案例，可酌情选用成本逼近法与基准地价系数修正法。</w:t>
      </w:r>
    </w:p>
    <w:p w14:paraId="66C93F1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（3）评估租赁性工矿仓储用地，宜选用收益还原法。</w:t>
      </w:r>
    </w:p>
    <w:p w14:paraId="57ED1D2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（4）评估投资待建的工矿仓储用地，可选用剩余法。</w:t>
      </w:r>
    </w:p>
    <w:p w14:paraId="3F3841D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（5）评估位于中心城区的工矿仓储用地，一般情况下不宜采用成本逼近法。</w:t>
      </w:r>
    </w:p>
    <w:p w14:paraId="56A0AD7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B.根据《国土资源部办公厅关于印发&lt;国有建设用地使用权出让地价评估技术规范&gt;的通知》（国土资厅发[2018]4号，2018年4月9日施行），出让地价评估的方法有(1)收益还原法、(2)市场比较法、(3)剩余法、(4)成本逼近法、(5)公示地价系数修正法（含基准地价系数修正法）。出让地价评估，应至少采用两种评估方法，包括(1)、(2)、(3)之一，以及(4)或(5)。因土地市场不发育等原因，无法满足上述要求的，应有详细的市场调查情况说明。</w:t>
      </w:r>
    </w:p>
    <w:p w14:paraId="45B787A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2.基本估价方法介绍</w:t>
      </w:r>
    </w:p>
    <w:p w14:paraId="0C637BE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根据《城镇土地估价规程》（GB/T18508-2014,2014年12月01日实施），宗地估价基本方法包括以下几种：</w:t>
      </w:r>
    </w:p>
    <w:p w14:paraId="4405FB0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（1）市场比较法：将估价对象与在估价期日近期有过交易的类似土地进行比较，对这些类似土地的已知价格作适当的修正，以此估算估价对象的客观合理价格或价值的方法；</w:t>
      </w:r>
    </w:p>
    <w:p w14:paraId="59D5332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（2）收益还原法：为预计估价对象未来的正常收益，选用适当的资本化率将其折现到估价期日后累加，以此估算估价对象的客观合理价格或价值的方法；</w:t>
      </w:r>
    </w:p>
    <w:p w14:paraId="2F793A3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（3）剩余法：是在估算开发完成后不动产正常交易价格的基础上，扣除建筑物建造费用和与建筑物建造、买卖有关的专业费、利息、利润、税收等费用后，以价格余额来估算土地价格的方法；</w:t>
      </w:r>
    </w:p>
    <w:p w14:paraId="49D3542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（4）成本逼近法：是以土地取得费、土地开发所耗各项费用之和为主要依据，再加上一定的利润、利息、应缴纳的税金和土地增值收益来确定土地价格的估价方法；</w:t>
      </w:r>
    </w:p>
    <w:p w14:paraId="6FC4B22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公示地价系数修正法：包括基准地价系数修正法、路线价法和标定地价系数修正法。是指在求取一宗土地的价格时，依据估价对象所处地区的土地级别基准地价（或路线价、标定地价等）水平，考虑各系数修正，最后修正得出估价对象地价的一种方法。</w:t>
      </w:r>
    </w:p>
    <w:p w14:paraId="6561D84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3.估价方法选择</w:t>
      </w:r>
    </w:p>
    <w:p>
      <w:pPr>
        <w:spacing w:before="0" w:after="0" w:line="480" w:lineRule="exact"/>
        <w:ind w:left="561" w:firstLine="0"/>
      </w:pPr>
      <w:r>
        <w:rPr>
          <w:rFonts w:ascii="仿宋_GB2312" w:hAnsi="仿宋_GB2312" w:eastAsia="仿宋_GB2312" w:cs="仿宋_GB2312"/>
          <w:sz w:val="28"/>
        </w:rPr>
        <w:t>{{ valuation_method_reasons }}</w:t>
      </w:r>
    </w:p>
    <w:p>
      <w:pPr>
        <w:spacing w:before="0" w:after="0" w:line="480" w:lineRule="exact"/>
        <w:ind w:left="561" w:firstLine="0"/>
      </w:pPr>
      <w:r>
        <w:rPr>
          <w:rFonts w:ascii="仿宋_GB2312" w:hAnsi="仿宋_GB2312" w:eastAsia="仿宋_GB2312" w:cs="仿宋_GB2312"/>
          <w:sz w:val="28"/>
        </w:rPr>
        <w:t>{{ valuation_method_applicability }}</w:t>
      </w:r>
    </w:p>
    <w:p w14:paraId="0745FAB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（二）估价过程</w:t>
      </w:r>
    </w:p>
    <w:p w14:paraId="467CA4EF">
      <w:pPr>
        <w:keepNext/>
        <w:keepLines w:val="0"/>
        <w:pageBreakBefore w:val="0"/>
        <w:widowControl w:val="0"/>
        <w:kinsoku/>
        <w:wordWrap/>
        <w:overflowPunct/>
        <w:topLinePunct w:val="0"/>
        <w:autoSpaceDE/>
        <w:autoSpaceDN/>
        <w:bidi w:val="0"/>
        <w:spacing w:line="480" w:lineRule="exact" w:before="0" w:after="0"/>
        <w:ind w:firstLineChars="200" w:firstLine="561"/>
        <w:textAlignment w:val="auto"/>
        <w:outlineLvl w:val="2"/>
        <w:rPr>
          <w:rFonts w:hint="eastAsia" w:ascii="仿宋_GB2312" w:hAnsi="Times New Roman" w:eastAsia="仿宋_GB2312" w:cs="Times New Roman"/>
          <w:b/>
          <w:bCs/>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b/>
          <w:bCs/>
          <w:color w:val="000000" w:themeColor="text1"/>
          <w:sz w:val="28"/>
          <w:szCs w:val="30"/>
          <w:highlight w:val="none"/>
          <w:lang w:val="en-GB"/>
          <w14:textFill>
            <w14:solidFill>
              <w14:schemeClr w14:val="tx1"/>
            </w14:solidFill>
          </w14:textFill>
        </w:rPr>
        <w:t>★</w:t>
      </w:r>
      <w:r>
        <w:rPr>
          <w:rFonts w:hint="eastAsia" w:ascii="仿宋_GB2312" w:eastAsia="仿宋_GB2312" w:cs="仿宋_GB2312" w:hAnsi="仿宋_GB2312"/>
          <w:b/>
          <w:bCs/>
          <w:color w:val="000000" w:themeColor="text1"/>
          <w:sz w:val="28"/>
          <w:szCs w:val="30"/>
          <w:highlight w:val="none"/>
          <w:lang w:val="en-US" w:eastAsia="zh-CN"/>
          <w14:textFill>
            <w14:solidFill>
              <w14:schemeClr w14:val="tx1"/>
            </w14:solidFill>
          </w14:textFill>
        </w:rPr>
        <w:t>成本逼近</w:t>
      </w:r>
      <w:r>
        <w:rPr>
          <w:rFonts w:hint="eastAsia" w:ascii="仿宋_GB2312" w:hAnsi="仿宋_GB2312" w:eastAsia="仿宋_GB2312" w:cs="仿宋_GB2312"/>
          <w:b/>
          <w:bCs/>
          <w:color w:val="000000" w:themeColor="text1"/>
          <w:sz w:val="28"/>
          <w:szCs w:val="30"/>
          <w:highlight w:val="none"/>
          <w:lang w:val="en-GB"/>
          <w14:textFill>
            <w14:solidFill>
              <w14:schemeClr w14:val="tx1"/>
            </w14:solidFill>
          </w14:textFill>
        </w:rPr>
        <w:t>法</w:t>
      </w:r>
    </w:p>
    <w:p w14:paraId="0910535E">
      <w:pPr>
        <w:spacing w:line="480" w:lineRule="exact" w:before="0" w:after="0"/>
        <w:ind w:firstLine="560" w:firstLineChars="200"/>
        <w:rPr>
          <w:rFonts w:eastAsia="仿宋_GB2312"/>
          <w:color w:val="000000" w:themeColor="text1"/>
          <w:sz w:val="28"/>
          <w:szCs w:val="28"/>
          <w:highlight w:val="none"/>
          <w14:textFill>
            <w14:solidFill>
              <w14:schemeClr w14:val="tx1"/>
            </w14:solidFill>
          </w14:textFill>
        </w:rPr>
      </w:pPr>
      <w:r>
        <w:rPr>
          <w:rFonts w:ascii="仿宋_GB2312" w:hAnsi="仿宋_GB2312" w:eastAsia="仿宋_GB2312" w:cs="仿宋_GB2312"/>
          <w:sz w:val="28"/>
        </w:rPr>
        <w:t>{{ cost_approx_method_intro }}</w:t>
      </w:r>
    </w:p>
    <w:p w14:paraId="30B9D8A1">
      <w:pPr>
        <w:snapToGrid w:val="0"/>
        <w:spacing w:line="480" w:lineRule="exact" w:before="0" w:after="0"/>
        <w:ind w:firstLine="560" w:firstLineChars="200"/>
        <w:rPr>
          <w:rFonts w:eastAsia="仿宋_GB2312"/>
          <w:color w:val="000000" w:themeColor="text1"/>
          <w:sz w:val="28"/>
          <w:szCs w:val="28"/>
          <w:highlight w:val="none"/>
          <w14:textFill>
            <w14:solidFill>
              <w14:schemeClr w14:val="tx1"/>
            </w14:solidFill>
          </w14:textFill>
        </w:rPr>
      </w:pPr>
      <w:r>
        <w:rPr>
          <w:rFonts w:eastAsia="仿宋_GB2312" w:ascii="仿宋_GB2312" w:hAnsi="仿宋_GB2312" w:cs="仿宋_GB2312"/>
          <w:color w:val="000000" w:themeColor="text1"/>
          <w:sz w:val="28"/>
          <w:szCs w:val="28"/>
          <w:highlight w:val="none"/>
          <w14:textFill>
            <w14:solidFill>
              <w14:schemeClr w14:val="tx1"/>
            </w14:solidFill>
          </w14:textFill>
        </w:rPr>
        <w:t>计算过程：</w:t>
      </w:r>
    </w:p>
    <w:p w14:paraId="7B0008FE">
      <w:pPr>
        <w:spacing w:line="480" w:lineRule="exact" w:before="0" w:after="0"/>
        <w:ind w:firstLine="560" w:firstLineChars="200"/>
        <w:rPr>
          <w:rFonts w:eastAsia="仿宋_GB2312"/>
          <w:color w:val="000000" w:themeColor="text1"/>
          <w:sz w:val="28"/>
          <w:szCs w:val="28"/>
          <w:highlight w:val="none"/>
          <w14:textFill>
            <w14:solidFill>
              <w14:schemeClr w14:val="tx1"/>
            </w14:solidFill>
          </w14:textFill>
        </w:rPr>
      </w:pPr>
      <w:r>
        <w:rPr>
          <w:rFonts w:ascii="仿宋_GB2312" w:hAnsi="仿宋_GB2312" w:eastAsia="仿宋_GB2312" w:cs="仿宋_GB2312"/>
          <w:sz w:val="28"/>
        </w:rPr>
        <w:t>{{ cost_approx_land_class_intro }}</w:t>
      </w:r>
    </w:p>
    <w:p w14:paraId="12014A94">
      <w:pPr>
        <w:pStyle w:val="3"/>
        <w:keepNext w:val="0"/>
        <w:keepLines w:val="0"/>
        <w:pageBreakBefore w:val="0"/>
        <w:widowControl w:val="0"/>
        <w:kinsoku/>
        <w:wordWrap/>
        <w:topLinePunct w:val="0"/>
        <w:bidi w:val="0"/>
        <w:adjustRightInd w:val="0"/>
        <w:snapToGrid w:val="0"/>
        <w:spacing w:line="480" w:lineRule="exact" w:before="0" w:after="0"/>
        <w:ind w:left="0" w:leftChars="0" w:firstLine="560" w:firstLineChars="200"/>
        <w:textAlignment w:val="auto"/>
        <w:outlineLvl w:val="9"/>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pPr>
      <w:r>
        <w:rPr>
          <w:rFonts w:ascii="仿宋_GB2312" w:hAnsi="仿宋_GB2312" w:eastAsia="仿宋_GB2312" w:cs="仿宋_GB2312"/>
          <w:sz w:val="28"/>
        </w:rPr>
        <w:t>{{ cost_approx_process_intro }}</w:t>
      </w:r>
    </w:p>
    <w:p w14:paraId="7635C4C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1、土地取得费</w:t>
      </w:r>
    </w:p>
    <w:p w14:paraId="7D86FBF2">
      <w:pPr>
        <w:spacing w:line="480" w:lineRule="exact" w:before="0" w:after="0"/>
        <w:ind w:firstLine="560" w:firstLineChars="200"/>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根据《中华人民共和国土地管理法》（根据2019年8月26日第十三届全国人民代表大会常务委员会第十二次会议《关于修改〈中华人民共和国土地管理法〉、〈中华人民共和国城市房地产管理法〉的决定》第三次修正））第四十八条规定，征用土地的补偿费用包括土地补偿费、安置补助费以及农村村民住宅、其他地上附着物和青苗等的补偿费用、被征地农民的社会保障费用。</w:t>
      </w:r>
    </w:p>
    <w:p w14:paraId="65BC3185">
      <w:pPr>
        <w:spacing w:line="480" w:lineRule="exact" w:before="0" w:after="0"/>
        <w:ind w:firstLine="560" w:firstLineChars="200"/>
        <w:rPr>
          <w:rFonts w:hint="eastAsia" w:ascii="仿宋_GB2312" w:hAnsi="仿宋_GB2312" w:eastAsia="仿宋_GB2312" w:cs="仿宋_GB2312"/>
          <w:color w:val="000000" w:themeColor="text1"/>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①</w:t>
      </w:r>
      <w:r>
        <w:rPr>
          <w:rFonts w:hint="eastAsia" w:ascii="仿宋_GB2312" w:hAnsi="仿宋_GB2312" w:eastAsia="仿宋_GB2312" w:cs="仿宋_GB2312"/>
          <w:color w:val="000000" w:themeColor="text1"/>
          <w:sz w:val="28"/>
          <w:highlight w:val="none"/>
          <w14:textFill>
            <w14:solidFill>
              <w14:schemeClr w14:val="tx1"/>
            </w14:solidFill>
          </w14:textFill>
        </w:rPr>
        <w:t>征地补偿费和安置补助费</w:t>
      </w:r>
    </w:p>
    <w:p w14:paraId="3413BDC6">
      <w:pPr>
        <w:spacing w:line="480" w:lineRule="exact" w:before="0" w:after="0"/>
        <w:ind w:firstLine="560" w:firstLineChars="200"/>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根据评估人员现场勘察和调查区域周边的土地利用状况，待估宗地所在区域土地利用类型主要</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为林地</w:t>
      </w:r>
      <w:r>
        <w:rPr>
          <w:rFonts w:hint="eastAsia" w:ascii="仿宋_GB2312" w:hAnsi="仿宋_GB2312" w:eastAsia="仿宋_GB2312" w:cs="仿宋_GB2312"/>
          <w:color w:val="000000" w:themeColor="text1"/>
          <w:sz w:val="28"/>
          <w:szCs w:val="28"/>
          <w:highlight w:val="none"/>
          <w14:textFill>
            <w14:solidFill>
              <w14:schemeClr w14:val="tx1"/>
            </w14:solidFill>
          </w14:textFill>
        </w:rPr>
        <w:t>，根据</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湖南省人民政府关于调整湖南省征地补偿标准的通知</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》（湘政发〔2024〕1号，2024年1月31日）</w:t>
      </w:r>
      <w:r>
        <w:rPr>
          <w:rFonts w:hint="eastAsia" w:ascii="仿宋_GB2312" w:hAnsi="仿宋_GB2312" w:eastAsia="仿宋_GB2312" w:cs="仿宋_GB2312"/>
          <w:color w:val="000000" w:themeColor="text1"/>
          <w:sz w:val="28"/>
          <w:szCs w:val="28"/>
          <w:highlight w:val="none"/>
          <w14:textFill>
            <w14:solidFill>
              <w14:schemeClr w14:val="tx1"/>
            </w14:solidFill>
          </w14:textFill>
        </w:rPr>
        <w:t>及</w:t>
      </w:r>
      <w:r>
        <w:rPr>
          <w:rFonts w:hint="eastAsia" w:eastAsia="仿宋_GB2312" w:ascii="仿宋_GB2312" w:hAnsi="仿宋_GB2312" w:cs="仿宋_GB2312"/>
          <w:color w:val="000000" w:themeColor="text1"/>
          <w:sz w:val="28"/>
          <w:szCs w:val="28"/>
          <w:highlight w:val="none"/>
          <w:lang w:eastAsia="zh-CN"/>
          <w14:textFill>
            <w14:solidFill>
              <w14:schemeClr w14:val="tx1"/>
            </w14:solidFill>
          </w14:textFill>
        </w:rPr>
        <w:t>《湖南省自然资源厅关于调整征收农用地补偿区片空间范围的通知》（湘自资发〔2024〕7号，</w:t>
      </w:r>
      <w:r>
        <w:rPr>
          <w:rFonts w:hint="eastAsia" w:eastAsia="仿宋_GB2312" w:ascii="仿宋_GB2312" w:hAnsi="仿宋_GB2312" w:cs="仿宋_GB2312"/>
          <w:color w:val="000000" w:themeColor="text1"/>
          <w:sz w:val="28"/>
          <w:szCs w:val="28"/>
          <w:highlight w:val="none"/>
          <w:lang w:val="en-US" w:eastAsia="zh-CN"/>
          <w14:textFill>
            <w14:solidFill>
              <w14:schemeClr w14:val="tx1"/>
            </w14:solidFill>
          </w14:textFill>
        </w:rPr>
        <w:t>2024年2月1日</w:t>
      </w:r>
      <w:r>
        <w:rPr>
          <w:rFonts w:hint="eastAsia" w:eastAsia="仿宋_GB2312" w:ascii="仿宋_GB2312" w:hAnsi="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估价对象</w:t>
      </w:r>
      <w:r>
        <w:rPr>
          <w:rFonts w:hint="eastAsia" w:ascii="仿宋_GB2312" w:hAnsi="仿宋_GB2312" w:eastAsia="仿宋_GB2312" w:cs="仿宋_GB2312"/>
          <w:color w:val="000000" w:themeColor="text1"/>
          <w:sz w:val="28"/>
          <w:szCs w:val="28"/>
          <w:highlight w:val="none"/>
          <w14:textFill>
            <w14:solidFill>
              <w14:schemeClr w14:val="tx1"/>
            </w14:solidFill>
          </w14:textFill>
        </w:rPr>
        <w:t>属于</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color w:val="000000" w:themeColor="text1"/>
          <w:sz w:val="28"/>
          <w:szCs w:val="28"/>
          <w:highlight w:val="none"/>
          <w14:textFill>
            <w14:solidFill>
              <w14:schemeClr w14:val="tx1"/>
            </w14:solidFill>
          </w14:textFill>
        </w:rPr>
        <w:t>征地补偿区片</w:t>
      </w:r>
      <w:r>
        <w:rPr>
          <w:rFonts w:hint="default" w:ascii="仿宋_GB2312" w:hAnsi="仿宋_GB2312" w:eastAsia="仿宋_GB2312" w:cs="仿宋_GB2312"/>
          <w:color w:val="000000" w:themeColor="text1"/>
          <w:sz w:val="28"/>
          <w:szCs w:val="28"/>
          <w:highlight w:val="none"/>
          <w14:textFill>
            <w14:solidFill>
              <w14:schemeClr w14:val="tx1"/>
            </w14:solidFill>
          </w14:textFill>
        </w:rPr>
        <w:t>Ⅱ</w:t>
      </w:r>
      <w:r>
        <w:rPr>
          <w:rFonts w:hint="eastAsia" w:ascii="仿宋_GB2312" w:hAnsi="仿宋_GB2312" w:eastAsia="仿宋_GB2312" w:cs="仿宋_GB2312"/>
          <w:color w:val="000000" w:themeColor="text1"/>
          <w:sz w:val="28"/>
          <w:szCs w:val="28"/>
          <w:highlight w:val="none"/>
          <w14:textFill>
            <w14:solidFill>
              <w14:schemeClr w14:val="tx1"/>
            </w14:solidFill>
          </w14:textFill>
        </w:rPr>
        <w:t>区范围，</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林地</w:t>
      </w:r>
      <w:r>
        <w:rPr>
          <w:rFonts w:hint="eastAsia" w:ascii="仿宋_GB2312" w:hAnsi="仿宋_GB2312" w:eastAsia="仿宋_GB2312" w:cs="仿宋_GB2312"/>
          <w:color w:val="000000" w:themeColor="text1"/>
          <w:sz w:val="28"/>
          <w:szCs w:val="28"/>
          <w:highlight w:val="none"/>
          <w14:textFill>
            <w14:solidFill>
              <w14:schemeClr w14:val="tx1"/>
            </w14:solidFill>
          </w14:textFill>
        </w:rPr>
        <w:t>补偿费为</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61800×0.67=41406</w:t>
      </w:r>
      <w:r>
        <w:rPr>
          <w:rFonts w:hint="eastAsia" w:ascii="仿宋_GB2312" w:hAnsi="仿宋_GB2312" w:eastAsia="仿宋_GB2312" w:cs="仿宋_GB2312"/>
          <w:color w:val="000000" w:themeColor="text1"/>
          <w:sz w:val="28"/>
          <w:szCs w:val="28"/>
          <w:highlight w:val="none"/>
          <w14:textFill>
            <w14:solidFill>
              <w14:schemeClr w14:val="tx1"/>
            </w14:solidFill>
          </w14:textFill>
        </w:rPr>
        <w:t>元/亩</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则：</w:t>
      </w:r>
    </w:p>
    <w:p w14:paraId="242E0789">
      <w:pPr>
        <w:spacing w:line="480" w:lineRule="exact" w:before="0" w:after="0"/>
        <w:ind w:firstLine="560" w:firstLineChars="200"/>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征地补偿费=</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41406</w:t>
      </w:r>
      <w:r>
        <w:rPr>
          <w:rFonts w:hint="eastAsia" w:ascii="仿宋_GB2312" w:hAnsi="仿宋_GB2312" w:eastAsia="仿宋_GB2312" w:cs="仿宋_GB2312"/>
          <w:color w:val="000000" w:themeColor="text1"/>
          <w:sz w:val="28"/>
          <w:szCs w:val="28"/>
          <w:highlight w:val="none"/>
          <w14:textFill>
            <w14:solidFill>
              <w14:schemeClr w14:val="tx1"/>
            </w14:solidFill>
          </w14:textFill>
        </w:rPr>
        <w:t>×0.0015=</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62.11</w:t>
      </w:r>
      <w:r>
        <w:rPr>
          <w:rFonts w:hint="eastAsia" w:ascii="仿宋_GB2312" w:hAnsi="仿宋_GB2312" w:eastAsia="仿宋_GB2312" w:cs="仿宋_GB2312"/>
          <w:color w:val="000000" w:themeColor="text1"/>
          <w:sz w:val="28"/>
          <w:szCs w:val="28"/>
          <w:highlight w:val="none"/>
          <w14:textFill>
            <w14:solidFill>
              <w14:schemeClr w14:val="tx1"/>
            </w14:solidFill>
          </w14:textFill>
        </w:rPr>
        <w:t>元/平方米。</w:t>
      </w:r>
    </w:p>
    <w:p w14:paraId="1BD53A44">
      <w:pPr>
        <w:snapToGrid w:val="0"/>
        <w:spacing w:line="480" w:lineRule="exact" w:before="0" w:after="0"/>
        <w:ind w:firstLine="560" w:firstLineChars="20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②</w:t>
      </w:r>
      <w:r>
        <w:rPr>
          <w:rFonts w:hint="eastAsia" w:ascii="仿宋_GB2312" w:hAnsi="仿宋_GB2312" w:eastAsia="仿宋_GB2312" w:cs="仿宋_GB2312"/>
          <w:color w:val="000000" w:themeColor="text1"/>
          <w:sz w:val="28"/>
          <w:highlight w:val="none"/>
          <w14:textFill>
            <w14:solidFill>
              <w14:schemeClr w14:val="tx1"/>
            </w14:solidFill>
          </w14:textFill>
        </w:rPr>
        <w:t>地上附着物补偿</w:t>
      </w:r>
    </w:p>
    <w:p w14:paraId="29F2A19E">
      <w:pPr>
        <w:snapToGrid w:val="0"/>
        <w:spacing w:line="480" w:lineRule="exact" w:before="0" w:after="0"/>
        <w:ind w:firstLine="560" w:firstLineChars="20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根据</w:t>
      </w:r>
      <w:r>
        <w:rPr>
          <w:rFonts w:hint="eastAsia" w:ascii="仿宋_GB2312" w:hAnsi="仿宋_GB2312" w:eastAsia="仿宋_GB2312" w:cs="仿宋_GB2312"/>
          <w:color w:val="000000" w:themeColor="text1"/>
          <w:sz w:val="28"/>
          <w:highlight w:val="none"/>
          <w14:textFill>
            <w14:solidFill>
              <w14:schemeClr w14:val="tx1"/>
            </w14:solidFill>
          </w14:textFill>
        </w:rPr>
        <w:t>永州市人民政府关于印发《永州市集体土地与房屋征收补偿安置办法》的通知（永政发〔2024〕4号，2024年5月11日）</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color w:val="000000" w:themeColor="text1"/>
          <w:sz w:val="28"/>
          <w:szCs w:val="28"/>
          <w:highlight w:val="none"/>
          <w14:textFill>
            <w14:solidFill>
              <w14:schemeClr w14:val="tx1"/>
            </w14:solidFill>
          </w14:textFill>
        </w:rPr>
        <w:t>的</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林地</w:t>
      </w:r>
      <w:r>
        <w:rPr>
          <w:rFonts w:hint="eastAsia" w:ascii="仿宋_GB2312" w:hAnsi="仿宋_GB2312" w:eastAsia="仿宋_GB2312" w:cs="仿宋_GB2312"/>
          <w:color w:val="000000" w:themeColor="text1"/>
          <w:sz w:val="28"/>
          <w:szCs w:val="28"/>
          <w:highlight w:val="none"/>
          <w14:textFill>
            <w14:solidFill>
              <w14:schemeClr w14:val="tx1"/>
            </w14:solidFill>
          </w14:textFill>
        </w:rPr>
        <w:t>青苗补偿标准为</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4000</w:t>
      </w:r>
      <w:r>
        <w:rPr>
          <w:rFonts w:hint="eastAsia" w:ascii="仿宋_GB2312" w:hAnsi="仿宋_GB2312" w:eastAsia="仿宋_GB2312" w:cs="仿宋_GB2312"/>
          <w:color w:val="000000" w:themeColor="text1"/>
          <w:sz w:val="28"/>
          <w:highlight w:val="none"/>
          <w14:textFill>
            <w14:solidFill>
              <w14:schemeClr w14:val="tx1"/>
            </w14:solidFill>
          </w14:textFill>
        </w:rPr>
        <w:t>元/亩，合</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6</w:t>
      </w:r>
      <w:r>
        <w:rPr>
          <w:rFonts w:hint="eastAsia" w:ascii="仿宋_GB2312" w:hAnsi="仿宋_GB2312" w:eastAsia="仿宋_GB2312" w:cs="仿宋_GB2312"/>
          <w:color w:val="000000" w:themeColor="text1"/>
          <w:sz w:val="28"/>
          <w:highlight w:val="none"/>
          <w14:textFill>
            <w14:solidFill>
              <w14:schemeClr w14:val="tx1"/>
            </w14:solidFill>
          </w14:textFill>
        </w:rPr>
        <w:t>元/㎡；</w:t>
      </w:r>
    </w:p>
    <w:p w14:paraId="712D0A6E">
      <w:pPr>
        <w:snapToGrid w:val="0"/>
        <w:spacing w:line="480" w:lineRule="exact" w:before="0" w:after="0"/>
        <w:ind w:firstLine="560" w:firstLineChars="20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故：土地取得费＝①＋②=</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62.11</w:t>
      </w:r>
      <w:r>
        <w:rPr>
          <w:rFonts w:hint="eastAsia" w:ascii="仿宋_GB2312" w:hAnsi="仿宋_GB2312" w:eastAsia="仿宋_GB2312" w:cs="仿宋_GB2312"/>
          <w:color w:val="000000" w:themeColor="text1"/>
          <w:sz w:val="28"/>
          <w:highlight w:val="none"/>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5.4</w:t>
      </w:r>
      <w:r>
        <w:rPr>
          <w:rFonts w:hint="eastAsia" w:ascii="仿宋_GB2312" w:hAnsi="仿宋_GB2312" w:eastAsia="仿宋_GB2312" w:cs="仿宋_GB2312"/>
          <w:color w:val="000000" w:themeColor="text1"/>
          <w:sz w:val="28"/>
          <w:highlight w:val="none"/>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68.11</w:t>
      </w:r>
      <w:r>
        <w:rPr>
          <w:rFonts w:hint="eastAsia" w:ascii="仿宋_GB2312" w:hAnsi="仿宋_GB2312" w:eastAsia="仿宋_GB2312" w:cs="仿宋_GB2312"/>
          <w:color w:val="000000" w:themeColor="text1"/>
          <w:sz w:val="28"/>
          <w:highlight w:val="none"/>
          <w14:textFill>
            <w14:solidFill>
              <w14:schemeClr w14:val="tx1"/>
            </w14:solidFill>
          </w14:textFill>
        </w:rPr>
        <w:t>元/平方米</w:t>
      </w:r>
      <w:r>
        <w:rPr>
          <w:rFonts w:hint="eastAsia" w:ascii="仿宋_GB2312" w:hAnsi="仿宋_GB2312" w:eastAsia="仿宋_GB2312" w:cs="仿宋_GB2312"/>
          <w:color w:val="000000" w:themeColor="text1"/>
          <w:sz w:val="28"/>
          <w:szCs w:val="21"/>
          <w:highlight w:val="none"/>
          <w14:textFill>
            <w14:solidFill>
              <w14:schemeClr w14:val="tx1"/>
            </w14:solidFill>
          </w14:textFill>
        </w:rPr>
        <w:t>。</w:t>
      </w:r>
    </w:p>
    <w:p w14:paraId="16C88BB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2、相关税费</w:t>
      </w:r>
      <w:r>
        <w:rPr>
          <w:rFonts w:hint="eastAsia" w:ascii="仿宋_GB2312" w:hAnsi="仿宋_GB2312" w:eastAsia="仿宋_GB2312" w:cs="仿宋_GB2312"/>
          <w:color w:val="000000" w:themeColor="text1"/>
          <w:sz w:val="28"/>
          <w:szCs w:val="21"/>
          <w:highlight w:val="none"/>
          <w14:textFill>
            <w14:solidFill>
              <w14:schemeClr w14:val="tx1"/>
            </w14:solidFill>
          </w14:textFill>
        </w:rPr>
        <w:t>（T）</w:t>
      </w:r>
    </w:p>
    <w:p w14:paraId="2B82684F">
      <w:pPr>
        <w:keepNext w:val="0"/>
        <w:keepLines w:val="0"/>
        <w:pageBreakBefore w:val="0"/>
        <w:widowControl w:val="0"/>
        <w:kinsoku/>
        <w:wordWrap/>
        <w:overflowPunct/>
        <w:topLinePunct w:val="0"/>
        <w:autoSpaceDE/>
        <w:autoSpaceDN/>
        <w:bidi w:val="0"/>
        <w:snapToGrid w:val="0"/>
        <w:spacing w:line="480" w:lineRule="exact" w:before="0" w:after="0"/>
        <w:ind w:firstLine="555"/>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①水利建设基金</w:t>
      </w:r>
    </w:p>
    <w:p w14:paraId="61A1A959">
      <w:pPr>
        <w:keepNext w:val="0"/>
        <w:keepLines w:val="0"/>
        <w:pageBreakBefore w:val="0"/>
        <w:widowControl w:val="0"/>
        <w:kinsoku/>
        <w:wordWrap/>
        <w:overflowPunct/>
        <w:topLinePunct w:val="0"/>
        <w:autoSpaceDE/>
        <w:autoSpaceDN/>
        <w:bidi w:val="0"/>
        <w:snapToGrid w:val="0"/>
        <w:spacing w:line="480" w:lineRule="exact" w:before="0" w:after="0"/>
        <w:ind w:firstLine="555"/>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湖南省人民政府关于印发《湖南省水利建设基金筹集和使用管理办法》的通知（湘政发[2011]27号），使用新增建设用地的单位和个人应缴纳的水利建设基金，由省国土资源厅在办理用地审批手续、征收新增建设用地有偿使用费时，按应缴新增建设用地有偿使用费的10%征收水利建设基金。根据湖南省财政厅 湖南省自然资源厅 中国人民银行长沙中心支行《关于调整新增建设用地土地有偿使用费征收管理有关政策的通知》（湘财综[2018]42号），道县新增建设用地土地有偿使用费征收等别为13等，征收标准为16元/平方米，故取水利建设基金为1.6元/平方米</w:t>
      </w:r>
      <w:r>
        <w:rPr>
          <w:rFonts w:hint="eastAsia" w:ascii="仿宋_GB2312" w:hAnsi="仿宋_GB2312" w:eastAsia="仿宋_GB2312" w:cs="仿宋_GB2312"/>
          <w:color w:val="000000" w:themeColor="text1"/>
          <w:sz w:val="28"/>
          <w:highlight w:val="none"/>
          <w14:textFill>
            <w14:solidFill>
              <w14:schemeClr w14:val="tx1"/>
            </w14:solidFill>
          </w14:textFill>
        </w:rPr>
        <w:t>。</w:t>
      </w:r>
    </w:p>
    <w:p w14:paraId="0B81009F">
      <w:pPr>
        <w:snapToGrid w:val="0"/>
        <w:spacing w:line="480" w:lineRule="exact" w:before="0" w:after="0"/>
        <w:ind w:firstLine="555"/>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②耕地占用税</w:t>
      </w:r>
    </w:p>
    <w:p w14:paraId="6F59EDF5">
      <w:pPr>
        <w:snapToGrid w:val="0"/>
        <w:spacing w:line="480" w:lineRule="exact" w:before="0" w:after="0"/>
        <w:ind w:firstLine="555"/>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评估宗地考虑征用的土地为</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林地</w:t>
      </w:r>
      <w:r>
        <w:rPr>
          <w:rFonts w:hint="eastAsia" w:ascii="仿宋_GB2312" w:hAnsi="仿宋_GB2312" w:eastAsia="仿宋_GB2312" w:cs="仿宋_GB2312"/>
          <w:color w:val="000000" w:themeColor="text1"/>
          <w:sz w:val="28"/>
          <w:highlight w:val="none"/>
          <w14:textFill>
            <w14:solidFill>
              <w14:schemeClr w14:val="tx1"/>
            </w14:solidFill>
          </w14:textFill>
        </w:rPr>
        <w:t>，根据《湖南省人民代表大会常务委员会关于湖南省耕地占用税适用税额的决定》(已经湖南省第十三届人民代表大会常务委员会第十二次会议通过，2019年7月31日)，湖南省道县耕地占用税税额标准为25元/平方米，占用林地的，耕地占用税具体适用税额在当地适用税额的基础上降低百分之二十。</w:t>
      </w:r>
    </w:p>
    <w:p w14:paraId="63B4C807">
      <w:pPr>
        <w:snapToGrid w:val="0"/>
        <w:spacing w:line="480" w:lineRule="exact" w:before="0" w:after="0"/>
        <w:ind w:firstLine="555"/>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故此次评估取</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林地</w:t>
      </w:r>
      <w:r>
        <w:rPr>
          <w:rFonts w:hint="eastAsia" w:ascii="仿宋_GB2312" w:hAnsi="仿宋_GB2312" w:eastAsia="仿宋_GB2312" w:cs="仿宋_GB2312"/>
          <w:color w:val="000000" w:themeColor="text1"/>
          <w:sz w:val="28"/>
          <w:highlight w:val="none"/>
          <w14:textFill>
            <w14:solidFill>
              <w14:schemeClr w14:val="tx1"/>
            </w14:solidFill>
          </w14:textFill>
        </w:rPr>
        <w:t>占用税：</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25×0.8=20</w:t>
      </w:r>
      <w:r>
        <w:rPr>
          <w:rFonts w:hint="eastAsia" w:ascii="仿宋_GB2312" w:hAnsi="仿宋_GB2312" w:eastAsia="仿宋_GB2312" w:cs="仿宋_GB2312"/>
          <w:color w:val="000000" w:themeColor="text1"/>
          <w:sz w:val="28"/>
          <w:highlight w:val="none"/>
          <w14:textFill>
            <w14:solidFill>
              <w14:schemeClr w14:val="tx1"/>
            </w14:solidFill>
          </w14:textFill>
        </w:rPr>
        <w:t>元/平方米。</w:t>
      </w:r>
    </w:p>
    <w:p w14:paraId="6CE7E048">
      <w:pPr>
        <w:snapToGrid w:val="0"/>
        <w:spacing w:line="480" w:lineRule="exact" w:before="0" w:after="0"/>
        <w:ind w:firstLine="555"/>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fldChar w:fldCharType="begin"/>
      </w:r>
      <w:r>
        <w:rPr>
          <w:rFonts w:hint="eastAsia" w:ascii="仿宋_GB2312" w:hAnsi="仿宋_GB2312" w:eastAsia="仿宋_GB2312" w:cs="仿宋_GB2312"/>
          <w:color w:val="000000" w:themeColor="text1"/>
          <w:sz w:val="28"/>
          <w:highlight w:val="none"/>
          <w14:textFill>
            <w14:solidFill>
              <w14:schemeClr w14:val="tx1"/>
            </w14:solidFill>
          </w14:textFill>
        </w:rPr>
        <w:instrText xml:space="preserve"> = 3 \* GB3 </w:instrText>
      </w:r>
      <w:r>
        <w:rPr>
          <w:rFonts w:hint="eastAsia" w:ascii="仿宋_GB2312" w:hAnsi="仿宋_GB2312" w:eastAsia="仿宋_GB2312" w:cs="仿宋_GB2312"/>
          <w:color w:val="000000" w:themeColor="text1"/>
          <w:sz w:val="28"/>
          <w:highlight w:val="none"/>
          <w14:textFill>
            <w14:solidFill>
              <w14:schemeClr w14:val="tx1"/>
            </w14:solidFill>
          </w14:textFill>
        </w:rPr>
        <w:fldChar w:fldCharType="separate"/>
      </w:r>
      <w:r>
        <w:rPr>
          <w:rFonts w:hint="eastAsia" w:ascii="仿宋_GB2312" w:hAnsi="仿宋_GB2312" w:eastAsia="仿宋_GB2312" w:cs="仿宋_GB2312"/>
          <w:color w:val="000000" w:themeColor="text1"/>
          <w:sz w:val="28"/>
          <w:highlight w:val="none"/>
          <w14:textFill>
            <w14:solidFill>
              <w14:schemeClr w14:val="tx1"/>
            </w14:solidFill>
          </w14:textFill>
        </w:rPr>
        <w:t>③</w:t>
      </w:r>
      <w:r>
        <w:rPr>
          <w:rFonts w:hint="eastAsia" w:ascii="仿宋_GB2312" w:hAnsi="仿宋_GB2312" w:eastAsia="仿宋_GB2312" w:cs="仿宋_GB2312"/>
          <w:color w:val="000000" w:themeColor="text1"/>
          <w:sz w:val="28"/>
          <w:highlight w:val="none"/>
          <w14:textFill>
            <w14:solidFill>
              <w14:schemeClr w14:val="tx1"/>
            </w14:solidFill>
          </w14:textFill>
        </w:rPr>
        <w:fldChar w:fldCharType="end"/>
      </w:r>
      <w:r>
        <w:rPr>
          <w:rFonts w:hint="eastAsia" w:ascii="仿宋_GB2312" w:hAnsi="仿宋_GB2312" w:eastAsia="仿宋_GB2312" w:cs="仿宋_GB2312"/>
          <w:color w:val="000000" w:themeColor="text1"/>
          <w:sz w:val="28"/>
          <w:highlight w:val="none"/>
          <w14:textFill>
            <w14:solidFill>
              <w14:schemeClr w14:val="tx1"/>
            </w14:solidFill>
          </w14:textFill>
        </w:rPr>
        <w:t>耕地开垦费</w:t>
      </w:r>
    </w:p>
    <w:p w14:paraId="7EDC0DA4">
      <w:pPr>
        <w:snapToGrid w:val="0"/>
        <w:spacing w:line="480" w:lineRule="exact" w:before="0" w:after="0"/>
        <w:ind w:firstLine="555"/>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根据《湖南省人民政府办公厅&lt;湖南省耕地开垦费征收使用管理办法&gt;的通知》（湘政办〔2019〕38号），</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估价对象</w:t>
      </w:r>
      <w:r>
        <w:rPr>
          <w:rFonts w:hint="eastAsia" w:ascii="仿宋_GB2312" w:hAnsi="仿宋_GB2312" w:eastAsia="仿宋_GB2312" w:cs="仿宋_GB2312"/>
          <w:color w:val="000000" w:themeColor="text1"/>
          <w:sz w:val="28"/>
          <w:highlight w:val="none"/>
          <w14:textFill>
            <w14:solidFill>
              <w14:schemeClr w14:val="tx1"/>
            </w14:solidFill>
          </w14:textFill>
        </w:rPr>
        <w:t>耕地开垦费征收标准为</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0</w:t>
      </w:r>
      <w:r>
        <w:rPr>
          <w:rFonts w:hint="eastAsia" w:ascii="仿宋_GB2312" w:hAnsi="仿宋_GB2312" w:eastAsia="仿宋_GB2312" w:cs="仿宋_GB2312"/>
          <w:color w:val="000000" w:themeColor="text1"/>
          <w:sz w:val="28"/>
          <w:highlight w:val="none"/>
          <w14:textFill>
            <w14:solidFill>
              <w14:schemeClr w14:val="tx1"/>
            </w14:solidFill>
          </w14:textFill>
        </w:rPr>
        <w:t>元/平方米。</w:t>
      </w:r>
    </w:p>
    <w:p w14:paraId="32C700E3">
      <w:pPr>
        <w:snapToGrid w:val="0"/>
        <w:spacing w:line="480" w:lineRule="exact" w:before="0" w:after="0"/>
        <w:ind w:firstLine="56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④社会保障资金</w:t>
      </w:r>
    </w:p>
    <w:p w14:paraId="23693356">
      <w:pPr>
        <w:snapToGrid w:val="0"/>
        <w:spacing w:line="480" w:lineRule="exact" w:before="0" w:after="0"/>
        <w:ind w:firstLine="56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根据湖南省人力资源社会保障厅《关于进一步做好被征地农民社会保障工作的通知》（湘人社规〔2023〕1号，2023年4月28日），确定被征地农民社会保障费为30元/平方米。</w:t>
      </w:r>
    </w:p>
    <w:p w14:paraId="13C617A5">
      <w:pPr>
        <w:snapToGrid w:val="0"/>
        <w:spacing w:line="480" w:lineRule="exact" w:before="0" w:after="0"/>
        <w:ind w:firstLine="560"/>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⑤新菜地开发基金或森林植被恢复费</w:t>
      </w:r>
    </w:p>
    <w:p w14:paraId="5A4263D9">
      <w:pPr>
        <w:snapToGrid w:val="0"/>
        <w:spacing w:line="480" w:lineRule="exact" w:before="0" w:after="0"/>
        <w:ind w:firstLine="560"/>
        <w:rPr>
          <w:rFonts w:hint="default" w:ascii="仿宋_GB2312" w:hAnsi="仿宋_GB2312" w:eastAsia="仿宋_GB2312" w:cs="仿宋_GB2312"/>
          <w:color w:val="000000" w:themeColor="text1"/>
          <w:sz w:val="28"/>
          <w:highlight w:val="none"/>
          <w:lang w:val="en-US" w:eastAsia="zh-CN"/>
          <w14:textFill>
            <w14:solidFill>
              <w14:schemeClr w14:val="tx1"/>
            </w14:solidFill>
          </w14:textFill>
        </w:rPr>
      </w:pPr>
      <w:r>
        <w:rPr>
          <w:rFonts w:eastAsia="仿宋_GB2312" w:ascii="仿宋_GB2312" w:hAnsi="仿宋_GB2312" w:cs="仿宋_GB2312"/>
          <w:color w:val="000000" w:themeColor="text1"/>
          <w:sz w:val="28"/>
          <w:szCs w:val="28"/>
          <w:highlight w:val="none"/>
          <w14:textFill>
            <w14:solidFill>
              <w14:schemeClr w14:val="tx1"/>
            </w14:solidFill>
          </w14:textFill>
        </w:rPr>
        <w:t>根据</w:t>
      </w:r>
      <w:r>
        <w:rPr>
          <w:rFonts w:hint="eastAsia" w:eastAsia="仿宋_GB2312" w:ascii="仿宋_GB2312" w:hAnsi="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关于印发&lt;湖南省森林植被恢复费征收使用管理实施办法&gt;的通知</w:t>
      </w:r>
      <w:r>
        <w:rPr>
          <w:rFonts w:hint="eastAsia" w:eastAsia="仿宋_GB2312" w:ascii="仿宋_GB2312" w:hAnsi="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（湘财税〔2024〕10号，2024年4月12日）</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一</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郁闭度0.2以上的乔木林地(含采伐迹地、火烧迹地)、竹林地、苗圃地,每平方米10元;灌木林地、疏林地、未成林造林地,每平方米6元</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i w:val="0"/>
          <w:iCs w:val="0"/>
          <w:caps w:val="0"/>
          <w:color w:val="000000" w:themeColor="text1"/>
          <w:spacing w:val="0"/>
          <w:sz w:val="28"/>
          <w:szCs w:val="28"/>
          <w:highlight w:val="none"/>
          <w:shd w:val="clear" w:fill="FFFFFF"/>
          <w14:textFill>
            <w14:solidFill>
              <w14:schemeClr w14:val="tx1"/>
            </w14:solidFill>
          </w14:textFill>
        </w:rPr>
        <w:t>（二）国家和省级公益林林地，按照（一）款规定征收标准的2倍征收</w:t>
      </w:r>
      <w:r>
        <w:rPr>
          <w:rFonts w:hint="eastAsia" w:ascii="仿宋_GB2312" w:hAnsi="仿宋_GB2312" w:eastAsia="仿宋_GB2312" w:cs="仿宋_GB2312"/>
          <w:i w:val="0"/>
          <w:iCs w:val="0"/>
          <w:caps w:val="0"/>
          <w:color w:val="000000" w:themeColor="text1"/>
          <w:spacing w:val="0"/>
          <w:sz w:val="28"/>
          <w:szCs w:val="28"/>
          <w:highlight w:val="none"/>
          <w:shd w:val="clear" w:fill="FFFFFF"/>
          <w:lang w:eastAsia="zh-CN"/>
          <w14:textFill>
            <w14:solidFill>
              <w14:schemeClr w14:val="tx1"/>
            </w14:solidFill>
          </w14:textFill>
        </w:rPr>
        <w:t>；（</w:t>
      </w:r>
      <w:r>
        <w:rPr>
          <w:rFonts w:hint="eastAsia" w:ascii="仿宋_GB2312" w:hAnsi="仿宋_GB2312" w:eastAsia="仿宋_GB2312" w:cs="仿宋_GB2312"/>
          <w:i w:val="0"/>
          <w:iCs w:val="0"/>
          <w:caps w:val="0"/>
          <w:color w:val="000000" w:themeColor="text1"/>
          <w:spacing w:val="0"/>
          <w:sz w:val="28"/>
          <w:szCs w:val="28"/>
          <w:highlight w:val="none"/>
          <w:shd w:val="clear" w:fill="FFFFFF"/>
          <w:lang w:val="en-US" w:eastAsia="zh-CN"/>
          <w14:textFill>
            <w14:solidFill>
              <w14:schemeClr w14:val="tx1"/>
            </w14:solidFill>
          </w14:textFill>
        </w:rPr>
        <w:t>三</w:t>
      </w:r>
      <w:r>
        <w:rPr>
          <w:rFonts w:hint="eastAsia" w:ascii="仿宋_GB2312" w:hAnsi="仿宋_GB2312" w:eastAsia="仿宋_GB2312" w:cs="仿宋_GB2312"/>
          <w:i w:val="0"/>
          <w:iCs w:val="0"/>
          <w:caps w:val="0"/>
          <w:color w:val="000000" w:themeColor="text1"/>
          <w:spacing w:val="0"/>
          <w:sz w:val="28"/>
          <w:szCs w:val="28"/>
          <w:highlight w:val="none"/>
          <w:shd w:val="clear" w:fill="FFFFFF"/>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城市规划区外的林地,按占用征收林地建设项目性质实行不同征收标准。</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四</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属于公共基础设施、公共事业和国防建设项目的,按照(一)、(二)款规定征收标准征收;属于经营性建设项目的,按照第(一)、(二)款规定征收标准2倍征收。</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估计对象为乔木林地，确定估价对象森林植被恢复费为20元/平方米。</w:t>
      </w:r>
    </w:p>
    <w:p w14:paraId="1DC17F85">
      <w:pPr>
        <w:snapToGrid w:val="0"/>
        <w:spacing w:line="480" w:lineRule="exact" w:before="0" w:after="0"/>
        <w:ind w:firstLine="56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则：各项税费合计为=1.6+2</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0</w:t>
      </w:r>
      <w:r>
        <w:rPr>
          <w:rFonts w:hint="eastAsia" w:ascii="仿宋_GB2312" w:hAnsi="仿宋_GB2312" w:eastAsia="仿宋_GB2312" w:cs="仿宋_GB2312"/>
          <w:color w:val="000000" w:themeColor="text1"/>
          <w:sz w:val="28"/>
          <w:highlight w:val="none"/>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0</w:t>
      </w:r>
      <w:r>
        <w:rPr>
          <w:rFonts w:hint="eastAsia" w:ascii="仿宋_GB2312" w:hAnsi="仿宋_GB2312" w:eastAsia="仿宋_GB2312" w:cs="仿宋_GB2312"/>
          <w:color w:val="000000" w:themeColor="text1"/>
          <w:sz w:val="28"/>
          <w:highlight w:val="none"/>
          <w14:textFill>
            <w14:solidFill>
              <w14:schemeClr w14:val="tx1"/>
            </w14:solidFill>
          </w14:textFill>
        </w:rPr>
        <w:t>+30</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+40</w:t>
      </w:r>
      <w:r>
        <w:rPr>
          <w:rFonts w:hint="eastAsia" w:ascii="仿宋_GB2312" w:hAnsi="仿宋_GB2312" w:eastAsia="仿宋_GB2312" w:cs="仿宋_GB2312"/>
          <w:color w:val="000000" w:themeColor="text1"/>
          <w:sz w:val="28"/>
          <w:highlight w:val="none"/>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71.6</w:t>
      </w:r>
      <w:r>
        <w:rPr>
          <w:rFonts w:hint="eastAsia" w:ascii="仿宋_GB2312" w:hAnsi="仿宋_GB2312" w:eastAsia="仿宋_GB2312" w:cs="仿宋_GB2312"/>
          <w:color w:val="000000" w:themeColor="text1"/>
          <w:sz w:val="28"/>
          <w:highlight w:val="none"/>
          <w14:textFill>
            <w14:solidFill>
              <w14:schemeClr w14:val="tx1"/>
            </w14:solidFill>
          </w14:textFill>
        </w:rPr>
        <w:t>元/平方米。</w:t>
      </w:r>
    </w:p>
    <w:p w14:paraId="75D7E92F">
      <w:pPr>
        <w:keepNext/>
        <w:snapToGrid w:val="0"/>
        <w:spacing w:line="480" w:lineRule="exact" w:before="157" w:after="10"/>
        <w:ind w:left="0" w:right="0" w:firstLine="0"/>
        <w:jc w:val="center"/>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b w:val="0"/>
          <w:color w:val="000000" w:themeColor="text1"/>
          <w:sz w:val="28"/>
          <w:highlight w:val="none"/>
          <w14:textFill>
            <w14:solidFill>
              <w14:schemeClr w14:val="tx1"/>
            </w14:solidFill>
          </w14:textFill>
        </w:rPr>
        <w:t>表3-</w:t>
      </w:r>
      <w:r>
        <w:rPr>
          <w:rFonts w:hint="eastAsia" w:ascii="仿宋_GB2312" w:hAnsi="仿宋_GB2312" w:eastAsia="仿宋_GB2312" w:cs="仿宋_GB2312"/>
          <w:b w:val="0"/>
          <w:color w:val="000000" w:themeColor="text1"/>
          <w:sz w:val="28"/>
          <w:highlight w:val="none"/>
          <w:lang w:val="en-US" w:eastAsia="zh-CN"/>
          <w14:textFill>
            <w14:solidFill>
              <w14:schemeClr w14:val="tx1"/>
            </w14:solidFill>
          </w14:textFill>
        </w:rPr>
        <w:t>1</w:t>
      </w:r>
      <w:r>
        <w:rPr>
          <w:rFonts w:hint="eastAsia" w:ascii="仿宋_GB2312" w:hAnsi="仿宋_GB2312" w:eastAsia="仿宋_GB2312" w:cs="仿宋_GB2312"/>
          <w:b w:val="0"/>
          <w:color w:val="000000" w:themeColor="text1"/>
          <w:sz w:val="28"/>
          <w:highlight w:val="none"/>
          <w14:textFill>
            <w14:solidFill>
              <w14:schemeClr w14:val="tx1"/>
            </w14:solidFill>
          </w14:textFill>
        </w:rPr>
        <w:t xml:space="preserve"> 估价对象土地取得费及相关税费一览表</w:t>
      </w:r>
    </w:p>
    <w:tbl>
      <w:tblPr>
        <w:tblStyle w:val="9"/>
        <w:tblW w:w="4998" w:type="pct"/>
        <w:jc w:val="center"/>
        <w:tblLayout w:type="autofit"/>
        <w:tblCellMar>
          <w:top w:w="0" w:type="dxa"/>
          <w:left w:w="0" w:type="dxa"/>
          <w:bottom w:w="0" w:type="dxa"/>
          <w:right w:w="0" w:type="dxa"/>
        </w:tblCellMar>
      </w:tblPr>
      <w:tblGrid>
        <w:gridCol w:w="1051"/>
        <w:gridCol w:w="1154"/>
        <w:gridCol w:w="1228"/>
        <w:gridCol w:w="1206"/>
        <w:gridCol w:w="1178"/>
        <w:gridCol w:w="1351"/>
        <w:gridCol w:w="1351"/>
      </w:tblGrid>
      <w:tr w14:paraId="166BDAB5">
        <w:tblPrEx>
          <w:tblCellMar>
            <w:top w:w="0" w:type="dxa"/>
            <w:left w:w="0" w:type="dxa"/>
            <w:bottom w:w="0" w:type="dxa"/>
            <w:right w:w="0" w:type="dxa"/>
          </w:tblCellMar>
        </w:tblPrEx>
        <w:trPr>
          <w:trHeight w:val="850" w:hRule="atLeast"/>
          <w:jc w:val="center"/>
        </w:trPr>
        <w:tc>
          <w:tcPr>
            <w:tcW w:w="617"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186D4F5F">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土地取得费（元/平方米）</w:t>
            </w:r>
          </w:p>
        </w:tc>
        <w:tc>
          <w:tcPr>
            <w:tcW w:w="677"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49362016">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水利建设基金（元/平方米）</w:t>
            </w:r>
          </w:p>
        </w:tc>
        <w:tc>
          <w:tcPr>
            <w:tcW w:w="720"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16576F36">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耕地占用税</w:t>
            </w:r>
          </w:p>
          <w:p w14:paraId="3EFA2A95">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（元/平方米）</w:t>
            </w:r>
          </w:p>
        </w:tc>
        <w:tc>
          <w:tcPr>
            <w:tcW w:w="707"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43484F5B">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耕地开垦费（元/平方米）</w:t>
            </w:r>
          </w:p>
        </w:tc>
        <w:tc>
          <w:tcPr>
            <w:tcW w:w="691"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38DDD686">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社会保障费（元/平方米）</w:t>
            </w:r>
          </w:p>
        </w:tc>
        <w:tc>
          <w:tcPr>
            <w:tcW w:w="792"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5E7F6D09">
            <w:pPr>
              <w:snapToGrid w:val="0"/>
              <w:spacing w:line="240" w:lineRule="atLeast"/>
              <w:jc w:val="center"/>
              <w:rPr>
                <w:rFonts w:hint="default" w:ascii="仿宋_GB2312" w:hAnsi="仿宋_GB2312" w:eastAsia="仿宋_GB2312" w:cs="仿宋_GB2312"/>
                <w:color w:val="000000" w:themeColor="text1"/>
                <w:sz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18"/>
                <w:highlight w:val="none"/>
                <w:lang w:val="en-US" w:eastAsia="zh-CN"/>
                <w14:textFill>
                  <w14:solidFill>
                    <w14:schemeClr w14:val="tx1"/>
                  </w14:solidFill>
                </w14:textFill>
              </w:rPr>
              <w:t>新菜地开发基金或森林植被恢复费（元/平方米）</w:t>
            </w:r>
          </w:p>
        </w:tc>
        <w:tc>
          <w:tcPr>
            <w:tcW w:w="792"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7D13B58A">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合计</w:t>
            </w:r>
          </w:p>
          <w:p w14:paraId="3055255E">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（元/平方米）</w:t>
            </w:r>
          </w:p>
        </w:tc>
      </w:tr>
      <w:tr w14:paraId="177AC768">
        <w:tblPrEx>
          <w:tblCellMar>
            <w:top w:w="0" w:type="dxa"/>
            <w:left w:w="0" w:type="dxa"/>
            <w:bottom w:w="0" w:type="dxa"/>
            <w:right w:w="0" w:type="dxa"/>
          </w:tblCellMar>
        </w:tblPrEx>
        <w:trPr>
          <w:trHeight w:val="484" w:hRule="atLeast"/>
          <w:jc w:val="center"/>
        </w:trPr>
        <w:tc>
          <w:tcPr>
            <w:tcW w:w="617"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33D0751D">
            <w:pPr>
              <w:snapToGrid w:val="0"/>
              <w:spacing w:line="240" w:lineRule="atLeast"/>
              <w:jc w:val="center"/>
              <w:rPr>
                <w:rFonts w:hint="default" w:ascii="仿宋_GB2312" w:hAnsi="仿宋_GB2312" w:eastAsia="仿宋_GB2312" w:cs="仿宋_GB2312"/>
                <w:color w:val="000000" w:themeColor="text1"/>
                <w:sz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18"/>
                <w:highlight w:val="none"/>
                <w:lang w:val="en-US" w:eastAsia="zh-CN"/>
                <w14:textFill>
                  <w14:solidFill>
                    <w14:schemeClr w14:val="tx1"/>
                  </w14:solidFill>
                </w14:textFill>
              </w:rPr>
              <w:t>67.51</w:t>
            </w:r>
          </w:p>
        </w:tc>
        <w:tc>
          <w:tcPr>
            <w:tcW w:w="677"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20E4C79D">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1.6</w:t>
            </w:r>
          </w:p>
        </w:tc>
        <w:tc>
          <w:tcPr>
            <w:tcW w:w="720"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4FCE92C3">
            <w:pPr>
              <w:snapToGrid w:val="0"/>
              <w:spacing w:line="240" w:lineRule="atLeast"/>
              <w:jc w:val="center"/>
              <w:rPr>
                <w:rFonts w:hint="eastAsia" w:ascii="仿宋_GB2312" w:hAnsi="仿宋_GB2312" w:eastAsia="仿宋_GB2312" w:cs="仿宋_GB2312"/>
                <w:color w:val="000000" w:themeColor="text1"/>
                <w:sz w:val="18"/>
                <w:highlight w:val="none"/>
                <w:lang w:eastAsia="zh-CN"/>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2</w:t>
            </w:r>
            <w:r>
              <w:rPr>
                <w:rFonts w:hint="eastAsia" w:ascii="仿宋_GB2312" w:hAnsi="仿宋_GB2312" w:eastAsia="仿宋_GB2312" w:cs="仿宋_GB2312"/>
                <w:color w:val="000000" w:themeColor="text1"/>
                <w:sz w:val="18"/>
                <w:highlight w:val="none"/>
                <w:lang w:val="en-US" w:eastAsia="zh-CN"/>
                <w14:textFill>
                  <w14:solidFill>
                    <w14:schemeClr w14:val="tx1"/>
                  </w14:solidFill>
                </w14:textFill>
              </w:rPr>
              <w:t>0</w:t>
            </w:r>
          </w:p>
        </w:tc>
        <w:tc>
          <w:tcPr>
            <w:tcW w:w="707"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10F46105">
            <w:pPr>
              <w:snapToGrid w:val="0"/>
              <w:spacing w:line="240" w:lineRule="atLeast"/>
              <w:jc w:val="center"/>
              <w:rPr>
                <w:rFonts w:hint="default" w:ascii="仿宋_GB2312" w:hAnsi="仿宋_GB2312" w:eastAsia="仿宋_GB2312" w:cs="仿宋_GB2312"/>
                <w:color w:val="000000" w:themeColor="text1"/>
                <w:sz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18"/>
                <w:highlight w:val="none"/>
                <w:lang w:val="en-US" w:eastAsia="zh-CN"/>
                <w14:textFill>
                  <w14:solidFill>
                    <w14:schemeClr w14:val="tx1"/>
                  </w14:solidFill>
                </w14:textFill>
              </w:rPr>
              <w:t>0</w:t>
            </w:r>
          </w:p>
        </w:tc>
        <w:tc>
          <w:tcPr>
            <w:tcW w:w="691"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77F42363">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30</w:t>
            </w:r>
          </w:p>
        </w:tc>
        <w:tc>
          <w:tcPr>
            <w:tcW w:w="792"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51853DF9">
            <w:pPr>
              <w:snapToGrid w:val="0"/>
              <w:spacing w:line="240" w:lineRule="atLeast"/>
              <w:jc w:val="center"/>
              <w:rPr>
                <w:rFonts w:hint="default" w:ascii="仿宋_GB2312" w:hAnsi="仿宋_GB2312" w:eastAsia="仿宋_GB2312" w:cs="仿宋_GB2312"/>
                <w:color w:val="000000" w:themeColor="text1"/>
                <w:sz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18"/>
                <w:highlight w:val="none"/>
                <w:lang w:val="en-US" w:eastAsia="zh-CN"/>
                <w14:textFill>
                  <w14:solidFill>
                    <w14:schemeClr w14:val="tx1"/>
                  </w14:solidFill>
                </w14:textFill>
              </w:rPr>
              <w:t>20</w:t>
            </w:r>
          </w:p>
        </w:tc>
        <w:tc>
          <w:tcPr>
            <w:tcW w:w="792"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2FDA3B87">
            <w:pPr>
              <w:snapToGrid w:val="0"/>
              <w:spacing w:line="240" w:lineRule="atLeast"/>
              <w:jc w:val="center"/>
              <w:rPr>
                <w:rFonts w:hint="default" w:ascii="仿宋_GB2312" w:hAnsi="仿宋_GB2312" w:eastAsia="仿宋_GB2312" w:cs="仿宋_GB2312"/>
                <w:color w:val="000000" w:themeColor="text1"/>
                <w:sz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18"/>
                <w:highlight w:val="none"/>
                <w:lang w:val="en-US" w:eastAsia="zh-CN"/>
                <w14:textFill>
                  <w14:solidFill>
                    <w14:schemeClr w14:val="tx1"/>
                  </w14:solidFill>
                </w14:textFill>
              </w:rPr>
              <w:t>139.11</w:t>
            </w:r>
          </w:p>
        </w:tc>
      </w:tr>
    </w:tbl>
    <w:p w14:paraId="5D47A72E">
      <w:pPr>
        <w:spacing w:line="480" w:lineRule="exact" w:before="0" w:after="0"/>
        <w:ind w:firstLine="560" w:firstLineChars="20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3、土地开发费</w:t>
      </w:r>
    </w:p>
    <w:p w14:paraId="20DDA16D">
      <w:pPr>
        <w:snapToGrid w:val="0"/>
        <w:spacing w:line="480" w:lineRule="exact" w:before="0" w:after="0"/>
        <w:ind w:firstLine="56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本次评估设定的土地开发程度为宗地红线外</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“五通”（即通路、通电、通讯、供水、排水）</w:t>
      </w:r>
      <w:r>
        <w:rPr>
          <w:rFonts w:hint="eastAsia" w:ascii="仿宋_GB2312" w:hAnsi="仿宋_GB2312" w:eastAsia="仿宋_GB2312" w:cs="仿宋_GB2312"/>
          <w:color w:val="000000" w:themeColor="text1"/>
          <w:sz w:val="28"/>
          <w:highlight w:val="none"/>
          <w14:textFill>
            <w14:solidFill>
              <w14:schemeClr w14:val="tx1"/>
            </w14:solidFill>
          </w14:textFill>
        </w:rPr>
        <w:t>及红线</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内场地平整</w:t>
      </w:r>
      <w:r>
        <w:rPr>
          <w:rFonts w:hint="eastAsia" w:ascii="仿宋_GB2312" w:hAnsi="仿宋_GB2312" w:eastAsia="仿宋_GB2312" w:cs="仿宋_GB2312"/>
          <w:color w:val="000000" w:themeColor="text1"/>
          <w:sz w:val="28"/>
          <w:highlight w:val="none"/>
          <w14:textFill>
            <w14:solidFill>
              <w14:schemeClr w14:val="tx1"/>
            </w14:solidFill>
          </w14:textFill>
        </w:rPr>
        <w:t>，根据估价人员市场调查的资料，确定区域开发费用“</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五通</w:t>
      </w:r>
      <w:r>
        <w:rPr>
          <w:rFonts w:hint="eastAsia" w:ascii="仿宋_GB2312" w:hAnsi="仿宋_GB2312" w:eastAsia="仿宋_GB2312" w:cs="仿宋_GB2312"/>
          <w:color w:val="000000" w:themeColor="text1"/>
          <w:sz w:val="28"/>
          <w:highlight w:val="none"/>
          <w14:textFill>
            <w14:solidFill>
              <w14:schemeClr w14:val="tx1"/>
            </w14:solidFill>
          </w14:textFill>
        </w:rPr>
        <w:t>及场地平整”约为</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82</w:t>
      </w:r>
      <w:r>
        <w:rPr>
          <w:rFonts w:hint="eastAsia" w:ascii="仿宋_GB2312" w:hAnsi="仿宋_GB2312" w:eastAsia="仿宋_GB2312" w:cs="仿宋_GB2312"/>
          <w:color w:val="000000" w:themeColor="text1"/>
          <w:sz w:val="28"/>
          <w:highlight w:val="none"/>
          <w14:textFill>
            <w14:solidFill>
              <w14:schemeClr w14:val="tx1"/>
            </w14:solidFill>
          </w14:textFill>
        </w:rPr>
        <w:t>元/平方米。</w:t>
      </w:r>
    </w:p>
    <w:p w14:paraId="0E719C38">
      <w:pPr>
        <w:keepNext/>
        <w:spacing w:before="157" w:beforeLines="50" w:after="10" w:afterLines="50" w:line="480" w:lineRule="exact"/>
        <w:ind w:left="0" w:right="0" w:firstLine="0"/>
        <w:jc w:val="center"/>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b w:val="0"/>
          <w:color w:val="000000" w:themeColor="text1"/>
          <w:sz w:val="28"/>
          <w:highlight w:val="none"/>
          <w14:textFill>
            <w14:solidFill>
              <w14:schemeClr w14:val="tx1"/>
            </w14:solidFill>
          </w14:textFill>
        </w:rPr>
        <w:t>表3-</w:t>
      </w:r>
      <w:r>
        <w:rPr>
          <w:rFonts w:hint="eastAsia" w:ascii="仿宋_GB2312" w:hAnsi="仿宋_GB2312" w:eastAsia="仿宋_GB2312" w:cs="仿宋_GB2312"/>
          <w:b w:val="0"/>
          <w:color w:val="000000" w:themeColor="text1"/>
          <w:sz w:val="28"/>
          <w:highlight w:val="none"/>
          <w:lang w:val="en-US" w:eastAsia="zh-CN"/>
          <w14:textFill>
            <w14:solidFill>
              <w14:schemeClr w14:val="tx1"/>
            </w14:solidFill>
          </w14:textFill>
        </w:rPr>
        <w:t>2道县</w:t>
      </w:r>
      <w:r>
        <w:rPr>
          <w:rFonts w:hint="eastAsia" w:ascii="仿宋_GB2312" w:hAnsi="仿宋_GB2312" w:eastAsia="仿宋_GB2312" w:cs="仿宋_GB2312"/>
          <w:b w:val="0"/>
          <w:color w:val="000000" w:themeColor="text1"/>
          <w:sz w:val="28"/>
          <w:highlight w:val="none"/>
          <w14:textFill>
            <w14:solidFill>
              <w14:schemeClr w14:val="tx1"/>
            </w14:solidFill>
          </w14:textFill>
        </w:rPr>
        <w:t>城区土地开发费用分项一览表</w:t>
      </w:r>
    </w:p>
    <w:tbl>
      <w:tblPr>
        <w:tblStyle w:val="9"/>
        <w:tblW w:w="855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1"/>
        <w:gridCol w:w="1128"/>
        <w:gridCol w:w="1050"/>
        <w:gridCol w:w="898"/>
        <w:gridCol w:w="837"/>
        <w:gridCol w:w="895"/>
        <w:gridCol w:w="1257"/>
        <w:gridCol w:w="771"/>
      </w:tblGrid>
      <w:tr w14:paraId="3E5F5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721" w:type="dxa"/>
            <w:noWrap w:val="0"/>
            <w:vAlign w:val="center"/>
          </w:tcPr>
          <w:p w14:paraId="68134BC4">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土地开发项目</w:t>
            </w:r>
          </w:p>
        </w:tc>
        <w:tc>
          <w:tcPr>
            <w:tcW w:w="1128" w:type="dxa"/>
            <w:noWrap w:val="0"/>
            <w:vAlign w:val="center"/>
          </w:tcPr>
          <w:p w14:paraId="31346051">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通路</w:t>
            </w:r>
          </w:p>
        </w:tc>
        <w:tc>
          <w:tcPr>
            <w:tcW w:w="1050" w:type="dxa"/>
            <w:noWrap w:val="0"/>
            <w:vAlign w:val="center"/>
          </w:tcPr>
          <w:p w14:paraId="68F6FB98">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供水</w:t>
            </w:r>
          </w:p>
        </w:tc>
        <w:tc>
          <w:tcPr>
            <w:tcW w:w="898" w:type="dxa"/>
            <w:noWrap w:val="0"/>
            <w:vAlign w:val="center"/>
          </w:tcPr>
          <w:p w14:paraId="4EFA9600">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排水</w:t>
            </w:r>
          </w:p>
        </w:tc>
        <w:tc>
          <w:tcPr>
            <w:tcW w:w="837" w:type="dxa"/>
            <w:noWrap w:val="0"/>
            <w:vAlign w:val="center"/>
          </w:tcPr>
          <w:p w14:paraId="161F8D2D">
            <w:pPr>
              <w:snapToGrid w:val="0"/>
              <w:spacing w:line="440" w:lineRule="exact"/>
              <w:jc w:val="center"/>
              <w:rPr>
                <w:rFonts w:hint="eastAsia" w:ascii="仿宋_GB2312" w:hAnsi="仿宋_GB2312" w:eastAsia="仿宋_GB2312" w:cs="仿宋_GB2312"/>
                <w:color w:val="000000" w:themeColor="text1"/>
                <w:sz w:val="22"/>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通电</w:t>
            </w:r>
          </w:p>
        </w:tc>
        <w:tc>
          <w:tcPr>
            <w:tcW w:w="895" w:type="dxa"/>
            <w:noWrap w:val="0"/>
            <w:vAlign w:val="center"/>
          </w:tcPr>
          <w:p w14:paraId="0C6CDBAE">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通讯</w:t>
            </w:r>
          </w:p>
        </w:tc>
        <w:tc>
          <w:tcPr>
            <w:tcW w:w="1257" w:type="dxa"/>
            <w:noWrap w:val="0"/>
            <w:vAlign w:val="center"/>
          </w:tcPr>
          <w:p w14:paraId="6F8B8199">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场地平整</w:t>
            </w:r>
          </w:p>
        </w:tc>
        <w:tc>
          <w:tcPr>
            <w:tcW w:w="771" w:type="dxa"/>
            <w:noWrap w:val="0"/>
            <w:vAlign w:val="center"/>
          </w:tcPr>
          <w:p w14:paraId="4ADDBAAE">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合计</w:t>
            </w:r>
          </w:p>
        </w:tc>
      </w:tr>
      <w:tr w14:paraId="3860E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721" w:type="dxa"/>
            <w:noWrap w:val="0"/>
            <w:vAlign w:val="center"/>
          </w:tcPr>
          <w:p w14:paraId="28DA4D32">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费用（元/㎡）</w:t>
            </w:r>
          </w:p>
        </w:tc>
        <w:tc>
          <w:tcPr>
            <w:tcW w:w="1128" w:type="dxa"/>
            <w:noWrap w:val="0"/>
            <w:vAlign w:val="center"/>
          </w:tcPr>
          <w:p w14:paraId="6B904843">
            <w:pPr>
              <w:snapToGrid w:val="0"/>
              <w:spacing w:line="440" w:lineRule="exact"/>
              <w:jc w:val="center"/>
              <w:rPr>
                <w:rFonts w:hint="default" w:ascii="仿宋_GB2312" w:hAnsi="仿宋_GB2312" w:eastAsia="仿宋_GB2312" w:cs="仿宋_GB2312"/>
                <w:color w:val="000000" w:themeColor="text1"/>
                <w:sz w:val="22"/>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15-20</w:t>
            </w:r>
          </w:p>
        </w:tc>
        <w:tc>
          <w:tcPr>
            <w:tcW w:w="1050" w:type="dxa"/>
            <w:noWrap w:val="0"/>
            <w:vAlign w:val="center"/>
          </w:tcPr>
          <w:p w14:paraId="37BD6B0B">
            <w:pPr>
              <w:snapToGrid w:val="0"/>
              <w:spacing w:line="440" w:lineRule="exact"/>
              <w:jc w:val="center"/>
              <w:rPr>
                <w:rFonts w:hint="default" w:ascii="仿宋_GB2312" w:hAnsi="仿宋_GB2312" w:eastAsia="仿宋_GB2312" w:cs="仿宋_GB2312"/>
                <w:color w:val="000000" w:themeColor="text1"/>
                <w:sz w:val="22"/>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12-15</w:t>
            </w:r>
          </w:p>
        </w:tc>
        <w:tc>
          <w:tcPr>
            <w:tcW w:w="898" w:type="dxa"/>
            <w:noWrap w:val="0"/>
            <w:vAlign w:val="center"/>
          </w:tcPr>
          <w:p w14:paraId="16F0EF9D">
            <w:pPr>
              <w:snapToGrid w:val="0"/>
              <w:spacing w:line="440" w:lineRule="exact"/>
              <w:jc w:val="center"/>
              <w:rPr>
                <w:rFonts w:hint="default" w:ascii="仿宋_GB2312" w:hAnsi="仿宋_GB2312" w:eastAsia="仿宋_GB2312" w:cs="仿宋_GB2312"/>
                <w:color w:val="000000" w:themeColor="text1"/>
                <w:sz w:val="22"/>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13-15</w:t>
            </w:r>
          </w:p>
        </w:tc>
        <w:tc>
          <w:tcPr>
            <w:tcW w:w="837" w:type="dxa"/>
            <w:noWrap w:val="0"/>
            <w:vAlign w:val="center"/>
          </w:tcPr>
          <w:p w14:paraId="553E14EC">
            <w:pPr>
              <w:snapToGrid w:val="0"/>
              <w:spacing w:line="440" w:lineRule="exact"/>
              <w:jc w:val="center"/>
              <w:rPr>
                <w:rFonts w:hint="default" w:ascii="仿宋_GB2312" w:hAnsi="仿宋_GB2312" w:eastAsia="仿宋_GB2312" w:cs="仿宋_GB2312"/>
                <w:color w:val="000000" w:themeColor="text1"/>
                <w:sz w:val="22"/>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13-15</w:t>
            </w:r>
          </w:p>
        </w:tc>
        <w:tc>
          <w:tcPr>
            <w:tcW w:w="895" w:type="dxa"/>
            <w:noWrap w:val="0"/>
            <w:vAlign w:val="center"/>
          </w:tcPr>
          <w:p w14:paraId="75E0FCA6">
            <w:pPr>
              <w:snapToGrid w:val="0"/>
              <w:spacing w:line="440" w:lineRule="exact"/>
              <w:jc w:val="center"/>
              <w:rPr>
                <w:rFonts w:hint="default" w:ascii="仿宋_GB2312" w:hAnsi="仿宋_GB2312" w:eastAsia="仿宋_GB2312" w:cs="仿宋_GB2312"/>
                <w:color w:val="000000" w:themeColor="text1"/>
                <w:sz w:val="22"/>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5-10</w:t>
            </w:r>
          </w:p>
        </w:tc>
        <w:tc>
          <w:tcPr>
            <w:tcW w:w="1257" w:type="dxa"/>
            <w:noWrap w:val="0"/>
            <w:vAlign w:val="center"/>
          </w:tcPr>
          <w:p w14:paraId="10365306">
            <w:pPr>
              <w:snapToGrid w:val="0"/>
              <w:spacing w:line="440" w:lineRule="exact"/>
              <w:jc w:val="center"/>
              <w:rPr>
                <w:rFonts w:hint="default" w:ascii="仿宋_GB2312" w:hAnsi="仿宋_GB2312" w:eastAsia="仿宋_GB2312" w:cs="仿宋_GB2312"/>
                <w:color w:val="000000" w:themeColor="text1"/>
                <w:sz w:val="22"/>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15-20</w:t>
            </w:r>
          </w:p>
        </w:tc>
        <w:tc>
          <w:tcPr>
            <w:tcW w:w="771" w:type="dxa"/>
            <w:noWrap w:val="0"/>
            <w:vAlign w:val="center"/>
          </w:tcPr>
          <w:p w14:paraId="4B57F1F8">
            <w:pPr>
              <w:snapToGrid w:val="0"/>
              <w:spacing w:line="440" w:lineRule="exact"/>
              <w:jc w:val="center"/>
              <w:rPr>
                <w:rFonts w:hint="default" w:ascii="仿宋_GB2312" w:hAnsi="仿宋_GB2312" w:eastAsia="仿宋_GB2312" w:cs="仿宋_GB2312"/>
                <w:color w:val="000000" w:themeColor="text1"/>
                <w:sz w:val="22"/>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73-95</w:t>
            </w:r>
          </w:p>
        </w:tc>
      </w:tr>
    </w:tbl>
    <w:p w14:paraId="753AB5B3">
      <w:pPr>
        <w:spacing w:line="480" w:lineRule="exact" w:before="0" w:after="0"/>
        <w:ind w:firstLine="560" w:firstLineChars="20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4、投资利息</w:t>
      </w:r>
    </w:p>
    <w:p w14:paraId="639EF8B8">
      <w:pPr>
        <w:snapToGrid w:val="0"/>
        <w:spacing w:line="480" w:lineRule="exact" w:before="0" w:after="0"/>
        <w:ind w:firstLine="56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根据待估宗地的开发程度和开发规模及实际调查分析，确定土地开发周期为1年，中国人民银行授权全国银行间同业拆借中心公布，2025年</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11</w:t>
      </w:r>
      <w:r>
        <w:rPr>
          <w:rFonts w:hint="eastAsia" w:ascii="仿宋_GB2312" w:hAnsi="仿宋_GB2312" w:eastAsia="仿宋_GB2312" w:cs="仿宋_GB2312"/>
          <w:color w:val="000000" w:themeColor="text1"/>
          <w:sz w:val="28"/>
          <w:highlight w:val="none"/>
          <w14:textFill>
            <w14:solidFill>
              <w14:schemeClr w14:val="tx1"/>
            </w14:solidFill>
          </w14:textFill>
        </w:rPr>
        <w:t>月2</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0</w:t>
      </w:r>
      <w:r>
        <w:rPr>
          <w:rFonts w:hint="eastAsia" w:ascii="仿宋_GB2312" w:hAnsi="仿宋_GB2312" w:eastAsia="仿宋_GB2312" w:cs="仿宋_GB2312"/>
          <w:color w:val="000000" w:themeColor="text1"/>
          <w:sz w:val="28"/>
          <w:highlight w:val="none"/>
          <w14:textFill>
            <w14:solidFill>
              <w14:schemeClr w14:val="tx1"/>
            </w14:solidFill>
          </w14:textFill>
        </w:rPr>
        <w:t>日贷款市场报价利率（LPR）为：1年期LPR为3</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.0</w:t>
      </w:r>
      <w:r>
        <w:rPr>
          <w:rFonts w:hint="eastAsia" w:ascii="仿宋_GB2312" w:hAnsi="仿宋_GB2312" w:eastAsia="仿宋_GB2312" w:cs="仿宋_GB2312"/>
          <w:color w:val="000000" w:themeColor="text1"/>
          <w:sz w:val="28"/>
          <w:highlight w:val="none"/>
          <w14:textFill>
            <w14:solidFill>
              <w14:schemeClr w14:val="tx1"/>
            </w14:solidFill>
          </w14:textFill>
        </w:rPr>
        <w:t>%，5年期以上LPR为3.</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5</w:t>
      </w:r>
      <w:r>
        <w:rPr>
          <w:rFonts w:hint="eastAsia" w:ascii="仿宋_GB2312" w:hAnsi="仿宋_GB2312" w:eastAsia="仿宋_GB2312" w:cs="仿宋_GB2312"/>
          <w:color w:val="000000" w:themeColor="text1"/>
          <w:sz w:val="28"/>
          <w:highlight w:val="none"/>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本次</w:t>
      </w:r>
      <w:r>
        <w:rPr>
          <w:rFonts w:hint="eastAsia" w:ascii="仿宋_GB2312" w:hAnsi="仿宋_GB2312" w:eastAsia="仿宋_GB2312" w:cs="仿宋_GB2312"/>
          <w:color w:val="000000" w:themeColor="text1"/>
          <w:sz w:val="28"/>
          <w:highlight w:val="none"/>
          <w14:textFill>
            <w14:solidFill>
              <w14:schemeClr w14:val="tx1"/>
            </w14:solidFill>
          </w14:textFill>
        </w:rPr>
        <w:t>投资利息率按取3.</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0</w:t>
      </w:r>
      <w:r>
        <w:rPr>
          <w:rFonts w:hint="eastAsia" w:ascii="仿宋_GB2312" w:hAnsi="仿宋_GB2312" w:eastAsia="仿宋_GB2312" w:cs="仿宋_GB2312"/>
          <w:color w:val="000000" w:themeColor="text1"/>
          <w:sz w:val="28"/>
          <w:highlight w:val="none"/>
          <w14:textFill>
            <w14:solidFill>
              <w14:schemeClr w14:val="tx1"/>
            </w14:solidFill>
          </w14:textFill>
        </w:rPr>
        <w:t>%。其中土地征地费及相关税费在征地时一次投入，土地开发费在开发期内均匀投入，单利计息，则：</w:t>
      </w:r>
    </w:p>
    <w:p w14:paraId="269FB4AD">
      <w:pPr>
        <w:tabs>
          <w:tab w:val="left" w:pos="8520"/>
        </w:tabs>
        <w:snapToGrid w:val="0"/>
        <w:spacing w:line="480" w:lineRule="exact" w:before="0" w:after="0"/>
        <w:ind w:firstLine="56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投资利息=（土地取得费＋相关税费）×开发周期×利息率＋土地开发费×开发周期×1/2×利息率</w:t>
      </w:r>
    </w:p>
    <w:p w14:paraId="451208F3">
      <w:pPr>
        <w:snapToGrid w:val="0"/>
        <w:spacing w:line="480" w:lineRule="exact" w:before="0" w:after="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　　   ＝（</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67.51+71.6</w:t>
      </w:r>
      <w:r>
        <w:rPr>
          <w:rFonts w:hint="eastAsia" w:ascii="仿宋_GB2312" w:hAnsi="仿宋_GB2312" w:eastAsia="仿宋_GB2312" w:cs="仿宋_GB2312"/>
          <w:color w:val="000000" w:themeColor="text1"/>
          <w:sz w:val="28"/>
          <w:highlight w:val="none"/>
          <w14:textFill>
            <w14:solidFill>
              <w14:schemeClr w14:val="tx1"/>
            </w14:solidFill>
          </w14:textFill>
        </w:rPr>
        <w:t>）×[（1+</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3.0</w:t>
      </w:r>
      <w:r>
        <w:rPr>
          <w:rFonts w:hint="eastAsia" w:ascii="仿宋_GB2312" w:hAnsi="仿宋_GB2312" w:eastAsia="仿宋_GB2312" w:cs="仿宋_GB2312"/>
          <w:color w:val="000000" w:themeColor="text1"/>
          <w:sz w:val="28"/>
          <w:highlight w:val="none"/>
          <w14:textFill>
            <w14:solidFill>
              <w14:schemeClr w14:val="tx1"/>
            </w14:solidFill>
          </w14:textFill>
        </w:rPr>
        <w:t>%）－1]+</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45</w:t>
      </w:r>
      <w:r>
        <w:rPr>
          <w:rFonts w:hint="eastAsia" w:ascii="仿宋_GB2312" w:hAnsi="仿宋_GB2312" w:eastAsia="仿宋_GB2312" w:cs="仿宋_GB2312"/>
          <w:color w:val="000000" w:themeColor="text1"/>
          <w:sz w:val="28"/>
          <w:highlight w:val="none"/>
          <w14:textFill>
            <w14:solidFill>
              <w14:schemeClr w14:val="tx1"/>
            </w14:solidFill>
          </w14:textFill>
        </w:rPr>
        <w:t>×1/2×</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3.0</w:t>
      </w:r>
      <w:r>
        <w:rPr>
          <w:rFonts w:hint="eastAsia" w:ascii="仿宋_GB2312" w:hAnsi="仿宋_GB2312" w:eastAsia="仿宋_GB2312" w:cs="仿宋_GB2312"/>
          <w:color w:val="000000" w:themeColor="text1"/>
          <w:sz w:val="28"/>
          <w:highlight w:val="none"/>
          <w14:textFill>
            <w14:solidFill>
              <w14:schemeClr w14:val="tx1"/>
            </w14:solidFill>
          </w14:textFill>
        </w:rPr>
        <w:t>%</w:t>
      </w:r>
    </w:p>
    <w:p w14:paraId="0E91A58E">
      <w:pPr>
        <w:spacing w:line="480" w:lineRule="exact" w:before="0" w:after="0"/>
        <w:ind w:firstLine="560" w:firstLineChars="20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　 ＝</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5.42</w:t>
      </w:r>
      <w:r>
        <w:rPr>
          <w:rFonts w:hint="eastAsia" w:ascii="仿宋_GB2312" w:hAnsi="仿宋_GB2312" w:eastAsia="仿宋_GB2312" w:cs="仿宋_GB2312"/>
          <w:color w:val="000000" w:themeColor="text1"/>
          <w:sz w:val="28"/>
          <w:highlight w:val="none"/>
          <w14:textFill>
            <w14:solidFill>
              <w14:schemeClr w14:val="tx1"/>
            </w14:solidFill>
          </w14:textFill>
        </w:rPr>
        <w:t>元/平方米</w:t>
      </w:r>
    </w:p>
    <w:p w14:paraId="777753B0">
      <w:pPr>
        <w:spacing w:line="480" w:lineRule="exact" w:before="0" w:after="0"/>
        <w:ind w:firstLine="560" w:firstLineChars="20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5、投资利润</w:t>
      </w:r>
    </w:p>
    <w:p w14:paraId="04F82BA0">
      <w:pPr>
        <w:snapToGrid w:val="0"/>
        <w:spacing w:line="480" w:lineRule="exact" w:before="0" w:after="0"/>
        <w:ind w:firstLine="56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土地作为一种生产要素进入企业的生产过程，土地资产与其它生产要素相结合产生了利润，土地投资应获得与其资产量相对应的回报。</w:t>
      </w:r>
    </w:p>
    <w:p w14:paraId="06ED8042">
      <w:pPr>
        <w:keepNext w:val="0"/>
        <w:keepLines w:val="0"/>
        <w:pageBreakBefore w:val="0"/>
        <w:widowControl w:val="0"/>
        <w:kinsoku/>
        <w:wordWrap/>
        <w:overflowPunct/>
        <w:topLinePunct w:val="0"/>
        <w:autoSpaceDE/>
        <w:autoSpaceDN/>
        <w:bidi w:val="0"/>
        <w:snapToGrid w:val="0"/>
        <w:spacing w:line="480" w:lineRule="exact" w:before="0" w:after="0"/>
        <w:ind w:firstLine="56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根据估价对象所在区域土地开发企业投资利润率的情况，考虑</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道县房地产</w:t>
      </w:r>
      <w:r>
        <w:rPr>
          <w:rFonts w:hint="eastAsia" w:ascii="仿宋_GB2312" w:hAnsi="仿宋_GB2312" w:eastAsia="仿宋_GB2312" w:cs="仿宋_GB2312"/>
          <w:color w:val="000000" w:themeColor="text1"/>
          <w:sz w:val="28"/>
          <w:highlight w:val="none"/>
          <w14:textFill>
            <w14:solidFill>
              <w14:schemeClr w14:val="tx1"/>
            </w14:solidFill>
          </w14:textFill>
        </w:rPr>
        <w:t>开发投资回报率水平及委托方实际经营投资收益情况，以</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5</w:t>
      </w:r>
      <w:r>
        <w:rPr>
          <w:rFonts w:hint="eastAsia" w:ascii="仿宋_GB2312" w:hAnsi="仿宋_GB2312" w:eastAsia="仿宋_GB2312" w:cs="仿宋_GB2312"/>
          <w:color w:val="000000" w:themeColor="text1"/>
          <w:sz w:val="28"/>
          <w:highlight w:val="none"/>
          <w14:textFill>
            <w14:solidFill>
              <w14:schemeClr w14:val="tx1"/>
            </w14:solidFill>
          </w14:textFill>
        </w:rPr>
        <w:t>％作为本次土地评估的投资利润率。则：</w:t>
      </w:r>
    </w:p>
    <w:p w14:paraId="75B35539">
      <w:pPr>
        <w:keepNext w:val="0"/>
        <w:keepLines w:val="0"/>
        <w:pageBreakBefore w:val="0"/>
        <w:widowControl w:val="0"/>
        <w:kinsoku/>
        <w:wordWrap/>
        <w:overflowPunct/>
        <w:topLinePunct w:val="0"/>
        <w:autoSpaceDE/>
        <w:autoSpaceDN/>
        <w:bidi w:val="0"/>
        <w:snapToGrid w:val="0"/>
        <w:spacing w:line="480" w:lineRule="exact" w:before="0" w:after="0"/>
        <w:ind w:firstLine="56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投资利润=（土地取得费+有关税费+土地开发费）×</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10</w:t>
      </w:r>
      <w:r>
        <w:rPr>
          <w:rFonts w:hint="eastAsia" w:ascii="仿宋_GB2312" w:hAnsi="仿宋_GB2312" w:eastAsia="仿宋_GB2312" w:cs="仿宋_GB2312"/>
          <w:color w:val="000000" w:themeColor="text1"/>
          <w:sz w:val="28"/>
          <w:highlight w:val="none"/>
          <w14:textFill>
            <w14:solidFill>
              <w14:schemeClr w14:val="tx1"/>
            </w14:solidFill>
          </w14:textFill>
        </w:rPr>
        <w:t>%</w:t>
      </w:r>
    </w:p>
    <w:p w14:paraId="0FC35A4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 xml:space="preserve">        =（</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67.51+71.6+82</w:t>
      </w:r>
      <w:r>
        <w:rPr>
          <w:rFonts w:hint="eastAsia" w:ascii="仿宋_GB2312" w:hAnsi="仿宋_GB2312" w:eastAsia="仿宋_GB2312" w:cs="仿宋_GB2312"/>
          <w:color w:val="000000" w:themeColor="text1"/>
          <w:sz w:val="28"/>
          <w:highlight w:val="none"/>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×5%</w:t>
      </w:r>
      <w:r>
        <w:rPr>
          <w:rFonts w:hint="eastAsia" w:ascii="仿宋_GB2312" w:hAnsi="仿宋_GB2312" w:eastAsia="仿宋_GB2312" w:cs="仿宋_GB2312"/>
          <w:color w:val="000000" w:themeColor="text1"/>
          <w:sz w:val="28"/>
          <w:highlight w:val="none"/>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11.09</w:t>
      </w:r>
      <w:r>
        <w:rPr>
          <w:rFonts w:hint="eastAsia" w:ascii="仿宋_GB2312" w:hAnsi="仿宋_GB2312" w:eastAsia="仿宋_GB2312" w:cs="仿宋_GB2312"/>
          <w:color w:val="000000" w:themeColor="text1"/>
          <w:sz w:val="28"/>
          <w:highlight w:val="none"/>
          <w14:textFill>
            <w14:solidFill>
              <w14:schemeClr w14:val="tx1"/>
            </w14:solidFill>
          </w14:textFill>
        </w:rPr>
        <w:t>元/平方米</w:t>
      </w:r>
    </w:p>
    <w:p w14:paraId="483BD6CE">
      <w:pPr>
        <w:adjustRightInd w:val="0"/>
        <w:snapToGrid w:val="0"/>
        <w:spacing w:line="480" w:lineRule="exact" w:before="0" w:after="0"/>
        <w:ind w:left="561"/>
        <w:rPr>
          <w:rFonts w:hint="eastAsia" w:ascii="仿宋_GB2312" w:hAnsi="仿宋_GB2312" w:eastAsia="仿宋_GB2312" w:cs="仿宋_GB2312"/>
          <w:bCs/>
          <w:color w:val="000000" w:themeColor="text1"/>
          <w:sz w:val="28"/>
          <w:szCs w:val="28"/>
          <w:highlight w:val="none"/>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w:t>
      </w:r>
      <w:r>
        <w:rPr>
          <w:rFonts w:hint="eastAsia" w:ascii="仿宋_GB2312" w:hAnsi="仿宋_GB2312" w:eastAsia="仿宋_GB2312" w:cs="仿宋_GB2312"/>
          <w:bCs/>
          <w:color w:val="000000" w:themeColor="text1"/>
          <w:sz w:val="28"/>
          <w:szCs w:val="28"/>
          <w:highlight w:val="none"/>
          <w14:textFill>
            <w14:solidFill>
              <w14:schemeClr w14:val="tx1"/>
            </w14:solidFill>
          </w14:textFill>
        </w:rPr>
        <w:t>、土地增值收益</w:t>
      </w:r>
    </w:p>
    <w:p w14:paraId="0CB1562C">
      <w:pPr>
        <w:adjustRightInd w:val="0"/>
        <w:snapToGrid w:val="0"/>
        <w:spacing w:line="480" w:lineRule="exact" w:before="0" w:after="0"/>
        <w:ind w:firstLine="560" w:firstLineChars="200"/>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eastAsia="仿宋_GB2312" w:ascii="仿宋_GB2312" w:hAnsi="仿宋_GB2312" w:cs="仿宋_GB2312"/>
          <w:color w:val="000000" w:themeColor="text1"/>
          <w:sz w:val="28"/>
          <w:szCs w:val="28"/>
          <w:highlight w:val="none"/>
          <w14:textFill>
            <w14:solidFill>
              <w14:schemeClr w14:val="tx1"/>
            </w14:solidFill>
          </w14:textFill>
        </w:rPr>
        <w:t>土地增值是待估土地因改变用途或进行土地开发，达到建设用地的某种利用条件而发生的价值增加，是土地开发后市场价格与成本价格之间的差额。估价人员通过对</w:t>
      </w:r>
      <w:r>
        <w:rPr>
          <w:rFonts w:hint="eastAsia" w:eastAsia="仿宋_GB2312" w:ascii="仿宋_GB2312" w:hAnsi="仿宋_GB2312" w:cs="仿宋_GB2312"/>
          <w:color w:val="000000" w:themeColor="text1"/>
          <w:sz w:val="28"/>
          <w:szCs w:val="28"/>
          <w:highlight w:val="none"/>
          <w:lang w:val="en-US" w:eastAsia="zh-CN"/>
          <w14:textFill>
            <w14:solidFill>
              <w14:schemeClr w14:val="tx1"/>
            </w14:solidFill>
          </w14:textFill>
        </w:rPr>
        <w:t>永州市道县工业</w:t>
      </w:r>
      <w:r>
        <w:rPr>
          <w:rFonts w:eastAsia="仿宋_GB2312" w:ascii="仿宋_GB2312" w:hAnsi="仿宋_GB2312" w:cs="仿宋_GB2312"/>
          <w:color w:val="000000" w:themeColor="text1"/>
          <w:sz w:val="28"/>
          <w:szCs w:val="28"/>
          <w:highlight w:val="none"/>
          <w14:textFill>
            <w14:solidFill>
              <w14:schemeClr w14:val="tx1"/>
            </w14:solidFill>
          </w14:textFill>
        </w:rPr>
        <w:t>用地的增值收益情况的调查，</w:t>
      </w:r>
      <w:r>
        <w:rPr>
          <w:rFonts w:hint="eastAsia" w:eastAsia="仿宋_GB2312" w:ascii="仿宋_GB2312" w:hAnsi="仿宋_GB2312" w:cs="仿宋_GB2312"/>
          <w:color w:val="000000" w:themeColor="text1"/>
          <w:sz w:val="28"/>
          <w:szCs w:val="28"/>
          <w:highlight w:val="none"/>
          <w:lang w:val="en-US" w:eastAsia="zh-CN"/>
          <w14:textFill>
            <w14:solidFill>
              <w14:schemeClr w14:val="tx1"/>
            </w14:solidFill>
          </w14:textFill>
        </w:rPr>
        <w:t>永州市道县</w:t>
      </w:r>
      <w:r>
        <w:rPr>
          <w:rFonts w:eastAsia="仿宋_GB2312" w:ascii="仿宋_GB2312" w:hAnsi="仿宋_GB2312" w:cs="仿宋_GB2312"/>
          <w:color w:val="000000" w:themeColor="text1"/>
          <w:sz w:val="28"/>
          <w:szCs w:val="28"/>
          <w:highlight w:val="none"/>
          <w14:textFill>
            <w14:solidFill>
              <w14:schemeClr w14:val="tx1"/>
            </w14:solidFill>
          </w14:textFill>
        </w:rPr>
        <w:t>公用</w:t>
      </w:r>
      <w:r>
        <w:rPr>
          <w:rFonts w:hint="eastAsia" w:eastAsia="仿宋_GB2312" w:ascii="仿宋_GB2312" w:hAnsi="仿宋_GB2312" w:cs="仿宋_GB2312"/>
          <w:color w:val="000000" w:themeColor="text1"/>
          <w:sz w:val="28"/>
          <w:szCs w:val="28"/>
          <w:highlight w:val="none"/>
          <w:lang w:val="en-US" w:eastAsia="zh-CN"/>
          <w14:textFill>
            <w14:solidFill>
              <w14:schemeClr w14:val="tx1"/>
            </w14:solidFill>
          </w14:textFill>
        </w:rPr>
        <w:t>工业用地</w:t>
      </w:r>
      <w:r>
        <w:rPr>
          <w:rFonts w:eastAsia="仿宋_GB2312" w:ascii="仿宋_GB2312" w:hAnsi="仿宋_GB2312" w:cs="仿宋_GB2312"/>
          <w:color w:val="000000" w:themeColor="text1"/>
          <w:sz w:val="28"/>
          <w:szCs w:val="28"/>
          <w:highlight w:val="none"/>
          <w14:textFill>
            <w14:solidFill>
              <w14:schemeClr w14:val="tx1"/>
            </w14:solidFill>
          </w14:textFill>
        </w:rPr>
        <w:t>增值收益率为土地成本价格的</w:t>
      </w:r>
      <w:r>
        <w:rPr>
          <w:rFonts w:hint="eastAsia" w:eastAsia="仿宋_GB2312" w:ascii="仿宋_GB2312" w:hAnsi="仿宋_GB2312" w:cs="仿宋_GB2312"/>
          <w:color w:val="000000" w:themeColor="text1"/>
          <w:sz w:val="28"/>
          <w:szCs w:val="28"/>
          <w:highlight w:val="none"/>
          <w:lang w:val="en-US" w:eastAsia="zh-CN"/>
          <w14:textFill>
            <w14:solidFill>
              <w14:schemeClr w14:val="tx1"/>
            </w14:solidFill>
          </w14:textFill>
        </w:rPr>
        <w:t>5</w:t>
      </w:r>
      <w:r>
        <w:rPr>
          <w:rFonts w:eastAsia="仿宋_GB2312" w:ascii="仿宋_GB2312" w:hAnsi="仿宋_GB2312" w:cs="仿宋_GB2312"/>
          <w:color w:val="000000" w:themeColor="text1"/>
          <w:sz w:val="28"/>
          <w:szCs w:val="28"/>
          <w:highlight w:val="none"/>
          <w14:textFill>
            <w14:solidFill>
              <w14:schemeClr w14:val="tx1"/>
            </w14:solidFill>
          </w14:textFill>
        </w:rPr>
        <w:t>%，结合宗地所在区域土地市场行情，此次评估确定取土地成本的</w:t>
      </w:r>
      <w:r>
        <w:rPr>
          <w:rFonts w:hint="eastAsia" w:eastAsia="仿宋_GB2312" w:ascii="仿宋_GB2312" w:hAnsi="仿宋_GB2312" w:cs="仿宋_GB2312"/>
          <w:color w:val="000000" w:themeColor="text1"/>
          <w:sz w:val="28"/>
          <w:szCs w:val="28"/>
          <w:highlight w:val="none"/>
          <w:lang w:val="en-US" w:eastAsia="zh-CN"/>
          <w14:textFill>
            <w14:solidFill>
              <w14:schemeClr w14:val="tx1"/>
            </w14:solidFill>
          </w14:textFill>
        </w:rPr>
        <w:t>5</w:t>
      </w:r>
      <w:r>
        <w:rPr>
          <w:rFonts w:eastAsia="仿宋_GB2312" w:ascii="仿宋_GB2312" w:hAnsi="仿宋_GB2312" w:cs="仿宋_GB2312"/>
          <w:color w:val="000000" w:themeColor="text1"/>
          <w:sz w:val="28"/>
          <w:szCs w:val="28"/>
          <w:highlight w:val="none"/>
          <w14:textFill>
            <w14:solidFill>
              <w14:schemeClr w14:val="tx1"/>
            </w14:solidFill>
          </w14:textFill>
        </w:rPr>
        <w:t>%为土地增值收益率</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p>
    <w:p w14:paraId="4D61C400">
      <w:pPr>
        <w:adjustRightInd w:val="0"/>
        <w:snapToGrid w:val="0"/>
        <w:spacing w:line="480" w:lineRule="exact" w:before="0" w:after="0"/>
        <w:ind w:firstLine="560" w:firstLineChars="200"/>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土地增值收益=土地成本价格×土地增值收益率</w:t>
      </w:r>
    </w:p>
    <w:p w14:paraId="756FEAF2">
      <w:pPr>
        <w:adjustRightInd w:val="0"/>
        <w:snapToGrid w:val="0"/>
        <w:spacing w:line="480" w:lineRule="exact" w:before="0" w:after="0"/>
        <w:ind w:firstLine="2240" w:firstLineChars="800"/>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67.51+71.6+82+5.42+11.09</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5</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p>
    <w:p w14:paraId="3150796B">
      <w:pPr>
        <w:pStyle w:val="2"/>
        <w:spacing w:before="0" w:after="0" w:line="480" w:lineRule="exact"/>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 xml:space="preserve">         =</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11.91元</w:t>
      </w:r>
      <w:r>
        <w:rPr>
          <w:rFonts w:hint="eastAsia" w:ascii="仿宋_GB2312" w:hAnsi="仿宋_GB2312" w:eastAsia="仿宋_GB2312" w:cs="仿宋_GB2312"/>
          <w:color w:val="000000" w:themeColor="text1"/>
          <w:sz w:val="28"/>
          <w:szCs w:val="28"/>
          <w:highlight w:val="none"/>
          <w14:textFill>
            <w14:solidFill>
              <w14:schemeClr w14:val="tx1"/>
            </w14:solidFill>
          </w14:textFill>
        </w:rPr>
        <w:t xml:space="preserve">/平方米 </w:t>
      </w:r>
    </w:p>
    <w:p w14:paraId="05745F0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7</w:t>
      </w:r>
      <w:r>
        <w:rPr>
          <w:rFonts w:hint="eastAsia" w:ascii="仿宋_GB2312" w:hAnsi="仿宋_GB2312" w:eastAsia="仿宋_GB2312" w:cs="仿宋_GB2312"/>
          <w:bCs/>
          <w:color w:val="000000" w:themeColor="text1"/>
          <w:sz w:val="28"/>
          <w:highlight w:val="none"/>
          <w14:textFill>
            <w14:solidFill>
              <w14:schemeClr w14:val="tx1"/>
            </w14:solidFill>
          </w14:textFill>
        </w:rPr>
        <w:t>、土地使用年期修正系数</w:t>
      </w:r>
    </w:p>
    <w:p w14:paraId="0B56739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土地使用年期</w:t>
      </w:r>
      <w:r>
        <w:rPr>
          <w:rFonts w:hint="eastAsia" w:ascii="仿宋_GB2312" w:hAnsi="仿宋_GB2312" w:eastAsia="仿宋_GB2312" w:cs="仿宋_GB2312"/>
          <w:bCs/>
          <w:color w:val="000000" w:themeColor="text1"/>
          <w:sz w:val="28"/>
          <w:highlight w:val="none"/>
          <w14:textFill>
            <w14:solidFill>
              <w14:schemeClr w14:val="tx1"/>
            </w14:solidFill>
          </w14:textFill>
        </w:rPr>
        <w:t>修正系数为：</w:t>
      </w:r>
    </w:p>
    <w:p w14:paraId="527D24A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14:textFill>
            <w14:solidFill>
              <w14:schemeClr w14:val="tx1"/>
            </w14:solidFill>
          </w14:textFill>
        </w:rPr>
        <w:t>年期修正系数=1－1/ (1+r)</w:t>
      </w:r>
      <w:r>
        <w:rPr>
          <w:rFonts w:hint="eastAsia" w:ascii="仿宋_GB2312" w:hAnsi="仿宋_GB2312" w:eastAsia="仿宋_GB2312" w:cs="仿宋_GB2312"/>
          <w:bCs/>
          <w:color w:val="000000" w:themeColor="text1"/>
          <w:sz w:val="28"/>
          <w:highlight w:val="none"/>
          <w:vertAlign w:val="superscript"/>
          <w14:textFill>
            <w14:solidFill>
              <w14:schemeClr w14:val="tx1"/>
            </w14:solidFill>
          </w14:textFill>
        </w:rPr>
        <w:t>n</w:t>
      </w:r>
    </w:p>
    <w:p w14:paraId="67179F0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14:textFill>
            <w14:solidFill>
              <w14:schemeClr w14:val="tx1"/>
            </w14:solidFill>
          </w14:textFill>
        </w:rPr>
        <w:t>其中: r─土地还原利率；</w:t>
      </w:r>
    </w:p>
    <w:p w14:paraId="13EB30C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14:textFill>
            <w14:solidFill>
              <w14:schemeClr w14:val="tx1"/>
            </w14:solidFill>
          </w14:textFill>
        </w:rPr>
        <w:t xml:space="preserve">     n─估价对象设定土地使用年期；</w:t>
      </w:r>
    </w:p>
    <w:p w14:paraId="2584B326">
      <w:pPr>
        <w:overflowPunct w:val="0"/>
        <w:autoSpaceDE w:val="0"/>
        <w:autoSpaceDN w:val="0"/>
        <w:snapToGrid w:val="0"/>
        <w:spacing w:line="480" w:lineRule="exact" w:before="0" w:after="0"/>
        <w:ind w:firstLine="565" w:firstLineChars="202"/>
        <w:rPr>
          <w:rFonts w:hint="eastAsia" w:ascii="仿宋" w:hAnsi="仿宋" w:eastAsia="仿宋"/>
          <w:snapToGrid w:val="0"/>
          <w:color w:val="000000" w:themeColor="text1"/>
          <w:kern w:val="0"/>
          <w:sz w:val="28"/>
          <w:szCs w:val="28"/>
          <w:highlight w:val="none"/>
          <w14:textFill>
            <w14:solidFill>
              <w14:schemeClr w14:val="tx1"/>
            </w14:solidFill>
          </w14:textFill>
        </w:rPr>
      </w:pPr>
      <w:r>
        <w:rPr>
          <w:rFonts w:hint="eastAsia" w:ascii="仿宋_GB2312" w:hAnsi="仿宋_GB2312" w:eastAsia="仿宋_GB2312" w:cs="仿宋_GB2312"/>
          <w:snapToGrid w:val="0"/>
          <w:color w:val="000000" w:themeColor="text1"/>
          <w:kern w:val="0"/>
          <w:sz w:val="28"/>
          <w:szCs w:val="28"/>
          <w:highlight w:val="none"/>
          <w14:textFill>
            <w14:solidFill>
              <w14:schemeClr w14:val="tx1"/>
            </w14:solidFill>
          </w14:textFill>
        </w:rPr>
        <w:t>土地还原率确定</w:t>
      </w:r>
      <w:r>
        <w:rPr>
          <w:rFonts w:ascii="仿宋_GB2312" w:hAnsi="仿宋_GB2312" w:eastAsia="仿宋_GB2312" w:cs="仿宋_GB2312"/>
          <w:snapToGrid w:val="0"/>
          <w:color w:val="000000" w:themeColor="text1"/>
          <w:kern w:val="0"/>
          <w:sz w:val="28"/>
          <w:szCs w:val="28"/>
          <w:highlight w:val="none"/>
          <w14:textFill>
            <w14:solidFill>
              <w14:schemeClr w14:val="tx1"/>
            </w14:solidFill>
          </w14:textFill>
        </w:rPr>
        <w:t>过程</w:t>
      </w:r>
      <w:r>
        <w:rPr>
          <w:rFonts w:hint="eastAsia" w:ascii="仿宋_GB2312" w:hAnsi="仿宋_GB2312" w:eastAsia="仿宋_GB2312" w:cs="仿宋_GB2312"/>
          <w:snapToGrid w:val="0"/>
          <w:color w:val="000000" w:themeColor="text1"/>
          <w:kern w:val="0"/>
          <w:sz w:val="28"/>
          <w:szCs w:val="28"/>
          <w:highlight w:val="none"/>
          <w14:textFill>
            <w14:solidFill>
              <w14:schemeClr w14:val="tx1"/>
            </w14:solidFill>
          </w14:textFill>
        </w:rPr>
        <w:t>：</w:t>
      </w:r>
    </w:p>
    <w:p w14:paraId="7870B36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土地还原利率的确定方法是安全利率加风险调整值法，安全利率采用中国外汇交易中心（全国银行间同业拆借中心）公布的一年期国债收益率1.4453%（2025年5月19日中国外汇交易中心（全国银行间同业拆借中心）），风险调整值根据各市场风险因素对土地市场的影响程度而确定。</w:t>
      </w:r>
    </w:p>
    <w:p w14:paraId="69F9C12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①土地市场风险程度分析</w:t>
      </w:r>
    </w:p>
    <w:p w14:paraId="0B2D182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 w:hAnsi="仿宋" w:eastAsia="仿宋"/>
          <w:snapToGrid w:val="0"/>
          <w:color w:val="000000" w:themeColor="text1"/>
          <w:kern w:val="0"/>
          <w:sz w:val="28"/>
          <w:szCs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土地投资过程是一种预测未知将来需求而进行产品生产的过程，由于未来需求的不确定性，决定了地产投资是一种典型的风险投资。这些风险因素主要源于地产位置的固定性及地产投资的周期长久性。由于地产位置固定性带来的土地地理环境变化的风险及土地投资周期长使开发商难以精确预测房地产市场的供求变化与国家政策调整方案等风险。本次评估结合道县社会经济发展及土地市场情况，通过实地调查与咨询专家，总结了各种风险因素对用地的影响程度。各风险因素因子对不同土地利用类型的影响程度分析见下表。</w:t>
      </w:r>
    </w:p>
    <w:p w14:paraId="40074E14">
      <w:pPr>
        <w:keepNext/>
        <w:spacing w:before="157" w:after="10" w:line="480" w:lineRule="exact"/>
        <w:ind w:left="0" w:right="0" w:firstLine="0"/>
        <w:jc w:val="center"/>
        <w:rPr>
          <w:rFonts w:hint="eastAsia" w:ascii="仿宋" w:hAnsi="仿宋" w:eastAsia="仿宋" w:cs="仿宋"/>
          <w:snapToGrid w:val="0"/>
          <w:color w:val="000000" w:themeColor="text1"/>
          <w:kern w:val="0"/>
          <w:sz w:val="28"/>
          <w:szCs w:val="28"/>
          <w:highlight w:val="none"/>
          <w:lang w:val="en-US" w:eastAsia="zh-CN" w:bidi="ar-SA"/>
          <w14:textFill>
            <w14:solidFill>
              <w14:schemeClr w14:val="tx1"/>
            </w14:solidFill>
          </w14:textFill>
        </w:rPr>
      </w:pPr>
      <w:r>
        <w:rPr>
          <w:rFonts w:hint="eastAsia" w:ascii="仿宋_GB2312" w:hAnsi="仿宋_GB2312" w:eastAsia="仿宋_GB2312" w:cs="仿宋_GB2312"/>
          <w:b w:val="0"/>
          <w:snapToGrid w:val="0"/>
          <w:color w:val="000000" w:themeColor="text1"/>
          <w:kern w:val="0"/>
          <w:sz w:val="28"/>
          <w:szCs w:val="28"/>
          <w:highlight w:val="none"/>
          <w:lang w:val="en-US" w:eastAsia="zh-CN" w:bidi="ar-SA"/>
          <w14:textFill>
            <w14:solidFill>
              <w14:schemeClr w14:val="tx1"/>
            </w14:solidFill>
          </w14:textFill>
        </w:rPr>
        <w:t>表3-3 风险因素因子对不同土地利用类型的影响程度分析</w:t>
      </w:r>
    </w:p>
    <w:tbl>
      <w:tblPr>
        <w:tblStyle w:val="9"/>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9"/>
        <w:gridCol w:w="3892"/>
        <w:gridCol w:w="2268"/>
      </w:tblGrid>
      <w:tr w14:paraId="7B571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noWrap w:val="0"/>
            <w:vAlign w:val="center"/>
          </w:tcPr>
          <w:p w14:paraId="5355725A">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风险因素</w:t>
            </w:r>
          </w:p>
        </w:tc>
        <w:tc>
          <w:tcPr>
            <w:tcW w:w="2284" w:type="pct"/>
            <w:noWrap w:val="0"/>
            <w:vAlign w:val="center"/>
          </w:tcPr>
          <w:p w14:paraId="223D972E">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风险因子</w:t>
            </w:r>
          </w:p>
        </w:tc>
        <w:tc>
          <w:tcPr>
            <w:tcW w:w="1331" w:type="pct"/>
            <w:noWrap w:val="0"/>
            <w:vAlign w:val="center"/>
          </w:tcPr>
          <w:p w14:paraId="0556CBDC">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lang w:val="en-US" w:eastAsia="zh-CN"/>
                <w14:textFill>
                  <w14:solidFill>
                    <w14:schemeClr w14:val="tx1"/>
                  </w14:solidFill>
                </w14:textFill>
              </w:rPr>
              <w:t>工业</w:t>
            </w:r>
            <w:r>
              <w:rPr>
                <w:rFonts w:hint="eastAsia" w:ascii="仿宋" w:hAnsi="仿宋" w:eastAsia="仿宋"/>
                <w:color w:val="000000" w:themeColor="text1"/>
                <w:szCs w:val="21"/>
                <w:highlight w:val="none"/>
                <w14:textFill>
                  <w14:solidFill>
                    <w14:schemeClr w14:val="tx1"/>
                  </w14:solidFill>
                </w14:textFill>
              </w:rPr>
              <w:t>用地</w:t>
            </w:r>
          </w:p>
        </w:tc>
      </w:tr>
      <w:tr w14:paraId="7B60D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restart"/>
            <w:noWrap w:val="0"/>
            <w:vAlign w:val="center"/>
          </w:tcPr>
          <w:p w14:paraId="64AF9BFF">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政策风险</w:t>
            </w:r>
          </w:p>
        </w:tc>
        <w:tc>
          <w:tcPr>
            <w:tcW w:w="2284" w:type="pct"/>
            <w:noWrap w:val="0"/>
            <w:vAlign w:val="center"/>
          </w:tcPr>
          <w:p w14:paraId="5AF53C1D">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产业政策</w:t>
            </w:r>
          </w:p>
        </w:tc>
        <w:tc>
          <w:tcPr>
            <w:tcW w:w="1331" w:type="pct"/>
            <w:noWrap w:val="0"/>
            <w:vAlign w:val="center"/>
          </w:tcPr>
          <w:p w14:paraId="13A4D5EB">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A</w:t>
            </w:r>
          </w:p>
        </w:tc>
      </w:tr>
      <w:tr w14:paraId="4D9E2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continue"/>
            <w:noWrap w:val="0"/>
            <w:vAlign w:val="center"/>
          </w:tcPr>
          <w:p w14:paraId="13A46147">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noWrap w:val="0"/>
            <w:vAlign w:val="center"/>
          </w:tcPr>
          <w:p w14:paraId="6AF2E7A0">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土地使用制度改革</w:t>
            </w:r>
          </w:p>
        </w:tc>
        <w:tc>
          <w:tcPr>
            <w:tcW w:w="1331" w:type="pct"/>
            <w:noWrap w:val="0"/>
            <w:vAlign w:val="center"/>
          </w:tcPr>
          <w:p w14:paraId="4183A5D4">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C</w:t>
            </w:r>
          </w:p>
        </w:tc>
      </w:tr>
      <w:tr w14:paraId="33817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continue"/>
            <w:noWrap w:val="0"/>
            <w:vAlign w:val="center"/>
          </w:tcPr>
          <w:p w14:paraId="08200AC8">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noWrap w:val="0"/>
            <w:vAlign w:val="center"/>
          </w:tcPr>
          <w:p w14:paraId="40F7E529">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住房制度</w:t>
            </w:r>
          </w:p>
        </w:tc>
        <w:tc>
          <w:tcPr>
            <w:tcW w:w="1331" w:type="pct"/>
            <w:noWrap w:val="0"/>
            <w:vAlign w:val="center"/>
          </w:tcPr>
          <w:p w14:paraId="2AD2B1EB">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B</w:t>
            </w:r>
          </w:p>
        </w:tc>
      </w:tr>
      <w:tr w14:paraId="1897A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continue"/>
            <w:noWrap w:val="0"/>
            <w:vAlign w:val="center"/>
          </w:tcPr>
          <w:p w14:paraId="2EE84066">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noWrap w:val="0"/>
            <w:vAlign w:val="center"/>
          </w:tcPr>
          <w:p w14:paraId="29BE88CD">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环保变化</w:t>
            </w:r>
          </w:p>
        </w:tc>
        <w:tc>
          <w:tcPr>
            <w:tcW w:w="1331" w:type="pct"/>
            <w:noWrap w:val="0"/>
            <w:vAlign w:val="center"/>
          </w:tcPr>
          <w:p w14:paraId="035CA1AB">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B</w:t>
            </w:r>
          </w:p>
        </w:tc>
      </w:tr>
      <w:tr w14:paraId="03B3C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restart"/>
            <w:noWrap w:val="0"/>
            <w:vAlign w:val="center"/>
          </w:tcPr>
          <w:p w14:paraId="0D2AD461">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经济风险</w:t>
            </w:r>
          </w:p>
        </w:tc>
        <w:tc>
          <w:tcPr>
            <w:tcW w:w="2284" w:type="pct"/>
            <w:noWrap w:val="0"/>
            <w:vAlign w:val="center"/>
          </w:tcPr>
          <w:p w14:paraId="3429C2CC">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市场供求</w:t>
            </w:r>
          </w:p>
        </w:tc>
        <w:tc>
          <w:tcPr>
            <w:tcW w:w="1331" w:type="pct"/>
            <w:noWrap w:val="0"/>
            <w:vAlign w:val="center"/>
          </w:tcPr>
          <w:p w14:paraId="4B19E274">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A</w:t>
            </w:r>
          </w:p>
        </w:tc>
      </w:tr>
      <w:tr w14:paraId="68E98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continue"/>
            <w:noWrap w:val="0"/>
            <w:vAlign w:val="center"/>
          </w:tcPr>
          <w:p w14:paraId="0EECAC95">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noWrap w:val="0"/>
            <w:vAlign w:val="center"/>
          </w:tcPr>
          <w:p w14:paraId="33F9A6A3">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财务风险</w:t>
            </w:r>
          </w:p>
        </w:tc>
        <w:tc>
          <w:tcPr>
            <w:tcW w:w="1331" w:type="pct"/>
            <w:noWrap w:val="0"/>
            <w:vAlign w:val="center"/>
          </w:tcPr>
          <w:p w14:paraId="470A4D13">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B</w:t>
            </w:r>
          </w:p>
        </w:tc>
      </w:tr>
      <w:tr w14:paraId="346E8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continue"/>
            <w:noWrap w:val="0"/>
            <w:vAlign w:val="center"/>
          </w:tcPr>
          <w:p w14:paraId="0811EF34">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noWrap w:val="0"/>
            <w:vAlign w:val="center"/>
          </w:tcPr>
          <w:p w14:paraId="53B5EE20">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管理风险</w:t>
            </w:r>
          </w:p>
        </w:tc>
        <w:tc>
          <w:tcPr>
            <w:tcW w:w="1331" w:type="pct"/>
            <w:noWrap w:val="0"/>
            <w:vAlign w:val="center"/>
          </w:tcPr>
          <w:p w14:paraId="3EFA2054">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A</w:t>
            </w:r>
          </w:p>
        </w:tc>
      </w:tr>
      <w:tr w14:paraId="64598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continue"/>
            <w:noWrap w:val="0"/>
            <w:vAlign w:val="center"/>
          </w:tcPr>
          <w:p w14:paraId="206B495D">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noWrap w:val="0"/>
            <w:vAlign w:val="center"/>
          </w:tcPr>
          <w:p w14:paraId="4104347F">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当地经济发展</w:t>
            </w:r>
          </w:p>
        </w:tc>
        <w:tc>
          <w:tcPr>
            <w:tcW w:w="1331" w:type="pct"/>
            <w:noWrap w:val="0"/>
            <w:vAlign w:val="center"/>
          </w:tcPr>
          <w:p w14:paraId="03675182">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B</w:t>
            </w:r>
          </w:p>
        </w:tc>
      </w:tr>
      <w:tr w14:paraId="0827D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restart"/>
            <w:noWrap w:val="0"/>
            <w:vAlign w:val="center"/>
          </w:tcPr>
          <w:p w14:paraId="04354B09">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社会风险</w:t>
            </w:r>
          </w:p>
        </w:tc>
        <w:tc>
          <w:tcPr>
            <w:tcW w:w="2284" w:type="pct"/>
            <w:noWrap w:val="0"/>
            <w:vAlign w:val="center"/>
          </w:tcPr>
          <w:p w14:paraId="490950CC">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城市规划</w:t>
            </w:r>
          </w:p>
        </w:tc>
        <w:tc>
          <w:tcPr>
            <w:tcW w:w="1331" w:type="pct"/>
            <w:noWrap w:val="0"/>
            <w:vAlign w:val="center"/>
          </w:tcPr>
          <w:p w14:paraId="40F441BC">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A</w:t>
            </w:r>
          </w:p>
        </w:tc>
      </w:tr>
      <w:tr w14:paraId="0CF58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continue"/>
            <w:noWrap w:val="0"/>
            <w:vAlign w:val="center"/>
          </w:tcPr>
          <w:p w14:paraId="6D356247">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noWrap w:val="0"/>
            <w:vAlign w:val="center"/>
          </w:tcPr>
          <w:p w14:paraId="5C00021A">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区域发展</w:t>
            </w:r>
          </w:p>
        </w:tc>
        <w:tc>
          <w:tcPr>
            <w:tcW w:w="1331" w:type="pct"/>
            <w:noWrap w:val="0"/>
            <w:vAlign w:val="center"/>
          </w:tcPr>
          <w:p w14:paraId="6AC202E8">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A</w:t>
            </w:r>
          </w:p>
        </w:tc>
      </w:tr>
      <w:tr w14:paraId="64EF3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continue"/>
            <w:noWrap w:val="0"/>
            <w:vAlign w:val="center"/>
          </w:tcPr>
          <w:p w14:paraId="6A427C4A">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noWrap w:val="0"/>
            <w:vAlign w:val="center"/>
          </w:tcPr>
          <w:p w14:paraId="68BE5997">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治安</w:t>
            </w:r>
          </w:p>
        </w:tc>
        <w:tc>
          <w:tcPr>
            <w:tcW w:w="1331" w:type="pct"/>
            <w:noWrap w:val="0"/>
            <w:vAlign w:val="center"/>
          </w:tcPr>
          <w:p w14:paraId="43E4DD5E">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A</w:t>
            </w:r>
          </w:p>
        </w:tc>
      </w:tr>
    </w:tbl>
    <w:p w14:paraId="509E1C1C">
      <w:pPr>
        <w:spacing w:line="480" w:lineRule="exact" w:before="0" w:after="0"/>
        <w:ind w:firstLine="600" w:firstLineChars="250"/>
        <w:rPr>
          <w:rFonts w:hint="eastAsia" w:ascii="仿宋" w:hAnsi="仿宋" w:eastAsia="仿宋"/>
          <w:color w:val="000000" w:themeColor="text1"/>
          <w:sz w:val="24"/>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注：A最严重；B较严重；C不严重；D无影响</w:t>
      </w:r>
    </w:p>
    <w:p w14:paraId="6AC84F1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②风险因素因子权重值的确定</w:t>
      </w:r>
    </w:p>
    <w:p w14:paraId="14A15A5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 w:hAnsi="仿宋" w:eastAsia="仿宋"/>
          <w:color w:val="000000" w:themeColor="text1"/>
          <w:sz w:val="28"/>
          <w:szCs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由于各种风险因素对用地的影响程度不同，需要选用风险因素因子权重来量化各种风险因素对用地的影响程度。因此，采用特尔斐法确定各风险因素因子的权重值。道县地产投资风险因素、因子及权重值见下表。</w:t>
      </w:r>
    </w:p>
    <w:p w14:paraId="77CEFCC7">
      <w:pPr>
        <w:keepNext/>
        <w:spacing w:before="157" w:after="10" w:line="480" w:lineRule="exact"/>
        <w:ind w:left="0" w:right="0" w:firstLine="0"/>
        <w:jc w:val="center"/>
        <w:rPr>
          <w:rFonts w:hint="eastAsia" w:ascii="仿宋" w:hAnsi="仿宋" w:eastAsia="仿宋" w:cs="仿宋"/>
          <w:snapToGrid w:val="0"/>
          <w:color w:val="000000" w:themeColor="text1"/>
          <w:kern w:val="0"/>
          <w:sz w:val="28"/>
          <w:szCs w:val="28"/>
          <w:highlight w:val="none"/>
          <w:lang w:val="en-US" w:eastAsia="zh-CN" w:bidi="ar-SA"/>
          <w14:textFill>
            <w14:solidFill>
              <w14:schemeClr w14:val="tx1"/>
            </w14:solidFill>
          </w14:textFill>
        </w:rPr>
      </w:pPr>
      <w:r>
        <w:rPr>
          <w:rFonts w:hint="eastAsia" w:ascii="仿宋_GB2312" w:hAnsi="仿宋_GB2312" w:eastAsia="仿宋_GB2312" w:cs="仿宋_GB2312"/>
          <w:b w:val="0"/>
          <w:snapToGrid w:val="0"/>
          <w:color w:val="000000" w:themeColor="text1"/>
          <w:kern w:val="0"/>
          <w:sz w:val="28"/>
          <w:szCs w:val="28"/>
          <w:highlight w:val="none"/>
          <w:lang w:val="en-US" w:eastAsia="zh-CN" w:bidi="ar-SA"/>
          <w14:textFill>
            <w14:solidFill>
              <w14:schemeClr w14:val="tx1"/>
            </w14:solidFill>
          </w14:textFill>
        </w:rPr>
        <w:t>表3-4 风险因素、因子权重值</w:t>
      </w:r>
    </w:p>
    <w:tbl>
      <w:tblPr>
        <w:tblStyle w:val="9"/>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1"/>
        <w:gridCol w:w="1617"/>
        <w:gridCol w:w="2911"/>
        <w:gridCol w:w="2230"/>
      </w:tblGrid>
      <w:tr w14:paraId="15088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1033" w:type="pct"/>
            <w:noWrap w:val="0"/>
            <w:vAlign w:val="center"/>
          </w:tcPr>
          <w:p w14:paraId="748E8316">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影响因素</w:t>
            </w:r>
          </w:p>
        </w:tc>
        <w:tc>
          <w:tcPr>
            <w:tcW w:w="949" w:type="pct"/>
            <w:noWrap w:val="0"/>
            <w:vAlign w:val="center"/>
          </w:tcPr>
          <w:p w14:paraId="0B94524F">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权重值</w:t>
            </w:r>
          </w:p>
        </w:tc>
        <w:tc>
          <w:tcPr>
            <w:tcW w:w="1708" w:type="pct"/>
            <w:noWrap w:val="0"/>
            <w:vAlign w:val="center"/>
          </w:tcPr>
          <w:p w14:paraId="25701CFB">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影响因子</w:t>
            </w:r>
          </w:p>
        </w:tc>
        <w:tc>
          <w:tcPr>
            <w:tcW w:w="1308" w:type="pct"/>
            <w:noWrap w:val="0"/>
            <w:vAlign w:val="center"/>
          </w:tcPr>
          <w:p w14:paraId="649C724A">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权重值</w:t>
            </w:r>
          </w:p>
        </w:tc>
      </w:tr>
      <w:tr w14:paraId="3BFCA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1033" w:type="pct"/>
            <w:vMerge w:val="restart"/>
            <w:noWrap w:val="0"/>
            <w:vAlign w:val="center"/>
          </w:tcPr>
          <w:p w14:paraId="0047DB3A">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政策风险</w:t>
            </w:r>
          </w:p>
        </w:tc>
        <w:tc>
          <w:tcPr>
            <w:tcW w:w="949" w:type="pct"/>
            <w:vMerge w:val="restart"/>
            <w:noWrap w:val="0"/>
            <w:vAlign w:val="center"/>
          </w:tcPr>
          <w:p w14:paraId="2E441537">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0.3234</w:t>
            </w:r>
          </w:p>
        </w:tc>
        <w:tc>
          <w:tcPr>
            <w:tcW w:w="1708" w:type="pct"/>
            <w:noWrap w:val="0"/>
            <w:vAlign w:val="center"/>
          </w:tcPr>
          <w:p w14:paraId="3442FA08">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产业政策</w:t>
            </w:r>
          </w:p>
        </w:tc>
        <w:tc>
          <w:tcPr>
            <w:tcW w:w="1308" w:type="pct"/>
            <w:noWrap w:val="0"/>
            <w:vAlign w:val="center"/>
          </w:tcPr>
          <w:p w14:paraId="6C4DD7A5">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0.2957</w:t>
            </w:r>
          </w:p>
        </w:tc>
      </w:tr>
      <w:tr w14:paraId="5873F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1033" w:type="pct"/>
            <w:vMerge w:val="continue"/>
            <w:noWrap w:val="0"/>
            <w:vAlign w:val="center"/>
          </w:tcPr>
          <w:p w14:paraId="36D268D0">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vMerge w:val="continue"/>
            <w:noWrap w:val="0"/>
            <w:vAlign w:val="center"/>
          </w:tcPr>
          <w:p w14:paraId="712AF12C">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noWrap w:val="0"/>
            <w:vAlign w:val="center"/>
          </w:tcPr>
          <w:p w14:paraId="2538C23E">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土地使用制度改革</w:t>
            </w:r>
          </w:p>
        </w:tc>
        <w:tc>
          <w:tcPr>
            <w:tcW w:w="1308" w:type="pct"/>
            <w:noWrap w:val="0"/>
            <w:vAlign w:val="center"/>
          </w:tcPr>
          <w:p w14:paraId="1774CE8B">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0.2121</w:t>
            </w:r>
          </w:p>
        </w:tc>
      </w:tr>
      <w:tr w14:paraId="004B0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1033" w:type="pct"/>
            <w:vMerge w:val="continue"/>
            <w:noWrap w:val="0"/>
            <w:vAlign w:val="center"/>
          </w:tcPr>
          <w:p w14:paraId="76C6E48E">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vMerge w:val="continue"/>
            <w:noWrap w:val="0"/>
            <w:vAlign w:val="center"/>
          </w:tcPr>
          <w:p w14:paraId="20B243AC">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noWrap w:val="0"/>
            <w:vAlign w:val="center"/>
          </w:tcPr>
          <w:p w14:paraId="2EEF8660">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住房制度</w:t>
            </w:r>
          </w:p>
        </w:tc>
        <w:tc>
          <w:tcPr>
            <w:tcW w:w="1308" w:type="pct"/>
            <w:noWrap w:val="0"/>
            <w:vAlign w:val="center"/>
          </w:tcPr>
          <w:p w14:paraId="344D36DD">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0.2734</w:t>
            </w:r>
          </w:p>
        </w:tc>
      </w:tr>
      <w:tr w14:paraId="039D1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1033" w:type="pct"/>
            <w:vMerge w:val="continue"/>
            <w:noWrap w:val="0"/>
            <w:vAlign w:val="center"/>
          </w:tcPr>
          <w:p w14:paraId="38B70432">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vMerge w:val="continue"/>
            <w:noWrap w:val="0"/>
            <w:vAlign w:val="center"/>
          </w:tcPr>
          <w:p w14:paraId="07879F95">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noWrap w:val="0"/>
            <w:vAlign w:val="center"/>
          </w:tcPr>
          <w:p w14:paraId="3D6EF284">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环保变化</w:t>
            </w:r>
          </w:p>
        </w:tc>
        <w:tc>
          <w:tcPr>
            <w:tcW w:w="1308" w:type="pct"/>
            <w:noWrap w:val="0"/>
            <w:vAlign w:val="center"/>
          </w:tcPr>
          <w:p w14:paraId="5AAEE8D9">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0.2188</w:t>
            </w:r>
          </w:p>
        </w:tc>
      </w:tr>
      <w:tr w14:paraId="6EF59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1033" w:type="pct"/>
            <w:vMerge w:val="restart"/>
            <w:noWrap w:val="0"/>
            <w:vAlign w:val="center"/>
          </w:tcPr>
          <w:p w14:paraId="493E1A02">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经济风险</w:t>
            </w:r>
          </w:p>
        </w:tc>
        <w:tc>
          <w:tcPr>
            <w:tcW w:w="949" w:type="pct"/>
            <w:vMerge w:val="restart"/>
            <w:noWrap w:val="0"/>
            <w:vAlign w:val="center"/>
          </w:tcPr>
          <w:p w14:paraId="1F96B4C9">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0.3922</w:t>
            </w:r>
          </w:p>
        </w:tc>
        <w:tc>
          <w:tcPr>
            <w:tcW w:w="1708" w:type="pct"/>
            <w:noWrap w:val="0"/>
            <w:vAlign w:val="center"/>
          </w:tcPr>
          <w:p w14:paraId="207551FC">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市场供求</w:t>
            </w:r>
          </w:p>
        </w:tc>
        <w:tc>
          <w:tcPr>
            <w:tcW w:w="1308" w:type="pct"/>
            <w:noWrap w:val="0"/>
            <w:vAlign w:val="center"/>
          </w:tcPr>
          <w:p w14:paraId="38CCEE79">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0.3434</w:t>
            </w:r>
          </w:p>
        </w:tc>
      </w:tr>
      <w:tr w14:paraId="4593E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1033" w:type="pct"/>
            <w:vMerge w:val="continue"/>
            <w:noWrap w:val="0"/>
            <w:vAlign w:val="center"/>
          </w:tcPr>
          <w:p w14:paraId="6D5EEDD6">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vMerge w:val="continue"/>
            <w:noWrap w:val="0"/>
            <w:vAlign w:val="center"/>
          </w:tcPr>
          <w:p w14:paraId="3BF654D4">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noWrap w:val="0"/>
            <w:vAlign w:val="center"/>
          </w:tcPr>
          <w:p w14:paraId="09D614CF">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财务风险</w:t>
            </w:r>
          </w:p>
        </w:tc>
        <w:tc>
          <w:tcPr>
            <w:tcW w:w="1308" w:type="pct"/>
            <w:noWrap w:val="0"/>
            <w:vAlign w:val="center"/>
          </w:tcPr>
          <w:p w14:paraId="2E5C4B3C">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0.2119</w:t>
            </w:r>
          </w:p>
        </w:tc>
      </w:tr>
      <w:tr w14:paraId="6BE1D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1033" w:type="pct"/>
            <w:vMerge w:val="continue"/>
            <w:noWrap w:val="0"/>
            <w:vAlign w:val="center"/>
          </w:tcPr>
          <w:p w14:paraId="29668AB3">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vMerge w:val="continue"/>
            <w:noWrap w:val="0"/>
            <w:vAlign w:val="center"/>
          </w:tcPr>
          <w:p w14:paraId="683D347A">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noWrap w:val="0"/>
            <w:vAlign w:val="center"/>
          </w:tcPr>
          <w:p w14:paraId="13E3F47F">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管理风险</w:t>
            </w:r>
          </w:p>
        </w:tc>
        <w:tc>
          <w:tcPr>
            <w:tcW w:w="1308" w:type="pct"/>
            <w:noWrap w:val="0"/>
            <w:vAlign w:val="center"/>
          </w:tcPr>
          <w:p w14:paraId="492420CF">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0.2365</w:t>
            </w:r>
          </w:p>
        </w:tc>
      </w:tr>
      <w:tr w14:paraId="20A47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1033" w:type="pct"/>
            <w:vMerge w:val="continue"/>
            <w:noWrap w:val="0"/>
            <w:vAlign w:val="center"/>
          </w:tcPr>
          <w:p w14:paraId="31AB4AA2">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vMerge w:val="continue"/>
            <w:noWrap w:val="0"/>
            <w:vAlign w:val="center"/>
          </w:tcPr>
          <w:p w14:paraId="61D9ACE6">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noWrap w:val="0"/>
            <w:vAlign w:val="center"/>
          </w:tcPr>
          <w:p w14:paraId="54C3BEE8">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当地经济发展</w:t>
            </w:r>
          </w:p>
        </w:tc>
        <w:tc>
          <w:tcPr>
            <w:tcW w:w="1308" w:type="pct"/>
            <w:noWrap w:val="0"/>
            <w:vAlign w:val="center"/>
          </w:tcPr>
          <w:p w14:paraId="18C0A46C">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0.2082</w:t>
            </w:r>
          </w:p>
        </w:tc>
      </w:tr>
      <w:tr w14:paraId="3651F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1033" w:type="pct"/>
            <w:vMerge w:val="restart"/>
            <w:noWrap w:val="0"/>
            <w:vAlign w:val="center"/>
          </w:tcPr>
          <w:p w14:paraId="6F8B77A7">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社会风险</w:t>
            </w:r>
          </w:p>
        </w:tc>
        <w:tc>
          <w:tcPr>
            <w:tcW w:w="949" w:type="pct"/>
            <w:vMerge w:val="restart"/>
            <w:noWrap w:val="0"/>
            <w:vAlign w:val="center"/>
          </w:tcPr>
          <w:p w14:paraId="7FD43734">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0.2844</w:t>
            </w:r>
          </w:p>
        </w:tc>
        <w:tc>
          <w:tcPr>
            <w:tcW w:w="1708" w:type="pct"/>
            <w:noWrap w:val="0"/>
            <w:vAlign w:val="center"/>
          </w:tcPr>
          <w:p w14:paraId="655F35C2">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城市规划</w:t>
            </w:r>
          </w:p>
        </w:tc>
        <w:tc>
          <w:tcPr>
            <w:tcW w:w="1308" w:type="pct"/>
            <w:noWrap w:val="0"/>
            <w:vAlign w:val="center"/>
          </w:tcPr>
          <w:p w14:paraId="4636214F">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0.3762</w:t>
            </w:r>
          </w:p>
        </w:tc>
      </w:tr>
      <w:tr w14:paraId="7D0FA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1033" w:type="pct"/>
            <w:vMerge w:val="continue"/>
            <w:noWrap w:val="0"/>
            <w:vAlign w:val="center"/>
          </w:tcPr>
          <w:p w14:paraId="75411145">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vMerge w:val="continue"/>
            <w:noWrap w:val="0"/>
            <w:vAlign w:val="center"/>
          </w:tcPr>
          <w:p w14:paraId="373757C1">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noWrap w:val="0"/>
            <w:vAlign w:val="center"/>
          </w:tcPr>
          <w:p w14:paraId="267213B7">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区域发展</w:t>
            </w:r>
          </w:p>
        </w:tc>
        <w:tc>
          <w:tcPr>
            <w:tcW w:w="1308" w:type="pct"/>
            <w:noWrap w:val="0"/>
            <w:vAlign w:val="center"/>
          </w:tcPr>
          <w:p w14:paraId="241442BA">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0.3113</w:t>
            </w:r>
          </w:p>
        </w:tc>
      </w:tr>
      <w:tr w14:paraId="2F897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jc w:val="center"/>
        </w:trPr>
        <w:tc>
          <w:tcPr>
            <w:tcW w:w="1033" w:type="pct"/>
            <w:vMerge w:val="continue"/>
            <w:noWrap w:val="0"/>
            <w:vAlign w:val="center"/>
          </w:tcPr>
          <w:p w14:paraId="4143324D">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vMerge w:val="continue"/>
            <w:noWrap w:val="0"/>
            <w:vAlign w:val="center"/>
          </w:tcPr>
          <w:p w14:paraId="1ADDB8A8">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noWrap w:val="0"/>
            <w:vAlign w:val="center"/>
          </w:tcPr>
          <w:p w14:paraId="57B7595E">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治安</w:t>
            </w:r>
          </w:p>
        </w:tc>
        <w:tc>
          <w:tcPr>
            <w:tcW w:w="1308" w:type="pct"/>
            <w:noWrap w:val="0"/>
            <w:vAlign w:val="center"/>
          </w:tcPr>
          <w:p w14:paraId="5602C219">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0.3125</w:t>
            </w:r>
          </w:p>
        </w:tc>
      </w:tr>
    </w:tbl>
    <w:p w14:paraId="6221BD3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③风险调整值的确定</w:t>
      </w:r>
    </w:p>
    <w:p w14:paraId="5FB3484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 w:hAnsi="仿宋" w:eastAsia="仿宋"/>
          <w:color w:val="000000" w:themeColor="text1"/>
          <w:sz w:val="28"/>
          <w:szCs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风险调整值的大小由市场风险因素因子对土地市场的影响程度决定，本次评估将对市场风险影响程度赋值，即：风险因素对土地市场无影响时，风险调整值为0；风险因素对土地市场影响不严重时，风险调整值为2%；风险因素对土地市场影响较严重时，风险调整值为4%；风险因素对土地市场影响最严重时，风险调整值为6%。</w:t>
      </w:r>
    </w:p>
    <w:p w14:paraId="4EBE8394">
      <w:pPr>
        <w:keepNext/>
        <w:spacing w:before="157" w:after="10" w:line="480" w:lineRule="exact"/>
        <w:ind w:left="0" w:right="0" w:firstLine="0"/>
        <w:jc w:val="center"/>
        <w:rPr>
          <w:rFonts w:hint="eastAsia" w:ascii="仿宋" w:hAnsi="仿宋" w:eastAsia="仿宋" w:cs="仿宋"/>
          <w:snapToGrid w:val="0"/>
          <w:color w:val="000000" w:themeColor="text1"/>
          <w:kern w:val="0"/>
          <w:sz w:val="28"/>
          <w:szCs w:val="28"/>
          <w:highlight w:val="none"/>
          <w:lang w:val="en-US" w:eastAsia="zh-CN" w:bidi="ar-SA"/>
          <w14:textFill>
            <w14:solidFill>
              <w14:schemeClr w14:val="tx1"/>
            </w14:solidFill>
          </w14:textFill>
        </w:rPr>
      </w:pPr>
      <w:r>
        <w:rPr>
          <w:rFonts w:hint="eastAsia" w:ascii="仿宋_GB2312" w:hAnsi="仿宋_GB2312" w:eastAsia="仿宋_GB2312" w:cs="仿宋_GB2312"/>
          <w:b w:val="0"/>
          <w:snapToGrid w:val="0"/>
          <w:color w:val="000000" w:themeColor="text1"/>
          <w:kern w:val="0"/>
          <w:sz w:val="28"/>
          <w:szCs w:val="28"/>
          <w:highlight w:val="none"/>
          <w:lang w:val="en-US" w:eastAsia="zh-CN" w:bidi="ar-SA"/>
          <w14:textFill>
            <w14:solidFill>
              <w14:schemeClr w14:val="tx1"/>
            </w14:solidFill>
          </w14:textFill>
        </w:rPr>
        <w:t>表3-5 风险调整值赋值表</w:t>
      </w:r>
    </w:p>
    <w:tbl>
      <w:tblPr>
        <w:tblStyle w:val="9"/>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760"/>
        <w:gridCol w:w="1611"/>
        <w:gridCol w:w="1716"/>
        <w:gridCol w:w="1717"/>
        <w:gridCol w:w="1718"/>
      </w:tblGrid>
      <w:tr w14:paraId="5AE4D8B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258" w:hRule="atLeast"/>
          <w:jc w:val="center"/>
        </w:trPr>
        <w:tc>
          <w:tcPr>
            <w:tcW w:w="1993" w:type="dxa"/>
            <w:noWrap w:val="0"/>
            <w:vAlign w:val="center"/>
          </w:tcPr>
          <w:p w14:paraId="6A8DC8C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pacing w:val="-20"/>
                <w:sz w:val="18"/>
                <w:szCs w:val="18"/>
                <w:highlight w:val="none"/>
                <w14:textFill>
                  <w14:solidFill>
                    <w14:schemeClr w14:val="tx1"/>
                  </w14:solidFill>
                </w14:textFill>
              </w:rPr>
            </w:pPr>
            <w:r>
              <w:rPr>
                <w:rFonts w:hint="eastAsia" w:ascii="仿宋" w:hAnsi="仿宋" w:eastAsia="仿宋"/>
                <w:color w:val="000000" w:themeColor="text1"/>
                <w:spacing w:val="-20"/>
                <w:sz w:val="18"/>
                <w:szCs w:val="18"/>
                <w:highlight w:val="none"/>
                <w14:textFill>
                  <w14:solidFill>
                    <w14:schemeClr w14:val="tx1"/>
                  </w14:solidFill>
                </w14:textFill>
              </w:rPr>
              <w:t>市场风险影响程度</w:t>
            </w:r>
          </w:p>
        </w:tc>
        <w:tc>
          <w:tcPr>
            <w:tcW w:w="1773" w:type="dxa"/>
            <w:noWrap w:val="0"/>
            <w:vAlign w:val="center"/>
          </w:tcPr>
          <w:p w14:paraId="69CC2E7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hint="eastAsia" w:ascii="仿宋" w:hAnsi="仿宋" w:eastAsia="仿宋"/>
                <w:color w:val="000000" w:themeColor="text1"/>
                <w:sz w:val="18"/>
                <w:szCs w:val="18"/>
                <w:highlight w:val="none"/>
                <w14:textFill>
                  <w14:solidFill>
                    <w14:schemeClr w14:val="tx1"/>
                  </w14:solidFill>
                </w14:textFill>
              </w:rPr>
              <w:t>无影响（D）</w:t>
            </w:r>
          </w:p>
        </w:tc>
        <w:tc>
          <w:tcPr>
            <w:tcW w:w="1896" w:type="dxa"/>
            <w:noWrap w:val="0"/>
            <w:vAlign w:val="center"/>
          </w:tcPr>
          <w:p w14:paraId="1A9439A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hint="eastAsia" w:ascii="仿宋" w:hAnsi="仿宋" w:eastAsia="仿宋"/>
                <w:color w:val="000000" w:themeColor="text1"/>
                <w:sz w:val="18"/>
                <w:szCs w:val="18"/>
                <w:highlight w:val="none"/>
                <w14:textFill>
                  <w14:solidFill>
                    <w14:schemeClr w14:val="tx1"/>
                  </w14:solidFill>
                </w14:textFill>
              </w:rPr>
              <w:t>不严重（C）</w:t>
            </w:r>
          </w:p>
        </w:tc>
        <w:tc>
          <w:tcPr>
            <w:tcW w:w="1897" w:type="dxa"/>
            <w:noWrap w:val="0"/>
            <w:vAlign w:val="center"/>
          </w:tcPr>
          <w:p w14:paraId="37F29FD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hint="eastAsia" w:ascii="仿宋" w:hAnsi="仿宋" w:eastAsia="仿宋"/>
                <w:color w:val="000000" w:themeColor="text1"/>
                <w:sz w:val="18"/>
                <w:szCs w:val="18"/>
                <w:highlight w:val="none"/>
                <w14:textFill>
                  <w14:solidFill>
                    <w14:schemeClr w14:val="tx1"/>
                  </w14:solidFill>
                </w14:textFill>
              </w:rPr>
              <w:t>较严重（B）</w:t>
            </w:r>
          </w:p>
        </w:tc>
        <w:tc>
          <w:tcPr>
            <w:tcW w:w="1897" w:type="dxa"/>
            <w:noWrap w:val="0"/>
            <w:vAlign w:val="center"/>
          </w:tcPr>
          <w:p w14:paraId="1FE0A5C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hint="eastAsia" w:ascii="仿宋" w:hAnsi="仿宋" w:eastAsia="仿宋"/>
                <w:color w:val="000000" w:themeColor="text1"/>
                <w:sz w:val="18"/>
                <w:szCs w:val="18"/>
                <w:highlight w:val="none"/>
                <w14:textFill>
                  <w14:solidFill>
                    <w14:schemeClr w14:val="tx1"/>
                  </w14:solidFill>
                </w14:textFill>
              </w:rPr>
              <w:t>最严重（A）</w:t>
            </w:r>
          </w:p>
        </w:tc>
      </w:tr>
      <w:tr w14:paraId="1047B92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267" w:hRule="atLeast"/>
          <w:jc w:val="center"/>
        </w:trPr>
        <w:tc>
          <w:tcPr>
            <w:tcW w:w="1993" w:type="dxa"/>
            <w:noWrap w:val="0"/>
            <w:vAlign w:val="center"/>
          </w:tcPr>
          <w:p w14:paraId="12AA430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hint="eastAsia" w:ascii="仿宋" w:hAnsi="仿宋" w:eastAsia="仿宋"/>
                <w:color w:val="000000" w:themeColor="text1"/>
                <w:sz w:val="18"/>
                <w:szCs w:val="18"/>
                <w:highlight w:val="none"/>
                <w14:textFill>
                  <w14:solidFill>
                    <w14:schemeClr w14:val="tx1"/>
                  </w14:solidFill>
                </w14:textFill>
              </w:rPr>
              <w:t>风险调整值</w:t>
            </w:r>
          </w:p>
        </w:tc>
        <w:tc>
          <w:tcPr>
            <w:tcW w:w="1773" w:type="dxa"/>
            <w:noWrap w:val="0"/>
            <w:vAlign w:val="center"/>
          </w:tcPr>
          <w:p w14:paraId="24A12CF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hint="eastAsia" w:ascii="仿宋" w:hAnsi="仿宋" w:eastAsia="仿宋"/>
                <w:color w:val="000000" w:themeColor="text1"/>
                <w:sz w:val="18"/>
                <w:szCs w:val="18"/>
                <w:highlight w:val="none"/>
                <w14:textFill>
                  <w14:solidFill>
                    <w14:schemeClr w14:val="tx1"/>
                  </w14:solidFill>
                </w14:textFill>
              </w:rPr>
              <w:t>0</w:t>
            </w:r>
          </w:p>
        </w:tc>
        <w:tc>
          <w:tcPr>
            <w:tcW w:w="1896" w:type="dxa"/>
            <w:noWrap w:val="0"/>
            <w:vAlign w:val="center"/>
          </w:tcPr>
          <w:p w14:paraId="026CD5E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ascii="仿宋" w:hAnsi="仿宋" w:eastAsia="仿宋"/>
                <w:color w:val="000000" w:themeColor="text1"/>
                <w:sz w:val="18"/>
                <w:szCs w:val="18"/>
                <w:highlight w:val="none"/>
                <w14:textFill>
                  <w14:solidFill>
                    <w14:schemeClr w14:val="tx1"/>
                  </w14:solidFill>
                </w14:textFill>
              </w:rPr>
              <w:t>2%</w:t>
            </w:r>
          </w:p>
        </w:tc>
        <w:tc>
          <w:tcPr>
            <w:tcW w:w="1897" w:type="dxa"/>
            <w:noWrap w:val="0"/>
            <w:vAlign w:val="center"/>
          </w:tcPr>
          <w:p w14:paraId="0675095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ascii="仿宋" w:hAnsi="仿宋" w:eastAsia="仿宋"/>
                <w:color w:val="000000" w:themeColor="text1"/>
                <w:sz w:val="18"/>
                <w:szCs w:val="18"/>
                <w:highlight w:val="none"/>
                <w14:textFill>
                  <w14:solidFill>
                    <w14:schemeClr w14:val="tx1"/>
                  </w14:solidFill>
                </w14:textFill>
              </w:rPr>
              <w:t>4%</w:t>
            </w:r>
          </w:p>
        </w:tc>
        <w:tc>
          <w:tcPr>
            <w:tcW w:w="1897" w:type="dxa"/>
            <w:noWrap w:val="0"/>
            <w:vAlign w:val="center"/>
          </w:tcPr>
          <w:p w14:paraId="2B8131E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ascii="仿宋" w:hAnsi="仿宋" w:eastAsia="仿宋"/>
                <w:color w:val="000000" w:themeColor="text1"/>
                <w:sz w:val="18"/>
                <w:szCs w:val="18"/>
                <w:highlight w:val="none"/>
                <w14:textFill>
                  <w14:solidFill>
                    <w14:schemeClr w14:val="tx1"/>
                  </w14:solidFill>
                </w14:textFill>
              </w:rPr>
              <w:t>8%</w:t>
            </w:r>
          </w:p>
        </w:tc>
      </w:tr>
    </w:tbl>
    <w:p w14:paraId="3904894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 w:hAnsi="仿宋" w:eastAsia="仿宋"/>
          <w:color w:val="000000" w:themeColor="text1"/>
          <w:sz w:val="28"/>
          <w:szCs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根据风险调整值赋值与道县风险因素、因子权重值，确定的道县风险调整值结果见下表。</w:t>
      </w:r>
    </w:p>
    <w:p w14:paraId="43385650">
      <w:pPr>
        <w:keepNext/>
        <w:spacing w:line="480" w:lineRule="exact" w:before="157" w:after="10"/>
        <w:ind w:firstLineChars="200" w:left="0" w:right="0" w:firstLine="0"/>
        <w:jc w:val="center"/>
        <w:rPr>
          <w:rFonts w:hint="eastAsia" w:ascii="仿宋" w:hAnsi="仿宋" w:eastAsia="仿宋"/>
          <w:color w:val="000000" w:themeColor="text1"/>
          <w:sz w:val="24"/>
          <w:highlight w:val="none"/>
          <w14:textFill>
            <w14:solidFill>
              <w14:schemeClr w14:val="tx1"/>
            </w14:solidFill>
          </w14:textFill>
        </w:rPr>
      </w:pPr>
      <w:r>
        <w:rPr>
          <w:rFonts w:hint="eastAsia" w:ascii="仿宋_GB2312" w:hAnsi="仿宋_GB2312" w:eastAsia="仿宋_GB2312" w:cs="仿宋_GB2312"/>
          <w:b w:val="0"/>
          <w:snapToGrid w:val="0"/>
          <w:color w:val="000000" w:themeColor="text1"/>
          <w:kern w:val="0"/>
          <w:sz w:val="28"/>
          <w:szCs w:val="28"/>
          <w:highlight w:val="none"/>
          <w:lang w:val="en-US" w:eastAsia="zh-CN" w:bidi="ar-SA"/>
          <w14:textFill>
            <w14:solidFill>
              <w14:schemeClr w14:val="tx1"/>
            </w14:solidFill>
          </w14:textFill>
        </w:rPr>
        <w:t>表3-6 道县土地市场风险调整值结果</w:t>
      </w:r>
    </w:p>
    <w:tbl>
      <w:tblPr>
        <w:tblStyle w:val="9"/>
        <w:tblW w:w="4999" w:type="pct"/>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2495"/>
        <w:gridCol w:w="6025"/>
      </w:tblGrid>
      <w:tr w14:paraId="10E3A58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243" w:hRule="atLeast"/>
        </w:trPr>
        <w:tc>
          <w:tcPr>
            <w:tcW w:w="1464" w:type="pct"/>
            <w:noWrap w:val="0"/>
            <w:vAlign w:val="center"/>
          </w:tcPr>
          <w:p w14:paraId="69340F59">
            <w:pPr>
              <w:snapToGrid w:val="0"/>
              <w:jc w:val="center"/>
              <w:rPr>
                <w:rFonts w:hint="eastAsia" w:ascii="仿宋" w:hAnsi="仿宋" w:eastAsia="仿宋"/>
                <w:color w:val="000000" w:themeColor="text1"/>
                <w:spacing w:val="-20"/>
                <w:szCs w:val="21"/>
                <w:highlight w:val="none"/>
                <w14:textFill>
                  <w14:solidFill>
                    <w14:schemeClr w14:val="tx1"/>
                  </w14:solidFill>
                </w14:textFill>
              </w:rPr>
            </w:pPr>
            <w:r>
              <w:rPr>
                <w:rFonts w:hint="eastAsia" w:ascii="仿宋" w:hAnsi="仿宋" w:eastAsia="仿宋"/>
                <w:color w:val="000000" w:themeColor="text1"/>
                <w:spacing w:val="-20"/>
                <w:szCs w:val="21"/>
                <w:highlight w:val="none"/>
                <w14:textFill>
                  <w14:solidFill>
                    <w14:schemeClr w14:val="tx1"/>
                  </w14:solidFill>
                </w14:textFill>
              </w:rPr>
              <w:t>土地市场</w:t>
            </w:r>
          </w:p>
        </w:tc>
        <w:tc>
          <w:tcPr>
            <w:tcW w:w="3535" w:type="pct"/>
            <w:noWrap w:val="0"/>
            <w:vAlign w:val="center"/>
          </w:tcPr>
          <w:p w14:paraId="28FC1F2D">
            <w:pPr>
              <w:snapToGrid w:val="0"/>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lang w:val="en-US" w:eastAsia="zh-CN"/>
                <w14:textFill>
                  <w14:solidFill>
                    <w14:schemeClr w14:val="tx1"/>
                  </w14:solidFill>
                </w14:textFill>
              </w:rPr>
              <w:t>工业</w:t>
            </w:r>
            <w:r>
              <w:rPr>
                <w:rFonts w:hint="eastAsia" w:ascii="仿宋" w:hAnsi="仿宋" w:eastAsia="仿宋"/>
                <w:color w:val="000000" w:themeColor="text1"/>
                <w:szCs w:val="21"/>
                <w:highlight w:val="none"/>
                <w14:textFill>
                  <w14:solidFill>
                    <w14:schemeClr w14:val="tx1"/>
                  </w14:solidFill>
                </w14:textFill>
              </w:rPr>
              <w:t>用地</w:t>
            </w:r>
          </w:p>
        </w:tc>
      </w:tr>
      <w:tr w14:paraId="5FA8BB0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96" w:hRule="atLeast"/>
        </w:trPr>
        <w:tc>
          <w:tcPr>
            <w:tcW w:w="1464" w:type="pct"/>
            <w:noWrap w:val="0"/>
            <w:vAlign w:val="center"/>
          </w:tcPr>
          <w:p w14:paraId="34CE9705">
            <w:pPr>
              <w:snapToGrid w:val="0"/>
              <w:jc w:val="center"/>
              <w:rPr>
                <w:rFonts w:hint="eastAsia" w:ascii="仿宋" w:hAnsi="仿宋" w:eastAsia="仿宋"/>
                <w:color w:val="000000" w:themeColor="text1"/>
                <w:spacing w:val="-20"/>
                <w:szCs w:val="21"/>
                <w:highlight w:val="none"/>
                <w14:textFill>
                  <w14:solidFill>
                    <w14:schemeClr w14:val="tx1"/>
                  </w14:solidFill>
                </w14:textFill>
              </w:rPr>
            </w:pPr>
            <w:r>
              <w:rPr>
                <w:rFonts w:hint="eastAsia" w:ascii="仿宋" w:hAnsi="仿宋" w:eastAsia="仿宋"/>
                <w:color w:val="000000" w:themeColor="text1"/>
                <w:spacing w:val="-20"/>
                <w:szCs w:val="21"/>
                <w:highlight w:val="none"/>
                <w14:textFill>
                  <w14:solidFill>
                    <w14:schemeClr w14:val="tx1"/>
                  </w14:solidFill>
                </w14:textFill>
              </w:rPr>
              <w:t>风险调整值</w:t>
            </w:r>
          </w:p>
        </w:tc>
        <w:tc>
          <w:tcPr>
            <w:tcW w:w="3535" w:type="pct"/>
            <w:noWrap w:val="0"/>
            <w:vAlign w:val="center"/>
          </w:tcPr>
          <w:p w14:paraId="512EC383">
            <w:pPr>
              <w:snapToGrid w:val="0"/>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w:t>
            </w:r>
            <w:r>
              <w:rPr>
                <w:rFonts w:ascii="仿宋" w:hAnsi="仿宋" w:eastAsia="仿宋"/>
                <w:color w:val="000000" w:themeColor="text1"/>
                <w:szCs w:val="21"/>
                <w:highlight w:val="none"/>
                <w14:textFill>
                  <w14:solidFill>
                    <w14:schemeClr w14:val="tx1"/>
                  </w14:solidFill>
                </w14:textFill>
              </w:rPr>
              <w:t>3234×</w:t>
            </w:r>
            <w:r>
              <w:rPr>
                <w:rFonts w:hint="eastAsia" w:ascii="仿宋" w:hAnsi="仿宋" w:eastAsia="仿宋"/>
                <w:color w:val="000000" w:themeColor="text1"/>
                <w:szCs w:val="21"/>
                <w:highlight w:val="none"/>
                <w:lang w:val="en-US" w:eastAsia="zh-CN"/>
                <w14:textFill>
                  <w14:solidFill>
                    <w14:schemeClr w14:val="tx1"/>
                  </w14:solidFill>
                </w14:textFill>
              </w:rPr>
              <w:t>3.00</w:t>
            </w:r>
            <w:r>
              <w:rPr>
                <w:rFonts w:ascii="仿宋" w:hAnsi="仿宋" w:eastAsia="仿宋"/>
                <w:color w:val="000000" w:themeColor="text1"/>
                <w:szCs w:val="21"/>
                <w:highlight w:val="none"/>
                <w14:textFill>
                  <w14:solidFill>
                    <w14:schemeClr w14:val="tx1"/>
                  </w14:solidFill>
                </w14:textFill>
              </w:rPr>
              <w:t>%</w:t>
            </w:r>
            <w:r>
              <w:rPr>
                <w:rFonts w:hint="eastAsia" w:ascii="仿宋" w:hAnsi="仿宋" w:eastAsia="仿宋"/>
                <w:color w:val="000000" w:themeColor="text1"/>
                <w:szCs w:val="21"/>
                <w:highlight w:val="none"/>
                <w14:textFill>
                  <w14:solidFill>
                    <w14:schemeClr w14:val="tx1"/>
                  </w14:solidFill>
                </w14:textFill>
              </w:rPr>
              <w:t>＋</w:t>
            </w:r>
            <w:r>
              <w:rPr>
                <w:rFonts w:ascii="仿宋" w:hAnsi="仿宋" w:eastAsia="仿宋"/>
                <w:color w:val="000000" w:themeColor="text1"/>
                <w:szCs w:val="21"/>
                <w:highlight w:val="none"/>
                <w14:textFill>
                  <w14:solidFill>
                    <w14:schemeClr w14:val="tx1"/>
                  </w14:solidFill>
                </w14:textFill>
              </w:rPr>
              <w:t>0.3922×</w:t>
            </w:r>
            <w:r>
              <w:rPr>
                <w:rFonts w:hint="eastAsia" w:ascii="仿宋" w:hAnsi="仿宋" w:eastAsia="仿宋"/>
                <w:color w:val="000000" w:themeColor="text1"/>
                <w:szCs w:val="21"/>
                <w:highlight w:val="none"/>
                <w:lang w:val="en-US" w:eastAsia="zh-CN"/>
                <w14:textFill>
                  <w14:solidFill>
                    <w14:schemeClr w14:val="tx1"/>
                  </w14:solidFill>
                </w14:textFill>
              </w:rPr>
              <w:t>4.00%</w:t>
            </w:r>
            <w:r>
              <w:rPr>
                <w:rFonts w:hint="eastAsia" w:ascii="仿宋" w:hAnsi="仿宋" w:eastAsia="仿宋"/>
                <w:color w:val="000000" w:themeColor="text1"/>
                <w:szCs w:val="21"/>
                <w:highlight w:val="none"/>
                <w14:textFill>
                  <w14:solidFill>
                    <w14:schemeClr w14:val="tx1"/>
                  </w14:solidFill>
                </w14:textFill>
              </w:rPr>
              <w:t>＋0.</w:t>
            </w:r>
            <w:r>
              <w:rPr>
                <w:rFonts w:ascii="仿宋" w:hAnsi="仿宋" w:eastAsia="仿宋"/>
                <w:color w:val="000000" w:themeColor="text1"/>
                <w:szCs w:val="21"/>
                <w:highlight w:val="none"/>
                <w14:textFill>
                  <w14:solidFill>
                    <w14:schemeClr w14:val="tx1"/>
                  </w14:solidFill>
                </w14:textFill>
              </w:rPr>
              <w:t>2844×</w:t>
            </w:r>
            <w:r>
              <w:rPr>
                <w:rFonts w:hint="eastAsia" w:ascii="仿宋" w:hAnsi="仿宋" w:eastAsia="仿宋"/>
                <w:color w:val="000000" w:themeColor="text1"/>
                <w:szCs w:val="21"/>
                <w:highlight w:val="none"/>
                <w:lang w:val="en-US" w:eastAsia="zh-CN"/>
                <w14:textFill>
                  <w14:solidFill>
                    <w14:schemeClr w14:val="tx1"/>
                  </w14:solidFill>
                </w14:textFill>
              </w:rPr>
              <w:t>5</w:t>
            </w:r>
            <w:r>
              <w:rPr>
                <w:rFonts w:ascii="仿宋" w:hAnsi="仿宋" w:eastAsia="仿宋"/>
                <w:color w:val="000000" w:themeColor="text1"/>
                <w:szCs w:val="21"/>
                <w:highlight w:val="none"/>
                <w14:textFill>
                  <w14:solidFill>
                    <w14:schemeClr w14:val="tx1"/>
                  </w14:solidFill>
                </w14:textFill>
              </w:rPr>
              <w:t>%</w:t>
            </w:r>
            <w:r>
              <w:rPr>
                <w:rFonts w:hint="eastAsia" w:ascii="仿宋" w:hAnsi="仿宋" w:eastAsia="仿宋"/>
                <w:color w:val="000000" w:themeColor="text1"/>
                <w:szCs w:val="21"/>
                <w:highlight w:val="none"/>
                <w14:textFill>
                  <w14:solidFill>
                    <w14:schemeClr w14:val="tx1"/>
                  </w14:solidFill>
                </w14:textFill>
              </w:rPr>
              <w:t>＝</w:t>
            </w:r>
            <w:r>
              <w:rPr>
                <w:rFonts w:hint="eastAsia" w:ascii="仿宋" w:hAnsi="仿宋" w:eastAsia="仿宋"/>
                <w:color w:val="000000" w:themeColor="text1"/>
                <w:szCs w:val="21"/>
                <w:highlight w:val="none"/>
                <w:lang w:val="en-US" w:eastAsia="zh-CN"/>
                <w14:textFill>
                  <w14:solidFill>
                    <w14:schemeClr w14:val="tx1"/>
                  </w14:solidFill>
                </w14:textFill>
              </w:rPr>
              <w:t>3.96</w:t>
            </w:r>
            <w:r>
              <w:rPr>
                <w:rFonts w:ascii="仿宋" w:hAnsi="仿宋" w:eastAsia="仿宋"/>
                <w:color w:val="000000" w:themeColor="text1"/>
                <w:szCs w:val="21"/>
                <w:highlight w:val="none"/>
                <w14:textFill>
                  <w14:solidFill>
                    <w14:schemeClr w14:val="tx1"/>
                  </w14:solidFill>
                </w14:textFill>
              </w:rPr>
              <w:t>%</w:t>
            </w:r>
          </w:p>
        </w:tc>
      </w:tr>
    </w:tbl>
    <w:p w14:paraId="61D6513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 w:hAnsi="仿宋" w:eastAsia="仿宋"/>
          <w:color w:val="000000" w:themeColor="text1"/>
          <w:sz w:val="28"/>
          <w:szCs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④还原利率的确定</w:t>
      </w:r>
    </w:p>
    <w:p w14:paraId="7BAC3A4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根据安全利率加风险调整值法确定还原利率的公式，由于前文已经确定了商业用地及住宅用地的还原利率，因此，根据还原利率=安全利率+风险调整值。</w:t>
      </w:r>
    </w:p>
    <w:p w14:paraId="57B736C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default" w:ascii="仿宋" w:hAnsi="仿宋" w:eastAsia="仿宋"/>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工业用地还原利率＝1.4453%＋3.96%≈5.4%</w:t>
      </w:r>
    </w:p>
    <w:p w14:paraId="39F2CF9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lang w:val="en-US"/>
          <w14:textFill>
            <w14:solidFill>
              <w14:schemeClr w14:val="tx1"/>
            </w14:solidFill>
          </w14:textFill>
        </w:rPr>
      </w:pPr>
      <w:r>
        <w:rPr>
          <w:rFonts w:hint="eastAsia" w:ascii="仿宋_GB2312" w:hAnsi="仿宋_GB2312" w:eastAsia="仿宋_GB2312" w:cs="仿宋_GB2312"/>
          <w:bCs/>
          <w:color w:val="000000" w:themeColor="text1"/>
          <w:sz w:val="28"/>
          <w:highlight w:val="none"/>
          <w14:textFill>
            <w14:solidFill>
              <w14:schemeClr w14:val="tx1"/>
            </w14:solidFill>
          </w14:textFill>
        </w:rPr>
        <w:t>估价对象</w:t>
      </w:r>
      <w:r>
        <w:rPr>
          <w:rFonts w:hint="eastAsia" w:ascii="仿宋_GB2312" w:hAnsi="仿宋_GB2312" w:eastAsia="仿宋_GB2312" w:cs="仿宋_GB2312"/>
          <w:bCs/>
          <w:color w:val="000000" w:themeColor="text1"/>
          <w:sz w:val="28"/>
          <w:highlight w:val="none"/>
          <w:lang w:eastAsia="zh-CN"/>
          <w14:textFill>
            <w14:solidFill>
              <w14:schemeClr w14:val="tx1"/>
            </w14:solidFill>
          </w14:textFill>
        </w:rPr>
        <w:t>设定使用年期为</w:t>
      </w: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工业用地30年，土地还原率为5.4%，则年期修正系数=1-（1/（1+5.4%）</w:t>
      </w:r>
      <w:r>
        <w:rPr>
          <w:rFonts w:hint="eastAsia" w:ascii="仿宋_GB2312" w:hAnsi="仿宋_GB2312" w:eastAsia="仿宋_GB2312" w:cs="仿宋_GB2312"/>
          <w:bCs/>
          <w:color w:val="000000" w:themeColor="text1"/>
          <w:sz w:val="28"/>
          <w:highlight w:val="none"/>
          <w:vertAlign w:val="superscript"/>
          <w:lang w:val="en-US" w:eastAsia="zh-CN"/>
          <w14:textFill>
            <w14:solidFill>
              <w14:schemeClr w14:val="tx1"/>
            </w14:solidFill>
          </w14:textFill>
        </w:rPr>
        <w:t>30</w:t>
      </w: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）=0.7936。</w:t>
      </w:r>
    </w:p>
    <w:p w14:paraId="3022FD4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8、区位修正系数</w:t>
      </w:r>
    </w:p>
    <w:p w14:paraId="67D898D9">
      <w:pPr>
        <w:keepNext w:val="0"/>
        <w:keepLines w:val="0"/>
        <w:pageBreakBefore w:val="0"/>
        <w:widowControl w:val="0"/>
        <w:kinsoku/>
        <w:wordWrap/>
        <w:overflowPunct/>
        <w:topLinePunct w:val="0"/>
        <w:autoSpaceDE/>
        <w:autoSpaceDN/>
        <w:bidi w:val="0"/>
        <w:adjustRightInd/>
        <w:snapToGrid w:val="0"/>
        <w:spacing w:line="480" w:lineRule="exact" w:before="0" w:after="0"/>
        <w:ind w:firstLine="560" w:firstLineChars="20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成本逼近法所评估的地价为估价对象所在区域的平均价格，因为宗地所具有的个别属性，所以宗地地价应该根据宗地所在区域内的位置和宗地自身条件，在平均价格的基础上进行个别因素修正。</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根据道县所在区域的特点，参照《城镇土地估价规程》提供的参考因素</w:t>
      </w:r>
      <w:r>
        <w:rPr>
          <w:rFonts w:hint="eastAsia" w:ascii="仿宋_GB2312" w:hAnsi="仿宋_GB2312" w:eastAsia="仿宋_GB2312" w:cs="仿宋_GB2312"/>
          <w:color w:val="000000" w:themeColor="text1"/>
          <w:sz w:val="28"/>
          <w:szCs w:val="28"/>
          <w:highlight w:val="none"/>
          <w14:textFill>
            <w14:solidFill>
              <w14:schemeClr w14:val="tx1"/>
            </w14:solidFill>
          </w14:textFill>
        </w:rPr>
        <w:t>，确定</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道县城区商服用地和住宅用地</w:t>
      </w:r>
      <w:r>
        <w:rPr>
          <w:rFonts w:hint="eastAsia" w:ascii="仿宋_GB2312" w:hAnsi="仿宋_GB2312" w:eastAsia="仿宋_GB2312" w:cs="仿宋_GB2312"/>
          <w:color w:val="000000" w:themeColor="text1"/>
          <w:sz w:val="28"/>
          <w:szCs w:val="28"/>
          <w:highlight w:val="none"/>
          <w14:textFill>
            <w14:solidFill>
              <w14:schemeClr w14:val="tx1"/>
            </w14:solidFill>
          </w14:textFill>
        </w:rPr>
        <w:t>的地价区域影响因素</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选择层次分析法（AHP法），运用yaahp软件进行测算，得到最终修正因素的权重。</w:t>
      </w:r>
      <w:r>
        <w:rPr>
          <w:rFonts w:hint="eastAsia" w:ascii="仿宋_GB2312" w:hAnsi="仿宋_GB2312" w:eastAsia="仿宋_GB2312" w:cs="仿宋_GB2312"/>
          <w:color w:val="000000" w:themeColor="text1"/>
          <w:sz w:val="28"/>
          <w:szCs w:val="28"/>
          <w:highlight w:val="none"/>
          <w14:textFill>
            <w14:solidFill>
              <w14:schemeClr w14:val="tx1"/>
            </w14:solidFill>
          </w14:textFill>
        </w:rPr>
        <w:t>具体如下表所示</w:t>
      </w:r>
      <w:r>
        <w:rPr>
          <w:rFonts w:hint="eastAsia" w:ascii="仿宋_GB2312" w:hAnsi="仿宋_GB2312" w:eastAsia="仿宋_GB2312" w:cs="仿宋_GB2312"/>
          <w:color w:val="000000" w:themeColor="text1"/>
          <w:sz w:val="28"/>
          <w:highlight w:val="none"/>
          <w14:textFill>
            <w14:solidFill>
              <w14:schemeClr w14:val="tx1"/>
            </w14:solidFill>
          </w14:textFill>
        </w:rPr>
        <w:t>。</w:t>
      </w:r>
    </w:p>
    <w:p w14:paraId="0CCB8F6E">
      <w:pPr>
        <w:keepNext/>
        <w:keepLines w:val="0"/>
        <w:pageBreakBefore w:val="0"/>
        <w:widowControl w:val="0"/>
        <w:kinsoku/>
        <w:wordWrap/>
        <w:overflowPunct/>
        <w:topLinePunct w:val="0"/>
        <w:autoSpaceDE/>
        <w:autoSpaceDN/>
        <w:bidi w:val="0"/>
        <w:adjustRightInd/>
        <w:spacing w:line="480" w:lineRule="exact" w:before="157" w:after="10"/>
        <w:ind w:left="0" w:right="0" w:firstLine="0"/>
        <w:jc w:val="center"/>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b w:val="0"/>
          <w:color w:val="000000" w:themeColor="text1"/>
          <w:sz w:val="28"/>
          <w:highlight w:val="none"/>
          <w14:textFill>
            <w14:solidFill>
              <w14:schemeClr w14:val="tx1"/>
            </w14:solidFill>
          </w14:textFill>
        </w:rPr>
        <w:t>表</w:t>
      </w:r>
      <w:r>
        <w:rPr>
          <w:rFonts w:hint="eastAsia" w:ascii="仿宋_GB2312" w:hAnsi="仿宋_GB2312" w:eastAsia="仿宋_GB2312" w:cs="仿宋_GB2312"/>
          <w:b w:val="0"/>
          <w:color w:val="000000" w:themeColor="text1"/>
          <w:sz w:val="28"/>
          <w:highlight w:val="none"/>
          <w:lang w:val="en-US" w:eastAsia="zh-CN"/>
          <w14:textFill>
            <w14:solidFill>
              <w14:schemeClr w14:val="tx1"/>
            </w14:solidFill>
          </w14:textFill>
        </w:rPr>
        <w:t>3-7</w:t>
      </w:r>
      <w:r>
        <w:rPr>
          <w:rFonts w:hint="eastAsia" w:ascii="仿宋_GB2312" w:hAnsi="仿宋_GB2312" w:eastAsia="仿宋_GB2312" w:cs="仿宋_GB2312"/>
          <w:b w:val="0"/>
          <w:color w:val="000000" w:themeColor="text1"/>
          <w:sz w:val="28"/>
          <w:highlight w:val="none"/>
          <w14:textFill>
            <w14:solidFill>
              <w14:schemeClr w14:val="tx1"/>
            </w14:solidFill>
          </w14:textFill>
        </w:rPr>
        <w:t xml:space="preserve"> </w:t>
      </w:r>
      <w:r>
        <w:rPr>
          <w:rFonts w:hint="eastAsia" w:ascii="仿宋_GB2312" w:hAnsi="仿宋_GB2312" w:eastAsia="仿宋_GB2312" w:cs="仿宋_GB2312"/>
          <w:b w:val="0"/>
          <w:color w:val="000000" w:themeColor="text1"/>
          <w:sz w:val="28"/>
          <w:highlight w:val="none"/>
          <w:lang w:val="en-US" w:eastAsia="zh-CN"/>
          <w14:textFill>
            <w14:solidFill>
              <w14:schemeClr w14:val="tx1"/>
            </w14:solidFill>
          </w14:textFill>
        </w:rPr>
        <w:t>道县工业用地</w:t>
      </w:r>
      <w:r>
        <w:rPr>
          <w:rFonts w:hint="eastAsia" w:ascii="仿宋_GB2312" w:hAnsi="仿宋_GB2312" w:eastAsia="仿宋_GB2312" w:cs="仿宋_GB2312"/>
          <w:b w:val="0"/>
          <w:color w:val="000000" w:themeColor="text1"/>
          <w:sz w:val="28"/>
          <w:highlight w:val="none"/>
          <w14:textFill>
            <w14:solidFill>
              <w14:schemeClr w14:val="tx1"/>
            </w14:solidFill>
          </w14:textFill>
        </w:rPr>
        <w:t>宗地地价区域因素修正系数表（%）</w:t>
      </w:r>
    </w:p>
    <w:tbl>
      <w:tblPr>
        <w:tblStyle w:val="9"/>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55"/>
        <w:gridCol w:w="1735"/>
        <w:gridCol w:w="928"/>
        <w:gridCol w:w="953"/>
        <w:gridCol w:w="1015"/>
        <w:gridCol w:w="701"/>
        <w:gridCol w:w="1066"/>
        <w:gridCol w:w="1066"/>
      </w:tblGrid>
      <w:tr w14:paraId="2B186E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0" w:hRule="atLeast"/>
        </w:trPr>
        <w:tc>
          <w:tcPr>
            <w:tcW w:w="619" w:type="pct"/>
            <w:tcBorders>
              <w:top w:val="single" w:color="auto" w:sz="4" w:space="0"/>
              <w:left w:val="single" w:color="auto" w:sz="4" w:space="0"/>
              <w:bottom w:val="single" w:color="auto" w:sz="4" w:space="0"/>
              <w:right w:val="single" w:color="auto" w:sz="4" w:space="0"/>
            </w:tcBorders>
            <w:shd w:val="clear" w:color="auto" w:fill="auto"/>
            <w:vAlign w:val="center"/>
          </w:tcPr>
          <w:p w14:paraId="622E49C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因素</w:t>
            </w: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61ACCCB0">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因子</w:t>
            </w:r>
          </w:p>
        </w:tc>
        <w:tc>
          <w:tcPr>
            <w:tcW w:w="544" w:type="pct"/>
            <w:tcBorders>
              <w:top w:val="single" w:color="auto" w:sz="4" w:space="0"/>
              <w:left w:val="single" w:color="auto" w:sz="4" w:space="0"/>
              <w:bottom w:val="single" w:color="auto" w:sz="4" w:space="0"/>
              <w:right w:val="single" w:color="auto" w:sz="4" w:space="0"/>
            </w:tcBorders>
            <w:shd w:val="clear" w:color="auto" w:fill="auto"/>
            <w:vAlign w:val="center"/>
          </w:tcPr>
          <w:p w14:paraId="53DC31F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权重</w:t>
            </w:r>
          </w:p>
        </w:tc>
        <w:tc>
          <w:tcPr>
            <w:tcW w:w="559" w:type="pct"/>
            <w:tcBorders>
              <w:top w:val="single" w:color="auto" w:sz="4" w:space="0"/>
              <w:left w:val="single" w:color="auto" w:sz="4" w:space="0"/>
              <w:bottom w:val="single" w:color="auto" w:sz="4" w:space="0"/>
              <w:right w:val="single" w:color="auto" w:sz="4" w:space="0"/>
            </w:tcBorders>
            <w:shd w:val="clear" w:color="auto" w:fill="auto"/>
            <w:vAlign w:val="center"/>
          </w:tcPr>
          <w:p w14:paraId="5172F76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优</w:t>
            </w:r>
          </w:p>
        </w:tc>
        <w:tc>
          <w:tcPr>
            <w:tcW w:w="595" w:type="pct"/>
            <w:tcBorders>
              <w:top w:val="single" w:color="auto" w:sz="4" w:space="0"/>
              <w:left w:val="single" w:color="auto" w:sz="4" w:space="0"/>
              <w:bottom w:val="single" w:color="auto" w:sz="4" w:space="0"/>
              <w:right w:val="single" w:color="auto" w:sz="4" w:space="0"/>
            </w:tcBorders>
            <w:shd w:val="clear" w:color="auto" w:fill="auto"/>
            <w:vAlign w:val="center"/>
          </w:tcPr>
          <w:p w14:paraId="71F981F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较优</w:t>
            </w:r>
          </w:p>
        </w:tc>
        <w:tc>
          <w:tcPr>
            <w:tcW w:w="411" w:type="pct"/>
            <w:tcBorders>
              <w:top w:val="single" w:color="auto" w:sz="4" w:space="0"/>
              <w:left w:val="single" w:color="auto" w:sz="4" w:space="0"/>
              <w:bottom w:val="single" w:color="auto" w:sz="4" w:space="0"/>
              <w:right w:val="single" w:color="auto" w:sz="4" w:space="0"/>
            </w:tcBorders>
            <w:shd w:val="clear" w:color="auto" w:fill="auto"/>
            <w:vAlign w:val="center"/>
          </w:tcPr>
          <w:p w14:paraId="632E391E">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一般</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4DD67C4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较劣</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0CEA987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劣</w:t>
            </w:r>
          </w:p>
        </w:tc>
      </w:tr>
      <w:tr w14:paraId="2C5B2D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6" w:hRule="atLeast"/>
        </w:trPr>
        <w:tc>
          <w:tcPr>
            <w:tcW w:w="619"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2F08F0B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交通条件</w:t>
            </w: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007EEFA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距汽车站距离（m）</w:t>
            </w:r>
          </w:p>
        </w:tc>
        <w:tc>
          <w:tcPr>
            <w:tcW w:w="544" w:type="pct"/>
            <w:tcBorders>
              <w:top w:val="single" w:color="auto" w:sz="4" w:space="0"/>
              <w:left w:val="single" w:color="auto" w:sz="4" w:space="0"/>
              <w:bottom w:val="single" w:color="auto" w:sz="4" w:space="0"/>
              <w:right w:val="single" w:color="auto" w:sz="4" w:space="0"/>
            </w:tcBorders>
            <w:shd w:val="clear" w:color="auto" w:fill="auto"/>
            <w:vAlign w:val="center"/>
          </w:tcPr>
          <w:p w14:paraId="007E719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0.122</w:t>
            </w:r>
          </w:p>
        </w:tc>
        <w:tc>
          <w:tcPr>
            <w:tcW w:w="559" w:type="pct"/>
            <w:tcBorders>
              <w:top w:val="single" w:color="auto" w:sz="4" w:space="0"/>
              <w:left w:val="single" w:color="auto" w:sz="4" w:space="0"/>
              <w:bottom w:val="single" w:color="auto" w:sz="4" w:space="0"/>
              <w:right w:val="single" w:color="auto" w:sz="4" w:space="0"/>
            </w:tcBorders>
            <w:shd w:val="clear" w:color="auto" w:fill="auto"/>
            <w:vAlign w:val="center"/>
          </w:tcPr>
          <w:p w14:paraId="0E9AE4BA">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2.2692</w:t>
            </w:r>
          </w:p>
        </w:tc>
        <w:tc>
          <w:tcPr>
            <w:tcW w:w="595" w:type="pct"/>
            <w:tcBorders>
              <w:top w:val="single" w:color="auto" w:sz="4" w:space="0"/>
              <w:left w:val="single" w:color="auto" w:sz="4" w:space="0"/>
              <w:bottom w:val="single" w:color="auto" w:sz="4" w:space="0"/>
              <w:right w:val="single" w:color="auto" w:sz="4" w:space="0"/>
            </w:tcBorders>
            <w:shd w:val="clear" w:color="auto" w:fill="auto"/>
            <w:vAlign w:val="center"/>
          </w:tcPr>
          <w:p w14:paraId="2CC65647">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1.1346</w:t>
            </w:r>
          </w:p>
        </w:tc>
        <w:tc>
          <w:tcPr>
            <w:tcW w:w="411" w:type="pct"/>
            <w:tcBorders>
              <w:top w:val="single" w:color="auto" w:sz="4" w:space="0"/>
              <w:left w:val="single" w:color="auto" w:sz="4" w:space="0"/>
              <w:bottom w:val="single" w:color="auto" w:sz="4" w:space="0"/>
              <w:right w:val="single" w:color="auto" w:sz="4" w:space="0"/>
            </w:tcBorders>
            <w:shd w:val="clear" w:color="auto" w:fill="auto"/>
            <w:vAlign w:val="center"/>
          </w:tcPr>
          <w:p w14:paraId="0FB0F92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2C10DB5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-0.9638</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1254574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-1.9276</w:t>
            </w:r>
          </w:p>
        </w:tc>
      </w:tr>
      <w:tr w14:paraId="68C3EC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6" w:hRule="atLeast"/>
        </w:trPr>
        <w:tc>
          <w:tcPr>
            <w:tcW w:w="619"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A03D32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00477EFF">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临近道路状况</w:t>
            </w:r>
          </w:p>
        </w:tc>
        <w:tc>
          <w:tcPr>
            <w:tcW w:w="544" w:type="pct"/>
            <w:tcBorders>
              <w:top w:val="single" w:color="auto" w:sz="4" w:space="0"/>
              <w:left w:val="single" w:color="auto" w:sz="4" w:space="0"/>
              <w:bottom w:val="single" w:color="auto" w:sz="4" w:space="0"/>
              <w:right w:val="single" w:color="auto" w:sz="4" w:space="0"/>
            </w:tcBorders>
            <w:shd w:val="clear" w:color="auto" w:fill="auto"/>
            <w:vAlign w:val="center"/>
          </w:tcPr>
          <w:p w14:paraId="13888296">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0.225</w:t>
            </w:r>
          </w:p>
        </w:tc>
        <w:tc>
          <w:tcPr>
            <w:tcW w:w="559" w:type="pct"/>
            <w:tcBorders>
              <w:top w:val="single" w:color="auto" w:sz="4" w:space="0"/>
              <w:left w:val="single" w:color="auto" w:sz="4" w:space="0"/>
              <w:bottom w:val="single" w:color="auto" w:sz="4" w:space="0"/>
              <w:right w:val="single" w:color="auto" w:sz="4" w:space="0"/>
            </w:tcBorders>
            <w:shd w:val="clear" w:color="auto" w:fill="auto"/>
            <w:vAlign w:val="center"/>
          </w:tcPr>
          <w:p w14:paraId="3E171F2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4.185</w:t>
            </w:r>
          </w:p>
        </w:tc>
        <w:tc>
          <w:tcPr>
            <w:tcW w:w="595" w:type="pct"/>
            <w:tcBorders>
              <w:top w:val="single" w:color="auto" w:sz="4" w:space="0"/>
              <w:left w:val="single" w:color="auto" w:sz="4" w:space="0"/>
              <w:bottom w:val="single" w:color="auto" w:sz="4" w:space="0"/>
              <w:right w:val="single" w:color="auto" w:sz="4" w:space="0"/>
            </w:tcBorders>
            <w:shd w:val="clear" w:color="auto" w:fill="auto"/>
            <w:vAlign w:val="center"/>
          </w:tcPr>
          <w:p w14:paraId="5B348BF7">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2.0925</w:t>
            </w:r>
          </w:p>
        </w:tc>
        <w:tc>
          <w:tcPr>
            <w:tcW w:w="411" w:type="pct"/>
            <w:tcBorders>
              <w:top w:val="single" w:color="auto" w:sz="4" w:space="0"/>
              <w:left w:val="single" w:color="auto" w:sz="4" w:space="0"/>
              <w:bottom w:val="single" w:color="auto" w:sz="4" w:space="0"/>
              <w:right w:val="single" w:color="auto" w:sz="4" w:space="0"/>
            </w:tcBorders>
            <w:shd w:val="clear" w:color="auto" w:fill="auto"/>
            <w:vAlign w:val="center"/>
          </w:tcPr>
          <w:p w14:paraId="40BCEFB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4139D9B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-1.7775</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22CEEA40">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-3.555</w:t>
            </w:r>
          </w:p>
        </w:tc>
      </w:tr>
      <w:tr w14:paraId="16C9D5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6" w:hRule="atLeast"/>
        </w:trPr>
        <w:tc>
          <w:tcPr>
            <w:tcW w:w="619"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482CCBD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基本设施状况</w:t>
            </w: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2FE6ED7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排给水状况</w:t>
            </w:r>
          </w:p>
        </w:tc>
        <w:tc>
          <w:tcPr>
            <w:tcW w:w="544" w:type="pct"/>
            <w:tcBorders>
              <w:top w:val="single" w:color="auto" w:sz="4" w:space="0"/>
              <w:left w:val="single" w:color="auto" w:sz="4" w:space="0"/>
              <w:bottom w:val="single" w:color="auto" w:sz="4" w:space="0"/>
              <w:right w:val="single" w:color="auto" w:sz="4" w:space="0"/>
            </w:tcBorders>
            <w:shd w:val="clear" w:color="auto" w:fill="auto"/>
            <w:vAlign w:val="center"/>
          </w:tcPr>
          <w:p w14:paraId="7E9AAF52">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0.148</w:t>
            </w:r>
          </w:p>
        </w:tc>
        <w:tc>
          <w:tcPr>
            <w:tcW w:w="559" w:type="pct"/>
            <w:tcBorders>
              <w:top w:val="single" w:color="auto" w:sz="4" w:space="0"/>
              <w:left w:val="single" w:color="auto" w:sz="4" w:space="0"/>
              <w:bottom w:val="single" w:color="auto" w:sz="4" w:space="0"/>
              <w:right w:val="single" w:color="auto" w:sz="4" w:space="0"/>
            </w:tcBorders>
            <w:shd w:val="clear" w:color="auto" w:fill="auto"/>
            <w:vAlign w:val="center"/>
          </w:tcPr>
          <w:p w14:paraId="50F56F7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2.7528</w:t>
            </w:r>
          </w:p>
        </w:tc>
        <w:tc>
          <w:tcPr>
            <w:tcW w:w="595" w:type="pct"/>
            <w:tcBorders>
              <w:top w:val="single" w:color="auto" w:sz="4" w:space="0"/>
              <w:left w:val="single" w:color="auto" w:sz="4" w:space="0"/>
              <w:bottom w:val="single" w:color="auto" w:sz="4" w:space="0"/>
              <w:right w:val="single" w:color="auto" w:sz="4" w:space="0"/>
            </w:tcBorders>
            <w:shd w:val="clear" w:color="auto" w:fill="auto"/>
            <w:vAlign w:val="center"/>
          </w:tcPr>
          <w:p w14:paraId="6399AD92">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1.3764</w:t>
            </w:r>
          </w:p>
        </w:tc>
        <w:tc>
          <w:tcPr>
            <w:tcW w:w="411" w:type="pct"/>
            <w:tcBorders>
              <w:top w:val="single" w:color="auto" w:sz="4" w:space="0"/>
              <w:left w:val="single" w:color="auto" w:sz="4" w:space="0"/>
              <w:bottom w:val="single" w:color="auto" w:sz="4" w:space="0"/>
              <w:right w:val="single" w:color="auto" w:sz="4" w:space="0"/>
            </w:tcBorders>
            <w:shd w:val="clear" w:color="auto" w:fill="auto"/>
            <w:vAlign w:val="center"/>
          </w:tcPr>
          <w:p w14:paraId="4EB0765A">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29BCA83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-1.1692</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0967522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-2.3384</w:t>
            </w:r>
          </w:p>
        </w:tc>
      </w:tr>
      <w:tr w14:paraId="6882CA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0" w:hRule="atLeast"/>
        </w:trPr>
        <w:tc>
          <w:tcPr>
            <w:tcW w:w="619"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0A9473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1A6541D7">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供电状况</w:t>
            </w:r>
          </w:p>
        </w:tc>
        <w:tc>
          <w:tcPr>
            <w:tcW w:w="544" w:type="pct"/>
            <w:tcBorders>
              <w:top w:val="single" w:color="auto" w:sz="4" w:space="0"/>
              <w:left w:val="single" w:color="auto" w:sz="4" w:space="0"/>
              <w:bottom w:val="single" w:color="auto" w:sz="4" w:space="0"/>
              <w:right w:val="single" w:color="auto" w:sz="4" w:space="0"/>
            </w:tcBorders>
            <w:shd w:val="clear" w:color="auto" w:fill="auto"/>
            <w:vAlign w:val="center"/>
          </w:tcPr>
          <w:p w14:paraId="3ED0C6D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0.125</w:t>
            </w:r>
          </w:p>
        </w:tc>
        <w:tc>
          <w:tcPr>
            <w:tcW w:w="559" w:type="pct"/>
            <w:tcBorders>
              <w:top w:val="single" w:color="auto" w:sz="4" w:space="0"/>
              <w:left w:val="single" w:color="auto" w:sz="4" w:space="0"/>
              <w:bottom w:val="single" w:color="auto" w:sz="4" w:space="0"/>
              <w:right w:val="single" w:color="auto" w:sz="4" w:space="0"/>
            </w:tcBorders>
            <w:shd w:val="clear" w:color="auto" w:fill="auto"/>
            <w:vAlign w:val="center"/>
          </w:tcPr>
          <w:p w14:paraId="3EFDDDFE">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2.325</w:t>
            </w:r>
          </w:p>
        </w:tc>
        <w:tc>
          <w:tcPr>
            <w:tcW w:w="595" w:type="pct"/>
            <w:tcBorders>
              <w:top w:val="single" w:color="auto" w:sz="4" w:space="0"/>
              <w:left w:val="single" w:color="auto" w:sz="4" w:space="0"/>
              <w:bottom w:val="single" w:color="auto" w:sz="4" w:space="0"/>
              <w:right w:val="single" w:color="auto" w:sz="4" w:space="0"/>
            </w:tcBorders>
            <w:shd w:val="clear" w:color="auto" w:fill="auto"/>
            <w:vAlign w:val="center"/>
          </w:tcPr>
          <w:p w14:paraId="291CC44E">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1.1625</w:t>
            </w:r>
          </w:p>
        </w:tc>
        <w:tc>
          <w:tcPr>
            <w:tcW w:w="411" w:type="pct"/>
            <w:tcBorders>
              <w:top w:val="single" w:color="auto" w:sz="4" w:space="0"/>
              <w:left w:val="single" w:color="auto" w:sz="4" w:space="0"/>
              <w:bottom w:val="single" w:color="auto" w:sz="4" w:space="0"/>
              <w:right w:val="single" w:color="auto" w:sz="4" w:space="0"/>
            </w:tcBorders>
            <w:shd w:val="clear" w:color="auto" w:fill="auto"/>
            <w:vAlign w:val="center"/>
          </w:tcPr>
          <w:p w14:paraId="5790884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7B32C8C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-0.9875</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7D21F50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-1.975</w:t>
            </w:r>
          </w:p>
        </w:tc>
      </w:tr>
      <w:tr w14:paraId="19CED0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0" w:hRule="atLeast"/>
        </w:trPr>
        <w:tc>
          <w:tcPr>
            <w:tcW w:w="619"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35ABE3A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环境状况</w:t>
            </w: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2491B106">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地形状况</w:t>
            </w:r>
          </w:p>
        </w:tc>
        <w:tc>
          <w:tcPr>
            <w:tcW w:w="544" w:type="pct"/>
            <w:tcBorders>
              <w:top w:val="single" w:color="auto" w:sz="4" w:space="0"/>
              <w:left w:val="single" w:color="auto" w:sz="4" w:space="0"/>
              <w:bottom w:val="single" w:color="auto" w:sz="4" w:space="0"/>
              <w:right w:val="single" w:color="auto" w:sz="4" w:space="0"/>
            </w:tcBorders>
            <w:shd w:val="clear" w:color="auto" w:fill="auto"/>
            <w:vAlign w:val="center"/>
          </w:tcPr>
          <w:p w14:paraId="05FA8B01">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0.124</w:t>
            </w:r>
          </w:p>
        </w:tc>
        <w:tc>
          <w:tcPr>
            <w:tcW w:w="559" w:type="pct"/>
            <w:tcBorders>
              <w:top w:val="single" w:color="auto" w:sz="4" w:space="0"/>
              <w:left w:val="single" w:color="auto" w:sz="4" w:space="0"/>
              <w:bottom w:val="single" w:color="auto" w:sz="4" w:space="0"/>
              <w:right w:val="single" w:color="auto" w:sz="4" w:space="0"/>
            </w:tcBorders>
            <w:shd w:val="clear" w:color="auto" w:fill="auto"/>
            <w:vAlign w:val="center"/>
          </w:tcPr>
          <w:p w14:paraId="48C5D6B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2.3064</w:t>
            </w:r>
          </w:p>
        </w:tc>
        <w:tc>
          <w:tcPr>
            <w:tcW w:w="595" w:type="pct"/>
            <w:tcBorders>
              <w:top w:val="single" w:color="auto" w:sz="4" w:space="0"/>
              <w:left w:val="single" w:color="auto" w:sz="4" w:space="0"/>
              <w:bottom w:val="single" w:color="auto" w:sz="4" w:space="0"/>
              <w:right w:val="single" w:color="auto" w:sz="4" w:space="0"/>
            </w:tcBorders>
            <w:shd w:val="clear" w:color="auto" w:fill="auto"/>
            <w:vAlign w:val="center"/>
          </w:tcPr>
          <w:p w14:paraId="06BD6E9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1.1532</w:t>
            </w:r>
          </w:p>
        </w:tc>
        <w:tc>
          <w:tcPr>
            <w:tcW w:w="411" w:type="pct"/>
            <w:tcBorders>
              <w:top w:val="single" w:color="auto" w:sz="4" w:space="0"/>
              <w:left w:val="single" w:color="auto" w:sz="4" w:space="0"/>
              <w:bottom w:val="single" w:color="auto" w:sz="4" w:space="0"/>
              <w:right w:val="single" w:color="auto" w:sz="4" w:space="0"/>
            </w:tcBorders>
            <w:shd w:val="clear" w:color="auto" w:fill="auto"/>
            <w:vAlign w:val="center"/>
          </w:tcPr>
          <w:p w14:paraId="389DB6B1">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0D8AC2FE">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-0.9796</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5A264382">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-1.9592</w:t>
            </w:r>
          </w:p>
        </w:tc>
      </w:tr>
      <w:tr w14:paraId="2F896B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6" w:hRule="atLeast"/>
        </w:trPr>
        <w:tc>
          <w:tcPr>
            <w:tcW w:w="619"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77F329A">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5295B135">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地质状况（T/m2）</w:t>
            </w:r>
          </w:p>
        </w:tc>
        <w:tc>
          <w:tcPr>
            <w:tcW w:w="544" w:type="pct"/>
            <w:tcBorders>
              <w:top w:val="single" w:color="auto" w:sz="4" w:space="0"/>
              <w:left w:val="single" w:color="auto" w:sz="4" w:space="0"/>
              <w:bottom w:val="single" w:color="auto" w:sz="4" w:space="0"/>
              <w:right w:val="single" w:color="auto" w:sz="4" w:space="0"/>
            </w:tcBorders>
            <w:shd w:val="clear" w:color="auto" w:fill="auto"/>
            <w:vAlign w:val="center"/>
          </w:tcPr>
          <w:p w14:paraId="4649AB8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0.117</w:t>
            </w:r>
          </w:p>
        </w:tc>
        <w:tc>
          <w:tcPr>
            <w:tcW w:w="559" w:type="pct"/>
            <w:tcBorders>
              <w:top w:val="single" w:color="auto" w:sz="4" w:space="0"/>
              <w:left w:val="single" w:color="auto" w:sz="4" w:space="0"/>
              <w:bottom w:val="single" w:color="auto" w:sz="4" w:space="0"/>
              <w:right w:val="single" w:color="auto" w:sz="4" w:space="0"/>
            </w:tcBorders>
            <w:shd w:val="clear" w:color="auto" w:fill="auto"/>
            <w:vAlign w:val="center"/>
          </w:tcPr>
          <w:p w14:paraId="0076E56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2.1762</w:t>
            </w:r>
          </w:p>
        </w:tc>
        <w:tc>
          <w:tcPr>
            <w:tcW w:w="595" w:type="pct"/>
            <w:tcBorders>
              <w:top w:val="single" w:color="auto" w:sz="4" w:space="0"/>
              <w:left w:val="single" w:color="auto" w:sz="4" w:space="0"/>
              <w:bottom w:val="single" w:color="auto" w:sz="4" w:space="0"/>
              <w:right w:val="single" w:color="auto" w:sz="4" w:space="0"/>
            </w:tcBorders>
            <w:shd w:val="clear" w:color="auto" w:fill="auto"/>
            <w:vAlign w:val="center"/>
          </w:tcPr>
          <w:p w14:paraId="705B4291">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1.0881</w:t>
            </w:r>
          </w:p>
        </w:tc>
        <w:tc>
          <w:tcPr>
            <w:tcW w:w="411" w:type="pct"/>
            <w:tcBorders>
              <w:top w:val="single" w:color="auto" w:sz="4" w:space="0"/>
              <w:left w:val="single" w:color="auto" w:sz="4" w:space="0"/>
              <w:bottom w:val="single" w:color="auto" w:sz="4" w:space="0"/>
              <w:right w:val="single" w:color="auto" w:sz="4" w:space="0"/>
            </w:tcBorders>
            <w:shd w:val="clear" w:color="auto" w:fill="auto"/>
            <w:vAlign w:val="center"/>
          </w:tcPr>
          <w:p w14:paraId="5B6C56A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5BC3B496">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-0.9243</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48F9C7B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-1.8486</w:t>
            </w:r>
          </w:p>
        </w:tc>
      </w:tr>
      <w:tr w14:paraId="73DE0F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9" w:hRule="atLeast"/>
        </w:trPr>
        <w:tc>
          <w:tcPr>
            <w:tcW w:w="619" w:type="pct"/>
            <w:tcBorders>
              <w:top w:val="single" w:color="auto" w:sz="4" w:space="0"/>
              <w:left w:val="single" w:color="auto" w:sz="4" w:space="0"/>
              <w:bottom w:val="single" w:color="auto" w:sz="4" w:space="0"/>
              <w:right w:val="single" w:color="auto" w:sz="4" w:space="0"/>
            </w:tcBorders>
            <w:shd w:val="clear" w:color="auto" w:fill="auto"/>
            <w:vAlign w:val="center"/>
          </w:tcPr>
          <w:p w14:paraId="41D1BFE5">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产业集聚效益</w:t>
            </w: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72D17DD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产业集聚影响度</w:t>
            </w:r>
          </w:p>
        </w:tc>
        <w:tc>
          <w:tcPr>
            <w:tcW w:w="544" w:type="pct"/>
            <w:tcBorders>
              <w:top w:val="single" w:color="auto" w:sz="4" w:space="0"/>
              <w:left w:val="single" w:color="auto" w:sz="4" w:space="0"/>
              <w:bottom w:val="single" w:color="auto" w:sz="4" w:space="0"/>
              <w:right w:val="single" w:color="auto" w:sz="4" w:space="0"/>
            </w:tcBorders>
            <w:shd w:val="clear" w:color="auto" w:fill="auto"/>
            <w:vAlign w:val="center"/>
          </w:tcPr>
          <w:p w14:paraId="5D1158D5">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0.139</w:t>
            </w:r>
          </w:p>
        </w:tc>
        <w:tc>
          <w:tcPr>
            <w:tcW w:w="559" w:type="pct"/>
            <w:tcBorders>
              <w:top w:val="single" w:color="auto" w:sz="4" w:space="0"/>
              <w:left w:val="single" w:color="auto" w:sz="4" w:space="0"/>
              <w:bottom w:val="single" w:color="auto" w:sz="4" w:space="0"/>
              <w:right w:val="single" w:color="auto" w:sz="4" w:space="0"/>
            </w:tcBorders>
            <w:shd w:val="clear" w:color="auto" w:fill="auto"/>
            <w:vAlign w:val="center"/>
          </w:tcPr>
          <w:p w14:paraId="15A6851F">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2.5854</w:t>
            </w:r>
          </w:p>
        </w:tc>
        <w:tc>
          <w:tcPr>
            <w:tcW w:w="595" w:type="pct"/>
            <w:tcBorders>
              <w:top w:val="single" w:color="auto" w:sz="4" w:space="0"/>
              <w:left w:val="single" w:color="auto" w:sz="4" w:space="0"/>
              <w:bottom w:val="single" w:color="auto" w:sz="4" w:space="0"/>
              <w:right w:val="single" w:color="auto" w:sz="4" w:space="0"/>
            </w:tcBorders>
            <w:shd w:val="clear" w:color="auto" w:fill="auto"/>
            <w:vAlign w:val="center"/>
          </w:tcPr>
          <w:p w14:paraId="3D46A842">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1.2927</w:t>
            </w:r>
          </w:p>
        </w:tc>
        <w:tc>
          <w:tcPr>
            <w:tcW w:w="411" w:type="pct"/>
            <w:tcBorders>
              <w:top w:val="single" w:color="auto" w:sz="4" w:space="0"/>
              <w:left w:val="single" w:color="auto" w:sz="4" w:space="0"/>
              <w:bottom w:val="single" w:color="auto" w:sz="4" w:space="0"/>
              <w:right w:val="single" w:color="auto" w:sz="4" w:space="0"/>
            </w:tcBorders>
            <w:shd w:val="clear" w:color="auto" w:fill="auto"/>
            <w:vAlign w:val="center"/>
          </w:tcPr>
          <w:p w14:paraId="7F08D83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16DE536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-1.0981</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165E0657">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-2.1962</w:t>
            </w:r>
          </w:p>
        </w:tc>
      </w:tr>
    </w:tbl>
    <w:p w14:paraId="1B48BDC2">
      <w:pPr>
        <w:keepNext/>
        <w:spacing w:before="157" w:after="10" w:line="480" w:lineRule="exact"/>
        <w:ind w:left="0" w:right="0" w:firstLine="0"/>
        <w:jc w:val="center"/>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b w:val="0"/>
          <w:color w:val="000000" w:themeColor="text1"/>
          <w:sz w:val="28"/>
          <w:highlight w:val="none"/>
          <w14:textFill>
            <w14:solidFill>
              <w14:schemeClr w14:val="tx1"/>
            </w14:solidFill>
          </w14:textFill>
        </w:rPr>
        <w:t>表</w:t>
      </w:r>
      <w:r>
        <w:rPr>
          <w:rFonts w:hint="eastAsia" w:ascii="仿宋_GB2312" w:hAnsi="仿宋_GB2312" w:eastAsia="仿宋_GB2312" w:cs="仿宋_GB2312"/>
          <w:b w:val="0"/>
          <w:color w:val="000000" w:themeColor="text1"/>
          <w:sz w:val="28"/>
          <w:highlight w:val="none"/>
          <w:lang w:val="en-US" w:eastAsia="zh-CN"/>
          <w14:textFill>
            <w14:solidFill>
              <w14:schemeClr w14:val="tx1"/>
            </w14:solidFill>
          </w14:textFill>
        </w:rPr>
        <w:t>3-8道县工业用地</w:t>
      </w:r>
      <w:r>
        <w:rPr>
          <w:rFonts w:hint="eastAsia" w:ascii="仿宋_GB2312" w:hAnsi="仿宋_GB2312" w:eastAsia="仿宋_GB2312" w:cs="仿宋_GB2312"/>
          <w:b w:val="0"/>
          <w:color w:val="000000" w:themeColor="text1"/>
          <w:sz w:val="28"/>
          <w:highlight w:val="none"/>
          <w14:textFill>
            <w14:solidFill>
              <w14:schemeClr w14:val="tx1"/>
            </w14:solidFill>
          </w14:textFill>
        </w:rPr>
        <w:t>宗地地价区域因素修正系数指标说明表</w:t>
      </w:r>
    </w:p>
    <w:tbl>
      <w:tblPr>
        <w:tblStyle w:val="9"/>
        <w:tblW w:w="4985" w:type="pct"/>
        <w:tblInd w:w="0" w:type="dxa"/>
        <w:tblLayout w:type="fixed"/>
        <w:tblCellMar>
          <w:top w:w="0" w:type="dxa"/>
          <w:left w:w="108" w:type="dxa"/>
          <w:bottom w:w="0" w:type="dxa"/>
          <w:right w:w="108" w:type="dxa"/>
        </w:tblCellMar>
      </w:tblPr>
      <w:tblGrid>
        <w:gridCol w:w="850"/>
        <w:gridCol w:w="1303"/>
        <w:gridCol w:w="1247"/>
        <w:gridCol w:w="1423"/>
        <w:gridCol w:w="1658"/>
        <w:gridCol w:w="1076"/>
        <w:gridCol w:w="940"/>
      </w:tblGrid>
      <w:tr w14:paraId="5E4A0D5C">
        <w:tblPrEx>
          <w:tblCellMar>
            <w:top w:w="0" w:type="dxa"/>
            <w:left w:w="108" w:type="dxa"/>
            <w:bottom w:w="0" w:type="dxa"/>
            <w:right w:w="108" w:type="dxa"/>
          </w:tblCellMar>
        </w:tblPrEx>
        <w:trPr>
          <w:trHeight w:val="131" w:hRule="atLeast"/>
        </w:trPr>
        <w:tc>
          <w:tcPr>
            <w:tcW w:w="850" w:type="dxa"/>
            <w:tcBorders>
              <w:top w:val="single" w:color="auto" w:sz="4" w:space="0"/>
              <w:left w:val="single" w:color="auto" w:sz="4" w:space="0"/>
              <w:bottom w:val="single" w:color="auto" w:sz="4" w:space="0"/>
              <w:right w:val="single" w:color="auto" w:sz="4" w:space="0"/>
            </w:tcBorders>
            <w:noWrap w:val="0"/>
            <w:vAlign w:val="center"/>
          </w:tcPr>
          <w:p w14:paraId="7A1CD20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因素</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1F3EF90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因子</w:t>
            </w:r>
          </w:p>
        </w:tc>
        <w:tc>
          <w:tcPr>
            <w:tcW w:w="1247" w:type="dxa"/>
            <w:tcBorders>
              <w:top w:val="single" w:color="auto" w:sz="4" w:space="0"/>
              <w:left w:val="single" w:color="auto" w:sz="4" w:space="0"/>
              <w:bottom w:val="single" w:color="auto" w:sz="4" w:space="0"/>
              <w:right w:val="single" w:color="auto" w:sz="4" w:space="0"/>
            </w:tcBorders>
            <w:noWrap w:val="0"/>
            <w:vAlign w:val="center"/>
          </w:tcPr>
          <w:p w14:paraId="44D1E00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优</w:t>
            </w:r>
          </w:p>
        </w:tc>
        <w:tc>
          <w:tcPr>
            <w:tcW w:w="1423" w:type="dxa"/>
            <w:tcBorders>
              <w:top w:val="single" w:color="auto" w:sz="4" w:space="0"/>
              <w:left w:val="single" w:color="auto" w:sz="4" w:space="0"/>
              <w:bottom w:val="single" w:color="auto" w:sz="4" w:space="0"/>
              <w:right w:val="single" w:color="auto" w:sz="4" w:space="0"/>
            </w:tcBorders>
            <w:noWrap w:val="0"/>
            <w:vAlign w:val="center"/>
          </w:tcPr>
          <w:p w14:paraId="6625AFC1">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较优</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6EADEDB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一般</w:t>
            </w:r>
          </w:p>
        </w:tc>
        <w:tc>
          <w:tcPr>
            <w:tcW w:w="1076" w:type="dxa"/>
            <w:tcBorders>
              <w:top w:val="single" w:color="auto" w:sz="4" w:space="0"/>
              <w:left w:val="single" w:color="auto" w:sz="4" w:space="0"/>
              <w:bottom w:val="single" w:color="auto" w:sz="4" w:space="0"/>
              <w:right w:val="single" w:color="auto" w:sz="4" w:space="0"/>
            </w:tcBorders>
            <w:noWrap w:val="0"/>
            <w:vAlign w:val="center"/>
          </w:tcPr>
          <w:p w14:paraId="078F7771">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较劣</w:t>
            </w:r>
          </w:p>
        </w:tc>
        <w:tc>
          <w:tcPr>
            <w:tcW w:w="940" w:type="dxa"/>
            <w:tcBorders>
              <w:top w:val="single" w:color="auto" w:sz="4" w:space="0"/>
              <w:left w:val="single" w:color="auto" w:sz="4" w:space="0"/>
              <w:bottom w:val="single" w:color="auto" w:sz="4" w:space="0"/>
              <w:right w:val="single" w:color="auto" w:sz="4" w:space="0"/>
            </w:tcBorders>
            <w:noWrap w:val="0"/>
            <w:vAlign w:val="center"/>
          </w:tcPr>
          <w:p w14:paraId="0DD7556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劣</w:t>
            </w:r>
          </w:p>
        </w:tc>
      </w:tr>
      <w:tr w14:paraId="08A1CE4A">
        <w:tblPrEx>
          <w:tblCellMar>
            <w:top w:w="0" w:type="dxa"/>
            <w:left w:w="108" w:type="dxa"/>
            <w:bottom w:w="0" w:type="dxa"/>
            <w:right w:w="108" w:type="dxa"/>
          </w:tblCellMar>
        </w:tblPrEx>
        <w:trPr>
          <w:trHeight w:val="257" w:hRule="atLeast"/>
        </w:trPr>
        <w:tc>
          <w:tcPr>
            <w:tcW w:w="850" w:type="dxa"/>
            <w:vMerge w:val="restart"/>
            <w:tcBorders>
              <w:top w:val="single" w:color="auto" w:sz="4" w:space="0"/>
              <w:left w:val="single" w:color="auto" w:sz="4" w:space="0"/>
              <w:bottom w:val="single" w:color="auto" w:sz="4" w:space="0"/>
              <w:right w:val="single" w:color="auto" w:sz="4" w:space="0"/>
            </w:tcBorders>
            <w:noWrap w:val="0"/>
            <w:vAlign w:val="center"/>
          </w:tcPr>
          <w:p w14:paraId="4BEF1282">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交通条件</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1AAD4CBA">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距汽车站距离（m）</w:t>
            </w:r>
          </w:p>
        </w:tc>
        <w:tc>
          <w:tcPr>
            <w:tcW w:w="1247" w:type="dxa"/>
            <w:tcBorders>
              <w:top w:val="single" w:color="auto" w:sz="4" w:space="0"/>
              <w:left w:val="single" w:color="auto" w:sz="4" w:space="0"/>
              <w:bottom w:val="single" w:color="auto" w:sz="4" w:space="0"/>
              <w:right w:val="single" w:color="auto" w:sz="4" w:space="0"/>
            </w:tcBorders>
            <w:noWrap w:val="0"/>
            <w:vAlign w:val="center"/>
          </w:tcPr>
          <w:p w14:paraId="64F43AA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≤300</w:t>
            </w:r>
          </w:p>
        </w:tc>
        <w:tc>
          <w:tcPr>
            <w:tcW w:w="1423" w:type="dxa"/>
            <w:tcBorders>
              <w:top w:val="single" w:color="auto" w:sz="4" w:space="0"/>
              <w:left w:val="single" w:color="auto" w:sz="4" w:space="0"/>
              <w:bottom w:val="single" w:color="auto" w:sz="4" w:space="0"/>
              <w:right w:val="single" w:color="auto" w:sz="4" w:space="0"/>
            </w:tcBorders>
            <w:noWrap w:val="0"/>
            <w:vAlign w:val="center"/>
          </w:tcPr>
          <w:p w14:paraId="020E729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300-400</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2025A012">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400-500</w:t>
            </w:r>
          </w:p>
        </w:tc>
        <w:tc>
          <w:tcPr>
            <w:tcW w:w="1076" w:type="dxa"/>
            <w:tcBorders>
              <w:top w:val="single" w:color="auto" w:sz="4" w:space="0"/>
              <w:left w:val="single" w:color="auto" w:sz="4" w:space="0"/>
              <w:bottom w:val="single" w:color="auto" w:sz="4" w:space="0"/>
              <w:right w:val="single" w:color="auto" w:sz="4" w:space="0"/>
            </w:tcBorders>
            <w:noWrap w:val="0"/>
            <w:vAlign w:val="center"/>
          </w:tcPr>
          <w:p w14:paraId="6FCF11A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500-800</w:t>
            </w:r>
          </w:p>
        </w:tc>
        <w:tc>
          <w:tcPr>
            <w:tcW w:w="940" w:type="dxa"/>
            <w:tcBorders>
              <w:top w:val="single" w:color="auto" w:sz="4" w:space="0"/>
              <w:left w:val="single" w:color="auto" w:sz="4" w:space="0"/>
              <w:bottom w:val="single" w:color="auto" w:sz="4" w:space="0"/>
              <w:right w:val="single" w:color="auto" w:sz="4" w:space="0"/>
            </w:tcBorders>
            <w:noWrap w:val="0"/>
            <w:vAlign w:val="center"/>
          </w:tcPr>
          <w:p w14:paraId="7C00F12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&gt;800</w:t>
            </w:r>
          </w:p>
        </w:tc>
      </w:tr>
      <w:tr w14:paraId="09180B2D">
        <w:tblPrEx>
          <w:tblCellMar>
            <w:top w:w="0" w:type="dxa"/>
            <w:left w:w="108" w:type="dxa"/>
            <w:bottom w:w="0" w:type="dxa"/>
            <w:right w:w="108" w:type="dxa"/>
          </w:tblCellMar>
        </w:tblPrEx>
        <w:trPr>
          <w:trHeight w:val="257" w:hRule="atLeast"/>
        </w:trPr>
        <w:tc>
          <w:tcPr>
            <w:tcW w:w="850" w:type="dxa"/>
            <w:vMerge w:val="continue"/>
            <w:tcBorders>
              <w:top w:val="single" w:color="auto" w:sz="4" w:space="0"/>
              <w:left w:val="single" w:color="auto" w:sz="4" w:space="0"/>
              <w:bottom w:val="single" w:color="auto" w:sz="4" w:space="0"/>
              <w:right w:val="single" w:color="auto" w:sz="4" w:space="0"/>
            </w:tcBorders>
            <w:noWrap w:val="0"/>
            <w:vAlign w:val="center"/>
          </w:tcPr>
          <w:p w14:paraId="563C1A6F">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p>
        </w:tc>
        <w:tc>
          <w:tcPr>
            <w:tcW w:w="1303" w:type="dxa"/>
            <w:tcBorders>
              <w:top w:val="single" w:color="auto" w:sz="4" w:space="0"/>
              <w:left w:val="single" w:color="auto" w:sz="4" w:space="0"/>
              <w:bottom w:val="single" w:color="auto" w:sz="4" w:space="0"/>
              <w:right w:val="single" w:color="auto" w:sz="4" w:space="0"/>
            </w:tcBorders>
            <w:noWrap w:val="0"/>
            <w:vAlign w:val="center"/>
          </w:tcPr>
          <w:p w14:paraId="6F692BE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临近道路状况</w:t>
            </w:r>
          </w:p>
        </w:tc>
        <w:tc>
          <w:tcPr>
            <w:tcW w:w="1247" w:type="dxa"/>
            <w:tcBorders>
              <w:top w:val="single" w:color="auto" w:sz="4" w:space="0"/>
              <w:left w:val="single" w:color="auto" w:sz="4" w:space="0"/>
              <w:bottom w:val="single" w:color="auto" w:sz="4" w:space="0"/>
              <w:right w:val="single" w:color="auto" w:sz="4" w:space="0"/>
            </w:tcBorders>
            <w:noWrap w:val="0"/>
            <w:vAlign w:val="center"/>
          </w:tcPr>
          <w:p w14:paraId="2D05C1D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临繁华主干道</w:t>
            </w:r>
          </w:p>
        </w:tc>
        <w:tc>
          <w:tcPr>
            <w:tcW w:w="1423" w:type="dxa"/>
            <w:tcBorders>
              <w:top w:val="single" w:color="auto" w:sz="4" w:space="0"/>
              <w:left w:val="single" w:color="auto" w:sz="4" w:space="0"/>
              <w:bottom w:val="single" w:color="auto" w:sz="4" w:space="0"/>
              <w:right w:val="single" w:color="auto" w:sz="4" w:space="0"/>
            </w:tcBorders>
            <w:noWrap w:val="0"/>
            <w:vAlign w:val="center"/>
          </w:tcPr>
          <w:p w14:paraId="2940A575">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临主干道</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6B9251F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临繁华次干道</w:t>
            </w:r>
          </w:p>
        </w:tc>
        <w:tc>
          <w:tcPr>
            <w:tcW w:w="1076" w:type="dxa"/>
            <w:tcBorders>
              <w:top w:val="single" w:color="auto" w:sz="4" w:space="0"/>
              <w:left w:val="single" w:color="auto" w:sz="4" w:space="0"/>
              <w:bottom w:val="single" w:color="auto" w:sz="4" w:space="0"/>
              <w:right w:val="single" w:color="auto" w:sz="4" w:space="0"/>
            </w:tcBorders>
            <w:noWrap w:val="0"/>
            <w:vAlign w:val="center"/>
          </w:tcPr>
          <w:p w14:paraId="5D426446">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临次干道</w:t>
            </w:r>
          </w:p>
        </w:tc>
        <w:tc>
          <w:tcPr>
            <w:tcW w:w="940" w:type="dxa"/>
            <w:tcBorders>
              <w:top w:val="single" w:color="auto" w:sz="4" w:space="0"/>
              <w:left w:val="single" w:color="auto" w:sz="4" w:space="0"/>
              <w:bottom w:val="single" w:color="auto" w:sz="4" w:space="0"/>
              <w:right w:val="single" w:color="auto" w:sz="4" w:space="0"/>
            </w:tcBorders>
            <w:noWrap w:val="0"/>
            <w:vAlign w:val="center"/>
          </w:tcPr>
          <w:p w14:paraId="67DB4F3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临支路</w:t>
            </w:r>
          </w:p>
        </w:tc>
      </w:tr>
      <w:tr w14:paraId="3A9A22E2">
        <w:tblPrEx>
          <w:tblCellMar>
            <w:top w:w="0" w:type="dxa"/>
            <w:left w:w="108" w:type="dxa"/>
            <w:bottom w:w="0" w:type="dxa"/>
            <w:right w:w="108" w:type="dxa"/>
          </w:tblCellMar>
        </w:tblPrEx>
        <w:trPr>
          <w:trHeight w:val="144" w:hRule="atLeast"/>
        </w:trPr>
        <w:tc>
          <w:tcPr>
            <w:tcW w:w="850" w:type="dxa"/>
            <w:vMerge w:val="restart"/>
            <w:tcBorders>
              <w:top w:val="single" w:color="auto" w:sz="4" w:space="0"/>
              <w:left w:val="single" w:color="auto" w:sz="4" w:space="0"/>
              <w:bottom w:val="single" w:color="auto" w:sz="4" w:space="0"/>
              <w:right w:val="single" w:color="auto" w:sz="4" w:space="0"/>
            </w:tcBorders>
            <w:noWrap w:val="0"/>
            <w:vAlign w:val="center"/>
          </w:tcPr>
          <w:p w14:paraId="59A34E2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基本设施状况</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04BE3BA0">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排给水状况</w:t>
            </w:r>
          </w:p>
        </w:tc>
        <w:tc>
          <w:tcPr>
            <w:tcW w:w="1247" w:type="dxa"/>
            <w:tcBorders>
              <w:top w:val="single" w:color="auto" w:sz="4" w:space="0"/>
              <w:left w:val="single" w:color="auto" w:sz="4" w:space="0"/>
              <w:bottom w:val="single" w:color="auto" w:sz="4" w:space="0"/>
              <w:right w:val="single" w:color="auto" w:sz="4" w:space="0"/>
            </w:tcBorders>
            <w:noWrap w:val="0"/>
            <w:vAlign w:val="center"/>
          </w:tcPr>
          <w:p w14:paraId="5849B04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完善</w:t>
            </w:r>
          </w:p>
        </w:tc>
        <w:tc>
          <w:tcPr>
            <w:tcW w:w="1423" w:type="dxa"/>
            <w:tcBorders>
              <w:top w:val="single" w:color="auto" w:sz="4" w:space="0"/>
              <w:left w:val="single" w:color="auto" w:sz="4" w:space="0"/>
              <w:bottom w:val="single" w:color="auto" w:sz="4" w:space="0"/>
              <w:right w:val="single" w:color="auto" w:sz="4" w:space="0"/>
            </w:tcBorders>
            <w:noWrap w:val="0"/>
            <w:vAlign w:val="center"/>
          </w:tcPr>
          <w:p w14:paraId="2EA7B51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较完善</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7AAEB285">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一般</w:t>
            </w:r>
          </w:p>
        </w:tc>
        <w:tc>
          <w:tcPr>
            <w:tcW w:w="1076" w:type="dxa"/>
            <w:tcBorders>
              <w:top w:val="single" w:color="auto" w:sz="4" w:space="0"/>
              <w:left w:val="single" w:color="auto" w:sz="4" w:space="0"/>
              <w:bottom w:val="single" w:color="auto" w:sz="4" w:space="0"/>
              <w:right w:val="single" w:color="auto" w:sz="4" w:space="0"/>
            </w:tcBorders>
            <w:noWrap w:val="0"/>
            <w:vAlign w:val="center"/>
          </w:tcPr>
          <w:p w14:paraId="5723A8F0">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较差</w:t>
            </w:r>
          </w:p>
        </w:tc>
        <w:tc>
          <w:tcPr>
            <w:tcW w:w="940" w:type="dxa"/>
            <w:tcBorders>
              <w:top w:val="single" w:color="auto" w:sz="4" w:space="0"/>
              <w:left w:val="single" w:color="auto" w:sz="4" w:space="0"/>
              <w:bottom w:val="single" w:color="auto" w:sz="4" w:space="0"/>
              <w:right w:val="single" w:color="auto" w:sz="4" w:space="0"/>
            </w:tcBorders>
            <w:noWrap w:val="0"/>
            <w:vAlign w:val="center"/>
          </w:tcPr>
          <w:p w14:paraId="22515E9A">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差</w:t>
            </w:r>
          </w:p>
        </w:tc>
      </w:tr>
      <w:tr w14:paraId="04B9AF7C">
        <w:tblPrEx>
          <w:tblCellMar>
            <w:top w:w="0" w:type="dxa"/>
            <w:left w:w="108" w:type="dxa"/>
            <w:bottom w:w="0" w:type="dxa"/>
            <w:right w:w="108" w:type="dxa"/>
          </w:tblCellMar>
        </w:tblPrEx>
        <w:trPr>
          <w:trHeight w:val="131" w:hRule="atLeast"/>
        </w:trPr>
        <w:tc>
          <w:tcPr>
            <w:tcW w:w="850" w:type="dxa"/>
            <w:vMerge w:val="continue"/>
            <w:tcBorders>
              <w:top w:val="single" w:color="auto" w:sz="4" w:space="0"/>
              <w:left w:val="single" w:color="auto" w:sz="4" w:space="0"/>
              <w:bottom w:val="single" w:color="auto" w:sz="4" w:space="0"/>
              <w:right w:val="single" w:color="auto" w:sz="4" w:space="0"/>
            </w:tcBorders>
            <w:noWrap w:val="0"/>
            <w:vAlign w:val="center"/>
          </w:tcPr>
          <w:p w14:paraId="6EFC274E">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p>
        </w:tc>
        <w:tc>
          <w:tcPr>
            <w:tcW w:w="1303" w:type="dxa"/>
            <w:tcBorders>
              <w:top w:val="single" w:color="auto" w:sz="4" w:space="0"/>
              <w:left w:val="single" w:color="auto" w:sz="4" w:space="0"/>
              <w:bottom w:val="single" w:color="auto" w:sz="4" w:space="0"/>
              <w:right w:val="single" w:color="auto" w:sz="4" w:space="0"/>
            </w:tcBorders>
            <w:noWrap w:val="0"/>
            <w:vAlign w:val="center"/>
          </w:tcPr>
          <w:p w14:paraId="31DEF80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供电状况</w:t>
            </w:r>
          </w:p>
        </w:tc>
        <w:tc>
          <w:tcPr>
            <w:tcW w:w="1247" w:type="dxa"/>
            <w:tcBorders>
              <w:top w:val="single" w:color="auto" w:sz="4" w:space="0"/>
              <w:left w:val="single" w:color="auto" w:sz="4" w:space="0"/>
              <w:bottom w:val="single" w:color="auto" w:sz="4" w:space="0"/>
              <w:right w:val="single" w:color="auto" w:sz="4" w:space="0"/>
            </w:tcBorders>
            <w:noWrap w:val="0"/>
            <w:vAlign w:val="center"/>
          </w:tcPr>
          <w:p w14:paraId="40F8955F">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完善</w:t>
            </w:r>
          </w:p>
        </w:tc>
        <w:tc>
          <w:tcPr>
            <w:tcW w:w="1423" w:type="dxa"/>
            <w:tcBorders>
              <w:top w:val="single" w:color="auto" w:sz="4" w:space="0"/>
              <w:left w:val="single" w:color="auto" w:sz="4" w:space="0"/>
              <w:bottom w:val="single" w:color="auto" w:sz="4" w:space="0"/>
              <w:right w:val="single" w:color="auto" w:sz="4" w:space="0"/>
            </w:tcBorders>
            <w:noWrap w:val="0"/>
            <w:vAlign w:val="center"/>
          </w:tcPr>
          <w:p w14:paraId="02BE4BA5">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较完善</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75A482B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一般</w:t>
            </w:r>
          </w:p>
        </w:tc>
        <w:tc>
          <w:tcPr>
            <w:tcW w:w="1076" w:type="dxa"/>
            <w:tcBorders>
              <w:top w:val="single" w:color="auto" w:sz="4" w:space="0"/>
              <w:left w:val="single" w:color="auto" w:sz="4" w:space="0"/>
              <w:bottom w:val="single" w:color="auto" w:sz="4" w:space="0"/>
              <w:right w:val="single" w:color="auto" w:sz="4" w:space="0"/>
            </w:tcBorders>
            <w:noWrap w:val="0"/>
            <w:vAlign w:val="center"/>
          </w:tcPr>
          <w:p w14:paraId="7F7E8047">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较差</w:t>
            </w:r>
          </w:p>
        </w:tc>
        <w:tc>
          <w:tcPr>
            <w:tcW w:w="940" w:type="dxa"/>
            <w:tcBorders>
              <w:top w:val="single" w:color="auto" w:sz="4" w:space="0"/>
              <w:left w:val="single" w:color="auto" w:sz="4" w:space="0"/>
              <w:bottom w:val="single" w:color="auto" w:sz="4" w:space="0"/>
              <w:right w:val="single" w:color="auto" w:sz="4" w:space="0"/>
            </w:tcBorders>
            <w:noWrap w:val="0"/>
            <w:vAlign w:val="center"/>
          </w:tcPr>
          <w:p w14:paraId="5673791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差</w:t>
            </w:r>
          </w:p>
        </w:tc>
      </w:tr>
      <w:tr w14:paraId="11473675">
        <w:tblPrEx>
          <w:tblCellMar>
            <w:top w:w="0" w:type="dxa"/>
            <w:left w:w="108" w:type="dxa"/>
            <w:bottom w:w="0" w:type="dxa"/>
            <w:right w:w="108" w:type="dxa"/>
          </w:tblCellMar>
        </w:tblPrEx>
        <w:trPr>
          <w:trHeight w:val="509" w:hRule="atLeast"/>
        </w:trPr>
        <w:tc>
          <w:tcPr>
            <w:tcW w:w="850" w:type="dxa"/>
            <w:vMerge w:val="restart"/>
            <w:tcBorders>
              <w:top w:val="single" w:color="auto" w:sz="4" w:space="0"/>
              <w:left w:val="single" w:color="auto" w:sz="4" w:space="0"/>
              <w:bottom w:val="single" w:color="auto" w:sz="4" w:space="0"/>
              <w:right w:val="single" w:color="auto" w:sz="4" w:space="0"/>
            </w:tcBorders>
            <w:noWrap w:val="0"/>
            <w:vAlign w:val="center"/>
          </w:tcPr>
          <w:p w14:paraId="66AFB925">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环境状况</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356E886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地形状况</w:t>
            </w:r>
          </w:p>
        </w:tc>
        <w:tc>
          <w:tcPr>
            <w:tcW w:w="1247" w:type="dxa"/>
            <w:tcBorders>
              <w:top w:val="single" w:color="auto" w:sz="4" w:space="0"/>
              <w:left w:val="single" w:color="auto" w:sz="4" w:space="0"/>
              <w:bottom w:val="single" w:color="auto" w:sz="4" w:space="0"/>
              <w:right w:val="single" w:color="auto" w:sz="4" w:space="0"/>
            </w:tcBorders>
            <w:noWrap w:val="0"/>
            <w:vAlign w:val="center"/>
          </w:tcPr>
          <w:p w14:paraId="0AC4FF2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地势平坦适合建筑</w:t>
            </w:r>
          </w:p>
        </w:tc>
        <w:tc>
          <w:tcPr>
            <w:tcW w:w="1423" w:type="dxa"/>
            <w:tcBorders>
              <w:top w:val="single" w:color="auto" w:sz="4" w:space="0"/>
              <w:left w:val="single" w:color="auto" w:sz="4" w:space="0"/>
              <w:bottom w:val="single" w:color="auto" w:sz="4" w:space="0"/>
              <w:right w:val="single" w:color="auto" w:sz="4" w:space="0"/>
            </w:tcBorders>
            <w:noWrap w:val="0"/>
            <w:vAlign w:val="center"/>
          </w:tcPr>
          <w:p w14:paraId="0D0523E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地势较平坦适合建筑</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286D575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地势较平坦影响建筑</w:t>
            </w:r>
          </w:p>
        </w:tc>
        <w:tc>
          <w:tcPr>
            <w:tcW w:w="1076" w:type="dxa"/>
            <w:tcBorders>
              <w:top w:val="single" w:color="auto" w:sz="4" w:space="0"/>
              <w:left w:val="single" w:color="auto" w:sz="4" w:space="0"/>
              <w:bottom w:val="single" w:color="auto" w:sz="4" w:space="0"/>
              <w:right w:val="single" w:color="auto" w:sz="4" w:space="0"/>
            </w:tcBorders>
            <w:noWrap w:val="0"/>
            <w:vAlign w:val="center"/>
          </w:tcPr>
          <w:p w14:paraId="2640603F">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地势有坡度影响建筑</w:t>
            </w:r>
          </w:p>
        </w:tc>
        <w:tc>
          <w:tcPr>
            <w:tcW w:w="940" w:type="dxa"/>
            <w:tcBorders>
              <w:top w:val="single" w:color="auto" w:sz="4" w:space="0"/>
              <w:left w:val="single" w:color="auto" w:sz="4" w:space="0"/>
              <w:bottom w:val="single" w:color="auto" w:sz="4" w:space="0"/>
              <w:right w:val="single" w:color="auto" w:sz="4" w:space="0"/>
            </w:tcBorders>
            <w:noWrap w:val="0"/>
            <w:vAlign w:val="center"/>
          </w:tcPr>
          <w:p w14:paraId="1F24F88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地势有坡度影响建筑大</w:t>
            </w:r>
          </w:p>
        </w:tc>
      </w:tr>
      <w:tr w14:paraId="1346067A">
        <w:tblPrEx>
          <w:tblCellMar>
            <w:top w:w="0" w:type="dxa"/>
            <w:left w:w="108" w:type="dxa"/>
            <w:bottom w:w="0" w:type="dxa"/>
            <w:right w:w="108" w:type="dxa"/>
          </w:tblCellMar>
        </w:tblPrEx>
        <w:trPr>
          <w:trHeight w:val="257" w:hRule="atLeast"/>
        </w:trPr>
        <w:tc>
          <w:tcPr>
            <w:tcW w:w="850" w:type="dxa"/>
            <w:vMerge w:val="continue"/>
            <w:tcBorders>
              <w:top w:val="single" w:color="auto" w:sz="4" w:space="0"/>
              <w:left w:val="single" w:color="auto" w:sz="4" w:space="0"/>
              <w:bottom w:val="single" w:color="auto" w:sz="4" w:space="0"/>
              <w:right w:val="single" w:color="auto" w:sz="4" w:space="0"/>
            </w:tcBorders>
            <w:noWrap w:val="0"/>
            <w:vAlign w:val="center"/>
          </w:tcPr>
          <w:p w14:paraId="2F6C919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p>
        </w:tc>
        <w:tc>
          <w:tcPr>
            <w:tcW w:w="1303" w:type="dxa"/>
            <w:tcBorders>
              <w:top w:val="single" w:color="auto" w:sz="4" w:space="0"/>
              <w:left w:val="single" w:color="auto" w:sz="4" w:space="0"/>
              <w:bottom w:val="single" w:color="auto" w:sz="4" w:space="0"/>
              <w:right w:val="single" w:color="auto" w:sz="4" w:space="0"/>
            </w:tcBorders>
            <w:noWrap w:val="0"/>
            <w:vAlign w:val="center"/>
          </w:tcPr>
          <w:p w14:paraId="7AAABED2">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地质状况（T/m2）</w:t>
            </w:r>
          </w:p>
        </w:tc>
        <w:tc>
          <w:tcPr>
            <w:tcW w:w="1247" w:type="dxa"/>
            <w:tcBorders>
              <w:top w:val="single" w:color="auto" w:sz="4" w:space="0"/>
              <w:left w:val="single" w:color="auto" w:sz="4" w:space="0"/>
              <w:bottom w:val="single" w:color="auto" w:sz="4" w:space="0"/>
              <w:right w:val="single" w:color="auto" w:sz="4" w:space="0"/>
            </w:tcBorders>
            <w:noWrap w:val="0"/>
            <w:vAlign w:val="center"/>
          </w:tcPr>
          <w:p w14:paraId="44BABD9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&gt;25</w:t>
            </w:r>
          </w:p>
        </w:tc>
        <w:tc>
          <w:tcPr>
            <w:tcW w:w="1423" w:type="dxa"/>
            <w:tcBorders>
              <w:top w:val="single" w:color="auto" w:sz="4" w:space="0"/>
              <w:left w:val="single" w:color="auto" w:sz="4" w:space="0"/>
              <w:bottom w:val="single" w:color="auto" w:sz="4" w:space="0"/>
              <w:right w:val="single" w:color="auto" w:sz="4" w:space="0"/>
            </w:tcBorders>
            <w:noWrap w:val="0"/>
            <w:vAlign w:val="center"/>
          </w:tcPr>
          <w:p w14:paraId="31B25C0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25-22</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5269EA46">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22-18</w:t>
            </w:r>
          </w:p>
        </w:tc>
        <w:tc>
          <w:tcPr>
            <w:tcW w:w="1076" w:type="dxa"/>
            <w:tcBorders>
              <w:top w:val="single" w:color="auto" w:sz="4" w:space="0"/>
              <w:left w:val="single" w:color="auto" w:sz="4" w:space="0"/>
              <w:bottom w:val="single" w:color="auto" w:sz="4" w:space="0"/>
              <w:right w:val="single" w:color="auto" w:sz="4" w:space="0"/>
            </w:tcBorders>
            <w:noWrap w:val="0"/>
            <w:vAlign w:val="center"/>
          </w:tcPr>
          <w:p w14:paraId="7EBC4F7F">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18-15</w:t>
            </w:r>
          </w:p>
        </w:tc>
        <w:tc>
          <w:tcPr>
            <w:tcW w:w="940" w:type="dxa"/>
            <w:tcBorders>
              <w:top w:val="single" w:color="auto" w:sz="4" w:space="0"/>
              <w:left w:val="single" w:color="auto" w:sz="4" w:space="0"/>
              <w:bottom w:val="single" w:color="auto" w:sz="4" w:space="0"/>
              <w:right w:val="single" w:color="auto" w:sz="4" w:space="0"/>
            </w:tcBorders>
            <w:noWrap w:val="0"/>
            <w:vAlign w:val="center"/>
          </w:tcPr>
          <w:p w14:paraId="28E614F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&lt;15</w:t>
            </w:r>
          </w:p>
        </w:tc>
      </w:tr>
      <w:tr w14:paraId="66CDC16F">
        <w:tblPrEx>
          <w:tblCellMar>
            <w:top w:w="0" w:type="dxa"/>
            <w:left w:w="108" w:type="dxa"/>
            <w:bottom w:w="0" w:type="dxa"/>
            <w:right w:w="108" w:type="dxa"/>
          </w:tblCellMar>
        </w:tblPrEx>
        <w:trPr>
          <w:trHeight w:val="513" w:hRule="atLeast"/>
        </w:trPr>
        <w:tc>
          <w:tcPr>
            <w:tcW w:w="850" w:type="dxa"/>
            <w:tcBorders>
              <w:top w:val="single" w:color="auto" w:sz="4" w:space="0"/>
              <w:left w:val="single" w:color="auto" w:sz="4" w:space="0"/>
              <w:bottom w:val="single" w:color="auto" w:sz="4" w:space="0"/>
              <w:right w:val="single" w:color="auto" w:sz="4" w:space="0"/>
            </w:tcBorders>
            <w:noWrap w:val="0"/>
            <w:vAlign w:val="center"/>
          </w:tcPr>
          <w:p w14:paraId="7C5C8397">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产业集聚效益</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0ADABAEE">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产业集聚影响度</w:t>
            </w:r>
          </w:p>
        </w:tc>
        <w:tc>
          <w:tcPr>
            <w:tcW w:w="1247" w:type="dxa"/>
            <w:tcBorders>
              <w:top w:val="single" w:color="auto" w:sz="4" w:space="0"/>
              <w:left w:val="single" w:color="auto" w:sz="4" w:space="0"/>
              <w:bottom w:val="single" w:color="auto" w:sz="4" w:space="0"/>
              <w:right w:val="single" w:color="auto" w:sz="4" w:space="0"/>
            </w:tcBorders>
            <w:noWrap w:val="0"/>
            <w:vAlign w:val="center"/>
          </w:tcPr>
          <w:p w14:paraId="3C82412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高新技术产业联系紧密区</w:t>
            </w:r>
          </w:p>
        </w:tc>
        <w:tc>
          <w:tcPr>
            <w:tcW w:w="1423" w:type="dxa"/>
            <w:tcBorders>
              <w:top w:val="single" w:color="auto" w:sz="4" w:space="0"/>
              <w:left w:val="single" w:color="auto" w:sz="4" w:space="0"/>
              <w:bottom w:val="single" w:color="auto" w:sz="4" w:space="0"/>
              <w:right w:val="single" w:color="auto" w:sz="4" w:space="0"/>
            </w:tcBorders>
            <w:noWrap w:val="0"/>
            <w:vAlign w:val="center"/>
          </w:tcPr>
          <w:p w14:paraId="12609FC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高新技术产业联系一般区，一般产业联系紧密区</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6C86466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高新技术产业联系松散区，一般产业联系一般区</w:t>
            </w:r>
          </w:p>
        </w:tc>
        <w:tc>
          <w:tcPr>
            <w:tcW w:w="1076" w:type="dxa"/>
            <w:tcBorders>
              <w:top w:val="single" w:color="auto" w:sz="4" w:space="0"/>
              <w:left w:val="single" w:color="auto" w:sz="4" w:space="0"/>
              <w:bottom w:val="single" w:color="auto" w:sz="4" w:space="0"/>
              <w:right w:val="single" w:color="auto" w:sz="4" w:space="0"/>
            </w:tcBorders>
            <w:noWrap w:val="0"/>
            <w:vAlign w:val="center"/>
          </w:tcPr>
          <w:p w14:paraId="20D81570">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一般产业联系松散区</w:t>
            </w:r>
          </w:p>
        </w:tc>
        <w:tc>
          <w:tcPr>
            <w:tcW w:w="940" w:type="dxa"/>
            <w:tcBorders>
              <w:top w:val="single" w:color="auto" w:sz="4" w:space="0"/>
              <w:left w:val="single" w:color="auto" w:sz="4" w:space="0"/>
              <w:bottom w:val="single" w:color="auto" w:sz="4" w:space="0"/>
              <w:right w:val="single" w:color="auto" w:sz="4" w:space="0"/>
            </w:tcBorders>
            <w:noWrap w:val="0"/>
            <w:vAlign w:val="center"/>
          </w:tcPr>
          <w:p w14:paraId="5ABAF0D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独立分布区</w:t>
            </w:r>
          </w:p>
        </w:tc>
      </w:tr>
    </w:tbl>
    <w:p w14:paraId="2073112B">
      <w:pPr>
        <w:pStyle w:val="5"/>
        <w:keepNext/>
        <w:spacing w:before="157" w:after="10" w:line="480" w:lineRule="exact"/>
        <w:ind w:left="0" w:right="0" w:firstLine="0"/>
        <w:jc w:val="center"/>
        <w:outlineLvl w:val="9"/>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hAnsi="仿宋_GB2312" w:cs="仿宋_GB2312"/>
          <w:b w:val="0"/>
          <w:color w:val="000000" w:themeColor="text1"/>
          <w:sz w:val="28"/>
          <w:szCs w:val="28"/>
          <w:highlight w:val="none"/>
          <w14:textFill>
            <w14:solidFill>
              <w14:schemeClr w14:val="tx1"/>
            </w14:solidFill>
          </w14:textFill>
        </w:rPr>
        <w:t>表</w:t>
      </w:r>
      <w:r>
        <w:rPr>
          <w:rFonts w:hint="eastAsia" w:ascii="仿宋_GB2312" w:eastAsia="仿宋_GB2312" w:hAnsi="仿宋_GB2312" w:cs="仿宋_GB2312"/>
          <w:b w:val="0"/>
          <w:color w:val="000000" w:themeColor="text1"/>
          <w:sz w:val="28"/>
          <w:szCs w:val="28"/>
          <w:highlight w:val="none"/>
          <w:lang w:val="en-US" w:eastAsia="zh-CN"/>
          <w14:textFill>
            <w14:solidFill>
              <w14:schemeClr w14:val="tx1"/>
            </w14:solidFill>
          </w14:textFill>
        </w:rPr>
        <w:t>3</w:t>
      </w:r>
      <w:r>
        <w:rPr>
          <w:rFonts w:hint="eastAsia" w:ascii="仿宋_GB2312" w:eastAsia="仿宋_GB2312" w:hAnsi="仿宋_GB2312" w:cs="仿宋_GB2312"/>
          <w:b w:val="0"/>
          <w:color w:val="000000" w:themeColor="text1"/>
          <w:sz w:val="28"/>
          <w:szCs w:val="28"/>
          <w:highlight w:val="none"/>
          <w14:textFill>
            <w14:solidFill>
              <w14:schemeClr w14:val="tx1"/>
            </w14:solidFill>
          </w14:textFill>
        </w:rPr>
        <w:t>-</w:t>
      </w:r>
      <w:r>
        <w:rPr>
          <w:rFonts w:hint="eastAsia" w:ascii="仿宋_GB2312" w:eastAsia="仿宋_GB2312" w:hAnsi="仿宋_GB2312" w:cs="仿宋_GB2312"/>
          <w:b w:val="0"/>
          <w:color w:val="000000" w:themeColor="text1"/>
          <w:sz w:val="28"/>
          <w:szCs w:val="28"/>
          <w:highlight w:val="none"/>
          <w:lang w:val="en-US" w:eastAsia="zh-CN"/>
          <w14:textFill>
            <w14:solidFill>
              <w14:schemeClr w14:val="tx1"/>
            </w14:solidFill>
          </w14:textFill>
        </w:rPr>
        <w:t>9</w:t>
      </w:r>
      <w:r>
        <w:rPr>
          <w:rFonts w:hint="eastAsia" w:ascii="仿宋_GB2312" w:eastAsia="仿宋_GB2312" w:hAnsi="仿宋_GB2312" w:cs="仿宋_GB2312"/>
          <w:b w:val="0"/>
          <w:color w:val="000000" w:themeColor="text1"/>
          <w:sz w:val="28"/>
          <w:szCs w:val="28"/>
          <w:highlight w:val="none"/>
          <w14:textFill>
            <w14:solidFill>
              <w14:schemeClr w14:val="tx1"/>
            </w14:solidFill>
          </w14:textFill>
        </w:rPr>
        <w:t xml:space="preserve"> 宗地地价影响因素条件说明、修正系数表</w:t>
      </w:r>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411"/>
        <w:gridCol w:w="2115"/>
        <w:gridCol w:w="3028"/>
        <w:gridCol w:w="1007"/>
        <w:gridCol w:w="961"/>
      </w:tblGrid>
      <w:tr w14:paraId="108BEF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82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A3BD60">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因素</w:t>
            </w:r>
          </w:p>
        </w:tc>
        <w:tc>
          <w:tcPr>
            <w:tcW w:w="12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50638E">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因子</w:t>
            </w:r>
          </w:p>
        </w:tc>
        <w:tc>
          <w:tcPr>
            <w:tcW w:w="177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D5A0C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指标描述</w:t>
            </w:r>
          </w:p>
        </w:tc>
        <w:tc>
          <w:tcPr>
            <w:tcW w:w="59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E6A34F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优劣度</w:t>
            </w:r>
          </w:p>
        </w:tc>
        <w:tc>
          <w:tcPr>
            <w:tcW w:w="56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6FDB50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修正系数</w:t>
            </w:r>
          </w:p>
        </w:tc>
      </w:tr>
      <w:tr w14:paraId="325B28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827"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EB080A">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交通条件</w:t>
            </w:r>
          </w:p>
        </w:tc>
        <w:tc>
          <w:tcPr>
            <w:tcW w:w="12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89A3CF">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距汽车站距离（m）</w:t>
            </w:r>
          </w:p>
        </w:tc>
        <w:tc>
          <w:tcPr>
            <w:tcW w:w="17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F5AADE">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距汽车站12KM</w:t>
            </w:r>
          </w:p>
        </w:tc>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53A246">
            <w:pPr>
              <w:keepNext w:val="0"/>
              <w:keepLines w:val="0"/>
              <w:widowControl/>
              <w:suppressLineNumbers w:val="0"/>
              <w:spacing w:before="0" w:beforeAutospacing="0" w:after="0" w:afterAutospacing="0"/>
              <w:ind w:left="0" w:leftChars="0" w:right="0" w:rightChars="0"/>
              <w:jc w:val="center"/>
              <w:outlineLvl w:val="9"/>
              <w:rPr>
                <w:rFonts w:hint="default"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劣</w:t>
            </w:r>
          </w:p>
        </w:tc>
        <w:tc>
          <w:tcPr>
            <w:tcW w:w="563" w:type="pct"/>
            <w:tcBorders>
              <w:top w:val="single" w:color="000000" w:sz="4" w:space="0"/>
              <w:left w:val="single" w:color="000000" w:sz="4" w:space="0"/>
              <w:bottom w:val="single" w:color="000000" w:sz="4" w:space="0"/>
              <w:right w:val="single" w:color="000000" w:sz="4" w:space="0"/>
              <w:tl2br w:val="nil"/>
            </w:tcBorders>
            <w:shd w:val="clear" w:color="auto" w:fill="FFFFFF"/>
            <w:noWrap/>
            <w:vAlign w:val="center"/>
          </w:tcPr>
          <w:p w14:paraId="55A0FBAA">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t>-1.9276</w:t>
            </w:r>
          </w:p>
        </w:tc>
      </w:tr>
      <w:tr w14:paraId="286453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82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5AF75F">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12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C7875B">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临近道路状况</w:t>
            </w:r>
          </w:p>
        </w:tc>
        <w:tc>
          <w:tcPr>
            <w:tcW w:w="17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1ACB7E">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临支路</w:t>
            </w:r>
          </w:p>
        </w:tc>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A51038">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劣</w:t>
            </w:r>
          </w:p>
        </w:tc>
        <w:tc>
          <w:tcPr>
            <w:tcW w:w="563"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9607AC2">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t>-3.555</w:t>
            </w:r>
          </w:p>
        </w:tc>
      </w:tr>
      <w:tr w14:paraId="742DC7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827"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3DAAF4">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基本设施状况</w:t>
            </w:r>
          </w:p>
        </w:tc>
        <w:tc>
          <w:tcPr>
            <w:tcW w:w="12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0FF718">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排给水状况</w:t>
            </w:r>
          </w:p>
        </w:tc>
        <w:tc>
          <w:tcPr>
            <w:tcW w:w="17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62DCC9">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一般</w:t>
            </w:r>
          </w:p>
        </w:tc>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182485">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一般</w:t>
            </w:r>
          </w:p>
        </w:tc>
        <w:tc>
          <w:tcPr>
            <w:tcW w:w="563"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C91F45C">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t>0</w:t>
            </w:r>
          </w:p>
        </w:tc>
      </w:tr>
      <w:tr w14:paraId="7E64C2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5" w:hRule="atLeast"/>
        </w:trPr>
        <w:tc>
          <w:tcPr>
            <w:tcW w:w="82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1CEB4E">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12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24D49B">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供电状况</w:t>
            </w:r>
          </w:p>
        </w:tc>
        <w:tc>
          <w:tcPr>
            <w:tcW w:w="17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998090">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一般</w:t>
            </w:r>
          </w:p>
        </w:tc>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AD6327">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一般</w:t>
            </w:r>
          </w:p>
        </w:tc>
        <w:tc>
          <w:tcPr>
            <w:tcW w:w="563"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D77916F">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t>0</w:t>
            </w:r>
          </w:p>
        </w:tc>
      </w:tr>
      <w:tr w14:paraId="5F2AA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827"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A156A6">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环境状况</w:t>
            </w:r>
          </w:p>
        </w:tc>
        <w:tc>
          <w:tcPr>
            <w:tcW w:w="12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68E7D9">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地形状况</w:t>
            </w:r>
          </w:p>
        </w:tc>
        <w:tc>
          <w:tcPr>
            <w:tcW w:w="17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C014AA">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地势较平坦适合建筑</w:t>
            </w:r>
          </w:p>
        </w:tc>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59E074">
            <w:pPr>
              <w:keepNext w:val="0"/>
              <w:keepLines w:val="0"/>
              <w:widowControl/>
              <w:suppressLineNumbers w:val="0"/>
              <w:spacing w:before="0" w:beforeAutospacing="0" w:after="0" w:afterAutospacing="0"/>
              <w:ind w:left="0" w:leftChars="0" w:right="0" w:rightChars="0"/>
              <w:jc w:val="center"/>
              <w:outlineLvl w:val="9"/>
              <w:rPr>
                <w:rFonts w:hint="default" w:ascii="仿宋_GB2312" w:hAnsi="仿宋_GB2312" w:eastAsia="仿宋_GB2312" w:cs="仿宋_GB2312"/>
                <w:color w:val="000000" w:themeColor="text1"/>
                <w:kern w:val="0"/>
                <w:sz w:val="21"/>
                <w:szCs w:val="21"/>
                <w:highlight w:val="none"/>
                <w:lang w:val="en-US"/>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较优</w:t>
            </w:r>
          </w:p>
        </w:tc>
        <w:tc>
          <w:tcPr>
            <w:tcW w:w="563"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0FB796C">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t>1.1532</w:t>
            </w:r>
          </w:p>
        </w:tc>
      </w:tr>
      <w:tr w14:paraId="361300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82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BEAA01">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12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8E51FF">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地质状况（T/m2）</w:t>
            </w:r>
          </w:p>
        </w:tc>
        <w:tc>
          <w:tcPr>
            <w:tcW w:w="17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2CF7A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&gt;25</w:t>
            </w:r>
          </w:p>
        </w:tc>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EB3F05">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优</w:t>
            </w:r>
          </w:p>
        </w:tc>
        <w:tc>
          <w:tcPr>
            <w:tcW w:w="563"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4A42ECF">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t>2.1762</w:t>
            </w:r>
          </w:p>
        </w:tc>
      </w:tr>
      <w:tr w14:paraId="53235C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7" w:hRule="atLeast"/>
        </w:trPr>
        <w:tc>
          <w:tcPr>
            <w:tcW w:w="82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FCE3B2">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产业集聚效益</w:t>
            </w:r>
          </w:p>
        </w:tc>
        <w:tc>
          <w:tcPr>
            <w:tcW w:w="12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238378">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产业集聚影响度</w:t>
            </w:r>
          </w:p>
        </w:tc>
        <w:tc>
          <w:tcPr>
            <w:tcW w:w="17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2A27A7">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lang w:val="en-US" w:eastAsia="zh-CN" w:bidi="ar-SA"/>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独立分布区</w:t>
            </w:r>
          </w:p>
        </w:tc>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38162F">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劣</w:t>
            </w:r>
          </w:p>
        </w:tc>
        <w:tc>
          <w:tcPr>
            <w:tcW w:w="563"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86ABB91">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t>-2.1962</w:t>
            </w:r>
          </w:p>
        </w:tc>
      </w:tr>
      <w:tr w14:paraId="270749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4436" w:type="pct"/>
            <w:gridSpan w:val="4"/>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41ACA7">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合计</w:t>
            </w:r>
          </w:p>
        </w:tc>
        <w:tc>
          <w:tcPr>
            <w:tcW w:w="5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AD4530">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-4.3494</w:t>
            </w:r>
          </w:p>
        </w:tc>
      </w:tr>
    </w:tbl>
    <w:p w14:paraId="39ABDD8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根据上述修正过程，确定区位条件修正系数为</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-4.3494</w:t>
      </w:r>
      <w:r>
        <w:rPr>
          <w:rFonts w:hint="eastAsia" w:ascii="仿宋_GB2312" w:hAnsi="仿宋_GB2312" w:eastAsia="仿宋_GB2312" w:cs="仿宋_GB2312"/>
          <w:color w:val="000000" w:themeColor="text1"/>
          <w:sz w:val="28"/>
          <w:highlight w:val="none"/>
          <w14:textFill>
            <w14:solidFill>
              <w14:schemeClr w14:val="tx1"/>
            </w14:solidFill>
          </w14:textFill>
        </w:rPr>
        <w:t>%。</w:t>
      </w:r>
    </w:p>
    <w:p w14:paraId="3D27463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9</w:t>
      </w:r>
      <w:r>
        <w:rPr>
          <w:rFonts w:hint="eastAsia" w:ascii="仿宋_GB2312" w:hAnsi="仿宋_GB2312" w:eastAsia="仿宋_GB2312" w:cs="仿宋_GB2312"/>
          <w:bCs/>
          <w:color w:val="000000" w:themeColor="text1"/>
          <w:sz w:val="28"/>
          <w:highlight w:val="none"/>
          <w14:textFill>
            <w14:solidFill>
              <w14:schemeClr w14:val="tx1"/>
            </w14:solidFill>
          </w14:textFill>
        </w:rPr>
        <w:t>、成本逼近法价格计算</w:t>
      </w:r>
    </w:p>
    <w:p w14:paraId="65E8E0B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14:textFill>
            <w14:solidFill>
              <w14:schemeClr w14:val="tx1"/>
            </w14:solidFill>
          </w14:textFill>
        </w:rPr>
        <w:t>P=</w:t>
      </w:r>
      <w:r>
        <w:rPr>
          <w:rFonts w:hint="eastAsia" w:ascii="仿宋_GB2312" w:hAnsi="仿宋_GB2312" w:eastAsia="仿宋_GB2312" w:cs="仿宋_GB2312"/>
          <w:color w:val="000000" w:themeColor="text1"/>
          <w:sz w:val="28"/>
          <w:highlight w:val="none"/>
          <w14:textFill>
            <w14:solidFill>
              <w14:schemeClr w14:val="tx1"/>
            </w14:solidFill>
          </w14:textFill>
        </w:rPr>
        <w:t>（土地取得费+相关税费+土地开发费+投资利息+投资利润</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+土地增值收益</w:t>
      </w:r>
      <w:r>
        <w:rPr>
          <w:rFonts w:hint="eastAsia" w:ascii="仿宋_GB2312" w:hAnsi="仿宋_GB2312" w:eastAsia="仿宋_GB2312" w:cs="仿宋_GB2312"/>
          <w:color w:val="000000" w:themeColor="text1"/>
          <w:sz w:val="28"/>
          <w:highlight w:val="none"/>
          <w14:textFill>
            <w14:solidFill>
              <w14:schemeClr w14:val="tx1"/>
            </w14:solidFill>
          </w14:textFill>
        </w:rPr>
        <w:t>）×土地使用年期修正系数×区位修正系数</w:t>
      </w:r>
    </w:p>
    <w:p w14:paraId="0E378DA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14:textFill>
            <w14:solidFill>
              <w14:schemeClr w14:val="tx1"/>
            </w14:solidFill>
          </w14:textFill>
        </w:rPr>
      </w:pPr>
      <w:r>
        <w:rPr>
          <w:rFonts w:ascii="仿宋_GB2312" w:hAnsi="仿宋_GB2312" w:eastAsia="仿宋_GB2312" w:cs="仿宋_GB2312"/>
          <w:color w:val="000000"/>
          <w:sz w:val="28"/>
        </w:rPr>
        <w:t>P＝（67.51+71.6+82+5.42+11.09+11.91）×0.7936×（1-4.3494%）＝{{ cost_approx_price }}（元／平方米）</w:t>
      </w:r>
    </w:p>
    <w:p w14:paraId="12F594D5">
      <w:pPr>
        <w:pStyle w:val="3"/>
        <w:adjustRightInd w:val="0"/>
        <w:snapToGrid w:val="0"/>
        <w:spacing w:line="480" w:lineRule="exact" w:before="0" w:after="0"/>
        <w:ind w:left="0" w:firstLine="560" w:firstLineChars="200"/>
        <w:outlineLvl w:val="9"/>
        <w:rPr>
          <w:rFonts w:hint="eastAsia" w:ascii="仿宋_GB2312" w:hAnsi="仿宋_GB2312" w:eastAsia="仿宋_GB2312" w:cs="仿宋_GB2312"/>
          <w:color w:val="000000" w:themeColor="text1"/>
          <w:sz w:val="28"/>
          <w:highlight w:val="none"/>
          <w14:textFill>
            <w14:solidFill>
              <w14:schemeClr w14:val="tx1"/>
            </w14:solidFill>
          </w14:textFill>
        </w:rPr>
      </w:pPr>
      <w:r>
        <w:rPr>
          <w:rFonts w:ascii="仿宋_GB2312" w:hAnsi="仿宋_GB2312" w:eastAsia="仿宋_GB2312" w:cs="仿宋_GB2312"/>
          <w:color w:val="000000"/>
          <w:sz w:val="28"/>
        </w:rPr>
        <w:t>成本逼近法测算地价的结果为：估价对象于估价期日{{ valuation_date }}，在设定土地用途，设定土地使用年限，设定土地开发程度，规划利用条件下的国有土地出让使用权价格为{{ cost_approx_price }}元/平方米。</w:t>
      </w:r>
    </w:p>
    <w:p w14:paraId="67948662">
      <w:pPr>
        <w:pStyle w:val="3"/>
        <w:keepNext/>
        <w:keepLines w:val="0"/>
        <w:pageBreakBefore w:val="0"/>
        <w:widowControl w:val="0"/>
        <w:kinsoku/>
        <w:wordWrap/>
        <w:overflowPunct/>
        <w:topLinePunct w:val="0"/>
        <w:autoSpaceDE/>
        <w:autoSpaceDN/>
        <w:bidi w:val="0"/>
        <w:adjustRightInd w:val="0"/>
        <w:snapToGrid w:val="0"/>
        <w:spacing w:line="480" w:lineRule="exact" w:before="0" w:after="0"/>
        <w:ind w:left="0" w:firstLineChars="200" w:firstLine="561"/>
        <w:textAlignment w:val="auto"/>
        <w:outlineLvl w:val="2"/>
        <w:rPr>
          <w:rFonts w:ascii="仿宋_GB2312" w:hAnsi="仿宋_GB2312" w:eastAsia="仿宋_GB2312" w:cs="仿宋_GB2312"/>
          <w:b/>
          <w:bCs/>
          <w:color w:val="000000" w:themeColor="text1"/>
          <w:szCs w:val="28"/>
          <w:highlight w:val="none"/>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14:textFill>
            <w14:solidFill>
              <w14:schemeClr w14:val="tx1"/>
            </w14:solidFill>
          </w14:textFill>
        </w:rPr>
        <w:t>★市场比较法</w:t>
      </w:r>
    </w:p>
    <w:p w14:paraId="74FAE49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ascii="仿宋_GB2312" w:hAnsi="仿宋_GB2312" w:eastAsia="仿宋_GB2312" w:cs="仿宋_GB2312"/>
          <w:sz w:val="28"/>
        </w:rPr>
        <w:t>{{ market_comp_method_intro }}</w:t>
      </w:r>
    </w:p>
    <w:p w14:paraId="068C258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2.比较实例选择</w:t>
      </w:r>
    </w:p>
    <w:p>
      <w:pPr>
        <w:spacing w:before="0" w:after="0" w:line="480" w:lineRule="exact"/>
      </w:pPr>
      <w:r>
        <w:rPr>
          <w:rFonts w:ascii="仿宋_GB2312" w:hAnsi="仿宋_GB2312" w:eastAsia="仿宋_GB2312" w:cs="仿宋_GB2312"/>
          <w:sz w:val="28"/>
        </w:rPr>
        <w:t>{{ market_comp_step1_instances }}</w:t>
      </w:r>
    </w:p>
    <w:p w14:paraId="0AC229D4">
      <w:pPr>
        <w:keepNext/>
        <w:overflowPunct w:val="0"/>
        <w:autoSpaceDE w:val="0"/>
        <w:autoSpaceDN w:val="0"/>
        <w:snapToGrid w:val="0"/>
        <w:spacing w:line="480" w:lineRule="exact" w:before="157" w:after="10"/>
        <w:ind w:left="0" w:right="0" w:firstLine="0"/>
        <w:jc w:val="center"/>
        <w:outlineLvl w:val="9"/>
        <w:rPr>
          <w:rFonts w:ascii="仿宋_GB2312" w:hAnsi="仿宋_GB2312" w:eastAsia="仿宋_GB2312" w:cs="仿宋_GB2312"/>
          <w:snapToGrid w:val="0"/>
          <w:color w:val="000000" w:themeColor="text1"/>
          <w:kern w:val="0"/>
          <w:sz w:val="28"/>
          <w:szCs w:val="28"/>
          <w:highlight w:val="none"/>
          <w14:textFill>
            <w14:solidFill>
              <w14:schemeClr w14:val="tx1"/>
            </w14:solidFill>
          </w14:textFill>
        </w:rPr>
      </w:pPr>
      <w:r>
        <w:rPr>
          <w:rFonts w:hint="eastAsia" w:ascii="仿宋_GB2312" w:hAnsi="仿宋_GB2312" w:eastAsia="仿宋_GB2312" w:cs="仿宋_GB2312"/>
          <w:b w:val="0"/>
          <w:snapToGrid w:val="0"/>
          <w:color w:val="000000" w:themeColor="text1"/>
          <w:kern w:val="0"/>
          <w:sz w:val="28"/>
          <w:szCs w:val="28"/>
          <w:highlight w:val="none"/>
          <w14:textFill>
            <w14:solidFill>
              <w14:schemeClr w14:val="tx1"/>
            </w14:solidFill>
          </w14:textFill>
        </w:rPr>
        <w:t>表</w:t>
      </w:r>
      <w:r>
        <w:rPr>
          <w:rFonts w:hint="eastAsia" w:ascii="仿宋_GB2312" w:hAnsi="仿宋_GB2312" w:eastAsia="仿宋_GB2312" w:cs="仿宋_GB2312"/>
          <w:b w:val="0"/>
          <w:snapToGrid w:val="0"/>
          <w:color w:val="000000" w:themeColor="text1"/>
          <w:kern w:val="0"/>
          <w:sz w:val="28"/>
          <w:szCs w:val="28"/>
          <w:highlight w:val="none"/>
          <w:lang w:val="en-US" w:eastAsia="zh-CN"/>
          <w14:textFill>
            <w14:solidFill>
              <w14:schemeClr w14:val="tx1"/>
            </w14:solidFill>
          </w14:textFill>
        </w:rPr>
        <w:t>3-10</w:t>
      </w:r>
      <w:r>
        <w:rPr>
          <w:rFonts w:hint="eastAsia" w:ascii="仿宋_GB2312" w:hAnsi="仿宋_GB2312" w:eastAsia="仿宋_GB2312" w:cs="仿宋_GB2312"/>
          <w:b w:val="0"/>
          <w:snapToGrid w:val="0"/>
          <w:color w:val="000000" w:themeColor="text1"/>
          <w:kern w:val="0"/>
          <w:sz w:val="28"/>
          <w:szCs w:val="28"/>
          <w:highlight w:val="none"/>
          <w14:textFill>
            <w14:solidFill>
              <w14:schemeClr w14:val="tx1"/>
            </w14:solidFill>
          </w14:textFill>
        </w:rPr>
        <w:t xml:space="preserve">  比较实例基本情况表</w:t>
      </w:r>
    </w:p>
    <w:tbl>
      <w:tblPr>
        <w:tblStyle w:val="9"/>
        <w:tblW w:w="9117" w:type="dxa"/>
        <w:jc w:val="center"/>
        <w:tblLayout w:type="autofit"/>
        <w:tblCellMar>
          <w:top w:w="0" w:type="dxa"/>
          <w:left w:w="108" w:type="dxa"/>
          <w:bottom w:w="0" w:type="dxa"/>
          <w:right w:w="108" w:type="dxa"/>
        </w:tblCellMar>
      </w:tblPr>
      <w:tblGrid>
        <w:gridCol w:w="1871"/>
        <w:gridCol w:w="2044"/>
        <w:gridCol w:w="2746"/>
        <w:gridCol w:w="2456"/>
      </w:tblGrid>
      <w:tr w14:paraId="2277956A">
        <w:tblPrEx>
          <w:tblCellMar>
            <w:top w:w="0" w:type="dxa"/>
            <w:left w:w="108" w:type="dxa"/>
            <w:bottom w:w="0" w:type="dxa"/>
            <w:right w:w="108" w:type="dxa"/>
          </w:tblCellMar>
        </w:tblPrEx>
        <w:trPr>
          <w:trHeight w:val="342" w:hRule="atLeast"/>
          <w:jc w:val="center"/>
        </w:trPr>
        <w:tc>
          <w:tcPr>
            <w:tcW w:w="1871" w:type="dxa"/>
            <w:tcBorders>
              <w:top w:val="single" w:color="000000" w:sz="4" w:space="0"/>
              <w:left w:val="single" w:color="000000" w:sz="4" w:space="0"/>
              <w:bottom w:val="single" w:color="000000" w:sz="4" w:space="0"/>
              <w:right w:val="single" w:color="000000" w:sz="4" w:space="0"/>
              <w:tl2br w:val="single" w:color="000000" w:sz="4" w:space="0"/>
            </w:tcBorders>
            <w:vAlign w:val="center"/>
          </w:tcPr>
          <w:p w14:paraId="3DA33AA0">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估价对象与比较实例  项目</w:t>
            </w:r>
          </w:p>
        </w:tc>
        <w:tc>
          <w:tcPr>
            <w:tcW w:w="2044" w:type="dxa"/>
            <w:tcBorders>
              <w:top w:val="single" w:color="000000" w:sz="4" w:space="0"/>
              <w:left w:val="single" w:color="000000" w:sz="4" w:space="0"/>
              <w:bottom w:val="single" w:color="000000" w:sz="4" w:space="0"/>
              <w:right w:val="single" w:color="000000" w:sz="4" w:space="0"/>
            </w:tcBorders>
            <w:vAlign w:val="center"/>
          </w:tcPr>
          <w:p w14:paraId="6D50FE33">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比较实例A</w:t>
            </w:r>
          </w:p>
        </w:tc>
        <w:tc>
          <w:tcPr>
            <w:tcW w:w="2746" w:type="dxa"/>
            <w:tcBorders>
              <w:top w:val="single" w:color="000000" w:sz="4" w:space="0"/>
              <w:left w:val="single" w:color="000000" w:sz="4" w:space="0"/>
              <w:bottom w:val="single" w:color="000000" w:sz="4" w:space="0"/>
              <w:right w:val="single" w:color="000000" w:sz="4" w:space="0"/>
            </w:tcBorders>
            <w:vAlign w:val="center"/>
          </w:tcPr>
          <w:p w14:paraId="5445B741">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比较实例B</w:t>
            </w:r>
          </w:p>
        </w:tc>
        <w:tc>
          <w:tcPr>
            <w:tcW w:w="2456" w:type="dxa"/>
            <w:tcBorders>
              <w:top w:val="single" w:color="000000" w:sz="4" w:space="0"/>
              <w:left w:val="single" w:color="000000" w:sz="4" w:space="0"/>
              <w:bottom w:val="single" w:color="000000" w:sz="4" w:space="0"/>
              <w:right w:val="single" w:color="000000" w:sz="4" w:space="0"/>
            </w:tcBorders>
            <w:vAlign w:val="center"/>
          </w:tcPr>
          <w:p w14:paraId="0349070B">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比较实例C</w:t>
            </w:r>
          </w:p>
        </w:tc>
      </w:tr>
      <w:tr w14:paraId="4980DCB9">
        <w:tblPrEx>
          <w:tblCellMar>
            <w:top w:w="0" w:type="dxa"/>
            <w:left w:w="108" w:type="dxa"/>
            <w:bottom w:w="0" w:type="dxa"/>
            <w:right w:w="108" w:type="dxa"/>
          </w:tblCellMar>
        </w:tblPrEx>
        <w:trPr>
          <w:trHeight w:val="237"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0DA83E2E">
        <w:tblPrEx>
          <w:tblCellMar>
            <w:top w:w="0" w:type="dxa"/>
            <w:left w:w="108" w:type="dxa"/>
            <w:bottom w:w="0" w:type="dxa"/>
            <w:right w:w="108" w:type="dxa"/>
          </w:tblCellMar>
        </w:tblPrEx>
        <w:trPr>
          <w:trHeight w:val="222"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702CB58F">
        <w:tblPrEx>
          <w:tblCellMar>
            <w:top w:w="0" w:type="dxa"/>
            <w:left w:w="108" w:type="dxa"/>
            <w:bottom w:w="0" w:type="dxa"/>
            <w:right w:w="108" w:type="dxa"/>
          </w:tblCellMar>
        </w:tblPrEx>
        <w:trPr>
          <w:trHeight w:val="90"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1634CFCD">
        <w:tblPrEx>
          <w:tblCellMar>
            <w:top w:w="0" w:type="dxa"/>
            <w:left w:w="108" w:type="dxa"/>
            <w:bottom w:w="0" w:type="dxa"/>
            <w:right w:w="108" w:type="dxa"/>
          </w:tblCellMar>
        </w:tblPrEx>
        <w:trPr>
          <w:trHeight w:val="222"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04840ECB">
        <w:tblPrEx>
          <w:tblCellMar>
            <w:top w:w="0" w:type="dxa"/>
            <w:left w:w="108" w:type="dxa"/>
            <w:bottom w:w="0" w:type="dxa"/>
            <w:right w:w="108" w:type="dxa"/>
          </w:tblCellMar>
        </w:tblPrEx>
        <w:trPr>
          <w:trHeight w:val="517"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572D565C">
        <w:tblPrEx>
          <w:tblCellMar>
            <w:top w:w="0" w:type="dxa"/>
            <w:left w:w="108" w:type="dxa"/>
            <w:bottom w:w="0" w:type="dxa"/>
            <w:right w:w="108" w:type="dxa"/>
          </w:tblCellMar>
        </w:tblPrEx>
        <w:trPr>
          <w:trHeight w:val="90"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2E52B4F6">
        <w:tblPrEx>
          <w:tblCellMar>
            <w:top w:w="0" w:type="dxa"/>
            <w:left w:w="108" w:type="dxa"/>
            <w:bottom w:w="0" w:type="dxa"/>
            <w:right w:w="108" w:type="dxa"/>
          </w:tblCellMar>
        </w:tblPrEx>
        <w:trPr>
          <w:trHeight w:val="200"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1CAE4DBE">
        <w:tblPrEx>
          <w:tblCellMar>
            <w:top w:w="0" w:type="dxa"/>
            <w:left w:w="108" w:type="dxa"/>
            <w:bottom w:w="0" w:type="dxa"/>
            <w:right w:w="108" w:type="dxa"/>
          </w:tblCellMar>
        </w:tblPrEx>
        <w:trPr>
          <w:trHeight w:val="289"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2505AC4A">
        <w:tblPrEx>
          <w:tblCellMar>
            <w:top w:w="0" w:type="dxa"/>
            <w:left w:w="108" w:type="dxa"/>
            <w:bottom w:w="0" w:type="dxa"/>
            <w:right w:w="108" w:type="dxa"/>
          </w:tblCellMar>
        </w:tblPrEx>
        <w:trPr>
          <w:trHeight w:val="268"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1AB793F3">
        <w:tblPrEx>
          <w:tblCellMar>
            <w:top w:w="0" w:type="dxa"/>
            <w:left w:w="108" w:type="dxa"/>
            <w:bottom w:w="0" w:type="dxa"/>
            <w:right w:w="108" w:type="dxa"/>
          </w:tblCellMar>
        </w:tblPrEx>
        <w:trPr>
          <w:trHeight w:val="211"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58615ACB">
        <w:tblPrEx>
          <w:tblCellMar>
            <w:top w:w="0" w:type="dxa"/>
            <w:left w:w="108" w:type="dxa"/>
            <w:bottom w:w="0" w:type="dxa"/>
            <w:right w:w="108" w:type="dxa"/>
          </w:tblCellMar>
        </w:tblPrEx>
        <w:trPr>
          <w:trHeight w:val="211"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1F9FBC65">
        <w:tblPrEx>
          <w:tblCellMar>
            <w:top w:w="0" w:type="dxa"/>
            <w:left w:w="108" w:type="dxa"/>
            <w:bottom w:w="0" w:type="dxa"/>
            <w:right w:w="108" w:type="dxa"/>
          </w:tblCellMar>
        </w:tblPrEx>
        <w:trPr>
          <w:trHeight w:val="211"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3FF89AEB">
        <w:tblPrEx>
          <w:tblCellMar>
            <w:top w:w="0" w:type="dxa"/>
            <w:left w:w="108" w:type="dxa"/>
            <w:bottom w:w="0" w:type="dxa"/>
            <w:right w:w="108" w:type="dxa"/>
          </w:tblCellMar>
        </w:tblPrEx>
        <w:trPr>
          <w:trHeight w:val="211"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bl>
    <w:p w14:paraId="754F92EB">
      <w:pPr>
        <w:pStyle w:val="14"/>
        <w:spacing w:line="480" w:lineRule="exact"/>
        <w:ind w:firstLine="0" w:firstLineChars="0"/>
        <w:outlineLvl w:val="9"/>
        <w:rPr>
          <w:rFonts w:eastAsia="仿宋_GB2312"/>
          <w:b/>
          <w:bCs/>
          <w:color w:val="000000" w:themeColor="text1"/>
          <w:sz w:val="28"/>
          <w:szCs w:val="28"/>
          <w:highlight w:val="none"/>
          <w14:textFill>
            <w14:solidFill>
              <w14:schemeClr w14:val="tx1"/>
            </w14:solidFill>
          </w14:textFill>
        </w:rPr>
      </w:pPr>
    </w:p>
    <w:p w14:paraId="58EE0F42">
      <w:pPr>
        <w:pStyle w:val="14"/>
        <w:spacing w:line="480" w:lineRule="exact" w:before="0" w:after="0"/>
        <w:ind w:firstLine="0" w:firstLineChars="0"/>
        <w:outlineLvl w:val="9"/>
        <w:rPr>
          <w:rFonts w:eastAsia="仿宋_GB2312"/>
          <w:b/>
          <w:bCs/>
          <w:color w:val="000000" w:themeColor="text1"/>
          <w:sz w:val="28"/>
          <w:szCs w:val="28"/>
          <w:highlight w:val="none"/>
          <w14:textFill>
            <w14:solidFill>
              <w14:schemeClr w14:val="tx1"/>
            </w14:solidFill>
          </w14:textFill>
        </w:rPr>
      </w:pPr>
      <w:r>
        <w:rPr>
          <w:rFonts w:eastAsia="仿宋_GB2312" w:ascii="仿宋_GB2312" w:hAnsi="仿宋_GB2312" w:cs="仿宋_GB2312"/>
          <w:b/>
          <w:bCs/>
          <w:color w:val="000000" w:themeColor="text1"/>
          <w:sz w:val="28"/>
          <w:szCs w:val="28"/>
          <w:highlight w:val="none"/>
          <w14:textFill>
            <w14:solidFill>
              <w14:schemeClr w14:val="tx1"/>
            </w14:solidFill>
          </w14:textFill>
        </w:rPr>
        <w:t>比较实例A详细情况如下：</w:t>
      </w:r>
    </w:p>
    <w:p w14:paraId="31DE9F49">
      <w:pPr>
        <w:pStyle w:val="14"/>
        <w:spacing w:line="480" w:lineRule="exact" w:before="0" w:after="0"/>
        <w:ind w:firstLine="0" w:firstLineChars="0"/>
        <w:jc w:val="center"/>
        <w:outlineLvl w:val="9"/>
        <w:rPr>
          <w:rFonts w:eastAsia="仿宋_GB2312"/>
          <w:b/>
          <w:bCs/>
          <w:color w:val="000000" w:themeColor="text1"/>
          <w:sz w:val="28"/>
          <w:szCs w:val="28"/>
          <w:highlight w:val="none"/>
          <w14:textFill>
            <w14:solidFill>
              <w14:schemeClr w14:val="tx1"/>
            </w14:solidFill>
          </w14:textFill>
        </w:rPr>
      </w:pPr>
      <w:r>
        <w:rPr>
          <w:rFonts w:eastAsia="仿宋_GB2312" w:ascii="仿宋_GB2312" w:hAnsi="仿宋_GB2312" w:cs="仿宋_GB2312"/>
          <w:b/>
          <w:color w:val="000000" w:themeColor="text1"/>
          <w:sz w:val="28"/>
          <w:szCs w:val="21"/>
          <w:highlight w:val="none"/>
          <w14:textFill>
            <w14:solidFill>
              <w14:schemeClr w14:val="tx1"/>
            </w14:solidFill>
          </w14:textFill>
        </w:rPr>
        <w:t>比较实例A</w:t>
      </w:r>
      <w:r>
        <w:rPr>
          <w:rFonts w:eastAsia="仿宋_GB2312" w:ascii="仿宋_GB2312" w:hAnsi="仿宋_GB2312" w:cs="仿宋_GB2312"/>
          <w:b/>
          <w:bCs/>
          <w:color w:val="000000" w:themeColor="text1"/>
          <w:sz w:val="28"/>
          <w:highlight w:val="none"/>
          <w14:textFill>
            <w14:solidFill>
              <w14:schemeClr w14:val="tx1"/>
            </w14:solidFill>
          </w14:textFill>
        </w:rPr>
        <w:t>成交公告（来源：中国土地市场网）</w:t>
      </w:r>
    </w:p>
    <w:p w14:paraId="03607D26">
      <w:pPr>
        <w:pStyle w:val="14"/>
        <w:spacing w:before="0" w:after="0" w:line="480" w:lineRule="exact"/>
        <w:ind w:firstLine="422"/>
        <w:jc w:val="center"/>
        <w:outlineLvl w:val="9"/>
        <w:rPr>
          <w:color w:val="000000" w:themeColor="text1"/>
          <w:highlight w:val="none"/>
          <w14:textFill>
            <w14:solidFill>
              <w14:schemeClr w14:val="tx1"/>
            </w14:solidFill>
          </w14:textFill>
        </w:rPr>
      </w:pPr>
      <w:r>
        <w:rPr>
          <w:rFonts w:eastAsia="仿宋_GB2312" w:ascii="仿宋_GB2312" w:hAnsi="仿宋_GB2312" w:cs="仿宋_GB2312"/>
          <w:b/>
          <w:color w:val="000000" w:themeColor="text1"/>
          <w:sz w:val="28"/>
          <w:szCs w:val="21"/>
          <w:highlight w:val="none"/>
          <w14:textFill>
            <w14:solidFill>
              <w14:schemeClr w14:val="tx1"/>
            </w14:solidFill>
          </w14:textFill>
        </w:rPr>
        <w:t>比较实例A位置图及现状图</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6"/>
        <w:gridCol w:w="4245"/>
        <w:gridCol w:w="4365"/>
      </w:tblGrid>
      <w:tr w14:paraId="01FCF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jc w:val="center"/>
        </w:trPr>
        <w:tc>
          <w:tcPr>
            <w:tcW w:w="676" w:type="dxa"/>
            <w:vAlign w:val="center"/>
          </w:tcPr>
          <w:p w14:paraId="38EE65E2">
            <w:pPr>
              <w:pStyle w:val="14"/>
              <w:keepNext w:val="0"/>
              <w:keepLines w:val="0"/>
              <w:suppressLineNumbers w:val="0"/>
              <w:spacing w:before="0" w:beforeAutospacing="0" w:after="0" w:afterAutospacing="0"/>
              <w:ind w:left="0" w:right="0" w:firstLine="0" w:firstLineChars="0"/>
              <w:jc w:val="center"/>
              <w:outlineLvl w:val="9"/>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比较实例</w:t>
            </w:r>
          </w:p>
        </w:tc>
        <w:tc>
          <w:tcPr>
            <w:tcW w:w="4245" w:type="dxa"/>
            <w:vAlign w:val="center"/>
          </w:tcPr>
          <w:p w14:paraId="6E8202BD">
            <w:pPr>
              <w:pStyle w:val="14"/>
              <w:keepNext w:val="0"/>
              <w:keepLines w:val="0"/>
              <w:suppressLineNumbers w:val="0"/>
              <w:spacing w:before="0" w:beforeAutospacing="0" w:after="0" w:afterAutospacing="0"/>
              <w:ind w:left="0" w:right="0"/>
              <w:jc w:val="center"/>
              <w:outlineLvl w:val="9"/>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实例位置图</w:t>
            </w:r>
          </w:p>
        </w:tc>
        <w:tc>
          <w:tcPr>
            <w:tcW w:w="4365" w:type="dxa"/>
            <w:vAlign w:val="center"/>
          </w:tcPr>
          <w:p w14:paraId="6E3B30AA">
            <w:pPr>
              <w:pStyle w:val="14"/>
              <w:keepNext w:val="0"/>
              <w:keepLines w:val="0"/>
              <w:suppressLineNumbers w:val="0"/>
              <w:spacing w:before="0" w:beforeAutospacing="0" w:after="0" w:afterAutospacing="0"/>
              <w:ind w:left="0" w:right="0"/>
              <w:jc w:val="center"/>
              <w:outlineLvl w:val="9"/>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实例现状图</w:t>
            </w:r>
          </w:p>
        </w:tc>
      </w:tr>
      <w:tr w14:paraId="1F64A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5" w:hRule="atLeast"/>
          <w:jc w:val="center"/>
        </w:trPr>
        <w:tc>
          <w:tcPr>
            <w:tcW w:w="676" w:type="dxa"/>
            <w:vAlign w:val="center"/>
          </w:tcPr>
          <w:p w14:paraId="2A20DF84">
            <w:pPr>
              <w:pStyle w:val="14"/>
              <w:keepNext w:val="0"/>
              <w:keepLines w:val="0"/>
              <w:suppressLineNumbers w:val="0"/>
              <w:spacing w:before="0" w:beforeAutospacing="0" w:after="0" w:afterAutospacing="0"/>
              <w:ind w:left="0" w:right="0" w:firstLine="0" w:firstLineChars="0"/>
              <w:jc w:val="center"/>
              <w:outlineLvl w:val="9"/>
              <w:rPr>
                <w:rFonts w:eastAsia="仿宋"/>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实例A</w:t>
            </w:r>
          </w:p>
        </w:tc>
        <w:tc>
          <w:tcPr>
            <w:tcW w:w="4245" w:type="dxa"/>
            <w:vAlign w:val="center"/>
          </w:tcPr>
          <w:p w14:paraId="5F2693B1">
            <w:pPr>
              <w:pStyle w:val="14"/>
              <w:keepNext w:val="0"/>
              <w:keepLines w:val="0"/>
              <w:suppressLineNumbers w:val="0"/>
              <w:spacing w:before="0" w:beforeAutospacing="0" w:after="0" w:afterAutospacing="0"/>
              <w:ind w:left="0" w:right="0" w:firstLine="0" w:firstLineChars="0"/>
              <w:jc w:val="center"/>
              <w:outlineLvl w:val="9"/>
              <w:rPr>
                <w:rFonts w:hint="eastAsia" w:eastAsia="仿宋"/>
                <w:color w:val="000000" w:themeColor="text1"/>
                <w:szCs w:val="21"/>
                <w:highlight w:val="none"/>
                <w:lang w:eastAsia="zh-CN"/>
                <w14:textFill>
                  <w14:solidFill>
                    <w14:schemeClr w14:val="tx1"/>
                  </w14:solidFill>
                </w14:textFill>
              </w:rPr>
            </w:pPr>
            <w:r>
              <w:rPr>
                <w:rFonts w:hint="eastAsia" w:eastAsia="仿宋"/>
                <w:color w:val="000000" w:themeColor="text1"/>
                <w:szCs w:val="21"/>
                <w:highlight w:val="none"/>
                <w:lang w:eastAsia="zh-CN"/>
                <w14:textFill>
                  <w14:solidFill>
                    <w14:schemeClr w14:val="tx1"/>
                  </w14:solidFill>
                </w14:textFill>
              </w:rPr>
              <w:drawing>
                <wp:inline distT="0" distB="0" distL="114300" distR="114300">
                  <wp:extent cx="2628265" cy="1572260"/>
                  <wp:effectExtent l="0" t="0" r="8255" b="12700"/>
                  <wp:docPr id="35" name="图片 35" descr="比较案例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比较案例A"/>
                          <pic:cNvPicPr>
                            <a:picLocks noChangeAspect="1"/>
                          </pic:cNvPicPr>
                        </pic:nvPicPr>
                        <pic:blipFill>
                          <a:blip r:embed="rId38"/>
                          <a:stretch>
                            <a:fillRect/>
                          </a:stretch>
                        </pic:blipFill>
                        <pic:spPr>
                          <a:xfrm>
                            <a:off x="0" y="0"/>
                            <a:ext cx="2628265" cy="1572260"/>
                          </a:xfrm>
                          <a:prstGeom prst="rect">
                            <a:avLst/>
                          </a:prstGeom>
                        </pic:spPr>
                      </pic:pic>
                    </a:graphicData>
                  </a:graphic>
                </wp:inline>
              </w:drawing>
            </w:r>
          </w:p>
        </w:tc>
        <w:tc>
          <w:tcPr>
            <w:tcW w:w="4365" w:type="dxa"/>
            <w:vAlign w:val="center"/>
          </w:tcPr>
          <w:p w14:paraId="2C8A8FD0">
            <w:pPr>
              <w:pStyle w:val="14"/>
              <w:keepNext w:val="0"/>
              <w:keepLines w:val="0"/>
              <w:suppressLineNumbers w:val="0"/>
              <w:spacing w:before="0" w:beforeAutospacing="0" w:after="0" w:afterAutospacing="0"/>
              <w:ind w:left="0" w:right="0" w:firstLine="0" w:firstLineChars="0"/>
              <w:jc w:val="center"/>
              <w:outlineLvl w:val="9"/>
              <w:rPr>
                <w:rFonts w:eastAsia="仿宋"/>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drawing>
                <wp:inline distT="0" distB="0" distL="114300" distR="114300">
                  <wp:extent cx="2628265" cy="1572895"/>
                  <wp:effectExtent l="0" t="0" r="8255" b="12065"/>
                  <wp:docPr id="52" name="图片 52" descr="689d6665ae17056abeb78e5d03d85f2"/>
                  <wp:cNvGraphicFramePr/>
                  <a:graphic xmlns:a="http://schemas.openxmlformats.org/drawingml/2006/main">
                    <a:graphicData uri="http://schemas.openxmlformats.org/drawingml/2006/picture">
                      <pic:pic xmlns:pic="http://schemas.openxmlformats.org/drawingml/2006/picture">
                        <pic:nvPicPr>
                          <pic:cNvPr id="52" name="图片 52" descr="689d6665ae17056abeb78e5d03d85f2"/>
                          <pic:cNvPicPr/>
                        </pic:nvPicPr>
                        <pic:blipFill>
                          <a:blip r:embed="rId39"/>
                          <a:stretch>
                            <a:fillRect/>
                          </a:stretch>
                        </pic:blipFill>
                        <pic:spPr>
                          <a:xfrm>
                            <a:off x="0" y="0"/>
                            <a:ext cx="2628265" cy="1572895"/>
                          </a:xfrm>
                          <a:prstGeom prst="rect">
                            <a:avLst/>
                          </a:prstGeom>
                          <a:noFill/>
                          <a:ln>
                            <a:noFill/>
                          </a:ln>
                        </pic:spPr>
                      </pic:pic>
                    </a:graphicData>
                  </a:graphic>
                </wp:inline>
              </w:drawing>
            </w:r>
          </w:p>
        </w:tc>
      </w:tr>
    </w:tbl>
    <w:p w14:paraId="4944F8E9">
      <w:pPr>
        <w:rPr>
          <w:rFonts w:hint="eastAsia" w:ascii="仿宋_GB2312" w:hAnsi="仿宋_GB2312" w:eastAsia="仿宋_GB2312" w:cs="仿宋_GB2312"/>
          <w:b/>
          <w:bCs/>
          <w:color w:val="000000" w:themeColor="text1"/>
          <w:sz w:val="28"/>
          <w:szCs w:val="28"/>
          <w:highlight w:val="none"/>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14:textFill>
            <w14:solidFill>
              <w14:schemeClr w14:val="tx1"/>
            </w14:solidFill>
          </w14:textFill>
        </w:rPr>
        <w:br w:type="page"/>
      </w:r>
    </w:p>
    <w:p w14:paraId="3E6C11B4">
      <w:pPr>
        <w:pStyle w:val="14"/>
        <w:spacing w:line="480" w:lineRule="exact" w:before="0" w:after="0"/>
        <w:ind w:firstLine="0" w:firstLineChars="0"/>
        <w:outlineLvl w:val="9"/>
        <w:rPr>
          <w:rFonts w:ascii="仿宋_GB2312" w:hAnsi="仿宋_GB2312" w:eastAsia="仿宋_GB2312" w:cs="仿宋_GB2312"/>
          <w:b/>
          <w:bCs/>
          <w:color w:val="000000" w:themeColor="text1"/>
          <w:sz w:val="28"/>
          <w:szCs w:val="28"/>
          <w:highlight w:val="none"/>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14:textFill>
            <w14:solidFill>
              <w14:schemeClr w14:val="tx1"/>
            </w14:solidFill>
          </w14:textFill>
        </w:rPr>
        <w:t>比较实例B详细情况如下：</w:t>
      </w:r>
    </w:p>
    <w:p w14:paraId="7B7DDE56">
      <w:pPr>
        <w:pStyle w:val="14"/>
        <w:spacing w:line="480" w:lineRule="exact" w:before="0" w:after="0"/>
        <w:ind w:firstLine="0" w:firstLineChars="0"/>
        <w:jc w:val="center"/>
        <w:outlineLvl w:val="9"/>
        <w:rPr>
          <w:rFonts w:eastAsia="仿宋_GB2312"/>
          <w:b/>
          <w:bCs/>
          <w:color w:val="000000" w:themeColor="text1"/>
          <w:highlight w:val="none"/>
          <w14:textFill>
            <w14:solidFill>
              <w14:schemeClr w14:val="tx1"/>
            </w14:solidFill>
          </w14:textFill>
        </w:rPr>
      </w:pPr>
      <w:r>
        <w:rPr>
          <w:rFonts w:eastAsia="仿宋_GB2312" w:ascii="仿宋_GB2312" w:hAnsi="仿宋_GB2312" w:cs="仿宋_GB2312"/>
          <w:b/>
          <w:color w:val="000000" w:themeColor="text1"/>
          <w:sz w:val="28"/>
          <w:szCs w:val="21"/>
          <w:highlight w:val="none"/>
          <w14:textFill>
            <w14:solidFill>
              <w14:schemeClr w14:val="tx1"/>
            </w14:solidFill>
          </w14:textFill>
        </w:rPr>
        <w:t>比较实例B</w:t>
      </w:r>
      <w:r>
        <w:rPr>
          <w:rFonts w:eastAsia="仿宋_GB2312" w:ascii="仿宋_GB2312" w:hAnsi="仿宋_GB2312" w:cs="仿宋_GB2312"/>
          <w:b/>
          <w:bCs/>
          <w:color w:val="000000" w:themeColor="text1"/>
          <w:sz w:val="28"/>
          <w:highlight w:val="none"/>
          <w14:textFill>
            <w14:solidFill>
              <w14:schemeClr w14:val="tx1"/>
            </w14:solidFill>
          </w14:textFill>
        </w:rPr>
        <w:t>成交公告（来源：中国土地市场网）</w:t>
      </w:r>
    </w:p>
    <w:p w14:paraId="102E8177">
      <w:pPr>
        <w:pStyle w:val="14"/>
        <w:spacing w:before="0" w:after="0" w:line="480" w:lineRule="exact"/>
        <w:ind w:left="0" w:leftChars="0" w:firstLine="0" w:firstLineChars="0"/>
        <w:jc w:val="center"/>
        <w:rPr>
          <w:rFonts w:eastAsia="仿宋_GB2312"/>
          <w:b/>
          <w:color w:val="000000" w:themeColor="text1"/>
          <w:szCs w:val="21"/>
          <w:highlight w:val="none"/>
          <w14:textFill>
            <w14:solidFill>
              <w14:schemeClr w14:val="tx1"/>
            </w14:solidFill>
          </w14:textFill>
        </w:rPr>
      </w:pPr>
      <w:r>
        <w:rPr>
          <w:rFonts w:ascii="仿宋_GB2312" w:hAnsi="仿宋_GB2312" w:eastAsia="仿宋_GB2312" w:cs="仿宋_GB2312"/>
          <w:color w:val="000000" w:themeColor="text1"/>
          <w:sz w:val="28"/>
          <w:highlight w:val="none"/>
          <w14:textFill>
            <w14:solidFill>
              <w14:schemeClr w14:val="tx1"/>
            </w14:solidFill>
          </w14:textFill>
        </w:rPr>
        <w:drawing>
          <wp:inline distT="0" distB="0" distL="114300" distR="114300">
            <wp:extent cx="5271770" cy="3158490"/>
            <wp:effectExtent l="0" t="0" r="1270" b="11430"/>
            <wp:docPr id="4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
                    <pic:cNvPicPr>
                      <a:picLocks noChangeAspect="1"/>
                    </pic:cNvPicPr>
                  </pic:nvPicPr>
                  <pic:blipFill>
                    <a:blip r:embed="rId40"/>
                    <a:stretch>
                      <a:fillRect/>
                    </a:stretch>
                  </pic:blipFill>
                  <pic:spPr>
                    <a:xfrm>
                      <a:off x="0" y="0"/>
                      <a:ext cx="5271770" cy="3158490"/>
                    </a:xfrm>
                    <a:prstGeom prst="rect">
                      <a:avLst/>
                    </a:prstGeom>
                    <a:noFill/>
                    <a:ln>
                      <a:noFill/>
                    </a:ln>
                  </pic:spPr>
                </pic:pic>
              </a:graphicData>
            </a:graphic>
          </wp:inline>
        </w:drawing>
      </w:r>
      <w:r>
        <w:rPr>
          <w:rFonts w:eastAsia="仿宋_GB2312" w:ascii="仿宋_GB2312" w:hAnsi="仿宋_GB2312" w:cs="仿宋_GB2312"/>
          <w:b/>
          <w:color w:val="000000" w:themeColor="text1"/>
          <w:sz w:val="28"/>
          <w:szCs w:val="21"/>
          <w:highlight w:val="none"/>
          <w14:textFill>
            <w14:solidFill>
              <w14:schemeClr w14:val="tx1"/>
            </w14:solidFill>
          </w14:textFill>
        </w:rPr>
        <w:t>比较实例B位置图及现状图</w:t>
      </w:r>
    </w:p>
    <w:tbl>
      <w:tblPr>
        <w:tblStyle w:val="10"/>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0"/>
        <w:gridCol w:w="4056"/>
        <w:gridCol w:w="4056"/>
      </w:tblGrid>
      <w:tr w14:paraId="02568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363" w:type="pct"/>
            <w:vAlign w:val="center"/>
          </w:tcPr>
          <w:p w14:paraId="6C10628A">
            <w:pPr>
              <w:pStyle w:val="14"/>
              <w:keepNext w:val="0"/>
              <w:keepLines w:val="0"/>
              <w:suppressLineNumbers w:val="0"/>
              <w:spacing w:before="0" w:beforeAutospacing="0" w:after="0" w:afterAutospacing="0"/>
              <w:ind w:left="0" w:right="0" w:firstLine="0" w:firstLineChars="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w:t>
            </w:r>
          </w:p>
        </w:tc>
        <w:tc>
          <w:tcPr>
            <w:tcW w:w="2285" w:type="pct"/>
            <w:vAlign w:val="center"/>
          </w:tcPr>
          <w:p w14:paraId="0B9C91CD">
            <w:pPr>
              <w:pStyle w:val="14"/>
              <w:keepNext w:val="0"/>
              <w:keepLines w:val="0"/>
              <w:suppressLineNumbers w:val="0"/>
              <w:spacing w:before="0" w:beforeAutospacing="0" w:after="0" w:afterAutospacing="0"/>
              <w:ind w:left="0" w:right="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实例位置图</w:t>
            </w:r>
          </w:p>
        </w:tc>
        <w:tc>
          <w:tcPr>
            <w:tcW w:w="2350" w:type="pct"/>
            <w:vAlign w:val="center"/>
          </w:tcPr>
          <w:p w14:paraId="721A9899">
            <w:pPr>
              <w:pStyle w:val="14"/>
              <w:keepNext w:val="0"/>
              <w:keepLines w:val="0"/>
              <w:suppressLineNumbers w:val="0"/>
              <w:spacing w:before="0" w:beforeAutospacing="0" w:after="0" w:afterAutospacing="0"/>
              <w:ind w:left="0" w:right="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实例现状图</w:t>
            </w:r>
          </w:p>
        </w:tc>
      </w:tr>
      <w:tr w14:paraId="4C347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3" w:hRule="atLeast"/>
        </w:trPr>
        <w:tc>
          <w:tcPr>
            <w:tcW w:w="363" w:type="pct"/>
            <w:vAlign w:val="center"/>
          </w:tcPr>
          <w:p w14:paraId="30CBF3F6">
            <w:pPr>
              <w:pStyle w:val="14"/>
              <w:keepNext w:val="0"/>
              <w:keepLines w:val="0"/>
              <w:suppressLineNumbers w:val="0"/>
              <w:spacing w:before="0" w:beforeAutospacing="0" w:after="0" w:afterAutospacing="0"/>
              <w:ind w:left="0" w:right="0" w:firstLine="0" w:firstLineChars="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实例B</w:t>
            </w:r>
          </w:p>
        </w:tc>
        <w:tc>
          <w:tcPr>
            <w:tcW w:w="2285" w:type="pct"/>
            <w:vAlign w:val="center"/>
          </w:tcPr>
          <w:p w14:paraId="24BAA9DC">
            <w:pPr>
              <w:pStyle w:val="14"/>
              <w:keepNext w:val="0"/>
              <w:keepLines w:val="0"/>
              <w:suppressLineNumbers w:val="0"/>
              <w:spacing w:before="0" w:beforeAutospacing="0" w:after="0" w:afterAutospacing="0"/>
              <w:ind w:left="0" w:right="0" w:firstLine="0" w:firstLineChars="0"/>
              <w:rPr>
                <w:rFonts w:hint="eastAsia" w:ascii="仿宋_GB2312" w:hAnsi="仿宋_GB2312" w:eastAsia="仿宋_GB2312" w:cs="仿宋_GB2312"/>
                <w:color w:val="000000" w:themeColor="text1"/>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zCs w:val="21"/>
                <w:highlight w:val="none"/>
                <w:lang w:eastAsia="zh-CN"/>
                <w14:textFill>
                  <w14:solidFill>
                    <w14:schemeClr w14:val="tx1"/>
                  </w14:solidFill>
                </w14:textFill>
              </w:rPr>
              <w:drawing>
                <wp:inline distT="0" distB="0" distL="114300" distR="114300">
                  <wp:extent cx="2628265" cy="1572895"/>
                  <wp:effectExtent l="0" t="0" r="8255" b="12065"/>
                  <wp:docPr id="36" name="图片 36" descr="案例B位置"/>
                  <wp:cNvGraphicFramePr/>
                  <a:graphic xmlns:a="http://schemas.openxmlformats.org/drawingml/2006/main">
                    <a:graphicData uri="http://schemas.openxmlformats.org/drawingml/2006/picture">
                      <pic:pic xmlns:pic="http://schemas.openxmlformats.org/drawingml/2006/picture">
                        <pic:nvPicPr>
                          <pic:cNvPr id="36" name="图片 36" descr="案例B位置"/>
                          <pic:cNvPicPr/>
                        </pic:nvPicPr>
                        <pic:blipFill>
                          <a:blip r:embed="rId41"/>
                          <a:srcRect l="8609" r="11894"/>
                          <a:stretch>
                            <a:fillRect/>
                          </a:stretch>
                        </pic:blipFill>
                        <pic:spPr>
                          <a:xfrm>
                            <a:off x="0" y="0"/>
                            <a:ext cx="2628265" cy="1572895"/>
                          </a:xfrm>
                          <a:prstGeom prst="rect">
                            <a:avLst/>
                          </a:prstGeom>
                        </pic:spPr>
                      </pic:pic>
                    </a:graphicData>
                  </a:graphic>
                </wp:inline>
              </w:drawing>
            </w:r>
          </w:p>
        </w:tc>
        <w:tc>
          <w:tcPr>
            <w:tcW w:w="2350" w:type="pct"/>
            <w:vAlign w:val="center"/>
          </w:tcPr>
          <w:p w14:paraId="32DDA442">
            <w:pPr>
              <w:pStyle w:val="14"/>
              <w:keepNext w:val="0"/>
              <w:keepLines w:val="0"/>
              <w:suppressLineNumbers w:val="0"/>
              <w:spacing w:before="0" w:beforeAutospacing="0" w:after="0" w:afterAutospacing="0"/>
              <w:ind w:left="0" w:right="0" w:firstLine="0" w:firstLineChars="0"/>
              <w:rPr>
                <w:rFonts w:ascii="仿宋_GB2312" w:hAnsi="仿宋_GB2312" w:eastAsia="仿宋_GB2312" w:cs="仿宋_GB2312"/>
                <w:color w:val="000000" w:themeColor="text1"/>
                <w:szCs w:val="21"/>
                <w:highlight w:val="none"/>
                <w14:textFill>
                  <w14:solidFill>
                    <w14:schemeClr w14:val="tx1"/>
                  </w14:solidFill>
                </w14:textFill>
              </w:rPr>
            </w:pPr>
            <w:r>
              <w:rPr>
                <w:rFonts w:hint="eastAsia"/>
                <w:color w:val="000000" w:themeColor="text1"/>
                <w:highlight w:val="none"/>
                <w14:textFill>
                  <w14:solidFill>
                    <w14:schemeClr w14:val="tx1"/>
                  </w14:solidFill>
                </w14:textFill>
              </w:rPr>
              <w:drawing>
                <wp:inline distT="0" distB="0" distL="114300" distR="114300">
                  <wp:extent cx="2628265" cy="1572895"/>
                  <wp:effectExtent l="0" t="0" r="8255" b="12065"/>
                  <wp:docPr id="37" name="图片 37" descr="微信图片_20201222145553"/>
                  <wp:cNvGraphicFramePr/>
                  <a:graphic xmlns:a="http://schemas.openxmlformats.org/drawingml/2006/main">
                    <a:graphicData uri="http://schemas.openxmlformats.org/drawingml/2006/picture">
                      <pic:pic xmlns:pic="http://schemas.openxmlformats.org/drawingml/2006/picture">
                        <pic:nvPicPr>
                          <pic:cNvPr id="37" name="图片 37" descr="微信图片_20201222145553"/>
                          <pic:cNvPicPr/>
                        </pic:nvPicPr>
                        <pic:blipFill>
                          <a:blip r:embed="rId42" cstate="print">
                            <a:extLst>
                              <a:ext uri="{28A0092B-C50C-407E-A947-70E740481C1C}">
                                <a14:useLocalDpi xmlns:a14="http://schemas.microsoft.com/office/drawing/2010/main" val="0"/>
                              </a:ext>
                            </a:extLst>
                          </a:blip>
                          <a:srcRect l="2073" t="17109" r="42863" b="31843"/>
                          <a:stretch>
                            <a:fillRect/>
                          </a:stretch>
                        </pic:blipFill>
                        <pic:spPr>
                          <a:xfrm>
                            <a:off x="0" y="0"/>
                            <a:ext cx="2628265" cy="1572895"/>
                          </a:xfrm>
                          <a:prstGeom prst="rect">
                            <a:avLst/>
                          </a:prstGeom>
                        </pic:spPr>
                      </pic:pic>
                    </a:graphicData>
                  </a:graphic>
                </wp:inline>
              </w:drawing>
            </w:r>
          </w:p>
        </w:tc>
      </w:tr>
    </w:tbl>
    <w:p w14:paraId="7E168ECF">
      <w:pPr>
        <w:spacing w:before="0" w:after="0" w:line="480" w:lineRule="exact"/>
        <w:rPr>
          <w:rFonts w:eastAsia="仿宋_GB2312"/>
          <w:b/>
          <w:bCs/>
          <w:color w:val="000000" w:themeColor="text1"/>
          <w:sz w:val="28"/>
          <w:szCs w:val="28"/>
          <w:highlight w:val="none"/>
          <w14:textFill>
            <w14:solidFill>
              <w14:schemeClr w14:val="tx1"/>
            </w14:solidFill>
          </w14:textFill>
        </w:rPr>
      </w:pPr>
      <w:r>
        <w:rPr>
          <w:rFonts w:eastAsia="仿宋_GB2312" w:ascii="仿宋_GB2312" w:hAnsi="仿宋_GB2312" w:cs="仿宋_GB2312"/>
          <w:b/>
          <w:bCs/>
          <w:color w:val="000000" w:themeColor="text1"/>
          <w:sz w:val="28"/>
          <w:szCs w:val="28"/>
          <w:highlight w:val="none"/>
          <w14:textFill>
            <w14:solidFill>
              <w14:schemeClr w14:val="tx1"/>
            </w14:solidFill>
          </w14:textFill>
        </w:rPr>
        <w:br w:type="page"/>
      </w:r>
      <w:r>
        <w:rPr>
          <w:rFonts w:eastAsia="仿宋_GB2312" w:ascii="仿宋_GB2312" w:hAnsi="仿宋_GB2312" w:cs="仿宋_GB2312"/>
          <w:b/>
          <w:bCs/>
          <w:color w:val="000000" w:themeColor="text1"/>
          <w:sz w:val="28"/>
          <w:szCs w:val="28"/>
          <w:highlight w:val="none"/>
          <w14:textFill>
            <w14:solidFill>
              <w14:schemeClr w14:val="tx1"/>
            </w14:solidFill>
          </w14:textFill>
        </w:rPr>
        <w:t>比较实例C详细情况如下：</w:t>
      </w:r>
    </w:p>
    <w:p w14:paraId="736EFE6E">
      <w:pPr>
        <w:pStyle w:val="14"/>
        <w:spacing w:line="480" w:lineRule="exact" w:before="0" w:after="0"/>
        <w:ind w:firstLine="0" w:firstLineChars="0"/>
        <w:jc w:val="center"/>
        <w:rPr>
          <w:rFonts w:eastAsia="仿宋_GB2312"/>
          <w:b/>
          <w:bCs/>
          <w:color w:val="000000" w:themeColor="text1"/>
          <w:highlight w:val="none"/>
          <w14:textFill>
            <w14:solidFill>
              <w14:schemeClr w14:val="tx1"/>
            </w14:solidFill>
          </w14:textFill>
        </w:rPr>
      </w:pPr>
      <w:r>
        <w:rPr>
          <w:rFonts w:eastAsia="仿宋_GB2312" w:ascii="仿宋_GB2312" w:hAnsi="仿宋_GB2312" w:cs="仿宋_GB2312"/>
          <w:b/>
          <w:color w:val="000000" w:themeColor="text1"/>
          <w:sz w:val="28"/>
          <w:szCs w:val="21"/>
          <w:highlight w:val="none"/>
          <w14:textFill>
            <w14:solidFill>
              <w14:schemeClr w14:val="tx1"/>
            </w14:solidFill>
          </w14:textFill>
        </w:rPr>
        <w:t>比较实例C</w:t>
      </w:r>
      <w:r>
        <w:rPr>
          <w:rFonts w:eastAsia="仿宋_GB2312" w:ascii="仿宋_GB2312" w:hAnsi="仿宋_GB2312" w:cs="仿宋_GB2312"/>
          <w:b/>
          <w:bCs/>
          <w:color w:val="000000" w:themeColor="text1"/>
          <w:sz w:val="28"/>
          <w:highlight w:val="none"/>
          <w14:textFill>
            <w14:solidFill>
              <w14:schemeClr w14:val="tx1"/>
            </w14:solidFill>
          </w14:textFill>
        </w:rPr>
        <w:t>成交公告（来源：中国土地市场网）</w:t>
      </w:r>
    </w:p>
    <w:p w14:paraId="4ED4690A">
      <w:pPr>
        <w:pStyle w:val="14"/>
        <w:spacing w:before="0" w:after="0" w:line="480" w:lineRule="exact"/>
        <w:ind w:firstLine="422"/>
        <w:jc w:val="center"/>
        <w:rPr>
          <w:color w:val="000000" w:themeColor="text1"/>
          <w:highlight w:val="none"/>
          <w14:textFill>
            <w14:solidFill>
              <w14:schemeClr w14:val="tx1"/>
            </w14:solidFill>
          </w14:textFill>
        </w:rPr>
      </w:pPr>
      <w:r>
        <w:rPr>
          <w:rFonts w:eastAsia="仿宋_GB2312" w:ascii="仿宋_GB2312" w:hAnsi="仿宋_GB2312" w:cs="仿宋_GB2312"/>
          <w:b/>
          <w:color w:val="000000" w:themeColor="text1"/>
          <w:sz w:val="28"/>
          <w:szCs w:val="21"/>
          <w:highlight w:val="none"/>
          <w14:textFill>
            <w14:solidFill>
              <w14:schemeClr w14:val="tx1"/>
            </w14:solidFill>
          </w14:textFill>
        </w:rPr>
        <w:t>比较实例C位置图及现状图</w:t>
      </w:r>
    </w:p>
    <w:tbl>
      <w:tblPr>
        <w:tblStyle w:val="10"/>
        <w:tblpPr w:leftFromText="180" w:rightFromText="180" w:vertAnchor="text" w:horzAnchor="page" w:tblpX="1453" w:tblpY="26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0"/>
        <w:gridCol w:w="4056"/>
        <w:gridCol w:w="4056"/>
      </w:tblGrid>
      <w:tr w14:paraId="2610C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6894920">
            <w:pPr>
              <w:pStyle w:val="14"/>
              <w:keepNext w:val="0"/>
              <w:keepLines w:val="0"/>
              <w:suppressLineNumbers w:val="0"/>
              <w:spacing w:before="0" w:beforeAutospacing="0" w:after="0" w:afterAutospacing="0"/>
              <w:ind w:left="0" w:right="0" w:firstLine="0" w:firstLineChars="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w:t>
            </w:r>
          </w:p>
        </w:tc>
        <w:tc>
          <w:tcPr>
            <w:tcW w:w="0" w:type="auto"/>
            <w:vAlign w:val="center"/>
          </w:tcPr>
          <w:p w14:paraId="4DCCF32F">
            <w:pPr>
              <w:pStyle w:val="14"/>
              <w:keepNext w:val="0"/>
              <w:keepLines w:val="0"/>
              <w:suppressLineNumbers w:val="0"/>
              <w:spacing w:before="0" w:beforeAutospacing="0" w:after="0" w:afterAutospacing="0"/>
              <w:ind w:left="0" w:right="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实例位置图</w:t>
            </w:r>
          </w:p>
        </w:tc>
        <w:tc>
          <w:tcPr>
            <w:tcW w:w="0" w:type="auto"/>
            <w:vAlign w:val="center"/>
          </w:tcPr>
          <w:p w14:paraId="459A7A21">
            <w:pPr>
              <w:pStyle w:val="14"/>
              <w:keepNext w:val="0"/>
              <w:keepLines w:val="0"/>
              <w:suppressLineNumbers w:val="0"/>
              <w:spacing w:before="0" w:beforeAutospacing="0" w:after="0" w:afterAutospacing="0"/>
              <w:ind w:left="0" w:right="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实例现状图</w:t>
            </w:r>
          </w:p>
        </w:tc>
      </w:tr>
      <w:tr w14:paraId="518A1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0" w:hRule="atLeast"/>
        </w:trPr>
        <w:tc>
          <w:tcPr>
            <w:tcW w:w="0" w:type="auto"/>
            <w:vAlign w:val="center"/>
          </w:tcPr>
          <w:p w14:paraId="25BE6313">
            <w:pPr>
              <w:pStyle w:val="14"/>
              <w:keepNext w:val="0"/>
              <w:keepLines w:val="0"/>
              <w:suppressLineNumbers w:val="0"/>
              <w:spacing w:before="0" w:beforeAutospacing="0" w:after="0" w:afterAutospacing="0"/>
              <w:ind w:left="0" w:right="0" w:firstLine="0" w:firstLineChars="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实例C</w:t>
            </w:r>
          </w:p>
        </w:tc>
        <w:tc>
          <w:tcPr>
            <w:tcW w:w="0" w:type="auto"/>
            <w:vAlign w:val="center"/>
          </w:tcPr>
          <w:p w14:paraId="4D1AE78D">
            <w:pPr>
              <w:pStyle w:val="14"/>
              <w:keepNext w:val="0"/>
              <w:keepLines w:val="0"/>
              <w:suppressLineNumbers w:val="0"/>
              <w:spacing w:before="0" w:beforeAutospacing="0" w:after="0" w:afterAutospacing="0"/>
              <w:ind w:left="0" w:right="0" w:firstLine="0" w:firstLineChars="0"/>
              <w:rPr>
                <w:rFonts w:hint="eastAsia" w:ascii="仿宋_GB2312" w:hAnsi="仿宋_GB2312" w:eastAsia="仿宋_GB2312" w:cs="仿宋_GB2312"/>
                <w:color w:val="000000" w:themeColor="text1"/>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zCs w:val="21"/>
                <w:highlight w:val="none"/>
                <w:lang w:eastAsia="zh-CN"/>
                <w14:textFill>
                  <w14:solidFill>
                    <w14:schemeClr w14:val="tx1"/>
                  </w14:solidFill>
                </w14:textFill>
              </w:rPr>
              <w:drawing>
                <wp:inline distT="0" distB="0" distL="114300" distR="114300">
                  <wp:extent cx="2628265" cy="1572895"/>
                  <wp:effectExtent l="0" t="0" r="8255" b="12065"/>
                  <wp:docPr id="33" name="图片 33" descr="比较案例C"/>
                  <wp:cNvGraphicFramePr/>
                  <a:graphic xmlns:a="http://schemas.openxmlformats.org/drawingml/2006/main">
                    <a:graphicData uri="http://schemas.openxmlformats.org/drawingml/2006/picture">
                      <pic:pic xmlns:pic="http://schemas.openxmlformats.org/drawingml/2006/picture">
                        <pic:nvPicPr>
                          <pic:cNvPr id="33" name="图片 33" descr="比较案例C"/>
                          <pic:cNvPicPr/>
                        </pic:nvPicPr>
                        <pic:blipFill>
                          <a:blip r:embed="rId44"/>
                          <a:stretch>
                            <a:fillRect/>
                          </a:stretch>
                        </pic:blipFill>
                        <pic:spPr>
                          <a:xfrm>
                            <a:off x="0" y="0"/>
                            <a:ext cx="2628265" cy="1572895"/>
                          </a:xfrm>
                          <a:prstGeom prst="rect">
                            <a:avLst/>
                          </a:prstGeom>
                        </pic:spPr>
                      </pic:pic>
                    </a:graphicData>
                  </a:graphic>
                </wp:inline>
              </w:drawing>
            </w:r>
          </w:p>
        </w:tc>
        <w:tc>
          <w:tcPr>
            <w:tcW w:w="0" w:type="auto"/>
            <w:vAlign w:val="center"/>
          </w:tcPr>
          <w:p w14:paraId="45D65965">
            <w:pPr>
              <w:pStyle w:val="14"/>
              <w:keepNext w:val="0"/>
              <w:keepLines w:val="0"/>
              <w:suppressLineNumbers w:val="0"/>
              <w:spacing w:before="0" w:beforeAutospacing="0" w:after="0" w:afterAutospacing="0"/>
              <w:ind w:left="0" w:right="0" w:firstLine="0" w:firstLineChars="0"/>
              <w:rPr>
                <w:rFonts w:ascii="仿宋_GB2312" w:hAnsi="仿宋_GB2312" w:eastAsia="仿宋_GB2312" w:cs="仿宋_GB2312"/>
                <w:color w:val="000000" w:themeColor="text1"/>
                <w:szCs w:val="21"/>
                <w:highlight w:val="none"/>
                <w14:textFill>
                  <w14:solidFill>
                    <w14:schemeClr w14:val="tx1"/>
                  </w14:solidFill>
                </w14:textFill>
              </w:rPr>
            </w:pPr>
            <w:r>
              <w:rPr>
                <w:rFonts w:ascii="仿宋_GB2312" w:eastAsia="仿宋_GB2312"/>
                <w:color w:val="000000" w:themeColor="text1"/>
                <w:sz w:val="28"/>
                <w:szCs w:val="30"/>
                <w:highlight w:val="none"/>
                <w14:textFill>
                  <w14:solidFill>
                    <w14:schemeClr w14:val="tx1"/>
                  </w14:solidFill>
                </w14:textFill>
              </w:rPr>
              <w:drawing>
                <wp:inline distT="0" distB="0" distL="114300" distR="114300">
                  <wp:extent cx="2628265" cy="1572895"/>
                  <wp:effectExtent l="0" t="0" r="8255" b="12065"/>
                  <wp:docPr id="59" name="图片 3" descr="E:/永湘共享文件/外勘图片/2022年外勘/2022年12月13日外勘/长沙恩吉实业投资有限公司宗地/微信图片_202212131552021.jpg微信图片_202212131552021"/>
                  <wp:cNvGraphicFramePr/>
                  <a:graphic xmlns:a="http://schemas.openxmlformats.org/drawingml/2006/main">
                    <a:graphicData uri="http://schemas.openxmlformats.org/drawingml/2006/picture">
                      <pic:pic xmlns:pic="http://schemas.openxmlformats.org/drawingml/2006/picture">
                        <pic:nvPicPr>
                          <pic:cNvPr id="59" name="图片 3" descr="E:/永湘共享文件/外勘图片/2022年外勘/2022年12月13日外勘/长沙恩吉实业投资有限公司宗地/微信图片_202212131552021.jpg微信图片_202212131552021"/>
                          <pic:cNvPicPr/>
                        </pic:nvPicPr>
                        <pic:blipFill>
                          <a:blip r:embed="rId45"/>
                          <a:srcRect t="10974" b="10974"/>
                          <a:stretch>
                            <a:fillRect/>
                          </a:stretch>
                        </pic:blipFill>
                        <pic:spPr>
                          <a:xfrm>
                            <a:off x="0" y="0"/>
                            <a:ext cx="2628265" cy="1572895"/>
                          </a:xfrm>
                          <a:prstGeom prst="rect">
                            <a:avLst/>
                          </a:prstGeom>
                          <a:noFill/>
                          <a:ln>
                            <a:noFill/>
                          </a:ln>
                        </pic:spPr>
                      </pic:pic>
                    </a:graphicData>
                  </a:graphic>
                </wp:inline>
              </w:drawing>
            </w:r>
          </w:p>
        </w:tc>
      </w:tr>
    </w:tbl>
    <w:p w14:paraId="1856B96D">
      <w:pPr>
        <w:pStyle w:val="14"/>
        <w:jc w:val="center"/>
        <w:rPr>
          <w:color w:val="000000" w:themeColor="text1"/>
          <w:highlight w:val="none"/>
          <w14:textFill>
            <w14:solidFill>
              <w14:schemeClr w14:val="tx1"/>
            </w14:solidFill>
          </w14:textFill>
        </w:rPr>
      </w:pPr>
    </w:p>
    <w:p w14:paraId="49065A06">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19E6ADA7">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4F1D14D7">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54A649C7">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1C6CEC57">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7C1E27F3">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5A70F61B">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3.建立价格可比基础</w:t>
      </w:r>
    </w:p>
    <w:p w14:paraId="55D9ACF5">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选取了比较实例后，一般应先对这些比较实例的成交价格进行换算处理，对价格内涵和形式进行“标准化”，使它们之间的口径一致、相互可比，为后续对比较实例成交价格进行修正和调整建立一个共同的基础。</w:t>
      </w:r>
    </w:p>
    <w:p w14:paraId="6D383542">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建立可比基础一般要做以下工作：①统一付款方式；②统一币种和货币单位；③统一面积内涵和面积单位等。</w:t>
      </w:r>
    </w:p>
    <w:p w14:paraId="11DD5D81">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根据对比较实例成交价格内涵和形式的调查分析与待估宗地价格比较，两者相同，具体情况为：付款方式为在交易日期一次性付清，税费负担为各付各税，计价单位为人民币元/平方米.土地面积，面积内涵不包含非土地成分，土地实物范围没有特殊情况，土地面积单位为平方米等。</w:t>
      </w:r>
    </w:p>
    <w:p w14:paraId="0399D17D">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可比实例与估价对象在付款方式、币种、货币单位、面积内涵和面积单位是统一的，价格可比基础相同，故无需进行调整。</w:t>
      </w:r>
    </w:p>
    <w:p w14:paraId="0FB91129">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4.比较因素的选择</w:t>
      </w:r>
    </w:p>
    <w:p w14:paraId="30F02594">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根据估价对象的宗地条件，影响估价对象价格的主要因素有：</w:t>
      </w:r>
    </w:p>
    <w:p w14:paraId="1F3D7141">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①交易时间：根据地价指数，确定估价期日修正系数。</w:t>
      </w:r>
    </w:p>
    <w:p w14:paraId="5EBC8558">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②交易情况：主要指交易是否正常、公开、公平、自愿的交易。</w:t>
      </w:r>
    </w:p>
    <w:p w14:paraId="54338407">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③交易方式：主要指拍卖、招标、挂牌、协议出让、转让、企业改制、抵押等。</w:t>
      </w:r>
    </w:p>
    <w:p w14:paraId="1BBD88EB">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④土地用途：是指土地的具体用途，如商服用地、住宅用地、工矿仓储用地等。</w:t>
      </w:r>
    </w:p>
    <w:p w14:paraId="1D4B38A7">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⑤土地级别：级别相同、相近或可修正。</w:t>
      </w:r>
    </w:p>
    <w:p w14:paraId="2AB22DC3">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⑥土地使用年期：指待估宗地和比较实例的土地使用年期。</w:t>
      </w:r>
    </w:p>
    <w:p w14:paraId="1E6A0652">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⑦区域因素：主要有</w:t>
      </w:r>
      <w:r>
        <w:rPr>
          <w:rFonts w:hint="eastAsia" w:ascii="仿宋_GB2312" w:eastAsia="仿宋_GB2312" w:cs="仿宋_GB2312" w:hAnsi="仿宋_GB2312"/>
          <w:color w:val="000000" w:themeColor="text1"/>
          <w:sz w:val="28"/>
          <w:szCs w:val="30"/>
          <w:highlight w:val="none"/>
          <w:lang w:val="en-US" w:eastAsia="zh-CN"/>
          <w14:textFill>
            <w14:solidFill>
              <w14:schemeClr w14:val="tx1"/>
            </w14:solidFill>
          </w14:textFill>
        </w:rPr>
        <w:t>距高速出入口距离、距货运火车站距离、临近道路状况、产业集聚程度、公共配套设施完善度、环境质量优劣度</w: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等。</w:t>
      </w:r>
    </w:p>
    <w:p w14:paraId="326EADCC">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fldChar w:fldCharType="begin"/>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instrText xml:space="preserve"> = 8 \* GB3 \* MERGEFORMAT </w:instrTex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fldChar w:fldCharType="separate"/>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⑧</w: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fldChar w:fldCharType="end"/>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个别因素：主要有宗地</w:t>
      </w:r>
      <w:r>
        <w:rPr>
          <w:rFonts w:hint="eastAsia" w:ascii="仿宋_GB2312" w:eastAsia="仿宋_GB2312" w:cs="仿宋_GB2312" w:hAnsi="仿宋_GB2312"/>
          <w:color w:val="000000" w:themeColor="text1"/>
          <w:sz w:val="28"/>
          <w:szCs w:val="30"/>
          <w:highlight w:val="none"/>
          <w:lang w:val="en-US" w:eastAsia="zh-CN"/>
          <w14:textFill>
            <w14:solidFill>
              <w14:schemeClr w14:val="tx1"/>
            </w14:solidFill>
          </w14:textFill>
        </w:rPr>
        <w:t>规模</w: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、宗地形状、</w:t>
      </w:r>
      <w:r>
        <w:rPr>
          <w:rFonts w:hint="eastAsia" w:ascii="仿宋_GB2312" w:eastAsia="仿宋_GB2312" w:cs="仿宋_GB2312" w:hAnsi="仿宋_GB2312"/>
          <w:color w:val="000000" w:themeColor="text1"/>
          <w:sz w:val="28"/>
          <w:szCs w:val="30"/>
          <w:highlight w:val="none"/>
          <w:lang w:val="en-US" w:eastAsia="zh-CN"/>
          <w14:textFill>
            <w14:solidFill>
              <w14:schemeClr w14:val="tx1"/>
            </w14:solidFill>
          </w14:textFill>
        </w:rPr>
        <w:t>地势</w: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w:t>
      </w:r>
      <w:r>
        <w:rPr>
          <w:rFonts w:hint="eastAsia" w:ascii="仿宋_GB2312" w:eastAsia="仿宋_GB2312" w:cs="仿宋_GB2312" w:hAnsi="仿宋_GB2312"/>
          <w:color w:val="000000" w:themeColor="text1"/>
          <w:sz w:val="28"/>
          <w:szCs w:val="30"/>
          <w:highlight w:val="none"/>
          <w:lang w:val="en-US" w:eastAsia="zh-CN"/>
          <w14:textFill>
            <w14:solidFill>
              <w14:schemeClr w14:val="tx1"/>
            </w14:solidFill>
          </w14:textFill>
        </w:rPr>
        <w:t>地质</w: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、规划限制等。</w:t>
      </w:r>
    </w:p>
    <w:p w14:paraId="61964A8D">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5.比较因素条件说明</w:t>
      </w:r>
    </w:p>
    <w:p w14:paraId="3B6B07B5">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根据估价对象的特点，综合确定交易时间、交易情况、交易方式、土地用途、土地使用年期、区域因素、个别因素作为本次估价的比较因素，估价对象与可比实例的比较因素具体情况见下表：</w:t>
      </w:r>
    </w:p>
    <w:p w14:paraId="74A633D9">
      <w:pPr>
        <w:keepNext/>
        <w:spacing w:line="480" w:lineRule="exact" w:before="157" w:after="10"/>
        <w:ind w:left="0" w:right="0" w:firstLine="0"/>
        <w:jc w:val="center"/>
        <w:outlineLvl w:val="9"/>
        <w:rPr>
          <w:rFonts w:ascii="仿宋_GB2312" w:hAnsi="仿宋_GB2312" w:eastAsia="仿宋_GB2312" w:cs="仿宋_GB2312"/>
          <w:bCs/>
          <w:color w:val="000000" w:themeColor="text1"/>
          <w:sz w:val="28"/>
          <w:szCs w:val="28"/>
          <w:highlight w:val="none"/>
          <w14:textFill>
            <w14:solidFill>
              <w14:schemeClr w14:val="tx1"/>
            </w14:solidFill>
          </w14:textFill>
        </w:rPr>
      </w:pPr>
      <w:r>
        <w:rPr>
          <w:rFonts w:hint="eastAsia" w:ascii="仿宋_GB2312" w:hAnsi="仿宋_GB2312" w:eastAsia="仿宋_GB2312" w:cs="仿宋_GB2312"/>
          <w:b w:val="0"/>
          <w:bCs/>
          <w:color w:val="000000" w:themeColor="text1"/>
          <w:sz w:val="28"/>
          <w:szCs w:val="28"/>
          <w:highlight w:val="none"/>
          <w14:textFill>
            <w14:solidFill>
              <w14:schemeClr w14:val="tx1"/>
            </w14:solidFill>
          </w14:textFill>
        </w:rPr>
        <w:t>表3-</w:t>
      </w:r>
      <w:r>
        <w:rPr>
          <w:rFonts w:hint="eastAsia" w:ascii="仿宋_GB2312" w:hAnsi="仿宋_GB2312" w:eastAsia="仿宋_GB2312" w:cs="仿宋_GB2312"/>
          <w:b w:val="0"/>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 w:val="0"/>
          <w:bCs/>
          <w:color w:val="000000" w:themeColor="text1"/>
          <w:sz w:val="28"/>
          <w:szCs w:val="28"/>
          <w:highlight w:val="none"/>
          <w14:textFill>
            <w14:solidFill>
              <w14:schemeClr w14:val="tx1"/>
            </w14:solidFill>
          </w14:textFill>
        </w:rPr>
        <w:t xml:space="preserve"> 比较因素条件说明表</w:t>
      </w:r>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375"/>
        <w:gridCol w:w="375"/>
        <w:gridCol w:w="1870"/>
        <w:gridCol w:w="1546"/>
        <w:gridCol w:w="1453"/>
        <w:gridCol w:w="1451"/>
        <w:gridCol w:w="1452"/>
      </w:tblGrid>
      <w:tr w14:paraId="39B740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6AB39BE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待估宗地及本级实例</w:t>
            </w:r>
          </w:p>
        </w:tc>
        <w:tc>
          <w:tcPr>
            <w:tcW w:w="907"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2"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01BC78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A31AC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85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7646930">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85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CC6A8BC">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85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D7F53D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r>
      <w:tr w14:paraId="367B13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31EFB7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724929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r>
      <w:tr w14:paraId="3232DA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4B0FA5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8"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r>
      <w:tr w14:paraId="55E5EA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r>
      <w:tr w14:paraId="0EE197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r>
      <w:tr w14:paraId="165B7D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r>
      <w:tr w14:paraId="011E4C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68" w:hRule="atLeast"/>
        </w:trPr>
        <w:tc>
          <w:tcPr>
            <w:tcW w:w="220" w:type="pct"/>
            <w:vMerge w:val="restart"/>
            <w:tcBorders>
              <w:top w:val="single" w:color="000000" w:sz="4" w:space="0"/>
              <w:left w:val="single" w:color="000000" w:sz="4" w:space="0"/>
              <w:bottom w:val="single" w:color="000000" w:sz="4" w:space="0"/>
              <w:right w:val="single" w:color="auto" w:sz="4" w:space="0"/>
            </w:tcBorders>
            <w:shd w:val="clear" w:color="auto" w:fill="auto"/>
            <w:vAlign w:val="center"/>
          </w:tcPr>
          <w:p>
            <w:r/>
          </w:p>
        </w:tc>
        <w:tc>
          <w:tcPr>
            <w:tcW w:w="220"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r/>
          </w:p>
        </w:tc>
        <w:tc>
          <w:tcPr>
            <w:tcW w:w="1097" w:type="pct"/>
            <w:tcBorders>
              <w:top w:val="single" w:color="auto" w:sz="4" w:space="0"/>
              <w:left w:val="single" w:color="auto" w:sz="4" w:space="0"/>
              <w:bottom w:val="single" w:color="auto" w:sz="4" w:space="0"/>
              <w:right w:val="single" w:color="auto" w:sz="4" w:space="0"/>
            </w:tcBorders>
            <w:shd w:val="clear" w:color="auto" w:fill="auto"/>
            <w:vAlign w:val="center"/>
          </w:tcPr>
          <w:p>
            <w:r/>
          </w:p>
        </w:tc>
        <w:tc>
          <w:tcPr>
            <w:tcW w:w="907" w:type="pct"/>
            <w:tcBorders>
              <w:top w:val="single" w:color="000000" w:sz="4" w:space="0"/>
              <w:left w:val="single" w:color="auto"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643CC2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68" w:hRule="atLeast"/>
        </w:trPr>
        <w:tc>
          <w:tcPr>
            <w:tcW w:w="220" w:type="pct"/>
            <w:vMerge w:val="continue"/>
            <w:tcBorders>
              <w:top w:val="single" w:color="000000" w:sz="4" w:space="0"/>
              <w:left w:val="single" w:color="000000" w:sz="4" w:space="0"/>
              <w:bottom w:val="single" w:color="000000" w:sz="4" w:space="0"/>
              <w:right w:val="single" w:color="auto" w:sz="4" w:space="0"/>
            </w:tcBorders>
            <w:shd w:val="clear" w:color="auto" w:fill="auto"/>
            <w:vAlign w:val="center"/>
          </w:tcPr>
          <w:p w14:paraId="4B6853A0">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220" w:type="pct"/>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1900787A">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097" w:type="pct"/>
            <w:tcBorders>
              <w:top w:val="single" w:color="auto" w:sz="4" w:space="0"/>
              <w:left w:val="single" w:color="auto" w:sz="4" w:space="0"/>
              <w:bottom w:val="single" w:color="auto" w:sz="4" w:space="0"/>
              <w:right w:val="single" w:color="auto" w:sz="4" w:space="0"/>
            </w:tcBorders>
            <w:shd w:val="clear" w:color="auto" w:fill="auto"/>
            <w:noWrap/>
            <w:vAlign w:val="center"/>
          </w:tcPr>
          <w:p>
            <w:r/>
          </w:p>
        </w:tc>
        <w:tc>
          <w:tcPr>
            <w:tcW w:w="907" w:type="pct"/>
            <w:tcBorders>
              <w:top w:val="single" w:color="000000" w:sz="4" w:space="0"/>
              <w:left w:val="single" w:color="auto"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005607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auto" w:sz="4" w:space="0"/>
            </w:tcBorders>
            <w:shd w:val="clear" w:color="auto" w:fill="auto"/>
            <w:vAlign w:val="center"/>
          </w:tcPr>
          <w:p w14:paraId="1E8A677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220"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707443B">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097" w:type="pct"/>
            <w:tcBorders>
              <w:top w:val="single" w:color="auto" w:sz="4" w:space="0"/>
              <w:left w:val="single" w:color="auto" w:sz="4" w:space="0"/>
              <w:bottom w:val="single" w:color="auto" w:sz="4" w:space="0"/>
              <w:right w:val="single" w:color="auto" w:sz="4" w:space="0"/>
            </w:tcBorders>
            <w:shd w:val="clear" w:color="auto" w:fill="auto"/>
            <w:vAlign w:val="center"/>
          </w:tcPr>
          <w:p>
            <w:r/>
          </w:p>
        </w:tc>
        <w:tc>
          <w:tcPr>
            <w:tcW w:w="907" w:type="pct"/>
            <w:tcBorders>
              <w:top w:val="single" w:color="000000" w:sz="4" w:space="0"/>
              <w:left w:val="single" w:color="auto"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089F85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8" w:hRule="atLeast"/>
        </w:trPr>
        <w:tc>
          <w:tcPr>
            <w:tcW w:w="220" w:type="pct"/>
            <w:vMerge w:val="continue"/>
            <w:tcBorders>
              <w:top w:val="single" w:color="000000" w:sz="4" w:space="0"/>
              <w:left w:val="single" w:color="000000" w:sz="4" w:space="0"/>
              <w:bottom w:val="single" w:color="000000" w:sz="4" w:space="0"/>
              <w:right w:val="single" w:color="auto" w:sz="4" w:space="0"/>
            </w:tcBorders>
            <w:shd w:val="clear" w:color="auto" w:fill="auto"/>
            <w:vAlign w:val="center"/>
          </w:tcPr>
          <w:p w14:paraId="0543C483">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auto" w:sz="4" w:space="0"/>
              <w:left w:val="single" w:color="auto" w:sz="4" w:space="0"/>
              <w:bottom w:val="single" w:color="auto" w:sz="4" w:space="0"/>
              <w:right w:val="single" w:color="auto" w:sz="4" w:space="0"/>
            </w:tcBorders>
            <w:shd w:val="clear" w:color="auto" w:fill="auto"/>
            <w:vAlign w:val="center"/>
          </w:tcPr>
          <w:p>
            <w:r/>
          </w:p>
        </w:tc>
        <w:tc>
          <w:tcPr>
            <w:tcW w:w="907" w:type="pct"/>
            <w:tcBorders>
              <w:top w:val="single" w:color="000000" w:sz="4" w:space="0"/>
              <w:left w:val="single" w:color="auto"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39EC4D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auto" w:sz="4" w:space="0"/>
            </w:tcBorders>
            <w:shd w:val="clear" w:color="auto" w:fill="auto"/>
            <w:vAlign w:val="center"/>
          </w:tcPr>
          <w:p w14:paraId="0FA1635B">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auto" w:sz="4" w:space="0"/>
              <w:left w:val="single" w:color="auto" w:sz="4" w:space="0"/>
              <w:bottom w:val="single" w:color="auto" w:sz="4" w:space="0"/>
              <w:right w:val="single" w:color="auto" w:sz="4" w:space="0"/>
            </w:tcBorders>
            <w:shd w:val="clear" w:color="auto" w:fill="auto"/>
            <w:vAlign w:val="center"/>
          </w:tcPr>
          <w:p>
            <w:r/>
          </w:p>
        </w:tc>
        <w:tc>
          <w:tcPr>
            <w:tcW w:w="907" w:type="pct"/>
            <w:tcBorders>
              <w:top w:val="single" w:color="000000" w:sz="4" w:space="0"/>
              <w:left w:val="single" w:color="auto"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7C6239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auto" w:sz="4" w:space="0"/>
            </w:tcBorders>
            <w:shd w:val="clear" w:color="auto" w:fill="auto"/>
            <w:vAlign w:val="center"/>
          </w:tcPr>
          <w:p w14:paraId="0DAE868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auto" w:sz="4" w:space="0"/>
              <w:left w:val="single" w:color="auto" w:sz="4" w:space="0"/>
              <w:bottom w:val="single" w:color="auto" w:sz="4" w:space="0"/>
              <w:right w:val="single" w:color="auto" w:sz="4" w:space="0"/>
            </w:tcBorders>
            <w:shd w:val="clear" w:color="auto" w:fill="auto"/>
            <w:vAlign w:val="center"/>
          </w:tcPr>
          <w:p>
            <w:r/>
          </w:p>
        </w:tc>
        <w:tc>
          <w:tcPr>
            <w:tcW w:w="907" w:type="pct"/>
            <w:tcBorders>
              <w:top w:val="single" w:color="000000" w:sz="4" w:space="0"/>
              <w:left w:val="single" w:color="auto"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665ED2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0"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1317" w:type="pct"/>
            <w:gridSpan w:val="2"/>
            <w:tcBorders>
              <w:top w:val="single" w:color="auto" w:sz="4" w:space="0"/>
              <w:left w:val="single" w:color="000000" w:sz="4" w:space="0"/>
              <w:bottom w:val="single" w:color="000000" w:sz="4" w:space="0"/>
              <w:right w:val="single" w:color="000000" w:sz="4" w:space="0"/>
            </w:tcBorders>
            <w:shd w:val="clear" w:color="auto" w:fill="auto"/>
            <w:vAlign w:val="center"/>
          </w:tcPr>
          <w:p>
            <w:r/>
          </w:p>
        </w:tc>
        <w:tc>
          <w:tcPr>
            <w:tcW w:w="907" w:type="pct"/>
            <w:tcBorders>
              <w:top w:val="single" w:color="000000" w:sz="4" w:space="0"/>
              <w:left w:val="single" w:color="000000" w:sz="4" w:space="0"/>
              <w:bottom w:val="nil"/>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r>
      <w:tr w14:paraId="3C061E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6721A1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46C865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D071CD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023B56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BFECEEB">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58CA27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58" w:hRule="atLeast"/>
        </w:trPr>
        <w:tc>
          <w:tcPr>
            <w:tcW w:w="22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0414A5C">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r>
    </w:tbl>
    <w:p w14:paraId="336907F7">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6.编制比较因素条件指数表</w:t>
      </w:r>
    </w:p>
    <w:tbl>
      <w:tblPr>
        <w:tblStyle w:val="9"/>
        <w:tblW w:w="543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9"/>
        <w:gridCol w:w="1828"/>
        <w:gridCol w:w="1738"/>
        <w:gridCol w:w="1723"/>
        <w:gridCol w:w="1880"/>
      </w:tblGrid>
      <w:tr w14:paraId="2665E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 w:hRule="atLeast"/>
          <w:jc w:val="center"/>
        </w:trPr>
        <w:tc>
          <w:tcPr>
            <w:tcW w:w="1128" w:type="pct"/>
            <w:noWrap w:val="0"/>
            <w:vAlign w:val="center"/>
          </w:tcPr>
          <w:p w14:paraId="2009CEE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估价对象与比较案例</w:t>
            </w:r>
          </w:p>
        </w:tc>
        <w:tc>
          <w:tcPr>
            <w:tcW w:w="987" w:type="pct"/>
            <w:noWrap w:val="0"/>
            <w:vAlign w:val="center"/>
          </w:tcPr>
          <w:p w14:paraId="259466A3">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估价对象</w:t>
            </w:r>
          </w:p>
        </w:tc>
        <w:tc>
          <w:tcPr>
            <w:tcW w:w="938" w:type="pct"/>
            <w:noWrap w:val="0"/>
            <w:vAlign w:val="center"/>
          </w:tcPr>
          <w:p w14:paraId="02468E64">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实例A</w:t>
            </w:r>
          </w:p>
        </w:tc>
        <w:tc>
          <w:tcPr>
            <w:tcW w:w="930" w:type="pct"/>
            <w:noWrap w:val="0"/>
            <w:vAlign w:val="center"/>
          </w:tcPr>
          <w:p w14:paraId="4147C464">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实例B</w:t>
            </w:r>
          </w:p>
        </w:tc>
        <w:tc>
          <w:tcPr>
            <w:tcW w:w="1015" w:type="pct"/>
            <w:noWrap w:val="0"/>
            <w:vAlign w:val="center"/>
          </w:tcPr>
          <w:p w14:paraId="14801E0B">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实例C</w:t>
            </w:r>
          </w:p>
        </w:tc>
      </w:tr>
      <w:tr w14:paraId="62639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jc w:val="center"/>
        </w:trPr>
        <w:tc>
          <w:tcPr>
            <w:tcW w:w="1128" w:type="pct"/>
            <w:noWrap w:val="0"/>
            <w:vAlign w:val="center"/>
          </w:tcPr>
          <w:p>
            <w:r/>
          </w:p>
        </w:tc>
        <w:tc>
          <w:tcPr>
            <w:tcW w:w="987" w:type="pct"/>
            <w:noWrap w:val="0"/>
            <w:vAlign w:val="center"/>
          </w:tcPr>
          <w:p>
            <w:r/>
          </w:p>
        </w:tc>
        <w:tc>
          <w:tcPr>
            <w:tcW w:w="938" w:type="pct"/>
            <w:noWrap w:val="0"/>
            <w:vAlign w:val="center"/>
          </w:tcPr>
          <w:p>
            <w:r/>
          </w:p>
        </w:tc>
        <w:tc>
          <w:tcPr>
            <w:tcW w:w="930" w:type="pct"/>
            <w:noWrap w:val="0"/>
            <w:vAlign w:val="center"/>
          </w:tcPr>
          <w:p>
            <w:r/>
          </w:p>
        </w:tc>
        <w:tc>
          <w:tcPr>
            <w:tcW w:w="1015" w:type="pct"/>
            <w:noWrap w:val="0"/>
            <w:vAlign w:val="center"/>
          </w:tcPr>
          <w:p>
            <w:r/>
          </w:p>
        </w:tc>
      </w:tr>
      <w:tr w14:paraId="269EC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 w:hRule="atLeast"/>
          <w:jc w:val="center"/>
        </w:trPr>
        <w:tc>
          <w:tcPr>
            <w:tcW w:w="1128" w:type="pct"/>
            <w:noWrap w:val="0"/>
            <w:vAlign w:val="center"/>
          </w:tcPr>
          <w:p>
            <w:r/>
          </w:p>
        </w:tc>
        <w:tc>
          <w:tcPr>
            <w:tcW w:w="987" w:type="pct"/>
            <w:noWrap w:val="0"/>
            <w:vAlign w:val="center"/>
          </w:tcPr>
          <w:p>
            <w:r/>
          </w:p>
        </w:tc>
        <w:tc>
          <w:tcPr>
            <w:tcW w:w="938" w:type="pct"/>
            <w:noWrap w:val="0"/>
            <w:vAlign w:val="center"/>
          </w:tcPr>
          <w:p>
            <w:r/>
          </w:p>
        </w:tc>
        <w:tc>
          <w:tcPr>
            <w:tcW w:w="930" w:type="pct"/>
            <w:noWrap w:val="0"/>
            <w:vAlign w:val="center"/>
          </w:tcPr>
          <w:p>
            <w:r/>
          </w:p>
        </w:tc>
        <w:tc>
          <w:tcPr>
            <w:tcW w:w="1015" w:type="pct"/>
            <w:noWrap w:val="0"/>
            <w:vAlign w:val="center"/>
          </w:tcPr>
          <w:p>
            <w:r/>
          </w:p>
        </w:tc>
      </w:tr>
      <w:tr w14:paraId="25643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jc w:val="center"/>
        </w:trPr>
        <w:tc>
          <w:tcPr>
            <w:tcW w:w="1128" w:type="pct"/>
            <w:noWrap w:val="0"/>
            <w:vAlign w:val="center"/>
          </w:tcPr>
          <w:p>
            <w:r/>
          </w:p>
        </w:tc>
        <w:tc>
          <w:tcPr>
            <w:tcW w:w="1828" w:type="dxa"/>
            <w:noWrap w:val="0"/>
            <w:vAlign w:val="center"/>
          </w:tcPr>
          <w:p>
            <w:r/>
          </w:p>
        </w:tc>
        <w:tc>
          <w:tcPr>
            <w:tcW w:w="1738" w:type="dxa"/>
            <w:noWrap w:val="0"/>
            <w:vAlign w:val="center"/>
          </w:tcPr>
          <w:p>
            <w:r/>
          </w:p>
        </w:tc>
        <w:tc>
          <w:tcPr>
            <w:tcW w:w="1723" w:type="dxa"/>
            <w:noWrap w:val="0"/>
            <w:vAlign w:val="center"/>
          </w:tcPr>
          <w:p>
            <w:r/>
          </w:p>
        </w:tc>
        <w:tc>
          <w:tcPr>
            <w:tcW w:w="1880" w:type="dxa"/>
            <w:noWrap w:val="0"/>
            <w:vAlign w:val="center"/>
          </w:tcPr>
          <w:p>
            <w:r/>
          </w:p>
        </w:tc>
      </w:tr>
    </w:tbl>
    <w:p>
      <w:pPr>
        <w:spacing w:before="0" w:after="0" w:line="480" w:lineRule="exact"/>
      </w:pPr>
      <w:r>
        <w:rPr>
          <w:rFonts w:ascii="仿宋_GB2312" w:hAnsi="仿宋_GB2312" w:eastAsia="仿宋_GB2312" w:cs="仿宋_GB2312"/>
          <w:sz w:val="28"/>
        </w:rPr>
        <w:t>比较因素条件指数及修正依据由当前报告冻结的结构化市场比较法分析生成。</w:t>
      </w:r>
    </w:p>
    <w:p w14:paraId="642DF68B">
      <w:pPr>
        <w:keepNext/>
        <w:spacing w:line="480" w:lineRule="exact" w:before="157" w:after="10"/>
        <w:ind w:left="0" w:right="0" w:firstLine="0"/>
        <w:jc w:val="center"/>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color w:val="000000" w:themeColor="text1"/>
          <w:sz w:val="28"/>
          <w:szCs w:val="28"/>
          <w:highlight w:val="none"/>
          <w:lang w:val="en-US" w:eastAsia="zh-CN"/>
          <w14:textFill>
            <w14:solidFill>
              <w14:schemeClr w14:val="tx1"/>
            </w14:solidFill>
          </w14:textFill>
        </w:rPr>
        <w:t>表3-13 估价对象及比较因素条件指数表</w:t>
      </w:r>
    </w:p>
    <w:tbl>
      <w:tblPr>
        <w:tblStyle w:val="9"/>
        <w:tblW w:w="5021"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8"/>
        <w:gridCol w:w="579"/>
        <w:gridCol w:w="1580"/>
        <w:gridCol w:w="1509"/>
        <w:gridCol w:w="1464"/>
        <w:gridCol w:w="1464"/>
        <w:gridCol w:w="1464"/>
      </w:tblGrid>
      <w:tr w14:paraId="58AA9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552" w:type="pct"/>
            <w:gridSpan w:val="3"/>
            <w:tcBorders>
              <w:tl2br w:val="single" w:color="auto" w:sz="4" w:space="0"/>
            </w:tcBorders>
            <w:shd w:val="clear" w:color="000000" w:fill="FFFFFF"/>
            <w:noWrap w:val="0"/>
            <w:vAlign w:val="center"/>
          </w:tcPr>
          <w:p w14:paraId="34F6D4FC">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待估宗地及比较实例</w:t>
            </w:r>
          </w:p>
          <w:p w14:paraId="4CB66687">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比较因素</w:t>
            </w:r>
          </w:p>
        </w:tc>
        <w:tc>
          <w:tcPr>
            <w:tcW w:w="881" w:type="pct"/>
            <w:shd w:val="clear" w:color="000000" w:fill="FFFFFF"/>
            <w:noWrap w:val="0"/>
            <w:vAlign w:val="center"/>
          </w:tcPr>
          <w:p w14:paraId="5EADBEF1">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估价对象</w:t>
            </w:r>
          </w:p>
        </w:tc>
        <w:tc>
          <w:tcPr>
            <w:tcW w:w="855" w:type="pct"/>
            <w:shd w:val="clear" w:color="000000" w:fill="FFFFFF"/>
            <w:noWrap w:val="0"/>
            <w:vAlign w:val="center"/>
          </w:tcPr>
          <w:p w14:paraId="3ACB0181">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案例A</w:t>
            </w:r>
          </w:p>
        </w:tc>
        <w:tc>
          <w:tcPr>
            <w:tcW w:w="855" w:type="pct"/>
            <w:shd w:val="clear" w:color="000000" w:fill="FFFFFF"/>
            <w:noWrap w:val="0"/>
            <w:vAlign w:val="center"/>
          </w:tcPr>
          <w:p w14:paraId="169960F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案例B</w:t>
            </w:r>
          </w:p>
        </w:tc>
        <w:tc>
          <w:tcPr>
            <w:tcW w:w="855" w:type="pct"/>
            <w:shd w:val="clear" w:color="000000" w:fill="FFFFFF"/>
            <w:noWrap w:val="0"/>
            <w:vAlign w:val="center"/>
          </w:tcPr>
          <w:p w14:paraId="02CDF69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案例C</w:t>
            </w:r>
          </w:p>
        </w:tc>
      </w:tr>
      <w:tr w14:paraId="1BB63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552" w:type="pct"/>
            <w:gridSpan w:val="3"/>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7C091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r/>
          </w:p>
        </w:tc>
        <w:tc>
          <w:tcPr>
            <w:tcW w:w="881" w:type="pct"/>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6B5A3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6D1C9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7A0F1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1CAF5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3AA74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0FB73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290" w:type="pct"/>
            <w:vMerge w:val="restart"/>
            <w:shd w:val="clear" w:color="auto" w:fill="auto"/>
            <w:noWrap w:val="0"/>
            <w:vAlign w:val="center"/>
          </w:tcPr>
          <w:p>
            <w:r/>
          </w:p>
        </w:tc>
        <w:tc>
          <w:tcPr>
            <w:tcW w:w="338" w:type="pct"/>
            <w:vMerge w:val="restart"/>
            <w:shd w:val="clear" w:color="auto" w:fill="auto"/>
            <w:noWrap w:val="0"/>
            <w:vAlign w:val="center"/>
          </w:tcPr>
          <w:p>
            <w:r/>
          </w:p>
        </w:tc>
        <w:tc>
          <w:tcPr>
            <w:tcW w:w="923" w:type="pct"/>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616F1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290" w:type="pct"/>
            <w:vMerge w:val="continue"/>
            <w:shd w:val="clear" w:color="auto" w:fill="auto"/>
            <w:noWrap w:val="0"/>
            <w:vAlign w:val="center"/>
          </w:tcPr>
          <w:p w14:paraId="15FEEFEC">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338" w:type="pct"/>
            <w:vMerge w:val="continue"/>
            <w:shd w:val="clear" w:color="auto" w:fill="auto"/>
            <w:noWrap w:val="0"/>
            <w:vAlign w:val="center"/>
          </w:tcPr>
          <w:p w14:paraId="5E611C2A">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923" w:type="pct"/>
            <w:shd w:val="clear" w:color="000000" w:fill="FFFFFF"/>
            <w:noWrap w:val="0"/>
            <w:vAlign w:val="center"/>
          </w:tcPr>
          <w:p>
            <w:r/>
          </w:p>
        </w:tc>
        <w:tc>
          <w:tcPr>
            <w:tcW w:w="1509" w:type="dxa"/>
            <w:noWrap w:val="0"/>
            <w:vAlign w:val="center"/>
          </w:tcPr>
          <w:p>
            <w:r/>
          </w:p>
        </w:tc>
        <w:tc>
          <w:tcPr>
            <w:tcW w:w="1464" w:type="dxa"/>
            <w:noWrap w:val="0"/>
            <w:vAlign w:val="center"/>
          </w:tcPr>
          <w:p>
            <w:r/>
          </w:p>
        </w:tc>
        <w:tc>
          <w:tcPr>
            <w:tcW w:w="1464" w:type="dxa"/>
            <w:noWrap w:val="0"/>
            <w:vAlign w:val="center"/>
          </w:tcPr>
          <w:p>
            <w:r/>
          </w:p>
        </w:tc>
        <w:tc>
          <w:tcPr>
            <w:tcW w:w="1464" w:type="dxa"/>
            <w:noWrap w:val="0"/>
            <w:vAlign w:val="center"/>
          </w:tcPr>
          <w:p>
            <w:r/>
          </w:p>
        </w:tc>
      </w:tr>
      <w:tr w14:paraId="53D04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290" w:type="pct"/>
            <w:vMerge w:val="continue"/>
            <w:shd w:val="clear" w:color="auto" w:fill="auto"/>
            <w:noWrap w:val="0"/>
            <w:vAlign w:val="center"/>
          </w:tcPr>
          <w:p w14:paraId="2CDFF324">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338" w:type="pct"/>
            <w:vMerge w:val="continue"/>
            <w:shd w:val="clear" w:color="auto" w:fill="auto"/>
            <w:noWrap w:val="0"/>
            <w:vAlign w:val="center"/>
          </w:tcPr>
          <w:p w14:paraId="619D604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923" w:type="pct"/>
            <w:shd w:val="clear" w:color="000000" w:fill="FFFFFF"/>
            <w:noWrap w:val="0"/>
            <w:vAlign w:val="center"/>
          </w:tcPr>
          <w:p>
            <w:r/>
          </w:p>
        </w:tc>
        <w:tc>
          <w:tcPr>
            <w:tcW w:w="1509" w:type="dxa"/>
            <w:noWrap w:val="0"/>
            <w:vAlign w:val="center"/>
          </w:tcPr>
          <w:p>
            <w:r/>
          </w:p>
        </w:tc>
        <w:tc>
          <w:tcPr>
            <w:tcW w:w="1464" w:type="dxa"/>
            <w:noWrap w:val="0"/>
            <w:vAlign w:val="center"/>
          </w:tcPr>
          <w:p>
            <w:r/>
          </w:p>
        </w:tc>
        <w:tc>
          <w:tcPr>
            <w:tcW w:w="1464" w:type="dxa"/>
            <w:noWrap w:val="0"/>
            <w:vAlign w:val="center"/>
          </w:tcPr>
          <w:p>
            <w:r/>
          </w:p>
        </w:tc>
        <w:tc>
          <w:tcPr>
            <w:tcW w:w="1464" w:type="dxa"/>
            <w:noWrap w:val="0"/>
            <w:vAlign w:val="center"/>
          </w:tcPr>
          <w:p>
            <w:r/>
          </w:p>
        </w:tc>
      </w:tr>
      <w:tr w14:paraId="60646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continue"/>
            <w:shd w:val="clear" w:color="auto" w:fill="auto"/>
            <w:noWrap w:val="0"/>
            <w:vAlign w:val="center"/>
          </w:tcPr>
          <w:p w14:paraId="603E8B6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20BA2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continue"/>
            <w:shd w:val="clear" w:color="auto" w:fill="auto"/>
            <w:noWrap w:val="0"/>
            <w:vAlign w:val="center"/>
          </w:tcPr>
          <w:p w14:paraId="6324AA17">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60BA1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290" w:type="pct"/>
            <w:vMerge w:val="continue"/>
            <w:shd w:val="clear" w:color="auto" w:fill="auto"/>
            <w:noWrap w:val="0"/>
            <w:vAlign w:val="center"/>
          </w:tcPr>
          <w:p w14:paraId="7F0B26BF">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726B2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restart"/>
            <w:shd w:val="clear" w:color="000000" w:fill="FFFFFF"/>
            <w:noWrap w:val="0"/>
            <w:vAlign w:val="center"/>
          </w:tcPr>
          <w:p>
            <w: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61AC3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continue"/>
            <w:shd w:val="clear" w:color="auto" w:fill="auto"/>
            <w:noWrap w:val="0"/>
            <w:vAlign w:val="center"/>
          </w:tcPr>
          <w:p w14:paraId="7A050D7F">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62DE5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continue"/>
            <w:shd w:val="clear" w:color="auto" w:fill="auto"/>
            <w:noWrap w:val="0"/>
            <w:vAlign w:val="center"/>
          </w:tcPr>
          <w:p w14:paraId="5051967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4F8D0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continue"/>
            <w:shd w:val="clear" w:color="auto" w:fill="auto"/>
            <w:noWrap w:val="0"/>
            <w:vAlign w:val="center"/>
          </w:tcPr>
          <w:p w14:paraId="3EF9E51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5BF50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9" w:hRule="atLeast"/>
        </w:trPr>
        <w:tc>
          <w:tcPr>
            <w:tcW w:w="290" w:type="pct"/>
            <w:vMerge w:val="continue"/>
            <w:shd w:val="clear" w:color="auto" w:fill="auto"/>
            <w:noWrap w:val="0"/>
            <w:vAlign w:val="center"/>
          </w:tcPr>
          <w:p w14:paraId="749BCBF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bl>
    <w:p w14:paraId="22F5FFFA">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在各因素条件指数的基础上进行比较实例各影响因素修正，将估价对象的因素条件指数，得到因素修正系数见下表。</w:t>
      </w:r>
    </w:p>
    <w:p w14:paraId="32953262">
      <w:pPr>
        <w:keepNext/>
        <w:spacing w:line="480" w:lineRule="exact" w:before="157" w:after="10"/>
        <w:ind w:left="0" w:right="0" w:firstLine="0"/>
        <w:jc w:val="center"/>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color w:val="000000" w:themeColor="text1"/>
          <w:sz w:val="28"/>
          <w:szCs w:val="28"/>
          <w:highlight w:val="none"/>
          <w:lang w:val="en-US" w:eastAsia="zh-CN"/>
          <w14:textFill>
            <w14:solidFill>
              <w14:schemeClr w14:val="tx1"/>
            </w14:solidFill>
          </w14:textFill>
        </w:rPr>
        <w:t>表3-14 估价对象比较因素修正系数表</w:t>
      </w:r>
    </w:p>
    <w:tbl>
      <w:tblPr>
        <w:tblStyle w:val="9"/>
        <w:tblW w:w="5009" w:type="pct"/>
        <w:tblInd w:w="0" w:type="dxa"/>
        <w:tblLayout w:type="fixed"/>
        <w:tblCellMar>
          <w:top w:w="0" w:type="dxa"/>
          <w:left w:w="108" w:type="dxa"/>
          <w:bottom w:w="0" w:type="dxa"/>
          <w:right w:w="108" w:type="dxa"/>
        </w:tblCellMar>
      </w:tblPr>
      <w:tblGrid>
        <w:gridCol w:w="931"/>
        <w:gridCol w:w="645"/>
        <w:gridCol w:w="2694"/>
        <w:gridCol w:w="1521"/>
        <w:gridCol w:w="1521"/>
        <w:gridCol w:w="1226"/>
      </w:tblGrid>
      <w:tr w14:paraId="42ACA61F">
        <w:trPr>
          <w:trHeight w:val="436" w:hRule="atLeast"/>
        </w:trPr>
        <w:tc>
          <w:tcPr>
            <w:tcW w:w="2500" w:type="pct"/>
            <w:gridSpan w:val="3"/>
            <w:tcBorders>
              <w:top w:val="single" w:color="auto" w:sz="4" w:space="0"/>
              <w:left w:val="single" w:color="auto" w:sz="4" w:space="0"/>
              <w:bottom w:val="single" w:color="auto" w:sz="4" w:space="0"/>
              <w:right w:val="single" w:color="auto" w:sz="4" w:space="0"/>
              <w:tl2br w:val="single" w:color="auto" w:sz="4" w:space="0"/>
            </w:tcBorders>
            <w:shd w:val="clear" w:color="000000" w:fill="FFFFFF"/>
            <w:noWrap w:val="0"/>
            <w:vAlign w:val="center"/>
          </w:tcPr>
          <w:p w14:paraId="2F85F0A8">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待估宗地及比较实例</w:t>
            </w:r>
          </w:p>
          <w:p w14:paraId="117A0FFF">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比较因素</w:t>
            </w:r>
          </w:p>
        </w:tc>
        <w:tc>
          <w:tcPr>
            <w:tcW w:w="890" w:type="pct"/>
            <w:tcBorders>
              <w:top w:val="single" w:color="auto" w:sz="4" w:space="0"/>
              <w:left w:val="single" w:color="auto" w:sz="4" w:space="0"/>
              <w:bottom w:val="single" w:color="auto" w:sz="4" w:space="0"/>
              <w:right w:val="single" w:color="auto" w:sz="4" w:space="0"/>
            </w:tcBorders>
            <w:noWrap w:val="0"/>
            <w:vAlign w:val="center"/>
          </w:tcPr>
          <w:p w14:paraId="33806630">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案例A</w:t>
            </w:r>
          </w:p>
        </w:tc>
        <w:tc>
          <w:tcPr>
            <w:tcW w:w="890" w:type="pct"/>
            <w:tcBorders>
              <w:top w:val="single" w:color="auto" w:sz="4" w:space="0"/>
              <w:left w:val="single" w:color="auto" w:sz="4" w:space="0"/>
              <w:bottom w:val="single" w:color="auto" w:sz="4" w:space="0"/>
              <w:right w:val="single" w:color="auto" w:sz="4" w:space="0"/>
            </w:tcBorders>
            <w:noWrap w:val="0"/>
            <w:vAlign w:val="center"/>
          </w:tcPr>
          <w:p w14:paraId="49A89D43">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案例B</w:t>
            </w:r>
          </w:p>
        </w:tc>
        <w:tc>
          <w:tcPr>
            <w:tcW w:w="717" w:type="pct"/>
            <w:tcBorders>
              <w:top w:val="single" w:color="auto" w:sz="4" w:space="0"/>
              <w:left w:val="single" w:color="auto" w:sz="4" w:space="0"/>
              <w:bottom w:val="single" w:color="auto" w:sz="4" w:space="0"/>
              <w:right w:val="single" w:color="auto" w:sz="4" w:space="0"/>
            </w:tcBorders>
            <w:noWrap w:val="0"/>
            <w:vAlign w:val="center"/>
          </w:tcPr>
          <w:p w14:paraId="5D18E178">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案例C</w:t>
            </w:r>
          </w:p>
        </w:tc>
      </w:tr>
      <w:tr w14:paraId="3DD05D81">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single" w:color="auto" w:sz="4" w:space="0"/>
              <w:bottom w:val="single" w:color="auto" w:sz="4" w:space="0"/>
              <w:right w:val="single" w:color="auto" w:sz="4" w:space="0"/>
            </w:tcBorders>
            <w:noWrap w:val="0"/>
            <w:vAlign w:val="center"/>
          </w:tcPr>
          <w:p>
            <w:r/>
          </w:p>
        </w:tc>
        <w:tc>
          <w:tcPr>
            <w:tcW w:w="890" w:type="pct"/>
            <w:tcBorders>
              <w:top w:val="single" w:color="auto" w:sz="4" w:space="0"/>
              <w:left w:val="single" w:color="auto" w:sz="4" w:space="0"/>
              <w:bottom w:val="single" w:color="auto" w:sz="4" w:space="0"/>
              <w:right w:val="single" w:color="auto" w:sz="4" w:space="0"/>
            </w:tcBorders>
            <w:noWrap w:val="0"/>
            <w:vAlign w:val="center"/>
          </w:tcPr>
          <w:p>
            <w:r/>
          </w:p>
        </w:tc>
        <w:tc>
          <w:tcPr>
            <w:tcW w:w="717" w:type="pct"/>
            <w:tcBorders>
              <w:top w:val="single" w:color="auto" w:sz="4" w:space="0"/>
              <w:left w:val="single" w:color="auto" w:sz="4" w:space="0"/>
              <w:bottom w:val="single" w:color="auto" w:sz="4" w:space="0"/>
              <w:right w:val="single" w:color="auto" w:sz="4" w:space="0"/>
            </w:tcBorders>
            <w:noWrap w:val="0"/>
            <w:vAlign w:val="center"/>
          </w:tcPr>
          <w:p>
            <w:r/>
          </w:p>
        </w:tc>
      </w:tr>
      <w:tr w14:paraId="6168D1FE">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single" w:color="auto" w:sz="4" w:space="0"/>
              <w:bottom w:val="single" w:color="auto" w:sz="4" w:space="0"/>
              <w:right w:val="single" w:color="auto" w:sz="4" w:space="0"/>
            </w:tcBorders>
            <w:noWrap w:val="0"/>
            <w:vAlign w:val="center"/>
          </w:tcPr>
          <w:p>
            <w:r/>
          </w:p>
        </w:tc>
        <w:tc>
          <w:tcPr>
            <w:tcW w:w="890" w:type="pct"/>
            <w:tcBorders>
              <w:top w:val="single" w:color="auto" w:sz="4" w:space="0"/>
              <w:left w:val="single" w:color="auto" w:sz="4" w:space="0"/>
              <w:bottom w:val="single" w:color="auto" w:sz="4" w:space="0"/>
              <w:right w:val="single" w:color="auto" w:sz="4" w:space="0"/>
            </w:tcBorders>
            <w:noWrap w:val="0"/>
            <w:vAlign w:val="center"/>
          </w:tcPr>
          <w:p>
            <w:r/>
          </w:p>
        </w:tc>
        <w:tc>
          <w:tcPr>
            <w:tcW w:w="717" w:type="pct"/>
            <w:tcBorders>
              <w:top w:val="single" w:color="auto" w:sz="4" w:space="0"/>
              <w:left w:val="single" w:color="auto" w:sz="4" w:space="0"/>
              <w:bottom w:val="single" w:color="auto" w:sz="4" w:space="0"/>
              <w:right w:val="single" w:color="auto" w:sz="4" w:space="0"/>
            </w:tcBorders>
            <w:noWrap w:val="0"/>
            <w:vAlign w:val="center"/>
          </w:tcPr>
          <w:p>
            <w:r/>
          </w:p>
        </w:tc>
      </w:tr>
      <w:tr w14:paraId="459B17B6">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single" w:color="auto" w:sz="4" w:space="0"/>
              <w:bottom w:val="single" w:color="auto" w:sz="4" w:space="0"/>
              <w:right w:val="single" w:color="auto" w:sz="4" w:space="0"/>
            </w:tcBorders>
            <w:noWrap w:val="0"/>
            <w:vAlign w:val="center"/>
          </w:tcPr>
          <w:p>
            <w:r/>
          </w:p>
        </w:tc>
        <w:tc>
          <w:tcPr>
            <w:tcW w:w="890" w:type="pct"/>
            <w:tcBorders>
              <w:top w:val="single" w:color="auto" w:sz="4" w:space="0"/>
              <w:left w:val="single" w:color="auto" w:sz="4" w:space="0"/>
              <w:bottom w:val="single" w:color="auto" w:sz="4" w:space="0"/>
              <w:right w:val="single" w:color="auto" w:sz="4" w:space="0"/>
            </w:tcBorders>
            <w:noWrap w:val="0"/>
            <w:vAlign w:val="center"/>
          </w:tcPr>
          <w:p>
            <w:r/>
          </w:p>
        </w:tc>
        <w:tc>
          <w:tcPr>
            <w:tcW w:w="717" w:type="pct"/>
            <w:tcBorders>
              <w:top w:val="single" w:color="auto" w:sz="4" w:space="0"/>
              <w:left w:val="single" w:color="auto" w:sz="4" w:space="0"/>
              <w:bottom w:val="single" w:color="auto" w:sz="4" w:space="0"/>
              <w:right w:val="single" w:color="auto" w:sz="4" w:space="0"/>
            </w:tcBorders>
            <w:noWrap w:val="0"/>
            <w:vAlign w:val="center"/>
          </w:tcPr>
          <w:p>
            <w:r/>
          </w:p>
        </w:tc>
      </w:tr>
      <w:tr w14:paraId="0CC2DA8B">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35440CBF">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358FCDFC">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01FE5857">
        <w:tblPrEx>
          <w:tblCellMar>
            <w:top w:w="0" w:type="dxa"/>
            <w:left w:w="108" w:type="dxa"/>
            <w:bottom w:w="0" w:type="dxa"/>
            <w:right w:w="108" w:type="dxa"/>
          </w:tblCellMar>
        </w:tblPrEx>
        <w:trPr>
          <w:trHeight w:val="223" w:hRule="atLeast"/>
        </w:trPr>
        <w:tc>
          <w:tcPr>
            <w:tcW w:w="545" w:type="pct"/>
            <w:vMerge w:val="restart"/>
            <w:tcBorders>
              <w:top w:val="single" w:color="auto" w:sz="4" w:space="0"/>
              <w:left w:val="single" w:color="auto" w:sz="4" w:space="0"/>
              <w:right w:val="single" w:color="auto" w:sz="4" w:space="0"/>
            </w:tcBorders>
            <w:shd w:val="clear" w:color="auto" w:fill="auto"/>
            <w:noWrap w:val="0"/>
            <w:vAlign w:val="center"/>
          </w:tcPr>
          <w:p>
            <w:r/>
          </w:p>
        </w:tc>
        <w:tc>
          <w:tcPr>
            <w:tcW w:w="377" w:type="pct"/>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r/>
          </w:p>
        </w:tc>
        <w:tc>
          <w:tcPr>
            <w:tcW w:w="1577" w:type="pct"/>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27AB053D">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1AC66FB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377"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05CB31B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577" w:type="pct"/>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452BF39A">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08745E70">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377"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03686AD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577" w:type="pct"/>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3CA71291">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0E3D4BA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03E6252F">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498F2E80">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5590B399">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61EEAE1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15E13646">
        <w:tblPrEx>
          <w:tblCellMar>
            <w:top w:w="0" w:type="dxa"/>
            <w:left w:w="108" w:type="dxa"/>
            <w:bottom w:w="0" w:type="dxa"/>
            <w:right w:w="108" w:type="dxa"/>
          </w:tblCellMar>
        </w:tblPrEx>
        <w:trPr>
          <w:trHeight w:val="223" w:hRule="atLeast"/>
        </w:trPr>
        <w:tc>
          <w:tcPr>
            <w:tcW w:w="545" w:type="pct"/>
            <w:vMerge w:val="restart"/>
            <w:tcBorders>
              <w:top w:val="single" w:color="auto" w:sz="4" w:space="0"/>
              <w:left w:val="single" w:color="auto" w:sz="4" w:space="0"/>
              <w:bottom w:val="single" w:color="auto" w:sz="4" w:space="0"/>
              <w:right w:val="single" w:color="auto" w:sz="4" w:space="0"/>
            </w:tcBorders>
            <w:shd w:val="clear" w:color="000000" w:fill="FFFFFF"/>
            <w:noWrap w:val="0"/>
            <w:vAlign w:val="center"/>
          </w:tcPr>
          <w:p>
            <w: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5CA7FD50">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4AC8D2A7">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72302FF3">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5799D9D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1B58767A">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79E4311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2724103E">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28C1E33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77839D7C">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4398242D">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1024B4D2">
        <w:tblPrEx>
          <w:tblCellMar>
            <w:top w:w="0" w:type="dxa"/>
            <w:left w:w="108" w:type="dxa"/>
            <w:bottom w:w="0" w:type="dxa"/>
            <w:right w:w="108" w:type="dxa"/>
          </w:tblCellMar>
        </w:tblPrEx>
        <w:trPr>
          <w:trHeight w:val="231" w:hRule="atLeast"/>
        </w:trPr>
        <w:tc>
          <w:tcPr>
            <w:tcW w:w="2500" w:type="pct"/>
            <w:gridSpan w:val="3"/>
            <w:tcBorders>
              <w:top w:val="single" w:color="auto" w:sz="4" w:space="0"/>
              <w:left w:val="single" w:color="auto" w:sz="4" w:space="0"/>
              <w:bottom w:val="single" w:color="auto" w:sz="4" w:space="0"/>
              <w:right w:val="single" w:color="auto" w:sz="4" w:space="0"/>
            </w:tcBorders>
            <w:noWrap w:val="0"/>
            <w:vAlign w:val="center"/>
          </w:tcPr>
          <w:p>
            <w:r/>
          </w:p>
        </w:tc>
        <w:tc>
          <w:tcPr>
            <w:tcW w:w="2499" w:type="pct"/>
            <w:gridSpan w:val="3"/>
            <w:tcBorders>
              <w:top w:val="single" w:color="auto" w:sz="4" w:space="0"/>
              <w:left w:val="single" w:color="auto" w:sz="4" w:space="0"/>
              <w:bottom w:val="single" w:color="auto" w:sz="4" w:space="0"/>
              <w:right w:val="single" w:color="auto" w:sz="4" w:space="0"/>
            </w:tcBorders>
            <w:noWrap w:val="0"/>
            <w:vAlign w:val="center"/>
          </w:tcPr>
          <w:p>
            <w:r/>
          </w:p>
        </w:tc>
      </w:tr>
    </w:tbl>
    <w:p>
      <w:pPr>
        <w:spacing w:before="0" w:after="0" w:line="480" w:lineRule="exact"/>
      </w:pPr>
      <w:r>
        <w:rPr>
          <w:rFonts w:ascii="仿宋_GB2312" w:hAnsi="仿宋_GB2312" w:eastAsia="仿宋_GB2312" w:cs="仿宋_GB2312"/>
          <w:sz w:val="28"/>
        </w:rPr>
        <w:t>{{ market_comp_step4_solve }}</w:t>
      </w:r>
    </w:p>
    <w:p w14:paraId="13D1C3A9">
      <w:pPr>
        <w:pStyle w:val="6"/>
        <w:keepNext/>
        <w:keepLines w:val="0"/>
        <w:pageBreakBefore w:val="0"/>
        <w:widowControl w:val="0"/>
        <w:kinsoku/>
        <w:wordWrap/>
        <w:overflowPunct/>
        <w:topLinePunct w:val="0"/>
        <w:autoSpaceDE/>
        <w:autoSpaceDN/>
        <w:bidi w:val="0"/>
        <w:adjustRightInd/>
        <w:snapToGrid/>
        <w:spacing w:line="480" w:lineRule="exact" w:before="0" w:after="0"/>
        <w:ind w:firstLineChars="200" w:firstLine="561"/>
        <w:textAlignment w:val="auto"/>
        <w:outlineLvl w:val="2"/>
        <w:rPr>
          <w:rFonts w:hint="eastAsia" w:ascii="仿宋_GB2312" w:hAnsi="仿宋_GB2312" w:eastAsia="仿宋_GB2312" w:cs="仿宋_GB2312"/>
          <w:b w:val="0"/>
          <w:bCs w:val="0"/>
          <w:color w:val="000000"/>
          <w:kern w:val="2"/>
          <w:sz w:val="28"/>
          <w:szCs w:val="28"/>
          <w:highlight w:val="none"/>
          <w:lang w:val="en-US" w:eastAsia="zh-CN" w:bidi="ar-SA"/>
        </w:rPr>
      </w:pPr>
      <w:bookmarkStart w:id="26" w:name="_Toc16838"/>
      <w:bookmarkStart w:id="27" w:name="_Toc23310"/>
      <w:r>
        <w:rPr>
          <w:rFonts w:hint="eastAsia" w:ascii="仿宋_GB2312" w:hAnsi="仿宋_GB2312" w:eastAsia="仿宋_GB2312" w:cs="仿宋_GB2312"/>
          <w:b/>
          <w:bCs/>
          <w:sz w:val="28"/>
          <w:szCs w:val="30"/>
          <w:highlight w:val="none"/>
          <w:lang w:val="en-GB"/>
        </w:rPr>
        <w:t>★</w:t>
      </w:r>
      <w:r>
        <w:rPr>
          <w:rFonts w:hint="eastAsia" w:ascii="仿宋_GB2312" w:hAnsi="仿宋_GB2312" w:eastAsia="仿宋_GB2312" w:cs="仿宋_GB2312"/>
          <w:b/>
          <w:bCs w:val="0"/>
          <w:color w:val="000000"/>
          <w:kern w:val="2"/>
          <w:sz w:val="28"/>
          <w:szCs w:val="28"/>
          <w:highlight w:val="none"/>
          <w:lang w:val="en-US" w:eastAsia="zh-CN" w:bidi="ar-SA"/>
        </w:rPr>
        <w:t>收益还原法</w:t>
      </w:r>
    </w:p>
    <w:p w14:paraId="6E7B1EFF">
      <w:pPr>
        <w:keepNext w:val="0"/>
        <w:keepLines w:val="0"/>
        <w:pageBreakBefore w:val="0"/>
        <w:widowControl w:val="0"/>
        <w:kinsoku/>
        <w:wordWrap/>
        <w:overflowPunct/>
        <w:topLinePunct w:val="0"/>
        <w:autoSpaceDE/>
        <w:autoSpaceDN/>
        <w:bidi w:val="0"/>
        <w:adjustRightInd w:val="0"/>
        <w:snapToGrid/>
        <w:spacing w:line="480" w:lineRule="exact" w:before="0" w:after="0"/>
        <w:ind w:firstLine="420" w:firstLineChars="15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ascii="仿宋_GB2312" w:hAnsi="仿宋_GB2312" w:eastAsia="仿宋_GB2312" w:cs="仿宋_GB2312"/>
          <w:sz w:val="28"/>
        </w:rPr>
        <w:t>{{ income_cap_method_intro }}</w:t>
      </w:r>
    </w:p>
    <w:p w14:paraId="553F947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收益还原法评估过程：</w:t>
      </w:r>
    </w:p>
    <w:p w14:paraId="5C643C9B">
      <w:pPr>
        <w:pStyle w:val="6"/>
        <w:adjustRightInd w:val="0"/>
        <w:snapToGrid w:val="0"/>
        <w:spacing w:line="480" w:lineRule="exact" w:before="0" w:after="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1、确定房地年总收益</w:t>
      </w:r>
    </w:p>
    <w:p w14:paraId="777D18DB">
      <w:pPr>
        <w:keepLines w:val="0"/>
        <w:pageBreakBefore w:val="0"/>
        <w:kinsoku/>
        <w:wordWrap/>
        <w:overflowPunct/>
        <w:topLinePunct w:val="0"/>
        <w:autoSpaceDE/>
        <w:autoSpaceDN/>
        <w:bidi w:val="0"/>
        <w:adjustRightInd w:val="0"/>
        <w:snapToGrid w:val="0"/>
        <w:spacing w:line="480" w:lineRule="exact" w:before="0" w:after="0"/>
        <w:ind w:right="0"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Cs/>
          <w:color w:val="auto"/>
          <w:kern w:val="2"/>
          <w:sz w:val="28"/>
          <w:szCs w:val="28"/>
          <w:highlight w:val="none"/>
          <w:lang w:val="en-GB" w:eastAsia="zh-CN" w:bidi="ar-SA"/>
        </w:rPr>
        <w:t>根据受托估价人员现场勘察，估价</w:t>
      </w:r>
      <w:r>
        <w:rPr>
          <w:rFonts w:hint="eastAsia" w:ascii="仿宋_GB2312" w:hAnsi="仿宋_GB2312" w:eastAsia="仿宋_GB2312" w:cs="仿宋_GB2312"/>
          <w:bCs/>
          <w:color w:val="auto"/>
          <w:kern w:val="2"/>
          <w:sz w:val="28"/>
          <w:szCs w:val="28"/>
          <w:highlight w:val="none"/>
          <w:lang w:val="en-US" w:eastAsia="zh-CN" w:bidi="ar-SA"/>
        </w:rPr>
        <w:t>对象位于月岩西路皮革厂家属楼3栋4层404房</w:t>
      </w:r>
      <w:r>
        <w:rPr>
          <w:rFonts w:hint="default" w:ascii="仿宋_GB2312" w:hAnsi="仿宋_GB2312" w:eastAsia="仿宋_GB2312" w:cs="仿宋_GB2312"/>
          <w:bCs/>
          <w:color w:val="auto"/>
          <w:kern w:val="2"/>
          <w:sz w:val="28"/>
          <w:szCs w:val="28"/>
          <w:highlight w:val="none"/>
          <w:lang w:val="en-GB" w:eastAsia="zh-CN" w:bidi="ar-SA"/>
        </w:rPr>
        <w:t>，所在宗地上有独栋建筑物，总层数为</w:t>
      </w:r>
      <w:r>
        <w:rPr>
          <w:rFonts w:hint="eastAsia" w:ascii="仿宋_GB2312" w:hAnsi="仿宋_GB2312" w:eastAsia="仿宋_GB2312" w:cs="仿宋_GB2312"/>
          <w:bCs/>
          <w:color w:val="auto"/>
          <w:kern w:val="2"/>
          <w:sz w:val="28"/>
          <w:szCs w:val="28"/>
          <w:highlight w:val="none"/>
          <w:lang w:val="en-US" w:eastAsia="zh-CN" w:bidi="ar-SA"/>
        </w:rPr>
        <w:t>5层</w:t>
      </w:r>
      <w:r>
        <w:rPr>
          <w:rFonts w:hint="default" w:ascii="仿宋_GB2312" w:hAnsi="仿宋_GB2312" w:eastAsia="仿宋_GB2312" w:cs="仿宋_GB2312"/>
          <w:bCs/>
          <w:color w:val="auto"/>
          <w:kern w:val="2"/>
          <w:sz w:val="28"/>
          <w:szCs w:val="28"/>
          <w:highlight w:val="none"/>
          <w:lang w:val="en-GB" w:eastAsia="zh-CN" w:bidi="ar-SA"/>
        </w:rPr>
        <w:t>，业主房屋所在层数为</w:t>
      </w:r>
      <w:r>
        <w:rPr>
          <w:rFonts w:hint="eastAsia" w:ascii="仿宋_GB2312" w:hAnsi="仿宋_GB2312" w:eastAsia="仿宋_GB2312" w:cs="仿宋_GB2312"/>
          <w:bCs/>
          <w:color w:val="auto"/>
          <w:kern w:val="2"/>
          <w:sz w:val="28"/>
          <w:szCs w:val="28"/>
          <w:highlight w:val="none"/>
          <w:lang w:val="en-US" w:eastAsia="zh-CN" w:bidi="ar-SA"/>
        </w:rPr>
        <w:t>4层</w:t>
      </w:r>
      <w:r>
        <w:rPr>
          <w:rFonts w:hint="default"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建成年份为2004年，</w:t>
      </w:r>
      <w:r>
        <w:rPr>
          <w:rFonts w:hint="default" w:ascii="仿宋_GB2312" w:hAnsi="仿宋_GB2312" w:eastAsia="仿宋_GB2312" w:cs="仿宋_GB2312"/>
          <w:bCs/>
          <w:color w:val="auto"/>
          <w:kern w:val="2"/>
          <w:sz w:val="28"/>
          <w:szCs w:val="28"/>
          <w:highlight w:val="none"/>
          <w:lang w:val="en-GB" w:eastAsia="zh-CN" w:bidi="ar-SA"/>
        </w:rPr>
        <w:t>建筑物为</w:t>
      </w:r>
      <w:r>
        <w:rPr>
          <w:rFonts w:hint="eastAsia" w:ascii="仿宋_GB2312" w:hAnsi="仿宋_GB2312" w:eastAsia="仿宋_GB2312" w:cs="仿宋_GB2312"/>
          <w:bCs/>
          <w:color w:val="auto"/>
          <w:kern w:val="2"/>
          <w:sz w:val="28"/>
          <w:szCs w:val="28"/>
          <w:highlight w:val="none"/>
          <w:lang w:val="en-US" w:eastAsia="zh-CN" w:bidi="ar-SA"/>
        </w:rPr>
        <w:t>砖混</w:t>
      </w:r>
      <w:r>
        <w:rPr>
          <w:rFonts w:hint="default" w:ascii="仿宋_GB2312" w:hAnsi="仿宋_GB2312" w:eastAsia="仿宋_GB2312" w:cs="仿宋_GB2312"/>
          <w:bCs/>
          <w:color w:val="auto"/>
          <w:kern w:val="2"/>
          <w:sz w:val="28"/>
          <w:szCs w:val="28"/>
          <w:highlight w:val="none"/>
          <w:lang w:val="en-GB" w:eastAsia="zh-CN" w:bidi="ar-SA"/>
        </w:rPr>
        <w:t>结构，</w:t>
      </w:r>
      <w:r>
        <w:rPr>
          <w:rFonts w:hint="eastAsia" w:ascii="仿宋_GB2312" w:hAnsi="仿宋_GB2312" w:eastAsia="仿宋_GB2312" w:cs="仿宋_GB2312"/>
          <w:bCs/>
          <w:color w:val="auto"/>
          <w:kern w:val="2"/>
          <w:sz w:val="28"/>
          <w:szCs w:val="28"/>
          <w:highlight w:val="none"/>
          <w:lang w:val="en-US" w:eastAsia="zh-CN" w:bidi="ar-SA"/>
        </w:rPr>
        <w:t>不锈钢及木质入户门，塑钢窗户，铁艺防盗网，外墙双飞粉，屋内地贴瓷砖，顶棚木质装饰吊顶，简单装修，</w:t>
      </w:r>
      <w:r>
        <w:rPr>
          <w:rFonts w:hint="default" w:ascii="仿宋_GB2312" w:hAnsi="仿宋_GB2312" w:eastAsia="仿宋_GB2312" w:cs="仿宋_GB2312"/>
          <w:bCs/>
          <w:color w:val="auto"/>
          <w:kern w:val="2"/>
          <w:sz w:val="28"/>
          <w:szCs w:val="28"/>
          <w:highlight w:val="none"/>
          <w:lang w:val="en-GB" w:eastAsia="zh-CN" w:bidi="ar-SA"/>
        </w:rPr>
        <w:t>维护保养状况</w:t>
      </w:r>
      <w:r>
        <w:rPr>
          <w:rFonts w:hint="eastAsia" w:ascii="仿宋_GB2312" w:hAnsi="仿宋_GB2312" w:eastAsia="仿宋_GB2312" w:cs="仿宋_GB2312"/>
          <w:bCs/>
          <w:color w:val="auto"/>
          <w:kern w:val="2"/>
          <w:sz w:val="28"/>
          <w:szCs w:val="28"/>
          <w:highlight w:val="none"/>
          <w:lang w:val="en-US" w:eastAsia="zh-CN" w:bidi="ar-SA"/>
        </w:rPr>
        <w:t>一般</w:t>
      </w:r>
      <w:r>
        <w:rPr>
          <w:rFonts w:hint="default" w:ascii="仿宋_GB2312" w:hAnsi="仿宋_GB2312" w:eastAsia="仿宋_GB2312" w:cs="仿宋_GB2312"/>
          <w:bCs/>
          <w:color w:val="auto"/>
          <w:kern w:val="2"/>
          <w:sz w:val="28"/>
          <w:szCs w:val="28"/>
          <w:highlight w:val="none"/>
          <w:lang w:val="en-GB" w:eastAsia="zh-CN" w:bidi="ar-SA"/>
        </w:rPr>
        <w:t>，约</w:t>
      </w:r>
      <w:r>
        <w:rPr>
          <w:rFonts w:hint="eastAsia" w:ascii="仿宋_GB2312" w:hAnsi="仿宋_GB2312" w:eastAsia="仿宋_GB2312" w:cs="仿宋_GB2312"/>
          <w:bCs/>
          <w:color w:val="auto"/>
          <w:kern w:val="2"/>
          <w:sz w:val="28"/>
          <w:szCs w:val="28"/>
          <w:highlight w:val="none"/>
          <w:lang w:val="en-US" w:eastAsia="zh-CN" w:bidi="ar-SA"/>
        </w:rPr>
        <w:t>六成新</w:t>
      </w:r>
      <w:r>
        <w:rPr>
          <w:rFonts w:hint="default" w:ascii="仿宋_GB2312" w:hAnsi="仿宋_GB2312" w:eastAsia="仿宋_GB2312" w:cs="仿宋_GB2312"/>
          <w:bCs/>
          <w:color w:val="auto"/>
          <w:kern w:val="2"/>
          <w:sz w:val="28"/>
          <w:szCs w:val="28"/>
          <w:highlight w:val="none"/>
          <w:lang w:val="en-GB" w:eastAsia="zh-CN" w:bidi="ar-SA"/>
        </w:rPr>
        <w:t>，房屋整体经济耐用年限为50年，已使用</w:t>
      </w:r>
      <w:r>
        <w:rPr>
          <w:rFonts w:hint="eastAsia" w:ascii="仿宋_GB2312" w:hAnsi="仿宋_GB2312" w:eastAsia="仿宋_GB2312" w:cs="仿宋_GB2312"/>
          <w:bCs/>
          <w:color w:val="auto"/>
          <w:kern w:val="2"/>
          <w:sz w:val="28"/>
          <w:szCs w:val="28"/>
          <w:highlight w:val="none"/>
          <w:lang w:val="en-US" w:eastAsia="zh-CN" w:bidi="ar-SA"/>
        </w:rPr>
        <w:t>22年</w:t>
      </w:r>
      <w:r>
        <w:rPr>
          <w:rFonts w:hint="default" w:ascii="仿宋_GB2312" w:hAnsi="仿宋_GB2312" w:eastAsia="仿宋_GB2312" w:cs="仿宋_GB2312"/>
          <w:bCs/>
          <w:color w:val="auto"/>
          <w:kern w:val="2"/>
          <w:sz w:val="28"/>
          <w:szCs w:val="28"/>
          <w:highlight w:val="none"/>
          <w:lang w:val="en-GB" w:eastAsia="zh-CN" w:bidi="ar-SA"/>
        </w:rPr>
        <w:t>，剩余使用年限为</w:t>
      </w:r>
      <w:r>
        <w:rPr>
          <w:rFonts w:hint="eastAsia" w:ascii="仿宋_GB2312" w:hAnsi="仿宋_GB2312" w:eastAsia="仿宋_GB2312" w:cs="仿宋_GB2312"/>
          <w:bCs/>
          <w:color w:val="auto"/>
          <w:kern w:val="2"/>
          <w:sz w:val="28"/>
          <w:szCs w:val="28"/>
          <w:highlight w:val="none"/>
          <w:lang w:val="en-US" w:eastAsia="zh-CN" w:bidi="ar-SA"/>
        </w:rPr>
        <w:t>28</w:t>
      </w:r>
      <w:r>
        <w:rPr>
          <w:rFonts w:hint="default" w:ascii="仿宋_GB2312" w:hAnsi="仿宋_GB2312" w:eastAsia="仿宋_GB2312" w:cs="仿宋_GB2312"/>
          <w:bCs/>
          <w:color w:val="auto"/>
          <w:kern w:val="2"/>
          <w:sz w:val="28"/>
          <w:szCs w:val="28"/>
          <w:highlight w:val="none"/>
          <w:lang w:val="en-GB" w:eastAsia="zh-CN" w:bidi="ar-SA"/>
        </w:rPr>
        <w:t>年。根据委托方提供的估价对象</w:t>
      </w:r>
      <w:r>
        <w:rPr>
          <w:rFonts w:hint="eastAsia" w:ascii="仿宋_GB2312" w:eastAsia="仿宋_GB2312" w:hAnsi="仿宋_GB2312" w:cs="仿宋_GB2312"/>
          <w:color w:val="000000" w:themeColor="text1"/>
          <w:sz w:val="28"/>
          <w:szCs w:val="30"/>
          <w:highlight w:val="none"/>
          <w:lang w:eastAsia="zh-CN"/>
          <w14:textFill>
            <w14:solidFill>
              <w14:schemeClr w14:val="tx1"/>
            </w14:solidFill>
          </w14:textFill>
        </w:rPr>
        <w:t>《户室面积对照表》、《土地分摊表》</w:t>
      </w:r>
      <w:r>
        <w:rPr>
          <w:rFonts w:hint="eastAsia" w:ascii="仿宋_GB2312" w:hAnsi="仿宋_GB2312" w:eastAsia="仿宋_GB2312" w:cs="仿宋_GB2312"/>
          <w:bCs/>
          <w:color w:val="auto"/>
          <w:kern w:val="2"/>
          <w:sz w:val="28"/>
          <w:szCs w:val="28"/>
          <w:highlight w:val="none"/>
          <w:lang w:val="en-GB" w:eastAsia="zh-CN" w:bidi="ar-SA"/>
        </w:rPr>
        <w:t>，</w:t>
      </w:r>
      <w:r>
        <w:rPr>
          <w:rFonts w:hint="default" w:ascii="仿宋_GB2312" w:hAnsi="仿宋_GB2312" w:eastAsia="仿宋_GB2312" w:cs="仿宋_GB2312"/>
          <w:bCs/>
          <w:color w:val="auto"/>
          <w:kern w:val="2"/>
          <w:sz w:val="28"/>
          <w:szCs w:val="28"/>
          <w:highlight w:val="none"/>
          <w:lang w:val="en-GB" w:eastAsia="zh-CN" w:bidi="ar-SA"/>
        </w:rPr>
        <w:t>估价对象建筑面积为</w:t>
      </w:r>
      <w:r>
        <w:rPr>
          <w:rFonts w:hint="eastAsia" w:ascii="仿宋_GB2312" w:hAnsi="仿宋_GB2312" w:eastAsia="仿宋_GB2312" w:cs="仿宋_GB2312"/>
          <w:bCs/>
          <w:color w:val="auto"/>
          <w:kern w:val="2"/>
          <w:sz w:val="28"/>
          <w:szCs w:val="28"/>
          <w:highlight w:val="none"/>
          <w:lang w:val="en-US" w:eastAsia="zh-CN" w:bidi="ar-SA"/>
        </w:rPr>
        <w:t>73.415平方米，分摊土地使用权面积15.2平方米</w:t>
      </w: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根据《评估委托书》</w:t>
      </w:r>
      <w:r>
        <w:rPr>
          <w:rFonts w:hint="default" w:ascii="仿宋_GB2312" w:hAnsi="仿宋_GB2312" w:eastAsia="仿宋_GB2312" w:cs="仿宋_GB2312"/>
          <w:bCs/>
          <w:color w:val="auto"/>
          <w:kern w:val="2"/>
          <w:sz w:val="28"/>
          <w:szCs w:val="28"/>
          <w:highlight w:val="none"/>
          <w:lang w:val="en-GB" w:eastAsia="zh-CN" w:bidi="ar-SA"/>
        </w:rPr>
        <w:t>委托方拟按估价对象现状使用条件进行出让</w:t>
      </w:r>
      <w:r>
        <w:rPr>
          <w:rFonts w:hint="eastAsia" w:ascii="仿宋_GB2312" w:hAnsi="仿宋_GB2312" w:eastAsia="仿宋_GB2312" w:cs="仿宋_GB2312"/>
          <w:bCs/>
          <w:color w:val="auto"/>
          <w:kern w:val="2"/>
          <w:sz w:val="28"/>
          <w:szCs w:val="28"/>
          <w:highlight w:val="none"/>
          <w:lang w:val="en-GB" w:eastAsia="zh-CN" w:bidi="ar-SA"/>
        </w:rPr>
        <w:t>，</w:t>
      </w:r>
      <w:r>
        <w:rPr>
          <w:rFonts w:hint="default" w:ascii="仿宋_GB2312" w:hAnsi="仿宋_GB2312" w:eastAsia="仿宋_GB2312" w:cs="仿宋_GB2312"/>
          <w:bCs/>
          <w:color w:val="auto"/>
          <w:kern w:val="2"/>
          <w:sz w:val="28"/>
          <w:szCs w:val="28"/>
          <w:highlight w:val="none"/>
          <w:lang w:val="en-GB" w:eastAsia="zh-CN" w:bidi="ar-SA"/>
        </w:rPr>
        <w:t>则估价对象现状容积率</w:t>
      </w:r>
      <w:r>
        <w:rPr>
          <w:rFonts w:hint="eastAsia" w:ascii="仿宋_GB2312" w:hAnsi="仿宋_GB2312" w:eastAsia="仿宋_GB2312" w:cs="仿宋_GB2312"/>
          <w:bCs/>
          <w:color w:val="auto"/>
          <w:kern w:val="2"/>
          <w:sz w:val="28"/>
          <w:szCs w:val="28"/>
          <w:highlight w:val="none"/>
          <w:lang w:val="en-GB" w:eastAsia="zh-CN" w:bidi="ar-SA"/>
        </w:rPr>
        <w:t>为</w:t>
      </w:r>
      <w:r>
        <w:rPr>
          <w:rFonts w:hint="eastAsia" w:ascii="仿宋_GB2312" w:hAnsi="仿宋_GB2312" w:eastAsia="仿宋_GB2312" w:cs="仿宋_GB2312"/>
          <w:bCs/>
          <w:color w:val="auto"/>
          <w:kern w:val="2"/>
          <w:sz w:val="28"/>
          <w:szCs w:val="28"/>
          <w:highlight w:val="none"/>
          <w:lang w:val="en-US" w:eastAsia="zh-CN" w:bidi="ar-SA"/>
        </w:rPr>
        <w:t>4.83</w:t>
      </w:r>
      <w:r>
        <w:rPr>
          <w:rFonts w:hint="default" w:ascii="仿宋_GB2312" w:hAnsi="仿宋_GB2312" w:eastAsia="仿宋_GB2312" w:cs="仿宋_GB2312"/>
          <w:bCs/>
          <w:color w:val="auto"/>
          <w:kern w:val="2"/>
          <w:sz w:val="28"/>
          <w:szCs w:val="28"/>
          <w:highlight w:val="none"/>
          <w:lang w:val="en-GB" w:eastAsia="zh-CN" w:bidi="ar-SA"/>
        </w:rPr>
        <w:t>。根据估价目的，本次评估设定土地容积率为</w:t>
      </w:r>
      <w:r>
        <w:rPr>
          <w:rFonts w:hint="eastAsia" w:ascii="仿宋_GB2312" w:hAnsi="仿宋_GB2312" w:eastAsia="仿宋_GB2312" w:cs="仿宋_GB2312"/>
          <w:bCs/>
          <w:color w:val="auto"/>
          <w:kern w:val="2"/>
          <w:sz w:val="28"/>
          <w:szCs w:val="28"/>
          <w:highlight w:val="none"/>
          <w:lang w:val="en-US" w:eastAsia="zh-CN" w:bidi="ar-SA"/>
        </w:rPr>
        <w:t>4.83</w:t>
      </w:r>
      <w:r>
        <w:rPr>
          <w:rFonts w:hint="eastAsia" w:ascii="仿宋_GB2312" w:hAnsi="仿宋_GB2312" w:eastAsia="仿宋_GB2312" w:cs="仿宋_GB2312"/>
          <w:b w:val="0"/>
          <w:bCs w:val="0"/>
          <w:color w:val="000000"/>
          <w:kern w:val="2"/>
          <w:sz w:val="28"/>
          <w:szCs w:val="28"/>
          <w:highlight w:val="none"/>
          <w:lang w:val="en-US" w:eastAsia="zh-CN" w:bidi="ar-SA"/>
        </w:rPr>
        <w:t>。</w:t>
      </w:r>
    </w:p>
    <w:p w14:paraId="0A69025E">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fldChar w:fldCharType="begin"/>
      </w:r>
      <w:r>
        <w:rPr>
          <w:rFonts w:hint="eastAsia" w:ascii="仿宋_GB2312" w:hAnsi="仿宋_GB2312" w:eastAsia="仿宋_GB2312" w:cs="仿宋_GB2312"/>
          <w:b w:val="0"/>
          <w:bCs w:val="0"/>
          <w:color w:val="000000"/>
          <w:kern w:val="2"/>
          <w:sz w:val="28"/>
          <w:szCs w:val="28"/>
          <w:highlight w:val="none"/>
          <w:lang w:val="en-US" w:eastAsia="zh-CN" w:bidi="ar-SA"/>
        </w:rPr>
        <w:instrText xml:space="preserve"> = 1 \* GB3 </w:instrText>
      </w:r>
      <w:r>
        <w:rPr>
          <w:rFonts w:hint="eastAsia" w:ascii="仿宋_GB2312" w:hAnsi="仿宋_GB2312" w:eastAsia="仿宋_GB2312" w:cs="仿宋_GB2312"/>
          <w:b w:val="0"/>
          <w:bCs w:val="0"/>
          <w:color w:val="000000"/>
          <w:kern w:val="2"/>
          <w:sz w:val="28"/>
          <w:szCs w:val="28"/>
          <w:highlight w:val="none"/>
          <w:lang w:val="en-US" w:eastAsia="zh-CN" w:bidi="ar-SA"/>
        </w:rPr>
        <w:fldChar w:fldCharType="separate"/>
      </w:r>
      <w:r>
        <w:rPr>
          <w:rFonts w:hint="eastAsia" w:ascii="仿宋_GB2312" w:hAnsi="仿宋_GB2312" w:eastAsia="仿宋_GB2312" w:cs="仿宋_GB2312"/>
          <w:b w:val="0"/>
          <w:bCs w:val="0"/>
          <w:color w:val="000000"/>
          <w:kern w:val="2"/>
          <w:sz w:val="28"/>
          <w:szCs w:val="28"/>
          <w:highlight w:val="none"/>
          <w:lang w:val="zh-CN" w:eastAsia="zh-CN" w:bidi="ar-SA"/>
        </w:rPr>
        <w:t>①</w:t>
      </w:r>
      <w:r>
        <w:rPr>
          <w:rFonts w:hint="eastAsia" w:ascii="仿宋_GB2312" w:hAnsi="仿宋_GB2312" w:eastAsia="仿宋_GB2312" w:cs="仿宋_GB2312"/>
          <w:b w:val="0"/>
          <w:bCs w:val="0"/>
          <w:color w:val="000000"/>
          <w:kern w:val="2"/>
          <w:sz w:val="28"/>
          <w:szCs w:val="28"/>
          <w:highlight w:val="none"/>
          <w:lang w:val="en-US"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月租金的确定</w:t>
      </w:r>
    </w:p>
    <w:p w14:paraId="556F25D5">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调查估价对象所处区域与估价对象条件相当的用于出租的住宅物业租金水平，确定估价对象房地产出租的总收益。经估价人员调查与估价对象在同一供需圈内的类似物业情况，选取了三个具有普遍性的物业的租金水平作为比较实例：</w:t>
      </w:r>
    </w:p>
    <w:p w14:paraId="2CF84553">
      <w:pPr>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实例A：</w:t>
      </w:r>
      <w:r>
        <w:rPr>
          <w:rFonts w:hint="eastAsia" w:ascii="仿宋_GB2312" w:hAnsi="仿宋_GB2312" w:eastAsia="仿宋_GB2312" w:cs="仿宋_GB2312"/>
          <w:b w:val="0"/>
          <w:bCs w:val="0"/>
          <w:color w:val="000000"/>
          <w:kern w:val="2"/>
          <w:sz w:val="28"/>
          <w:szCs w:val="28"/>
          <w:highlight w:val="none"/>
          <w:lang w:val="en-US" w:eastAsia="zh-CN" w:bidi="ar-SA"/>
        </w:rPr>
        <w:t>柒酒烤肉楼上住宅</w:t>
      </w: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位于潇水中路三街，商服繁华度优，水电等基础设施综合保证率95%，区域内公交便捷度较优，道路通达度较优，环境质量好，公共设施齐全，临主干道，砖混结构，建筑物内部结构合理，房屋七成新，通风采光条件好，简单装修，基本满足停车需求，无物业管理，于2026年5月楼上住宅平均租金为12.01元/平方米·月。</w:t>
      </w:r>
    </w:p>
    <w:p w14:paraId="6AD7212B">
      <w:pPr>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实例B：</w:t>
      </w:r>
      <w:r>
        <w:rPr>
          <w:rFonts w:hint="eastAsia" w:ascii="仿宋_GB2312" w:hAnsi="仿宋_GB2312" w:eastAsia="仿宋_GB2312" w:cs="仿宋_GB2312"/>
          <w:b w:val="0"/>
          <w:bCs w:val="0"/>
          <w:color w:val="000000"/>
          <w:kern w:val="2"/>
          <w:sz w:val="28"/>
          <w:szCs w:val="28"/>
          <w:highlight w:val="none"/>
          <w:lang w:val="en-US" w:eastAsia="zh-CN" w:bidi="ar-SA"/>
        </w:rPr>
        <w:t>哈牛士原切牛排楼上住宅</w:t>
      </w: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位于滨河路步行街，商服繁华度优，水电等基础设施综合保证率95%，区域内公交便捷度较优，道路通达度较优，环境质量好，公共设施齐全，临主干道，砖混结构，建筑物内部结构合理，房屋七成新，通风采光条件好，简单装修，基本满足停车需求，无物业管理，于2026年5月楼上住宅平均租金为11.99元/平方米·月。</w:t>
      </w:r>
    </w:p>
    <w:p w14:paraId="73F35F81">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实例C：</w:t>
      </w:r>
      <w:r>
        <w:rPr>
          <w:rFonts w:hint="eastAsia" w:ascii="仿宋_GB2312" w:hAnsi="仿宋_GB2312" w:eastAsia="仿宋_GB2312" w:cs="仿宋_GB2312"/>
          <w:b w:val="0"/>
          <w:bCs w:val="0"/>
          <w:color w:val="000000"/>
          <w:kern w:val="2"/>
          <w:sz w:val="28"/>
          <w:szCs w:val="28"/>
          <w:highlight w:val="none"/>
          <w:lang w:val="en-US" w:eastAsia="zh-CN" w:bidi="ar-SA"/>
        </w:rPr>
        <w:t>爷爷不泡茶楼上住宅</w:t>
      </w: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位于西洲街道潇水中路，商服繁华度优，水电等基础设施综合保证率95%，区域内公交便捷度较优，道路通达度较优，环境质量好，公共设施齐全，临主干道，砖混结构，建筑物内部结构合理，房屋七成新，通风采光条件好，简单装修，基本满足停车需求，无物业管理，于2026年5月楼上住宅平均租金为12.01元/平方米·月。</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58"/>
        <w:gridCol w:w="4364"/>
      </w:tblGrid>
      <w:tr w14:paraId="11547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9" w:hRule="atLeast"/>
          <w:jc w:val="center"/>
        </w:trPr>
        <w:tc>
          <w:tcPr>
            <w:tcW w:w="4158" w:type="dxa"/>
            <w:vAlign w:val="center"/>
          </w:tcPr>
          <w:p w14:paraId="2FFB4032">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drawing>
                <wp:inline distT="0" distB="0" distL="114300" distR="114300">
                  <wp:extent cx="2548890" cy="2337435"/>
                  <wp:effectExtent l="0" t="0" r="3810" b="5715"/>
                  <wp:docPr id="22" name="图片 22" descr="7315a4faa2fa7bd86044428dc8f68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7315a4faa2fa7bd86044428dc8f68116"/>
                          <pic:cNvPicPr>
                            <a:picLocks noChangeAspect="1"/>
                          </pic:cNvPicPr>
                        </pic:nvPicPr>
                        <pic:blipFill>
                          <a:blip r:embed="rId36"/>
                          <a:srcRect b="15501"/>
                          <a:stretch>
                            <a:fillRect/>
                          </a:stretch>
                        </pic:blipFill>
                        <pic:spPr>
                          <a:xfrm>
                            <a:off x="0" y="0"/>
                            <a:ext cx="2548890" cy="2337435"/>
                          </a:xfrm>
                          <a:prstGeom prst="rect">
                            <a:avLst/>
                          </a:prstGeom>
                        </pic:spPr>
                      </pic:pic>
                    </a:graphicData>
                  </a:graphic>
                </wp:inline>
              </w:drawing>
            </w:r>
          </w:p>
          <w:p w14:paraId="4E99BD99">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案例A照片</w:t>
            </w:r>
          </w:p>
        </w:tc>
        <w:tc>
          <w:tcPr>
            <w:tcW w:w="4364" w:type="dxa"/>
            <w:vAlign w:val="center"/>
          </w:tcPr>
          <w:p w14:paraId="76BB7361">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pPr>
            <w:r>
              <w:drawing>
                <wp:inline distT="0" distB="0" distL="114300" distR="114300">
                  <wp:extent cx="2893060" cy="2363470"/>
                  <wp:effectExtent l="0" t="0" r="2540" b="17780"/>
                  <wp:docPr id="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
                          <pic:cNvPicPr>
                            <a:picLocks noChangeAspect="1"/>
                          </pic:cNvPicPr>
                        </pic:nvPicPr>
                        <pic:blipFill>
                          <a:blip r:embed="rId37"/>
                          <a:srcRect l="6694" t="4940" r="28320" b="17434"/>
                          <a:stretch>
                            <a:fillRect/>
                          </a:stretch>
                        </pic:blipFill>
                        <pic:spPr>
                          <a:xfrm>
                            <a:off x="0" y="0"/>
                            <a:ext cx="2893060" cy="2363470"/>
                          </a:xfrm>
                          <a:prstGeom prst="rect">
                            <a:avLst/>
                          </a:prstGeom>
                          <a:noFill/>
                          <a:ln>
                            <a:noFill/>
                          </a:ln>
                        </pic:spPr>
                      </pic:pic>
                    </a:graphicData>
                  </a:graphic>
                </wp:inline>
              </w:drawing>
            </w:r>
          </w:p>
          <w:p w14:paraId="5A0B0123">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案例A位置</w:t>
            </w:r>
          </w:p>
        </w:tc>
      </w:tr>
      <w:tr w14:paraId="3CC27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8" w:type="dxa"/>
            <w:vAlign w:val="center"/>
          </w:tcPr>
          <w:p w14:paraId="1E42CAE3">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drawing>
                <wp:inline distT="0" distB="0" distL="114300" distR="114300">
                  <wp:extent cx="2497455" cy="2201545"/>
                  <wp:effectExtent l="0" t="0" r="17145" b="8255"/>
                  <wp:docPr id="24" name="图片 24" descr="a17d939fa52d5b154669017b0405c0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a17d939fa52d5b154669017b0405c0f4"/>
                          <pic:cNvPicPr>
                            <a:picLocks noChangeAspect="1"/>
                          </pic:cNvPicPr>
                        </pic:nvPicPr>
                        <pic:blipFill>
                          <a:blip r:embed="rId38"/>
                          <a:srcRect b="13372"/>
                          <a:stretch>
                            <a:fillRect/>
                          </a:stretch>
                        </pic:blipFill>
                        <pic:spPr>
                          <a:xfrm>
                            <a:off x="0" y="0"/>
                            <a:ext cx="2497455" cy="2201545"/>
                          </a:xfrm>
                          <a:prstGeom prst="rect">
                            <a:avLst/>
                          </a:prstGeom>
                        </pic:spPr>
                      </pic:pic>
                    </a:graphicData>
                  </a:graphic>
                </wp:inline>
              </w:drawing>
            </w: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案例B照片</w:t>
            </w:r>
          </w:p>
        </w:tc>
        <w:tc>
          <w:tcPr>
            <w:tcW w:w="4364" w:type="dxa"/>
            <w:vAlign w:val="center"/>
          </w:tcPr>
          <w:p w14:paraId="36FD8AA3">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pPr>
            <w:r>
              <w:drawing>
                <wp:inline distT="0" distB="0" distL="114300" distR="114300">
                  <wp:extent cx="2899410" cy="2159000"/>
                  <wp:effectExtent l="0" t="0" r="15240" b="12700"/>
                  <wp:docPr id="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7"/>
                          <pic:cNvPicPr>
                            <a:picLocks noChangeAspect="1"/>
                          </pic:cNvPicPr>
                        </pic:nvPicPr>
                        <pic:blipFill>
                          <a:blip r:embed="rId39"/>
                          <a:stretch>
                            <a:fillRect/>
                          </a:stretch>
                        </pic:blipFill>
                        <pic:spPr>
                          <a:xfrm>
                            <a:off x="0" y="0"/>
                            <a:ext cx="2899410" cy="2159000"/>
                          </a:xfrm>
                          <a:prstGeom prst="rect">
                            <a:avLst/>
                          </a:prstGeom>
                          <a:noFill/>
                          <a:ln>
                            <a:noFill/>
                          </a:ln>
                        </pic:spPr>
                      </pic:pic>
                    </a:graphicData>
                  </a:graphic>
                </wp:inline>
              </w:drawing>
            </w:r>
          </w:p>
          <w:p w14:paraId="5173A409">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案例B位置</w:t>
            </w:r>
          </w:p>
        </w:tc>
      </w:tr>
      <w:tr w14:paraId="26E61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8" w:type="dxa"/>
            <w:vAlign w:val="center"/>
          </w:tcPr>
          <w:p w14:paraId="0183C418">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drawing>
                <wp:inline distT="0" distB="0" distL="114300" distR="114300">
                  <wp:extent cx="2499360" cy="2244725"/>
                  <wp:effectExtent l="0" t="0" r="0" b="0"/>
                  <wp:docPr id="25" name="图片 25" descr="4c72a4886265f81ba59b2f250436d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4c72a4886265f81ba59b2f250436d107"/>
                          <pic:cNvPicPr>
                            <a:picLocks noChangeAspect="1"/>
                          </pic:cNvPicPr>
                        </pic:nvPicPr>
                        <pic:blipFill>
                          <a:blip r:embed="rId40"/>
                          <a:srcRect b="8656"/>
                          <a:stretch>
                            <a:fillRect/>
                          </a:stretch>
                        </pic:blipFill>
                        <pic:spPr>
                          <a:xfrm>
                            <a:off x="0" y="0"/>
                            <a:ext cx="2499360" cy="2244725"/>
                          </a:xfrm>
                          <a:prstGeom prst="rect">
                            <a:avLst/>
                          </a:prstGeom>
                        </pic:spPr>
                      </pic:pic>
                    </a:graphicData>
                  </a:graphic>
                </wp:inline>
              </w:drawing>
            </w: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案例C照片</w:t>
            </w:r>
          </w:p>
        </w:tc>
        <w:tc>
          <w:tcPr>
            <w:tcW w:w="4364" w:type="dxa"/>
            <w:vAlign w:val="center"/>
          </w:tcPr>
          <w:p w14:paraId="13582936">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pPr>
            <w:r>
              <w:drawing>
                <wp:inline distT="0" distB="0" distL="114300" distR="114300">
                  <wp:extent cx="2881630" cy="2188210"/>
                  <wp:effectExtent l="0" t="0" r="13970" b="2540"/>
                  <wp:docPr id="2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8"/>
                          <pic:cNvPicPr>
                            <a:picLocks noChangeAspect="1"/>
                          </pic:cNvPicPr>
                        </pic:nvPicPr>
                        <pic:blipFill>
                          <a:blip r:embed="rId41"/>
                          <a:stretch>
                            <a:fillRect/>
                          </a:stretch>
                        </pic:blipFill>
                        <pic:spPr>
                          <a:xfrm>
                            <a:off x="0" y="0"/>
                            <a:ext cx="2881630" cy="2188210"/>
                          </a:xfrm>
                          <a:prstGeom prst="rect">
                            <a:avLst/>
                          </a:prstGeom>
                          <a:noFill/>
                          <a:ln>
                            <a:noFill/>
                          </a:ln>
                        </pic:spPr>
                      </pic:pic>
                    </a:graphicData>
                  </a:graphic>
                </wp:inline>
              </w:drawing>
            </w:r>
          </w:p>
          <w:p w14:paraId="0A0C38C5">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案例C位置</w:t>
            </w:r>
          </w:p>
        </w:tc>
      </w:tr>
    </w:tbl>
    <w:p w14:paraId="282B9236">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fldChar w:fldCharType="begin"/>
      </w:r>
      <w:r>
        <w:rPr>
          <w:rFonts w:hint="eastAsia" w:ascii="仿宋_GB2312" w:hAnsi="仿宋_GB2312" w:eastAsia="仿宋_GB2312" w:cs="仿宋_GB2312"/>
          <w:b w:val="0"/>
          <w:bCs w:val="0"/>
          <w:color w:val="000000"/>
          <w:kern w:val="2"/>
          <w:sz w:val="28"/>
          <w:szCs w:val="28"/>
          <w:highlight w:val="none"/>
          <w:lang w:val="en-US" w:eastAsia="zh-CN" w:bidi="ar-SA"/>
        </w:rPr>
        <w:instrText xml:space="preserve"> = 2 \* GB3 </w:instrText>
      </w:r>
      <w:r>
        <w:rPr>
          <w:rFonts w:hint="eastAsia" w:ascii="仿宋_GB2312" w:hAnsi="仿宋_GB2312" w:eastAsia="仿宋_GB2312" w:cs="仿宋_GB2312"/>
          <w:b w:val="0"/>
          <w:bCs w:val="0"/>
          <w:color w:val="000000"/>
          <w:kern w:val="2"/>
          <w:sz w:val="28"/>
          <w:szCs w:val="28"/>
          <w:highlight w:val="none"/>
          <w:lang w:val="en-US" w:eastAsia="zh-CN" w:bidi="ar-SA"/>
        </w:rPr>
        <w:fldChar w:fldCharType="separate"/>
      </w:r>
      <w:r>
        <w:rPr>
          <w:rFonts w:hint="eastAsia" w:ascii="仿宋_GB2312" w:hAnsi="仿宋_GB2312" w:eastAsia="仿宋_GB2312" w:cs="仿宋_GB2312"/>
          <w:b w:val="0"/>
          <w:bCs w:val="0"/>
          <w:color w:val="000000"/>
          <w:kern w:val="2"/>
          <w:sz w:val="28"/>
          <w:szCs w:val="28"/>
          <w:highlight w:val="none"/>
          <w:lang w:val="zh-CN" w:eastAsia="zh-CN" w:bidi="ar-SA"/>
        </w:rPr>
        <w:t>②</w:t>
      </w:r>
      <w:r>
        <w:rPr>
          <w:rFonts w:hint="eastAsia" w:ascii="仿宋_GB2312" w:hAnsi="仿宋_GB2312" w:eastAsia="仿宋_GB2312" w:cs="仿宋_GB2312"/>
          <w:b w:val="0"/>
          <w:bCs w:val="0"/>
          <w:color w:val="000000"/>
          <w:kern w:val="2"/>
          <w:sz w:val="28"/>
          <w:szCs w:val="28"/>
          <w:highlight w:val="none"/>
          <w:lang w:val="en-US"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编制租金案例比较因素表</w:t>
      </w:r>
    </w:p>
    <w:p w14:paraId="630BCB6D">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结合影响房屋租金的主要因素，以估价对象因素为100进行租金修正，估价对象与实例比较因素情况详见下表。</w:t>
      </w:r>
    </w:p>
    <w:p w14:paraId="7F9490BD">
      <w:pPr>
        <w:pStyle w:val="11"/>
        <w:keepNext/>
        <w:keepLines w:val="0"/>
        <w:pageBreakBefore w:val="0"/>
        <w:widowControl/>
        <w:kinsoku w:val="0"/>
        <w:wordWrap/>
        <w:overflowPunct/>
        <w:topLinePunct w:val="0"/>
        <w:autoSpaceDE w:val="0"/>
        <w:autoSpaceDN w:val="0"/>
        <w:bidi w:val="0"/>
        <w:adjustRightInd w:val="0"/>
        <w:snapToGrid w:val="0"/>
        <w:spacing w:before="157" w:beforeLines="50" w:after="10" w:line="480" w:lineRule="exact"/>
        <w:ind w:left="0" w:leftChars="0" w:firstLineChars="0" w:right="0" w:firstLine="0"/>
        <w:jc w:val="center"/>
        <w:textAlignment w:val="baseline"/>
        <w:rPr>
          <w:rFonts w:hint="eastAsia" w:ascii="仿宋_GB2312" w:hAnsi="仿宋_GB2312" w:eastAsia="仿宋_GB2312" w:cs="仿宋_GB2312"/>
          <w:b w:val="0"/>
          <w:bCs/>
          <w:color w:val="auto"/>
          <w:kern w:val="2"/>
          <w:sz w:val="28"/>
          <w:szCs w:val="28"/>
          <w:highlight w:val="none"/>
          <w:lang w:val="en-US" w:eastAsia="zh-CN" w:bidi="ar-SA"/>
        </w:rPr>
      </w:pPr>
      <w:r>
        <w:rPr>
          <w:rFonts w:hint="eastAsia" w:ascii="仿宋_GB2312" w:hAnsi="仿宋_GB2312" w:eastAsia="仿宋_GB2312" w:cs="仿宋_GB2312"/>
          <w:b w:val="0"/>
          <w:bCs/>
          <w:color w:val="auto"/>
          <w:kern w:val="2"/>
          <w:sz w:val="28"/>
          <w:szCs w:val="28"/>
          <w:highlight w:val="none"/>
          <w:lang w:val="en-US" w:eastAsia="zh-CN" w:bidi="ar-SA"/>
        </w:rPr>
        <w:t>表3-1</w:t>
      </w:r>
      <w:r>
        <w:rPr>
          <w:rFonts w:hint="eastAsia" w:ascii="仿宋_GB2312" w:hAnsi="仿宋_GB2312" w:cs="仿宋_GB2312" w:eastAsia="仿宋_GB2312"/>
          <w:b w:val="0"/>
          <w:bCs/>
          <w:color w:val="auto"/>
          <w:kern w:val="2"/>
          <w:sz w:val="28"/>
          <w:szCs w:val="28"/>
          <w:highlight w:val="none"/>
          <w:lang w:val="en-US" w:eastAsia="zh-CN" w:bidi="ar-SA"/>
        </w:rPr>
        <w:t xml:space="preserve">1 </w:t>
      </w:r>
      <w:r>
        <w:rPr>
          <w:rFonts w:hint="eastAsia" w:ascii="仿宋_GB2312" w:hAnsi="仿宋_GB2312" w:eastAsia="仿宋_GB2312" w:cs="仿宋_GB2312"/>
          <w:b w:val="0"/>
          <w:bCs/>
          <w:color w:val="auto"/>
          <w:kern w:val="2"/>
          <w:sz w:val="28"/>
          <w:szCs w:val="28"/>
          <w:highlight w:val="none"/>
          <w:lang w:val="en-US" w:eastAsia="zh-CN" w:bidi="ar-SA"/>
        </w:rPr>
        <w:t>比较因素条件说明表</w:t>
      </w:r>
    </w:p>
    <w:tbl>
      <w:tblPr>
        <w:tblStyle w:val="12"/>
        <w:tblW w:w="501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311"/>
        <w:gridCol w:w="1615"/>
        <w:gridCol w:w="1299"/>
        <w:gridCol w:w="1358"/>
        <w:gridCol w:w="1391"/>
        <w:gridCol w:w="1374"/>
      </w:tblGrid>
      <w:tr w14:paraId="12957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74" w:hRule="atLeast"/>
        </w:trPr>
        <w:tc>
          <w:tcPr>
            <w:tcW w:w="1752" w:type="pct"/>
            <w:gridSpan w:val="2"/>
            <w:tcBorders>
              <w:tl2br w:val="single" w:color="000000" w:sz="4" w:space="0"/>
            </w:tcBorders>
            <w:noWrap w:val="0"/>
            <w:tcMar>
              <w:top w:w="0" w:type="dxa"/>
              <w:left w:w="0" w:type="dxa"/>
              <w:bottom w:w="0" w:type="dxa"/>
              <w:right w:w="0" w:type="dxa"/>
            </w:tcMar>
            <w:vAlign w:val="center"/>
          </w:tcPr>
          <w:p w14:paraId="3E47AF8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 xml:space="preserve">       估价对象及比较实例</w:t>
            </w:r>
          </w:p>
          <w:p w14:paraId="22AF3C8F">
            <w:pPr>
              <w:keepNext w:val="0"/>
              <w:keepLines w:val="0"/>
              <w:pageBreakBefore w:val="0"/>
              <w:widowControl/>
              <w:kinsoku/>
              <w:wordWrap/>
              <w:overflowPunct/>
              <w:topLinePunct w:val="0"/>
              <w:autoSpaceDE/>
              <w:autoSpaceDN/>
              <w:bidi w:val="0"/>
              <w:adjustRightInd/>
              <w:snapToGrid/>
              <w:spacing w:line="260" w:lineRule="exact"/>
              <w:ind w:firstLine="200" w:firstLineChars="100"/>
              <w:jc w:val="both"/>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比较因素</w:t>
            </w:r>
          </w:p>
        </w:tc>
        <w:tc>
          <w:tcPr>
            <w:tcW w:w="778" w:type="pct"/>
            <w:noWrap w:val="0"/>
            <w:tcMar>
              <w:top w:w="0" w:type="dxa"/>
              <w:left w:w="0" w:type="dxa"/>
              <w:bottom w:w="0" w:type="dxa"/>
              <w:right w:w="0" w:type="dxa"/>
            </w:tcMar>
            <w:vAlign w:val="center"/>
          </w:tcPr>
          <w:p w14:paraId="7BA5A91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估价对象</w:t>
            </w:r>
          </w:p>
        </w:tc>
        <w:tc>
          <w:tcPr>
            <w:tcW w:w="813" w:type="pct"/>
            <w:noWrap w:val="0"/>
            <w:tcMar>
              <w:top w:w="0" w:type="dxa"/>
              <w:left w:w="0" w:type="dxa"/>
              <w:bottom w:w="0" w:type="dxa"/>
              <w:right w:w="0" w:type="dxa"/>
            </w:tcMar>
            <w:vAlign w:val="center"/>
          </w:tcPr>
          <w:p w14:paraId="412D6F0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案例A</w:t>
            </w:r>
          </w:p>
        </w:tc>
        <w:tc>
          <w:tcPr>
            <w:tcW w:w="833" w:type="pct"/>
            <w:noWrap w:val="0"/>
            <w:tcMar>
              <w:top w:w="0" w:type="dxa"/>
              <w:left w:w="0" w:type="dxa"/>
              <w:bottom w:w="0" w:type="dxa"/>
              <w:right w:w="0" w:type="dxa"/>
            </w:tcMar>
            <w:vAlign w:val="center"/>
          </w:tcPr>
          <w:p w14:paraId="1FFF195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案例B</w:t>
            </w:r>
          </w:p>
        </w:tc>
        <w:tc>
          <w:tcPr>
            <w:tcW w:w="822" w:type="pct"/>
            <w:noWrap w:val="0"/>
            <w:tcMar>
              <w:top w:w="0" w:type="dxa"/>
              <w:left w:w="0" w:type="dxa"/>
              <w:bottom w:w="0" w:type="dxa"/>
              <w:right w:w="0" w:type="dxa"/>
            </w:tcMar>
            <w:vAlign w:val="center"/>
          </w:tcPr>
          <w:p w14:paraId="12B615E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案例C</w:t>
            </w:r>
          </w:p>
        </w:tc>
      </w:tr>
      <w:tr w14:paraId="60368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30" w:hRule="atLeast"/>
        </w:trPr>
        <w:tc>
          <w:tcPr>
            <w:tcW w:w="1752" w:type="pct"/>
            <w:gridSpan w:val="2"/>
            <w:noWrap w:val="0"/>
            <w:tcMar>
              <w:top w:w="0" w:type="dxa"/>
              <w:left w:w="0" w:type="dxa"/>
              <w:bottom w:w="0" w:type="dxa"/>
              <w:right w:w="0" w:type="dxa"/>
            </w:tcMar>
            <w:vAlign w:val="center"/>
          </w:tcPr>
          <w:p w14:paraId="31F6916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位置</w:t>
            </w:r>
          </w:p>
        </w:tc>
        <w:tc>
          <w:tcPr>
            <w:tcW w:w="778" w:type="pct"/>
            <w:shd w:val="clear" w:color="auto" w:fill="auto"/>
            <w:noWrap w:val="0"/>
            <w:tcMar>
              <w:top w:w="0" w:type="dxa"/>
              <w:left w:w="0" w:type="dxa"/>
              <w:bottom w:w="0" w:type="dxa"/>
              <w:right w:w="0" w:type="dxa"/>
            </w:tcMar>
            <w:vAlign w:val="center"/>
          </w:tcPr>
          <w:p w14:paraId="7D5FC58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000000"/>
                <w:kern w:val="0"/>
                <w:sz w:val="20"/>
                <w:szCs w:val="20"/>
                <w:u w:val="none"/>
                <w:lang w:val="en-US" w:eastAsia="zh-CN" w:bidi="ar"/>
              </w:rPr>
            </w:pPr>
            <w:r>
              <w:rPr>
                <w:rFonts w:hint="eastAsia" w:ascii="仿宋_GB2312" w:hAnsi="仿宋_GB2312" w:eastAsia="仿宋_GB2312" w:cs="仿宋_GB2312"/>
                <w:i w:val="0"/>
                <w:iCs w:val="0"/>
                <w:color w:val="000000"/>
                <w:kern w:val="0"/>
                <w:sz w:val="20"/>
                <w:szCs w:val="20"/>
                <w:u w:val="none"/>
                <w:lang w:val="en-US" w:eastAsia="zh-CN" w:bidi="ar"/>
              </w:rPr>
              <w:t>道州月岩西路皮革厂家属楼3栋4层404房</w:t>
            </w:r>
          </w:p>
        </w:tc>
        <w:tc>
          <w:tcPr>
            <w:tcW w:w="813" w:type="pct"/>
            <w:noWrap w:val="0"/>
            <w:tcMar>
              <w:top w:w="0" w:type="dxa"/>
              <w:left w:w="0" w:type="dxa"/>
              <w:bottom w:w="0" w:type="dxa"/>
              <w:right w:w="0" w:type="dxa"/>
            </w:tcMar>
            <w:vAlign w:val="center"/>
          </w:tcPr>
          <w:p w14:paraId="2BF9BA6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000000"/>
                <w:kern w:val="0"/>
                <w:sz w:val="20"/>
                <w:szCs w:val="20"/>
                <w:u w:val="none"/>
                <w:lang w:val="en-US" w:eastAsia="zh-CN" w:bidi="ar"/>
              </w:rPr>
            </w:pPr>
            <w:r>
              <w:rPr>
                <w:rFonts w:hint="eastAsia" w:ascii="仿宋_GB2312" w:hAnsi="仿宋_GB2312" w:eastAsia="仿宋_GB2312" w:cs="仿宋_GB2312"/>
                <w:i w:val="0"/>
                <w:iCs w:val="0"/>
                <w:color w:val="000000"/>
                <w:kern w:val="0"/>
                <w:sz w:val="20"/>
                <w:szCs w:val="20"/>
                <w:u w:val="none"/>
                <w:lang w:val="en-US" w:eastAsia="zh-CN" w:bidi="ar"/>
              </w:rPr>
              <w:t>柒酒烤肉楼上住宅</w:t>
            </w:r>
          </w:p>
        </w:tc>
        <w:tc>
          <w:tcPr>
            <w:tcW w:w="833" w:type="pct"/>
            <w:noWrap w:val="0"/>
            <w:tcMar>
              <w:top w:w="0" w:type="dxa"/>
              <w:left w:w="0" w:type="dxa"/>
              <w:bottom w:w="0" w:type="dxa"/>
              <w:right w:w="0" w:type="dxa"/>
            </w:tcMar>
            <w:vAlign w:val="center"/>
          </w:tcPr>
          <w:p w14:paraId="6BDFDA6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哈牛士原切牛排楼上住宅</w:t>
            </w:r>
          </w:p>
        </w:tc>
        <w:tc>
          <w:tcPr>
            <w:tcW w:w="822" w:type="pct"/>
            <w:noWrap w:val="0"/>
            <w:tcMar>
              <w:top w:w="0" w:type="dxa"/>
              <w:left w:w="0" w:type="dxa"/>
              <w:bottom w:w="0" w:type="dxa"/>
              <w:right w:w="0" w:type="dxa"/>
            </w:tcMar>
            <w:vAlign w:val="center"/>
          </w:tcPr>
          <w:p w14:paraId="1C28E2C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爷爷不泡茶楼上住宅</w:t>
            </w:r>
          </w:p>
        </w:tc>
      </w:tr>
      <w:tr w14:paraId="04C2E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1752" w:type="pct"/>
            <w:gridSpan w:val="2"/>
            <w:noWrap w:val="0"/>
            <w:tcMar>
              <w:top w:w="0" w:type="dxa"/>
              <w:left w:w="0" w:type="dxa"/>
              <w:bottom w:w="0" w:type="dxa"/>
              <w:right w:w="0" w:type="dxa"/>
            </w:tcMar>
            <w:vAlign w:val="center"/>
          </w:tcPr>
          <w:p w14:paraId="05524CF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住宅租金(元/m</w:t>
            </w:r>
            <w:r>
              <w:rPr>
                <w:rFonts w:hint="eastAsia" w:ascii="仿宋_GB2312" w:hAnsi="仿宋_GB2312" w:eastAsia="仿宋_GB2312" w:cs="仿宋_GB2312"/>
                <w:b w:val="0"/>
                <w:bCs w:val="0"/>
                <w:color w:val="000000"/>
                <w:kern w:val="2"/>
                <w:sz w:val="20"/>
                <w:szCs w:val="20"/>
                <w:highlight w:val="none"/>
                <w:vertAlign w:val="superscript"/>
                <w:lang w:val="en-US" w:eastAsia="zh-CN" w:bidi="ar-SA"/>
              </w:rPr>
              <w:t>2</w:t>
            </w:r>
            <w:r>
              <w:rPr>
                <w:rFonts w:hint="eastAsia" w:ascii="仿宋_GB2312" w:hAnsi="仿宋_GB2312" w:eastAsia="仿宋_GB2312" w:cs="仿宋_GB2312"/>
                <w:b w:val="0"/>
                <w:bCs w:val="0"/>
                <w:color w:val="000000"/>
                <w:kern w:val="2"/>
                <w:sz w:val="20"/>
                <w:szCs w:val="20"/>
                <w:highlight w:val="none"/>
                <w:lang w:val="en-US" w:eastAsia="zh-CN" w:bidi="ar-SA"/>
              </w:rPr>
              <w:t>·月)</w:t>
            </w:r>
          </w:p>
        </w:tc>
        <w:tc>
          <w:tcPr>
            <w:tcW w:w="778" w:type="pct"/>
            <w:noWrap w:val="0"/>
            <w:tcMar>
              <w:top w:w="0" w:type="dxa"/>
              <w:left w:w="0" w:type="dxa"/>
              <w:bottom w:w="0" w:type="dxa"/>
              <w:right w:w="0" w:type="dxa"/>
            </w:tcMar>
            <w:vAlign w:val="center"/>
          </w:tcPr>
          <w:p w14:paraId="0A082FF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待估</w:t>
            </w:r>
          </w:p>
        </w:tc>
        <w:tc>
          <w:tcPr>
            <w:tcW w:w="1358" w:type="dxa"/>
            <w:noWrap w:val="0"/>
            <w:tcMar>
              <w:top w:w="0" w:type="dxa"/>
              <w:left w:w="0" w:type="dxa"/>
              <w:bottom w:w="0" w:type="dxa"/>
              <w:right w:w="0" w:type="dxa"/>
            </w:tcMar>
            <w:vAlign w:val="center"/>
          </w:tcPr>
          <w:p w14:paraId="598C363B">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c>
          <w:tcPr>
            <w:tcW w:w="1391" w:type="dxa"/>
            <w:noWrap w:val="0"/>
            <w:tcMar>
              <w:top w:w="0" w:type="dxa"/>
              <w:left w:w="0" w:type="dxa"/>
              <w:bottom w:w="0" w:type="dxa"/>
              <w:right w:w="0" w:type="dxa"/>
            </w:tcMar>
            <w:vAlign w:val="center"/>
          </w:tcPr>
          <w:p w14:paraId="3F5A4950">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11.99 </w:t>
            </w:r>
          </w:p>
        </w:tc>
        <w:tc>
          <w:tcPr>
            <w:tcW w:w="1374" w:type="dxa"/>
            <w:noWrap w:val="0"/>
            <w:tcMar>
              <w:top w:w="0" w:type="dxa"/>
              <w:left w:w="0" w:type="dxa"/>
              <w:bottom w:w="0" w:type="dxa"/>
              <w:right w:w="0" w:type="dxa"/>
            </w:tcMar>
            <w:vAlign w:val="center"/>
          </w:tcPr>
          <w:p w14:paraId="038A0638">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r>
      <w:tr w14:paraId="3757E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1752" w:type="pct"/>
            <w:gridSpan w:val="2"/>
            <w:noWrap w:val="0"/>
            <w:tcMar>
              <w:top w:w="0" w:type="dxa"/>
              <w:left w:w="0" w:type="dxa"/>
              <w:bottom w:w="0" w:type="dxa"/>
              <w:right w:w="0" w:type="dxa"/>
            </w:tcMar>
            <w:vAlign w:val="center"/>
          </w:tcPr>
          <w:p w14:paraId="16D2D90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用途</w:t>
            </w:r>
          </w:p>
        </w:tc>
        <w:tc>
          <w:tcPr>
            <w:tcW w:w="778" w:type="pct"/>
            <w:noWrap w:val="0"/>
            <w:tcMar>
              <w:top w:w="0" w:type="dxa"/>
              <w:left w:w="0" w:type="dxa"/>
              <w:bottom w:w="0" w:type="dxa"/>
              <w:right w:w="0" w:type="dxa"/>
            </w:tcMar>
            <w:vAlign w:val="center"/>
          </w:tcPr>
          <w:p w14:paraId="1BAD8F0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w:t>
            </w:r>
          </w:p>
        </w:tc>
        <w:tc>
          <w:tcPr>
            <w:tcW w:w="813" w:type="pct"/>
            <w:noWrap w:val="0"/>
            <w:tcMar>
              <w:top w:w="0" w:type="dxa"/>
              <w:left w:w="0" w:type="dxa"/>
              <w:bottom w:w="0" w:type="dxa"/>
              <w:right w:w="0" w:type="dxa"/>
            </w:tcMar>
            <w:vAlign w:val="center"/>
          </w:tcPr>
          <w:p w14:paraId="725CC3F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w:t>
            </w:r>
          </w:p>
        </w:tc>
        <w:tc>
          <w:tcPr>
            <w:tcW w:w="833" w:type="pct"/>
            <w:noWrap w:val="0"/>
            <w:tcMar>
              <w:top w:w="0" w:type="dxa"/>
              <w:left w:w="0" w:type="dxa"/>
              <w:bottom w:w="0" w:type="dxa"/>
              <w:right w:w="0" w:type="dxa"/>
            </w:tcMar>
            <w:vAlign w:val="center"/>
          </w:tcPr>
          <w:p w14:paraId="215AE20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w:t>
            </w:r>
          </w:p>
        </w:tc>
        <w:tc>
          <w:tcPr>
            <w:tcW w:w="822" w:type="pct"/>
            <w:noWrap w:val="0"/>
            <w:tcMar>
              <w:top w:w="0" w:type="dxa"/>
              <w:left w:w="0" w:type="dxa"/>
              <w:bottom w:w="0" w:type="dxa"/>
              <w:right w:w="0" w:type="dxa"/>
            </w:tcMar>
            <w:vAlign w:val="center"/>
          </w:tcPr>
          <w:p w14:paraId="5F11D34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w:t>
            </w:r>
          </w:p>
        </w:tc>
      </w:tr>
      <w:tr w14:paraId="145CB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1752" w:type="pct"/>
            <w:gridSpan w:val="2"/>
            <w:noWrap w:val="0"/>
            <w:tcMar>
              <w:top w:w="0" w:type="dxa"/>
              <w:left w:w="0" w:type="dxa"/>
              <w:bottom w:w="0" w:type="dxa"/>
              <w:right w:w="0" w:type="dxa"/>
            </w:tcMar>
            <w:vAlign w:val="center"/>
          </w:tcPr>
          <w:p w14:paraId="22ECEB9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交易时间</w:t>
            </w:r>
          </w:p>
        </w:tc>
        <w:tc>
          <w:tcPr>
            <w:tcW w:w="778" w:type="pct"/>
            <w:noWrap w:val="0"/>
            <w:tcMar>
              <w:top w:w="0" w:type="dxa"/>
              <w:left w:w="0" w:type="dxa"/>
              <w:bottom w:w="0" w:type="dxa"/>
              <w:right w:w="0" w:type="dxa"/>
            </w:tcMar>
            <w:vAlign w:val="center"/>
          </w:tcPr>
          <w:p w14:paraId="0863086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2026.05</w:t>
            </w:r>
          </w:p>
        </w:tc>
        <w:tc>
          <w:tcPr>
            <w:tcW w:w="813" w:type="pct"/>
            <w:noWrap w:val="0"/>
            <w:tcMar>
              <w:top w:w="0" w:type="dxa"/>
              <w:left w:w="0" w:type="dxa"/>
              <w:bottom w:w="0" w:type="dxa"/>
              <w:right w:w="0" w:type="dxa"/>
            </w:tcMar>
            <w:vAlign w:val="center"/>
          </w:tcPr>
          <w:p w14:paraId="76C8AA7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2026.05</w:t>
            </w:r>
          </w:p>
        </w:tc>
        <w:tc>
          <w:tcPr>
            <w:tcW w:w="833" w:type="pct"/>
            <w:noWrap w:val="0"/>
            <w:tcMar>
              <w:top w:w="0" w:type="dxa"/>
              <w:left w:w="0" w:type="dxa"/>
              <w:bottom w:w="0" w:type="dxa"/>
              <w:right w:w="0" w:type="dxa"/>
            </w:tcMar>
            <w:vAlign w:val="center"/>
          </w:tcPr>
          <w:p w14:paraId="52BFDB0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2026.05</w:t>
            </w:r>
          </w:p>
        </w:tc>
        <w:tc>
          <w:tcPr>
            <w:tcW w:w="822" w:type="pct"/>
            <w:noWrap w:val="0"/>
            <w:tcMar>
              <w:top w:w="0" w:type="dxa"/>
              <w:left w:w="0" w:type="dxa"/>
              <w:bottom w:w="0" w:type="dxa"/>
              <w:right w:w="0" w:type="dxa"/>
            </w:tcMar>
            <w:vAlign w:val="center"/>
          </w:tcPr>
          <w:p w14:paraId="7AC1007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2026.05</w:t>
            </w:r>
          </w:p>
        </w:tc>
      </w:tr>
      <w:tr w14:paraId="29F1F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1752" w:type="pct"/>
            <w:gridSpan w:val="2"/>
            <w:noWrap w:val="0"/>
            <w:tcMar>
              <w:top w:w="0" w:type="dxa"/>
              <w:left w:w="0" w:type="dxa"/>
              <w:bottom w:w="0" w:type="dxa"/>
              <w:right w:w="0" w:type="dxa"/>
            </w:tcMar>
            <w:vAlign w:val="center"/>
          </w:tcPr>
          <w:p w14:paraId="414D40A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交易情况</w:t>
            </w:r>
          </w:p>
        </w:tc>
        <w:tc>
          <w:tcPr>
            <w:tcW w:w="1299" w:type="dxa"/>
            <w:noWrap w:val="0"/>
            <w:tcMar>
              <w:top w:w="0" w:type="dxa"/>
              <w:left w:w="0" w:type="dxa"/>
              <w:bottom w:w="0" w:type="dxa"/>
              <w:right w:w="0" w:type="dxa"/>
            </w:tcMar>
            <w:vAlign w:val="center"/>
          </w:tcPr>
          <w:p w14:paraId="563CC6B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58" w:type="dxa"/>
            <w:noWrap w:val="0"/>
            <w:tcMar>
              <w:top w:w="0" w:type="dxa"/>
              <w:left w:w="0" w:type="dxa"/>
              <w:bottom w:w="0" w:type="dxa"/>
              <w:right w:w="0" w:type="dxa"/>
            </w:tcMar>
            <w:vAlign w:val="center"/>
          </w:tcPr>
          <w:p w14:paraId="68DFB83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91" w:type="dxa"/>
            <w:noWrap w:val="0"/>
            <w:tcMar>
              <w:top w:w="0" w:type="dxa"/>
              <w:left w:w="0" w:type="dxa"/>
              <w:bottom w:w="0" w:type="dxa"/>
              <w:right w:w="0" w:type="dxa"/>
            </w:tcMar>
            <w:vAlign w:val="center"/>
          </w:tcPr>
          <w:p w14:paraId="6709151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74" w:type="dxa"/>
            <w:noWrap w:val="0"/>
            <w:tcMar>
              <w:top w:w="0" w:type="dxa"/>
              <w:left w:w="0" w:type="dxa"/>
              <w:bottom w:w="0" w:type="dxa"/>
              <w:right w:w="0" w:type="dxa"/>
            </w:tcMar>
            <w:vAlign w:val="center"/>
          </w:tcPr>
          <w:p w14:paraId="70D2F25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r>
      <w:tr w14:paraId="3818C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trPr>
        <w:tc>
          <w:tcPr>
            <w:tcW w:w="785" w:type="pct"/>
            <w:vMerge w:val="restart"/>
            <w:noWrap w:val="0"/>
            <w:tcMar>
              <w:top w:w="0" w:type="dxa"/>
              <w:left w:w="0" w:type="dxa"/>
              <w:bottom w:w="0" w:type="dxa"/>
              <w:right w:w="0" w:type="dxa"/>
            </w:tcMar>
            <w:vAlign w:val="center"/>
          </w:tcPr>
          <w:p w14:paraId="49B3803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区域因素</w:t>
            </w:r>
          </w:p>
        </w:tc>
        <w:tc>
          <w:tcPr>
            <w:tcW w:w="967" w:type="pct"/>
            <w:noWrap w:val="0"/>
            <w:tcMar>
              <w:top w:w="0" w:type="dxa"/>
              <w:left w:w="0" w:type="dxa"/>
              <w:bottom w:w="0" w:type="dxa"/>
              <w:right w:w="0" w:type="dxa"/>
            </w:tcMar>
            <w:vAlign w:val="center"/>
          </w:tcPr>
          <w:p w14:paraId="7E30033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商服繁华度</w:t>
            </w:r>
          </w:p>
        </w:tc>
        <w:tc>
          <w:tcPr>
            <w:tcW w:w="1299" w:type="dxa"/>
            <w:noWrap w:val="0"/>
            <w:tcMar>
              <w:top w:w="0" w:type="dxa"/>
              <w:left w:w="0" w:type="dxa"/>
              <w:bottom w:w="0" w:type="dxa"/>
              <w:right w:w="0" w:type="dxa"/>
            </w:tcMar>
            <w:vAlign w:val="center"/>
          </w:tcPr>
          <w:p w14:paraId="52FDF1B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一般</w:t>
            </w:r>
          </w:p>
        </w:tc>
        <w:tc>
          <w:tcPr>
            <w:tcW w:w="1358" w:type="dxa"/>
            <w:noWrap w:val="0"/>
            <w:tcMar>
              <w:top w:w="0" w:type="dxa"/>
              <w:left w:w="0" w:type="dxa"/>
              <w:bottom w:w="0" w:type="dxa"/>
              <w:right w:w="0" w:type="dxa"/>
            </w:tcMar>
            <w:vAlign w:val="center"/>
          </w:tcPr>
          <w:p w14:paraId="73EB252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较优</w:t>
            </w:r>
          </w:p>
        </w:tc>
        <w:tc>
          <w:tcPr>
            <w:tcW w:w="1391" w:type="dxa"/>
            <w:noWrap w:val="0"/>
            <w:tcMar>
              <w:top w:w="0" w:type="dxa"/>
              <w:left w:w="0" w:type="dxa"/>
              <w:bottom w:w="0" w:type="dxa"/>
              <w:right w:w="0" w:type="dxa"/>
            </w:tcMar>
            <w:vAlign w:val="center"/>
          </w:tcPr>
          <w:p w14:paraId="1922FFE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较优</w:t>
            </w:r>
          </w:p>
        </w:tc>
        <w:tc>
          <w:tcPr>
            <w:tcW w:w="1374" w:type="dxa"/>
            <w:noWrap w:val="0"/>
            <w:tcMar>
              <w:top w:w="0" w:type="dxa"/>
              <w:left w:w="0" w:type="dxa"/>
              <w:bottom w:w="0" w:type="dxa"/>
              <w:right w:w="0" w:type="dxa"/>
            </w:tcMar>
            <w:vAlign w:val="center"/>
          </w:tcPr>
          <w:p w14:paraId="79587DA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较优</w:t>
            </w:r>
          </w:p>
        </w:tc>
      </w:tr>
      <w:tr w14:paraId="6FA35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578C24C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1510007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公交便捷度</w:t>
            </w:r>
          </w:p>
        </w:tc>
        <w:tc>
          <w:tcPr>
            <w:tcW w:w="1299" w:type="dxa"/>
            <w:noWrap w:val="0"/>
            <w:tcMar>
              <w:top w:w="0" w:type="dxa"/>
              <w:left w:w="0" w:type="dxa"/>
              <w:bottom w:w="0" w:type="dxa"/>
              <w:right w:w="0" w:type="dxa"/>
            </w:tcMar>
            <w:vAlign w:val="center"/>
          </w:tcPr>
          <w:p w14:paraId="2CDB0F30">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较好</w:t>
            </w:r>
          </w:p>
        </w:tc>
        <w:tc>
          <w:tcPr>
            <w:tcW w:w="1358" w:type="dxa"/>
            <w:noWrap w:val="0"/>
            <w:tcMar>
              <w:top w:w="0" w:type="dxa"/>
              <w:left w:w="0" w:type="dxa"/>
              <w:bottom w:w="0" w:type="dxa"/>
              <w:right w:w="0" w:type="dxa"/>
            </w:tcMar>
            <w:vAlign w:val="center"/>
          </w:tcPr>
          <w:p w14:paraId="346FA24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较好</w:t>
            </w:r>
          </w:p>
        </w:tc>
        <w:tc>
          <w:tcPr>
            <w:tcW w:w="1391" w:type="dxa"/>
            <w:noWrap w:val="0"/>
            <w:tcMar>
              <w:top w:w="0" w:type="dxa"/>
              <w:left w:w="0" w:type="dxa"/>
              <w:bottom w:w="0" w:type="dxa"/>
              <w:right w:w="0" w:type="dxa"/>
            </w:tcMar>
            <w:vAlign w:val="center"/>
          </w:tcPr>
          <w:p w14:paraId="111DFFA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较好</w:t>
            </w:r>
          </w:p>
        </w:tc>
        <w:tc>
          <w:tcPr>
            <w:tcW w:w="1374" w:type="dxa"/>
            <w:noWrap w:val="0"/>
            <w:tcMar>
              <w:top w:w="0" w:type="dxa"/>
              <w:left w:w="0" w:type="dxa"/>
              <w:bottom w:w="0" w:type="dxa"/>
              <w:right w:w="0" w:type="dxa"/>
            </w:tcMar>
            <w:vAlign w:val="center"/>
          </w:tcPr>
          <w:p w14:paraId="3BACB5A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较好</w:t>
            </w:r>
          </w:p>
        </w:tc>
      </w:tr>
      <w:tr w14:paraId="72F82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4416C58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22ECBC0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道路通达度</w:t>
            </w:r>
          </w:p>
        </w:tc>
        <w:tc>
          <w:tcPr>
            <w:tcW w:w="1299" w:type="dxa"/>
            <w:noWrap w:val="0"/>
            <w:tcMar>
              <w:top w:w="0" w:type="dxa"/>
              <w:left w:w="0" w:type="dxa"/>
              <w:bottom w:w="0" w:type="dxa"/>
              <w:right w:w="0" w:type="dxa"/>
            </w:tcMar>
            <w:vAlign w:val="center"/>
          </w:tcPr>
          <w:p w14:paraId="7749A9C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95%</w:t>
            </w:r>
          </w:p>
        </w:tc>
        <w:tc>
          <w:tcPr>
            <w:tcW w:w="1358" w:type="dxa"/>
            <w:noWrap w:val="0"/>
            <w:tcMar>
              <w:top w:w="0" w:type="dxa"/>
              <w:left w:w="0" w:type="dxa"/>
              <w:bottom w:w="0" w:type="dxa"/>
              <w:right w:w="0" w:type="dxa"/>
            </w:tcMar>
            <w:vAlign w:val="center"/>
          </w:tcPr>
          <w:p w14:paraId="29964EB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95%</w:t>
            </w:r>
          </w:p>
        </w:tc>
        <w:tc>
          <w:tcPr>
            <w:tcW w:w="1391" w:type="dxa"/>
            <w:noWrap w:val="0"/>
            <w:tcMar>
              <w:top w:w="0" w:type="dxa"/>
              <w:left w:w="0" w:type="dxa"/>
              <w:bottom w:w="0" w:type="dxa"/>
              <w:right w:w="0" w:type="dxa"/>
            </w:tcMar>
            <w:vAlign w:val="center"/>
          </w:tcPr>
          <w:p w14:paraId="51E24BF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95%</w:t>
            </w:r>
          </w:p>
        </w:tc>
        <w:tc>
          <w:tcPr>
            <w:tcW w:w="1374" w:type="dxa"/>
            <w:noWrap w:val="0"/>
            <w:tcMar>
              <w:top w:w="0" w:type="dxa"/>
              <w:left w:w="0" w:type="dxa"/>
              <w:bottom w:w="0" w:type="dxa"/>
              <w:right w:w="0" w:type="dxa"/>
            </w:tcMar>
            <w:vAlign w:val="center"/>
          </w:tcPr>
          <w:p w14:paraId="4D6D0CE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95%</w:t>
            </w:r>
          </w:p>
        </w:tc>
      </w:tr>
      <w:tr w14:paraId="201CE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30" w:hRule="atLeast"/>
        </w:trPr>
        <w:tc>
          <w:tcPr>
            <w:tcW w:w="785" w:type="pct"/>
            <w:vMerge w:val="continue"/>
            <w:noWrap w:val="0"/>
            <w:tcMar>
              <w:top w:w="0" w:type="dxa"/>
              <w:left w:w="0" w:type="dxa"/>
              <w:bottom w:w="0" w:type="dxa"/>
              <w:right w:w="0" w:type="dxa"/>
            </w:tcMar>
            <w:vAlign w:val="center"/>
          </w:tcPr>
          <w:p w14:paraId="75F59CD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4DD0EC8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水电等基础设施综合保证率</w:t>
            </w:r>
          </w:p>
        </w:tc>
        <w:tc>
          <w:tcPr>
            <w:tcW w:w="1299" w:type="dxa"/>
            <w:noWrap w:val="0"/>
            <w:tcMar>
              <w:top w:w="0" w:type="dxa"/>
              <w:left w:w="0" w:type="dxa"/>
              <w:bottom w:w="0" w:type="dxa"/>
              <w:right w:w="0" w:type="dxa"/>
            </w:tcMar>
            <w:vAlign w:val="center"/>
          </w:tcPr>
          <w:p w14:paraId="59B366B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58" w:type="dxa"/>
            <w:noWrap w:val="0"/>
            <w:tcMar>
              <w:top w:w="0" w:type="dxa"/>
              <w:left w:w="0" w:type="dxa"/>
              <w:bottom w:w="0" w:type="dxa"/>
              <w:right w:w="0" w:type="dxa"/>
            </w:tcMar>
            <w:vAlign w:val="center"/>
          </w:tcPr>
          <w:p w14:paraId="71E3DEC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91" w:type="dxa"/>
            <w:noWrap w:val="0"/>
            <w:tcMar>
              <w:top w:w="0" w:type="dxa"/>
              <w:left w:w="0" w:type="dxa"/>
              <w:bottom w:w="0" w:type="dxa"/>
              <w:right w:w="0" w:type="dxa"/>
            </w:tcMar>
            <w:vAlign w:val="center"/>
          </w:tcPr>
          <w:p w14:paraId="68D14E9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74" w:type="dxa"/>
            <w:noWrap w:val="0"/>
            <w:tcMar>
              <w:top w:w="0" w:type="dxa"/>
              <w:left w:w="0" w:type="dxa"/>
              <w:bottom w:w="0" w:type="dxa"/>
              <w:right w:w="0" w:type="dxa"/>
            </w:tcMar>
            <w:vAlign w:val="center"/>
          </w:tcPr>
          <w:p w14:paraId="0C674EB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r>
      <w:tr w14:paraId="3DC80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41C5F2D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2CC1A2D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环境质量</w:t>
            </w:r>
          </w:p>
        </w:tc>
        <w:tc>
          <w:tcPr>
            <w:tcW w:w="1299" w:type="dxa"/>
            <w:noWrap w:val="0"/>
            <w:tcMar>
              <w:top w:w="0" w:type="dxa"/>
              <w:left w:w="0" w:type="dxa"/>
              <w:bottom w:w="0" w:type="dxa"/>
              <w:right w:w="0" w:type="dxa"/>
            </w:tcMar>
            <w:vAlign w:val="center"/>
          </w:tcPr>
          <w:p w14:paraId="2211DE2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齐全</w:t>
            </w:r>
          </w:p>
        </w:tc>
        <w:tc>
          <w:tcPr>
            <w:tcW w:w="1358" w:type="dxa"/>
            <w:noWrap w:val="0"/>
            <w:tcMar>
              <w:top w:w="0" w:type="dxa"/>
              <w:left w:w="0" w:type="dxa"/>
              <w:bottom w:w="0" w:type="dxa"/>
              <w:right w:w="0" w:type="dxa"/>
            </w:tcMar>
            <w:vAlign w:val="center"/>
          </w:tcPr>
          <w:p w14:paraId="78063D0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齐全</w:t>
            </w:r>
          </w:p>
        </w:tc>
        <w:tc>
          <w:tcPr>
            <w:tcW w:w="1391" w:type="dxa"/>
            <w:noWrap w:val="0"/>
            <w:tcMar>
              <w:top w:w="0" w:type="dxa"/>
              <w:left w:w="0" w:type="dxa"/>
              <w:bottom w:w="0" w:type="dxa"/>
              <w:right w:w="0" w:type="dxa"/>
            </w:tcMar>
            <w:vAlign w:val="center"/>
          </w:tcPr>
          <w:p w14:paraId="126A097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齐全</w:t>
            </w:r>
          </w:p>
        </w:tc>
        <w:tc>
          <w:tcPr>
            <w:tcW w:w="1374" w:type="dxa"/>
            <w:noWrap w:val="0"/>
            <w:tcMar>
              <w:top w:w="0" w:type="dxa"/>
              <w:left w:w="0" w:type="dxa"/>
              <w:bottom w:w="0" w:type="dxa"/>
              <w:right w:w="0" w:type="dxa"/>
            </w:tcMar>
            <w:vAlign w:val="center"/>
          </w:tcPr>
          <w:p w14:paraId="1834339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齐全</w:t>
            </w:r>
          </w:p>
        </w:tc>
      </w:tr>
      <w:tr w14:paraId="0F110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30" w:hRule="atLeast"/>
        </w:trPr>
        <w:tc>
          <w:tcPr>
            <w:tcW w:w="785" w:type="pct"/>
            <w:vMerge w:val="continue"/>
            <w:noWrap w:val="0"/>
            <w:tcMar>
              <w:top w:w="0" w:type="dxa"/>
              <w:left w:w="0" w:type="dxa"/>
              <w:bottom w:w="0" w:type="dxa"/>
              <w:right w:w="0" w:type="dxa"/>
            </w:tcMar>
            <w:vAlign w:val="center"/>
          </w:tcPr>
          <w:p w14:paraId="740F224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68CBB54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区域公共设施状况</w:t>
            </w:r>
          </w:p>
        </w:tc>
        <w:tc>
          <w:tcPr>
            <w:tcW w:w="1299" w:type="dxa"/>
            <w:noWrap w:val="0"/>
            <w:tcMar>
              <w:top w:w="0" w:type="dxa"/>
              <w:left w:w="0" w:type="dxa"/>
              <w:bottom w:w="0" w:type="dxa"/>
              <w:right w:w="0" w:type="dxa"/>
            </w:tcMar>
            <w:vAlign w:val="center"/>
          </w:tcPr>
          <w:p w14:paraId="6D91D56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临支路</w:t>
            </w:r>
          </w:p>
        </w:tc>
        <w:tc>
          <w:tcPr>
            <w:tcW w:w="1358" w:type="dxa"/>
            <w:noWrap w:val="0"/>
            <w:tcMar>
              <w:top w:w="0" w:type="dxa"/>
              <w:left w:w="0" w:type="dxa"/>
              <w:bottom w:w="0" w:type="dxa"/>
              <w:right w:w="0" w:type="dxa"/>
            </w:tcMar>
            <w:vAlign w:val="center"/>
          </w:tcPr>
          <w:p w14:paraId="2AF9864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临主干道</w:t>
            </w:r>
          </w:p>
        </w:tc>
        <w:tc>
          <w:tcPr>
            <w:tcW w:w="1391" w:type="dxa"/>
            <w:noWrap w:val="0"/>
            <w:tcMar>
              <w:top w:w="0" w:type="dxa"/>
              <w:left w:w="0" w:type="dxa"/>
              <w:bottom w:w="0" w:type="dxa"/>
              <w:right w:w="0" w:type="dxa"/>
            </w:tcMar>
            <w:vAlign w:val="center"/>
          </w:tcPr>
          <w:p w14:paraId="04E84F8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临主干道</w:t>
            </w:r>
          </w:p>
        </w:tc>
        <w:tc>
          <w:tcPr>
            <w:tcW w:w="1374" w:type="dxa"/>
            <w:noWrap w:val="0"/>
            <w:tcMar>
              <w:top w:w="0" w:type="dxa"/>
              <w:left w:w="0" w:type="dxa"/>
              <w:bottom w:w="0" w:type="dxa"/>
              <w:right w:w="0" w:type="dxa"/>
            </w:tcMar>
            <w:vAlign w:val="center"/>
          </w:tcPr>
          <w:p w14:paraId="552E191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临主干道</w:t>
            </w:r>
          </w:p>
        </w:tc>
      </w:tr>
      <w:tr w14:paraId="07885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restart"/>
            <w:noWrap w:val="0"/>
            <w:tcMar>
              <w:top w:w="0" w:type="dxa"/>
              <w:left w:w="0" w:type="dxa"/>
              <w:bottom w:w="0" w:type="dxa"/>
              <w:right w:w="0" w:type="dxa"/>
            </w:tcMar>
            <w:vAlign w:val="center"/>
          </w:tcPr>
          <w:p w14:paraId="6294FE8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个别因素</w:t>
            </w:r>
          </w:p>
        </w:tc>
        <w:tc>
          <w:tcPr>
            <w:tcW w:w="967" w:type="pct"/>
            <w:noWrap w:val="0"/>
            <w:tcMar>
              <w:top w:w="0" w:type="dxa"/>
              <w:left w:w="0" w:type="dxa"/>
              <w:bottom w:w="0" w:type="dxa"/>
              <w:right w:w="0" w:type="dxa"/>
            </w:tcMar>
            <w:vAlign w:val="center"/>
          </w:tcPr>
          <w:p w14:paraId="30BDC9E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所临道路类型</w:t>
            </w:r>
          </w:p>
        </w:tc>
        <w:tc>
          <w:tcPr>
            <w:tcW w:w="1299" w:type="dxa"/>
            <w:noWrap w:val="0"/>
            <w:tcMar>
              <w:top w:w="0" w:type="dxa"/>
              <w:left w:w="0" w:type="dxa"/>
              <w:bottom w:w="0" w:type="dxa"/>
              <w:right w:w="0" w:type="dxa"/>
            </w:tcMar>
            <w:vAlign w:val="center"/>
          </w:tcPr>
          <w:p w14:paraId="567BE90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58" w:type="dxa"/>
            <w:noWrap w:val="0"/>
            <w:tcMar>
              <w:top w:w="0" w:type="dxa"/>
              <w:left w:w="0" w:type="dxa"/>
              <w:bottom w:w="0" w:type="dxa"/>
              <w:right w:w="0" w:type="dxa"/>
            </w:tcMar>
            <w:vAlign w:val="center"/>
          </w:tcPr>
          <w:p w14:paraId="13AB3CB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91" w:type="dxa"/>
            <w:noWrap w:val="0"/>
            <w:tcMar>
              <w:top w:w="0" w:type="dxa"/>
              <w:left w:w="0" w:type="dxa"/>
              <w:bottom w:w="0" w:type="dxa"/>
              <w:right w:w="0" w:type="dxa"/>
            </w:tcMar>
            <w:vAlign w:val="center"/>
          </w:tcPr>
          <w:p w14:paraId="329F123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74" w:type="dxa"/>
            <w:noWrap w:val="0"/>
            <w:tcMar>
              <w:top w:w="0" w:type="dxa"/>
              <w:left w:w="0" w:type="dxa"/>
              <w:bottom w:w="0" w:type="dxa"/>
              <w:right w:w="0" w:type="dxa"/>
            </w:tcMar>
            <w:vAlign w:val="center"/>
          </w:tcPr>
          <w:p w14:paraId="5616190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r>
      <w:tr w14:paraId="2B40D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44FE731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17E1956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通风采光</w:t>
            </w:r>
          </w:p>
        </w:tc>
        <w:tc>
          <w:tcPr>
            <w:tcW w:w="1299" w:type="dxa"/>
            <w:noWrap w:val="0"/>
            <w:tcMar>
              <w:top w:w="0" w:type="dxa"/>
              <w:left w:w="0" w:type="dxa"/>
              <w:bottom w:w="0" w:type="dxa"/>
              <w:right w:w="0" w:type="dxa"/>
            </w:tcMar>
            <w:vAlign w:val="center"/>
          </w:tcPr>
          <w:p w14:paraId="6CA4893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七成新</w:t>
            </w:r>
          </w:p>
        </w:tc>
        <w:tc>
          <w:tcPr>
            <w:tcW w:w="1358" w:type="dxa"/>
            <w:noWrap w:val="0"/>
            <w:tcMar>
              <w:top w:w="0" w:type="dxa"/>
              <w:left w:w="0" w:type="dxa"/>
              <w:bottom w:w="0" w:type="dxa"/>
              <w:right w:w="0" w:type="dxa"/>
            </w:tcMar>
            <w:vAlign w:val="center"/>
          </w:tcPr>
          <w:p w14:paraId="61DA9B8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七成新</w:t>
            </w:r>
          </w:p>
        </w:tc>
        <w:tc>
          <w:tcPr>
            <w:tcW w:w="1391" w:type="dxa"/>
            <w:noWrap w:val="0"/>
            <w:tcMar>
              <w:top w:w="0" w:type="dxa"/>
              <w:left w:w="0" w:type="dxa"/>
              <w:bottom w:w="0" w:type="dxa"/>
              <w:right w:w="0" w:type="dxa"/>
            </w:tcMar>
            <w:vAlign w:val="center"/>
          </w:tcPr>
          <w:p w14:paraId="7A67C7A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七成新</w:t>
            </w:r>
          </w:p>
        </w:tc>
        <w:tc>
          <w:tcPr>
            <w:tcW w:w="1374" w:type="dxa"/>
            <w:noWrap w:val="0"/>
            <w:tcMar>
              <w:top w:w="0" w:type="dxa"/>
              <w:left w:w="0" w:type="dxa"/>
              <w:bottom w:w="0" w:type="dxa"/>
              <w:right w:w="0" w:type="dxa"/>
            </w:tcMar>
            <w:vAlign w:val="center"/>
          </w:tcPr>
          <w:p w14:paraId="0C668B3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七成新</w:t>
            </w:r>
          </w:p>
        </w:tc>
      </w:tr>
      <w:tr w14:paraId="50A8B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30B9DB7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3182A50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房屋成新度</w:t>
            </w:r>
          </w:p>
        </w:tc>
        <w:tc>
          <w:tcPr>
            <w:tcW w:w="1299" w:type="dxa"/>
            <w:noWrap w:val="0"/>
            <w:tcMar>
              <w:top w:w="0" w:type="dxa"/>
              <w:left w:w="0" w:type="dxa"/>
              <w:bottom w:w="0" w:type="dxa"/>
              <w:right w:w="0" w:type="dxa"/>
            </w:tcMar>
            <w:vAlign w:val="center"/>
          </w:tcPr>
          <w:p w14:paraId="30192EF0">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砖混</w:t>
            </w:r>
          </w:p>
        </w:tc>
        <w:tc>
          <w:tcPr>
            <w:tcW w:w="1358" w:type="dxa"/>
            <w:noWrap w:val="0"/>
            <w:tcMar>
              <w:top w:w="0" w:type="dxa"/>
              <w:left w:w="0" w:type="dxa"/>
              <w:bottom w:w="0" w:type="dxa"/>
              <w:right w:w="0" w:type="dxa"/>
            </w:tcMar>
            <w:vAlign w:val="center"/>
          </w:tcPr>
          <w:p w14:paraId="5D7E390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砖混</w:t>
            </w:r>
          </w:p>
        </w:tc>
        <w:tc>
          <w:tcPr>
            <w:tcW w:w="1391" w:type="dxa"/>
            <w:noWrap w:val="0"/>
            <w:tcMar>
              <w:top w:w="0" w:type="dxa"/>
              <w:left w:w="0" w:type="dxa"/>
              <w:bottom w:w="0" w:type="dxa"/>
              <w:right w:w="0" w:type="dxa"/>
            </w:tcMar>
            <w:vAlign w:val="center"/>
          </w:tcPr>
          <w:p w14:paraId="042EF43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砖混</w:t>
            </w:r>
          </w:p>
        </w:tc>
        <w:tc>
          <w:tcPr>
            <w:tcW w:w="1374" w:type="dxa"/>
            <w:noWrap w:val="0"/>
            <w:tcMar>
              <w:top w:w="0" w:type="dxa"/>
              <w:left w:w="0" w:type="dxa"/>
              <w:bottom w:w="0" w:type="dxa"/>
              <w:right w:w="0" w:type="dxa"/>
            </w:tcMar>
            <w:vAlign w:val="center"/>
          </w:tcPr>
          <w:p w14:paraId="7E86AF5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砖混</w:t>
            </w:r>
          </w:p>
        </w:tc>
      </w:tr>
      <w:tr w14:paraId="0B77B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0DD0D5A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60B93FA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建筑物结构</w:t>
            </w:r>
          </w:p>
        </w:tc>
        <w:tc>
          <w:tcPr>
            <w:tcW w:w="1299" w:type="dxa"/>
            <w:noWrap w:val="0"/>
            <w:tcMar>
              <w:top w:w="0" w:type="dxa"/>
              <w:left w:w="0" w:type="dxa"/>
              <w:bottom w:w="0" w:type="dxa"/>
              <w:right w:w="0" w:type="dxa"/>
            </w:tcMar>
            <w:vAlign w:val="center"/>
          </w:tcPr>
          <w:p w14:paraId="47EE7A9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合理</w:t>
            </w:r>
          </w:p>
        </w:tc>
        <w:tc>
          <w:tcPr>
            <w:tcW w:w="1358" w:type="dxa"/>
            <w:noWrap w:val="0"/>
            <w:tcMar>
              <w:top w:w="0" w:type="dxa"/>
              <w:left w:w="0" w:type="dxa"/>
              <w:bottom w:w="0" w:type="dxa"/>
              <w:right w:w="0" w:type="dxa"/>
            </w:tcMar>
            <w:vAlign w:val="center"/>
          </w:tcPr>
          <w:p w14:paraId="45B4C69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合理</w:t>
            </w:r>
          </w:p>
        </w:tc>
        <w:tc>
          <w:tcPr>
            <w:tcW w:w="1391" w:type="dxa"/>
            <w:noWrap w:val="0"/>
            <w:tcMar>
              <w:top w:w="0" w:type="dxa"/>
              <w:left w:w="0" w:type="dxa"/>
              <w:bottom w:w="0" w:type="dxa"/>
              <w:right w:w="0" w:type="dxa"/>
            </w:tcMar>
            <w:vAlign w:val="center"/>
          </w:tcPr>
          <w:p w14:paraId="5C1EA33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合理</w:t>
            </w:r>
          </w:p>
        </w:tc>
        <w:tc>
          <w:tcPr>
            <w:tcW w:w="1374" w:type="dxa"/>
            <w:noWrap w:val="0"/>
            <w:tcMar>
              <w:top w:w="0" w:type="dxa"/>
              <w:left w:w="0" w:type="dxa"/>
              <w:bottom w:w="0" w:type="dxa"/>
              <w:right w:w="0" w:type="dxa"/>
            </w:tcMar>
            <w:vAlign w:val="center"/>
          </w:tcPr>
          <w:p w14:paraId="0731EF2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合理</w:t>
            </w:r>
          </w:p>
        </w:tc>
      </w:tr>
      <w:tr w14:paraId="01A43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34E2422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43F0C72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建筑物内部格局</w:t>
            </w:r>
          </w:p>
        </w:tc>
        <w:tc>
          <w:tcPr>
            <w:tcW w:w="1299" w:type="dxa"/>
            <w:noWrap w:val="0"/>
            <w:tcMar>
              <w:top w:w="0" w:type="dxa"/>
              <w:left w:w="0" w:type="dxa"/>
              <w:bottom w:w="0" w:type="dxa"/>
              <w:right w:w="0" w:type="dxa"/>
            </w:tcMar>
            <w:vAlign w:val="center"/>
          </w:tcPr>
          <w:p w14:paraId="652F7E7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简单装修</w:t>
            </w:r>
          </w:p>
        </w:tc>
        <w:tc>
          <w:tcPr>
            <w:tcW w:w="1358" w:type="dxa"/>
            <w:noWrap w:val="0"/>
            <w:tcMar>
              <w:top w:w="0" w:type="dxa"/>
              <w:left w:w="0" w:type="dxa"/>
              <w:bottom w:w="0" w:type="dxa"/>
              <w:right w:w="0" w:type="dxa"/>
            </w:tcMar>
            <w:vAlign w:val="center"/>
          </w:tcPr>
          <w:p w14:paraId="4612E51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简单装修</w:t>
            </w:r>
          </w:p>
        </w:tc>
        <w:tc>
          <w:tcPr>
            <w:tcW w:w="1391" w:type="dxa"/>
            <w:noWrap w:val="0"/>
            <w:tcMar>
              <w:top w:w="0" w:type="dxa"/>
              <w:left w:w="0" w:type="dxa"/>
              <w:bottom w:w="0" w:type="dxa"/>
              <w:right w:w="0" w:type="dxa"/>
            </w:tcMar>
            <w:vAlign w:val="center"/>
          </w:tcPr>
          <w:p w14:paraId="22E235C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简单装修</w:t>
            </w:r>
          </w:p>
        </w:tc>
        <w:tc>
          <w:tcPr>
            <w:tcW w:w="1374" w:type="dxa"/>
            <w:noWrap w:val="0"/>
            <w:tcMar>
              <w:top w:w="0" w:type="dxa"/>
              <w:left w:w="0" w:type="dxa"/>
              <w:bottom w:w="0" w:type="dxa"/>
              <w:right w:w="0" w:type="dxa"/>
            </w:tcMar>
            <w:vAlign w:val="center"/>
          </w:tcPr>
          <w:p w14:paraId="2D2D5AD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简单装修</w:t>
            </w:r>
          </w:p>
        </w:tc>
      </w:tr>
      <w:tr w14:paraId="4B8E9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7E9203F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6AD6679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装修档次</w:t>
            </w:r>
          </w:p>
        </w:tc>
        <w:tc>
          <w:tcPr>
            <w:tcW w:w="1299" w:type="dxa"/>
            <w:noWrap w:val="0"/>
            <w:tcMar>
              <w:top w:w="0" w:type="dxa"/>
              <w:left w:w="0" w:type="dxa"/>
              <w:bottom w:w="0" w:type="dxa"/>
              <w:right w:w="0" w:type="dxa"/>
            </w:tcMar>
            <w:vAlign w:val="center"/>
          </w:tcPr>
          <w:p w14:paraId="52B11D2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基本满足停车</w:t>
            </w:r>
          </w:p>
        </w:tc>
        <w:tc>
          <w:tcPr>
            <w:tcW w:w="1358" w:type="dxa"/>
            <w:noWrap w:val="0"/>
            <w:tcMar>
              <w:top w:w="0" w:type="dxa"/>
              <w:left w:w="0" w:type="dxa"/>
              <w:bottom w:w="0" w:type="dxa"/>
              <w:right w:w="0" w:type="dxa"/>
            </w:tcMar>
            <w:vAlign w:val="center"/>
          </w:tcPr>
          <w:p w14:paraId="117D203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基本满足停车需求</w:t>
            </w:r>
          </w:p>
        </w:tc>
        <w:tc>
          <w:tcPr>
            <w:tcW w:w="1391" w:type="dxa"/>
            <w:noWrap w:val="0"/>
            <w:tcMar>
              <w:top w:w="0" w:type="dxa"/>
              <w:left w:w="0" w:type="dxa"/>
              <w:bottom w:w="0" w:type="dxa"/>
              <w:right w:w="0" w:type="dxa"/>
            </w:tcMar>
            <w:vAlign w:val="center"/>
          </w:tcPr>
          <w:p w14:paraId="7780A24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基本满足停车需求</w:t>
            </w:r>
          </w:p>
        </w:tc>
        <w:tc>
          <w:tcPr>
            <w:tcW w:w="1374" w:type="dxa"/>
            <w:noWrap w:val="0"/>
            <w:tcMar>
              <w:top w:w="0" w:type="dxa"/>
              <w:left w:w="0" w:type="dxa"/>
              <w:bottom w:w="0" w:type="dxa"/>
              <w:right w:w="0" w:type="dxa"/>
            </w:tcMar>
            <w:vAlign w:val="center"/>
          </w:tcPr>
          <w:p w14:paraId="7C2B4E8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基本满足停车</w:t>
            </w:r>
          </w:p>
        </w:tc>
      </w:tr>
      <w:tr w14:paraId="7E215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30" w:hRule="atLeast"/>
        </w:trPr>
        <w:tc>
          <w:tcPr>
            <w:tcW w:w="785" w:type="pct"/>
            <w:vMerge w:val="continue"/>
            <w:noWrap w:val="0"/>
            <w:tcMar>
              <w:top w:w="0" w:type="dxa"/>
              <w:left w:w="0" w:type="dxa"/>
              <w:bottom w:w="0" w:type="dxa"/>
              <w:right w:w="0" w:type="dxa"/>
            </w:tcMar>
            <w:vAlign w:val="center"/>
          </w:tcPr>
          <w:p w14:paraId="24397E5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524FECA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停车情况</w:t>
            </w:r>
          </w:p>
        </w:tc>
        <w:tc>
          <w:tcPr>
            <w:tcW w:w="1299" w:type="dxa"/>
            <w:noWrap w:val="0"/>
            <w:tcMar>
              <w:top w:w="0" w:type="dxa"/>
              <w:left w:w="0" w:type="dxa"/>
              <w:bottom w:w="0" w:type="dxa"/>
              <w:right w:w="0" w:type="dxa"/>
            </w:tcMar>
            <w:vAlign w:val="center"/>
          </w:tcPr>
          <w:p w14:paraId="6224D66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无</w:t>
            </w:r>
          </w:p>
        </w:tc>
        <w:tc>
          <w:tcPr>
            <w:tcW w:w="1358" w:type="dxa"/>
            <w:noWrap w:val="0"/>
            <w:tcMar>
              <w:top w:w="0" w:type="dxa"/>
              <w:left w:w="0" w:type="dxa"/>
              <w:bottom w:w="0" w:type="dxa"/>
              <w:right w:w="0" w:type="dxa"/>
            </w:tcMar>
            <w:vAlign w:val="center"/>
          </w:tcPr>
          <w:p w14:paraId="6C29411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无</w:t>
            </w:r>
          </w:p>
        </w:tc>
        <w:tc>
          <w:tcPr>
            <w:tcW w:w="1391" w:type="dxa"/>
            <w:noWrap w:val="0"/>
            <w:tcMar>
              <w:top w:w="0" w:type="dxa"/>
              <w:left w:w="0" w:type="dxa"/>
              <w:bottom w:w="0" w:type="dxa"/>
              <w:right w:w="0" w:type="dxa"/>
            </w:tcMar>
            <w:vAlign w:val="center"/>
          </w:tcPr>
          <w:p w14:paraId="259188D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无</w:t>
            </w:r>
          </w:p>
        </w:tc>
        <w:tc>
          <w:tcPr>
            <w:tcW w:w="1374" w:type="dxa"/>
            <w:noWrap w:val="0"/>
            <w:tcMar>
              <w:top w:w="0" w:type="dxa"/>
              <w:left w:w="0" w:type="dxa"/>
              <w:bottom w:w="0" w:type="dxa"/>
              <w:right w:w="0" w:type="dxa"/>
            </w:tcMar>
            <w:vAlign w:val="center"/>
          </w:tcPr>
          <w:p w14:paraId="28ECF1D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无</w:t>
            </w:r>
          </w:p>
        </w:tc>
      </w:tr>
      <w:tr w14:paraId="4B164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12" w:hRule="atLeast"/>
        </w:trPr>
        <w:tc>
          <w:tcPr>
            <w:tcW w:w="785" w:type="pct"/>
            <w:vMerge w:val="continue"/>
            <w:noWrap w:val="0"/>
            <w:tcMar>
              <w:top w:w="0" w:type="dxa"/>
              <w:left w:w="0" w:type="dxa"/>
              <w:bottom w:w="0" w:type="dxa"/>
              <w:right w:w="0" w:type="dxa"/>
            </w:tcMar>
            <w:vAlign w:val="center"/>
          </w:tcPr>
          <w:p w14:paraId="35BD403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1F6ED6A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物业情况</w:t>
            </w:r>
          </w:p>
        </w:tc>
        <w:tc>
          <w:tcPr>
            <w:tcW w:w="1299" w:type="dxa"/>
            <w:noWrap w:val="0"/>
            <w:tcMar>
              <w:top w:w="0" w:type="dxa"/>
              <w:left w:w="0" w:type="dxa"/>
              <w:bottom w:w="0" w:type="dxa"/>
              <w:right w:w="0" w:type="dxa"/>
            </w:tcMar>
            <w:vAlign w:val="center"/>
          </w:tcPr>
          <w:p w14:paraId="30B9AF8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58" w:type="dxa"/>
            <w:noWrap w:val="0"/>
            <w:tcMar>
              <w:top w:w="0" w:type="dxa"/>
              <w:left w:w="0" w:type="dxa"/>
              <w:bottom w:w="0" w:type="dxa"/>
              <w:right w:w="0" w:type="dxa"/>
            </w:tcMar>
            <w:vAlign w:val="center"/>
          </w:tcPr>
          <w:p w14:paraId="3829D56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91" w:type="dxa"/>
            <w:noWrap w:val="0"/>
            <w:tcMar>
              <w:top w:w="0" w:type="dxa"/>
              <w:left w:w="0" w:type="dxa"/>
              <w:bottom w:w="0" w:type="dxa"/>
              <w:right w:w="0" w:type="dxa"/>
            </w:tcMar>
            <w:vAlign w:val="center"/>
          </w:tcPr>
          <w:p w14:paraId="018B66E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74" w:type="dxa"/>
            <w:noWrap w:val="0"/>
            <w:tcMar>
              <w:top w:w="0" w:type="dxa"/>
              <w:left w:w="0" w:type="dxa"/>
              <w:bottom w:w="0" w:type="dxa"/>
              <w:right w:w="0" w:type="dxa"/>
            </w:tcMar>
            <w:vAlign w:val="center"/>
          </w:tcPr>
          <w:p w14:paraId="46F35BB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r>
    </w:tbl>
    <w:p w14:paraId="70C32AE6">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租金的比较因素修正说明：</w:t>
      </w:r>
    </w:p>
    <w:p w14:paraId="0E5560CF">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A、用途修正：估价对象与三个比较案例用途都为住宅楼，因此不用做修正；</w:t>
      </w:r>
    </w:p>
    <w:p w14:paraId="221C20A9">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B、交易时间修正，估价对象与三个比较案例交易时间接近，因此不需要做时间修正;</w:t>
      </w:r>
    </w:p>
    <w:p w14:paraId="0FABF522">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C、交易情况：估价对象与三个比较案例均是在正常情况下交易的，因此不做交易情况修正；</w:t>
      </w:r>
    </w:p>
    <w:p w14:paraId="3ABE2375">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D、区域因素修正</w:t>
      </w:r>
    </w:p>
    <w:p w14:paraId="3146A8AC">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a、</w:t>
      </w:r>
      <w:r>
        <w:rPr>
          <w:rFonts w:hint="default" w:ascii="仿宋_GB2312" w:hAnsi="仿宋_GB2312" w:eastAsia="仿宋_GB2312" w:cs="仿宋_GB2312"/>
          <w:b w:val="0"/>
          <w:bCs w:val="0"/>
          <w:color w:val="000000"/>
          <w:kern w:val="2"/>
          <w:sz w:val="28"/>
          <w:szCs w:val="28"/>
          <w:highlight w:val="none"/>
          <w:lang w:val="en-US" w:eastAsia="zh-CN" w:bidi="ar-SA"/>
        </w:rPr>
        <w:t>商服繁华度：商服繁华度分为优、较优、一般、较劣、劣五个等级，以估价对象商服繁华度修正系数为100，每上升或下降一个级别，指数增加或减少</w:t>
      </w:r>
      <w:r>
        <w:rPr>
          <w:rFonts w:hint="eastAsia" w:ascii="仿宋_GB2312" w:hAnsi="仿宋_GB2312" w:eastAsia="仿宋_GB2312" w:cs="仿宋_GB2312"/>
          <w:b w:val="0"/>
          <w:bCs w:val="0"/>
          <w:color w:val="000000"/>
          <w:kern w:val="2"/>
          <w:sz w:val="28"/>
          <w:szCs w:val="28"/>
          <w:highlight w:val="none"/>
          <w:lang w:val="en-US" w:eastAsia="zh-CN" w:bidi="ar-SA"/>
        </w:rPr>
        <w:t>2</w:t>
      </w:r>
      <w:r>
        <w:rPr>
          <w:rFonts w:hint="default" w:ascii="仿宋_GB2312" w:hAnsi="仿宋_GB2312" w:eastAsia="仿宋_GB2312" w:cs="仿宋_GB2312"/>
          <w:b w:val="0"/>
          <w:bCs w:val="0"/>
          <w:color w:val="000000"/>
          <w:kern w:val="2"/>
          <w:sz w:val="28"/>
          <w:szCs w:val="28"/>
          <w:highlight w:val="none"/>
          <w:lang w:val="en-US" w:eastAsia="zh-CN" w:bidi="ar-SA"/>
        </w:rPr>
        <w:t>;</w:t>
      </w:r>
    </w:p>
    <w:p w14:paraId="6248B0E7">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b、公交便捷度：交通便捷度分为优、较优、一般、较劣、劣五个等级，以估价对象交通便捷度修正系数为100，每上升或下降一个级别，指数增加或减少</w:t>
      </w:r>
      <w:r>
        <w:rPr>
          <w:rFonts w:hint="eastAsia" w:ascii="仿宋_GB2312" w:hAnsi="仿宋_GB2312" w:eastAsia="仿宋_GB2312" w:cs="仿宋_GB2312"/>
          <w:b w:val="0"/>
          <w:bCs w:val="0"/>
          <w:color w:val="000000"/>
          <w:kern w:val="2"/>
          <w:sz w:val="28"/>
          <w:szCs w:val="28"/>
          <w:highlight w:val="none"/>
          <w:lang w:val="en-US" w:eastAsia="zh-CN" w:bidi="ar-SA"/>
        </w:rPr>
        <w:t>2</w:t>
      </w:r>
      <w:r>
        <w:rPr>
          <w:rFonts w:hint="default" w:ascii="仿宋_GB2312" w:hAnsi="仿宋_GB2312" w:eastAsia="仿宋_GB2312" w:cs="仿宋_GB2312"/>
          <w:b w:val="0"/>
          <w:bCs w:val="0"/>
          <w:color w:val="000000"/>
          <w:kern w:val="2"/>
          <w:sz w:val="28"/>
          <w:szCs w:val="28"/>
          <w:highlight w:val="none"/>
          <w:lang w:val="en-US" w:eastAsia="zh-CN" w:bidi="ar-SA"/>
        </w:rPr>
        <w:t>；</w:t>
      </w:r>
    </w:p>
    <w:p w14:paraId="12BACB3D">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c、道路</w:t>
      </w:r>
      <w:r>
        <w:rPr>
          <w:rFonts w:hint="eastAsia" w:ascii="仿宋_GB2312" w:hAnsi="仿宋_GB2312" w:eastAsia="仿宋_GB2312" w:cs="仿宋_GB2312"/>
          <w:b w:val="0"/>
          <w:bCs w:val="0"/>
          <w:color w:val="000000"/>
          <w:kern w:val="2"/>
          <w:sz w:val="28"/>
          <w:szCs w:val="28"/>
          <w:highlight w:val="none"/>
          <w:lang w:val="en-US" w:eastAsia="zh-CN" w:bidi="ar-SA"/>
        </w:rPr>
        <w:t>通达</w:t>
      </w:r>
      <w:r>
        <w:rPr>
          <w:rFonts w:hint="default" w:ascii="仿宋_GB2312" w:hAnsi="仿宋_GB2312" w:eastAsia="仿宋_GB2312" w:cs="仿宋_GB2312"/>
          <w:b w:val="0"/>
          <w:bCs w:val="0"/>
          <w:color w:val="000000"/>
          <w:kern w:val="2"/>
          <w:sz w:val="28"/>
          <w:szCs w:val="28"/>
          <w:highlight w:val="none"/>
          <w:lang w:val="en-US" w:eastAsia="zh-CN" w:bidi="ar-SA"/>
        </w:rPr>
        <w:t>度：道路</w:t>
      </w:r>
      <w:r>
        <w:rPr>
          <w:rFonts w:hint="eastAsia" w:ascii="仿宋_GB2312" w:hAnsi="仿宋_GB2312" w:eastAsia="仿宋_GB2312" w:cs="仿宋_GB2312"/>
          <w:b w:val="0"/>
          <w:bCs w:val="0"/>
          <w:color w:val="000000"/>
          <w:kern w:val="2"/>
          <w:sz w:val="28"/>
          <w:szCs w:val="28"/>
          <w:highlight w:val="none"/>
          <w:lang w:val="en-US" w:eastAsia="zh-CN" w:bidi="ar-SA"/>
        </w:rPr>
        <w:t>通达</w:t>
      </w:r>
      <w:r>
        <w:rPr>
          <w:rFonts w:hint="default" w:ascii="仿宋_GB2312" w:hAnsi="仿宋_GB2312" w:eastAsia="仿宋_GB2312" w:cs="仿宋_GB2312"/>
          <w:b w:val="0"/>
          <w:bCs w:val="0"/>
          <w:color w:val="000000"/>
          <w:kern w:val="2"/>
          <w:sz w:val="28"/>
          <w:szCs w:val="28"/>
          <w:highlight w:val="none"/>
          <w:lang w:val="en-US" w:eastAsia="zh-CN" w:bidi="ar-SA"/>
        </w:rPr>
        <w:t>度分为通畅、较通畅、一般通畅、较不通畅、不通畅五个等级，以估价对象道路</w:t>
      </w:r>
      <w:r>
        <w:rPr>
          <w:rFonts w:hint="eastAsia" w:ascii="仿宋_GB2312" w:hAnsi="仿宋_GB2312" w:eastAsia="仿宋_GB2312" w:cs="仿宋_GB2312"/>
          <w:b w:val="0"/>
          <w:bCs w:val="0"/>
          <w:color w:val="000000"/>
          <w:kern w:val="2"/>
          <w:sz w:val="28"/>
          <w:szCs w:val="28"/>
          <w:highlight w:val="none"/>
          <w:lang w:val="en-US" w:eastAsia="zh-CN" w:bidi="ar-SA"/>
        </w:rPr>
        <w:t>通达</w:t>
      </w:r>
      <w:r>
        <w:rPr>
          <w:rFonts w:hint="default" w:ascii="仿宋_GB2312" w:hAnsi="仿宋_GB2312" w:eastAsia="仿宋_GB2312" w:cs="仿宋_GB2312"/>
          <w:b w:val="0"/>
          <w:bCs w:val="0"/>
          <w:color w:val="000000"/>
          <w:kern w:val="2"/>
          <w:sz w:val="28"/>
          <w:szCs w:val="28"/>
          <w:highlight w:val="none"/>
          <w:lang w:val="en-US" w:eastAsia="zh-CN" w:bidi="ar-SA"/>
        </w:rPr>
        <w:t>度修正系数为100，每上升或下降一个级别，指数增加或减少2；</w:t>
      </w:r>
    </w:p>
    <w:p w14:paraId="0D767F4C">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d、水电等基础设施综合保证率：水电等基础设施综合保证率分为≥95%、[90，95]、≤90%三个等级,以估价对象为100，每上升或下降一个级别，指数增加或减少2。</w:t>
      </w:r>
    </w:p>
    <w:p w14:paraId="464FBC66">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e、环境质量：环境质量分为好、较好、一般、较差、差五个等级，以估价对象为100, 每上升或下降一个级别，指数增加或减少2。</w:t>
      </w:r>
    </w:p>
    <w:p w14:paraId="7CE13308">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f、区域公共设施状况：区域公共设施状况分为齐全，较齐全，一般，较低，低5个等级，以估价对象为100,每上升或下降一个级别，指数增加或减少2。</w:t>
      </w:r>
    </w:p>
    <w:p w14:paraId="728692DE">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E、个别因素</w:t>
      </w:r>
    </w:p>
    <w:p w14:paraId="2A756B27">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a、所临道路类型</w:t>
      </w:r>
      <w:r>
        <w:rPr>
          <w:rFonts w:hint="eastAsia" w:ascii="仿宋_GB2312" w:hAnsi="仿宋_GB2312" w:eastAsia="仿宋_GB2312" w:cs="仿宋_GB2312"/>
          <w:b w:val="0"/>
          <w:bCs w:val="0"/>
          <w:color w:val="000000"/>
          <w:kern w:val="2"/>
          <w:sz w:val="28"/>
          <w:szCs w:val="28"/>
          <w:highlight w:val="none"/>
          <w:lang w:val="en-US" w:eastAsia="zh-CN" w:bidi="ar-SA"/>
        </w:rPr>
        <w:t>：所临道路类型分为</w:t>
      </w:r>
      <w:r>
        <w:rPr>
          <w:rFonts w:hint="default" w:ascii="仿宋_GB2312" w:hAnsi="仿宋_GB2312" w:eastAsia="仿宋_GB2312" w:cs="仿宋_GB2312"/>
          <w:b w:val="0"/>
          <w:bCs w:val="0"/>
          <w:color w:val="000000"/>
          <w:kern w:val="2"/>
          <w:sz w:val="28"/>
          <w:szCs w:val="28"/>
          <w:highlight w:val="none"/>
          <w:lang w:val="en-US" w:eastAsia="zh-CN" w:bidi="ar-SA"/>
        </w:rPr>
        <w:t>临主干道、临次干道、临支路、不临路等级别。以估价对象指数为100，每上升或下降一个级别，指数增加或减少</w:t>
      </w:r>
      <w:r>
        <w:rPr>
          <w:rFonts w:hint="eastAsia" w:ascii="仿宋_GB2312" w:hAnsi="仿宋_GB2312" w:eastAsia="仿宋_GB2312" w:cs="仿宋_GB2312"/>
          <w:b w:val="0"/>
          <w:bCs w:val="0"/>
          <w:color w:val="000000"/>
          <w:kern w:val="2"/>
          <w:sz w:val="28"/>
          <w:szCs w:val="28"/>
          <w:highlight w:val="none"/>
          <w:lang w:val="en-US" w:eastAsia="zh-CN" w:bidi="ar-SA"/>
        </w:rPr>
        <w:t>1</w:t>
      </w:r>
      <w:r>
        <w:rPr>
          <w:rFonts w:hint="default" w:ascii="仿宋_GB2312" w:hAnsi="仿宋_GB2312" w:eastAsia="仿宋_GB2312" w:cs="仿宋_GB2312"/>
          <w:b w:val="0"/>
          <w:bCs w:val="0"/>
          <w:color w:val="000000"/>
          <w:kern w:val="2"/>
          <w:sz w:val="28"/>
          <w:szCs w:val="28"/>
          <w:highlight w:val="none"/>
          <w:lang w:val="en-US" w:eastAsia="zh-CN" w:bidi="ar-SA"/>
        </w:rPr>
        <w:t>。</w:t>
      </w:r>
    </w:p>
    <w:p w14:paraId="6899693C">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b、通风采光</w:t>
      </w:r>
      <w:r>
        <w:rPr>
          <w:rFonts w:hint="eastAsia" w:ascii="仿宋_GB2312" w:hAnsi="仿宋_GB2312" w:eastAsia="仿宋_GB2312" w:cs="仿宋_GB2312"/>
          <w:b w:val="0"/>
          <w:bCs w:val="0"/>
          <w:color w:val="000000"/>
          <w:kern w:val="2"/>
          <w:sz w:val="28"/>
          <w:szCs w:val="28"/>
          <w:highlight w:val="none"/>
          <w:lang w:val="en-US" w:eastAsia="zh-CN" w:bidi="ar-SA"/>
        </w:rPr>
        <w:t>：通风采光分为</w:t>
      </w:r>
      <w:r>
        <w:rPr>
          <w:rFonts w:hint="default" w:ascii="仿宋_GB2312" w:hAnsi="仿宋_GB2312" w:eastAsia="仿宋_GB2312" w:cs="仿宋_GB2312"/>
          <w:b w:val="0"/>
          <w:bCs w:val="0"/>
          <w:color w:val="000000"/>
          <w:kern w:val="2"/>
          <w:sz w:val="28"/>
          <w:szCs w:val="28"/>
          <w:highlight w:val="none"/>
          <w:lang w:val="en-US" w:eastAsia="zh-CN" w:bidi="ar-SA"/>
        </w:rPr>
        <w:t>好、较好、一般、较差、差五个等级，以估价对象条件指数为100, 每上升或下降一个级别，指数增加或减少</w:t>
      </w:r>
      <w:r>
        <w:rPr>
          <w:rFonts w:hint="eastAsia" w:ascii="仿宋_GB2312" w:hAnsi="仿宋_GB2312" w:eastAsia="仿宋_GB2312" w:cs="仿宋_GB2312"/>
          <w:b w:val="0"/>
          <w:bCs w:val="0"/>
          <w:color w:val="000000"/>
          <w:kern w:val="2"/>
          <w:sz w:val="28"/>
          <w:szCs w:val="28"/>
          <w:highlight w:val="none"/>
          <w:lang w:val="en-US" w:eastAsia="zh-CN" w:bidi="ar-SA"/>
        </w:rPr>
        <w:t>1</w:t>
      </w:r>
      <w:r>
        <w:rPr>
          <w:rFonts w:hint="default" w:ascii="仿宋_GB2312" w:hAnsi="仿宋_GB2312" w:eastAsia="仿宋_GB2312" w:cs="仿宋_GB2312"/>
          <w:b w:val="0"/>
          <w:bCs w:val="0"/>
          <w:color w:val="000000"/>
          <w:kern w:val="2"/>
          <w:sz w:val="28"/>
          <w:szCs w:val="28"/>
          <w:highlight w:val="none"/>
          <w:lang w:val="en-US" w:eastAsia="zh-CN" w:bidi="ar-SA"/>
        </w:rPr>
        <w:t>。</w:t>
      </w:r>
    </w:p>
    <w:p w14:paraId="07E351EB">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c、房屋成新度：以估价对象成新度为100，每上升或下降一个级别，指数增加或减少</w:t>
      </w:r>
      <w:r>
        <w:rPr>
          <w:rFonts w:hint="eastAsia" w:ascii="仿宋_GB2312" w:hAnsi="仿宋_GB2312" w:eastAsia="仿宋_GB2312" w:cs="仿宋_GB2312"/>
          <w:b w:val="0"/>
          <w:bCs w:val="0"/>
          <w:color w:val="000000"/>
          <w:kern w:val="2"/>
          <w:sz w:val="28"/>
          <w:szCs w:val="28"/>
          <w:highlight w:val="none"/>
          <w:lang w:val="en-US" w:eastAsia="zh-CN" w:bidi="ar-SA"/>
        </w:rPr>
        <w:t>4</w:t>
      </w:r>
      <w:r>
        <w:rPr>
          <w:rFonts w:hint="default" w:ascii="仿宋_GB2312" w:hAnsi="仿宋_GB2312" w:eastAsia="仿宋_GB2312" w:cs="仿宋_GB2312"/>
          <w:b w:val="0"/>
          <w:bCs w:val="0"/>
          <w:color w:val="000000"/>
          <w:kern w:val="2"/>
          <w:sz w:val="28"/>
          <w:szCs w:val="28"/>
          <w:highlight w:val="none"/>
          <w:lang w:val="en-US" w:eastAsia="zh-CN" w:bidi="ar-SA"/>
        </w:rPr>
        <w:t>。</w:t>
      </w:r>
    </w:p>
    <w:p w14:paraId="6F408F2A">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d、建筑物结构</w:t>
      </w:r>
      <w:r>
        <w:rPr>
          <w:rFonts w:hint="eastAsia" w:ascii="仿宋_GB2312" w:hAnsi="仿宋_GB2312" w:eastAsia="仿宋_GB2312" w:cs="仿宋_GB2312"/>
          <w:b w:val="0"/>
          <w:bCs w:val="0"/>
          <w:color w:val="000000"/>
          <w:kern w:val="2"/>
          <w:sz w:val="28"/>
          <w:szCs w:val="28"/>
          <w:highlight w:val="none"/>
          <w:lang w:val="en-US" w:eastAsia="zh-CN" w:bidi="ar-SA"/>
        </w:rPr>
        <w:t>：建筑物结构分为</w:t>
      </w:r>
      <w:r>
        <w:rPr>
          <w:rFonts w:hint="default" w:ascii="仿宋_GB2312" w:hAnsi="仿宋_GB2312" w:eastAsia="仿宋_GB2312" w:cs="仿宋_GB2312"/>
          <w:b w:val="0"/>
          <w:bCs w:val="0"/>
          <w:color w:val="000000"/>
          <w:kern w:val="2"/>
          <w:sz w:val="28"/>
          <w:szCs w:val="28"/>
          <w:highlight w:val="none"/>
          <w:lang w:val="en-US" w:eastAsia="zh-CN" w:bidi="ar-SA"/>
        </w:rPr>
        <w:t>框架、钢混、砖混、砖木等4个等级,以估价对象为100, 每上升或下降一个级别，指数增加或减少2。</w:t>
      </w:r>
    </w:p>
    <w:p w14:paraId="29EC76CA">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e、</w:t>
      </w:r>
      <w:r>
        <w:rPr>
          <w:rFonts w:hint="eastAsia" w:ascii="仿宋_GB2312" w:hAnsi="仿宋_GB2312" w:eastAsia="仿宋_GB2312" w:cs="仿宋_GB2312"/>
          <w:b w:val="0"/>
          <w:bCs w:val="0"/>
          <w:color w:val="000000"/>
          <w:kern w:val="2"/>
          <w:sz w:val="28"/>
          <w:szCs w:val="28"/>
          <w:highlight w:val="none"/>
          <w:lang w:val="en-US" w:eastAsia="zh-CN" w:bidi="ar-SA"/>
        </w:rPr>
        <w:t>建筑物内部格局：</w:t>
      </w:r>
      <w:r>
        <w:rPr>
          <w:rFonts w:hint="default" w:ascii="仿宋_GB2312" w:hAnsi="仿宋_GB2312" w:eastAsia="仿宋_GB2312" w:cs="仿宋_GB2312"/>
          <w:b w:val="0"/>
          <w:bCs w:val="0"/>
          <w:color w:val="000000"/>
          <w:kern w:val="2"/>
          <w:sz w:val="28"/>
          <w:szCs w:val="28"/>
          <w:highlight w:val="none"/>
          <w:lang w:val="en-US" w:eastAsia="zh-CN" w:bidi="ar-SA"/>
        </w:rPr>
        <w:t>建筑物内部格局分为有合理、较合理、不合理三个等级,以估价对象为100, 每上升或下降一个级别，指数增加或减少1。</w:t>
      </w:r>
    </w:p>
    <w:p w14:paraId="3CAD1A3C">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f、</w:t>
      </w:r>
      <w:r>
        <w:rPr>
          <w:rFonts w:hint="eastAsia" w:ascii="仿宋_GB2312" w:hAnsi="仿宋_GB2312" w:eastAsia="仿宋_GB2312" w:cs="仿宋_GB2312"/>
          <w:b w:val="0"/>
          <w:bCs w:val="0"/>
          <w:color w:val="000000"/>
          <w:kern w:val="2"/>
          <w:sz w:val="28"/>
          <w:szCs w:val="28"/>
          <w:highlight w:val="none"/>
          <w:lang w:val="en-US" w:eastAsia="zh-CN" w:bidi="ar-SA"/>
        </w:rPr>
        <w:t>装修档次：</w:t>
      </w:r>
      <w:r>
        <w:rPr>
          <w:rFonts w:hint="default" w:ascii="仿宋_GB2312" w:hAnsi="仿宋_GB2312" w:eastAsia="仿宋_GB2312" w:cs="仿宋_GB2312"/>
          <w:b w:val="0"/>
          <w:bCs w:val="0"/>
          <w:color w:val="000000"/>
          <w:kern w:val="2"/>
          <w:sz w:val="28"/>
          <w:szCs w:val="28"/>
          <w:highlight w:val="none"/>
          <w:lang w:val="en-US" w:eastAsia="zh-CN" w:bidi="ar-SA"/>
        </w:rPr>
        <w:t>装修档次分为毛坯、简单装修、中档装修、中高档装修、高档装修等5个等级,以估价对象为100,每上升或下降一个级别，指数增加或减少2。</w:t>
      </w:r>
    </w:p>
    <w:p w14:paraId="3E984AB1">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g、</w:t>
      </w:r>
      <w:r>
        <w:rPr>
          <w:rFonts w:hint="eastAsia" w:ascii="仿宋_GB2312" w:hAnsi="仿宋_GB2312" w:eastAsia="仿宋_GB2312" w:cs="仿宋_GB2312"/>
          <w:b w:val="0"/>
          <w:bCs w:val="0"/>
          <w:color w:val="000000"/>
          <w:kern w:val="2"/>
          <w:sz w:val="28"/>
          <w:szCs w:val="28"/>
          <w:highlight w:val="none"/>
          <w:lang w:val="en-US" w:eastAsia="zh-CN" w:bidi="ar-SA"/>
        </w:rPr>
        <w:t>停车情况：</w:t>
      </w:r>
      <w:r>
        <w:rPr>
          <w:rFonts w:hint="default" w:ascii="仿宋_GB2312" w:hAnsi="仿宋_GB2312" w:eastAsia="仿宋_GB2312" w:cs="仿宋_GB2312"/>
          <w:b w:val="0"/>
          <w:bCs w:val="0"/>
          <w:color w:val="000000"/>
          <w:kern w:val="2"/>
          <w:sz w:val="28"/>
          <w:szCs w:val="28"/>
          <w:highlight w:val="none"/>
          <w:lang w:val="en-US" w:eastAsia="zh-CN" w:bidi="ar-SA"/>
        </w:rPr>
        <w:t>停车情况分为能满足停车需求、基本满足停车需求、不能满足停车需求三个等别，以估价对象条件指数为100,每上升或下降一个级别，指数增加或减少2。</w:t>
      </w:r>
    </w:p>
    <w:p w14:paraId="4482B4FD">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h、物业情况分为无物业管理、物业管理一般、物业管理较好等三个等级,以估价对象为100,每上升或下降一个级别，指数增加或减少2。</w:t>
      </w:r>
    </w:p>
    <w:p w14:paraId="3C2BD054">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得到估价对象比较因素条件指数表和</w:t>
      </w:r>
      <w:r>
        <w:rPr>
          <w:rFonts w:hint="eastAsia" w:ascii="仿宋_GB2312" w:hAnsi="仿宋_GB2312" w:eastAsia="仿宋_GB2312" w:cs="仿宋_GB2312"/>
          <w:b w:val="0"/>
          <w:bCs/>
          <w:color w:val="auto"/>
          <w:kern w:val="2"/>
          <w:sz w:val="28"/>
          <w:szCs w:val="28"/>
          <w:highlight w:val="none"/>
          <w:lang w:val="en-US" w:eastAsia="zh-CN" w:bidi="ar-SA"/>
        </w:rPr>
        <w:t>比较因素条件修正系数表</w:t>
      </w:r>
    </w:p>
    <w:p w14:paraId="444BD2E8">
      <w:pPr>
        <w:pStyle w:val="11"/>
        <w:keepNext/>
        <w:keepLines w:val="0"/>
        <w:pageBreakBefore w:val="0"/>
        <w:widowControl/>
        <w:kinsoku w:val="0"/>
        <w:wordWrap/>
        <w:overflowPunct/>
        <w:topLinePunct w:val="0"/>
        <w:autoSpaceDE w:val="0"/>
        <w:autoSpaceDN w:val="0"/>
        <w:bidi w:val="0"/>
        <w:adjustRightInd w:val="0"/>
        <w:snapToGrid w:val="0"/>
        <w:spacing w:before="157" w:beforeLines="50" w:after="10" w:line="480" w:lineRule="exact"/>
        <w:ind w:left="0" w:leftChars="0" w:firstLineChars="0" w:right="0" w:firstLine="0"/>
        <w:jc w:val="center"/>
        <w:textAlignment w:val="baseline"/>
        <w:rPr>
          <w:rFonts w:hint="eastAsia" w:ascii="仿宋_GB2312" w:hAnsi="仿宋_GB2312" w:eastAsia="仿宋_GB2312" w:cs="仿宋_GB2312"/>
          <w:b w:val="0"/>
          <w:bCs/>
          <w:color w:val="auto"/>
          <w:kern w:val="2"/>
          <w:sz w:val="28"/>
          <w:szCs w:val="28"/>
          <w:highlight w:val="none"/>
          <w:lang w:val="en-US" w:eastAsia="zh-CN" w:bidi="ar-SA"/>
        </w:rPr>
      </w:pPr>
      <w:r>
        <w:rPr>
          <w:rFonts w:hint="eastAsia" w:ascii="仿宋_GB2312" w:hAnsi="仿宋_GB2312" w:eastAsia="仿宋_GB2312" w:cs="仿宋_GB2312"/>
          <w:b w:val="0"/>
          <w:bCs/>
          <w:color w:val="auto"/>
          <w:kern w:val="2"/>
          <w:sz w:val="28"/>
          <w:szCs w:val="28"/>
          <w:highlight w:val="none"/>
          <w:lang w:val="en-US" w:eastAsia="zh-CN" w:bidi="ar-SA"/>
        </w:rPr>
        <w:t>表3-</w:t>
      </w:r>
      <w:r>
        <w:rPr>
          <w:rFonts w:hint="eastAsia" w:ascii="仿宋_GB2312" w:hAnsi="仿宋_GB2312" w:cs="仿宋_GB2312" w:eastAsia="仿宋_GB2312"/>
          <w:b w:val="0"/>
          <w:bCs/>
          <w:color w:val="auto"/>
          <w:kern w:val="2"/>
          <w:sz w:val="28"/>
          <w:szCs w:val="28"/>
          <w:highlight w:val="none"/>
          <w:lang w:val="en-US" w:eastAsia="zh-CN" w:bidi="ar-SA"/>
        </w:rPr>
        <w:t>12</w:t>
      </w:r>
      <w:r>
        <w:rPr>
          <w:rFonts w:hint="eastAsia" w:ascii="仿宋_GB2312" w:hAnsi="仿宋_GB2312" w:eastAsia="仿宋_GB2312" w:cs="仿宋_GB2312"/>
          <w:b w:val="0"/>
          <w:bCs/>
          <w:color w:val="auto"/>
          <w:kern w:val="2"/>
          <w:sz w:val="28"/>
          <w:szCs w:val="28"/>
          <w:highlight w:val="none"/>
          <w:lang w:val="en-US" w:eastAsia="zh-CN" w:bidi="ar-SA"/>
        </w:rPr>
        <w:t xml:space="preserve"> 比较因素条件指数表</w:t>
      </w:r>
    </w:p>
    <w:tbl>
      <w:tblPr>
        <w:tblStyle w:val="12"/>
        <w:tblW w:w="504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182"/>
        <w:gridCol w:w="1757"/>
        <w:gridCol w:w="1269"/>
        <w:gridCol w:w="1401"/>
        <w:gridCol w:w="1401"/>
        <w:gridCol w:w="1404"/>
      </w:tblGrid>
      <w:tr w14:paraId="6AA38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43" w:hRule="atLeast"/>
        </w:trPr>
        <w:tc>
          <w:tcPr>
            <w:tcW w:w="1746" w:type="pct"/>
            <w:gridSpan w:val="2"/>
            <w:tcBorders>
              <w:tl2br w:val="single" w:color="000000" w:sz="4" w:space="0"/>
            </w:tcBorders>
            <w:noWrap w:val="0"/>
            <w:vAlign w:val="center"/>
          </w:tcPr>
          <w:p w14:paraId="3F419F8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估价对象及比较实例</w:t>
            </w:r>
          </w:p>
          <w:p w14:paraId="498A63B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比较因素</w:t>
            </w:r>
          </w:p>
        </w:tc>
        <w:tc>
          <w:tcPr>
            <w:tcW w:w="754" w:type="pct"/>
            <w:noWrap w:val="0"/>
            <w:vAlign w:val="center"/>
          </w:tcPr>
          <w:p w14:paraId="29E6D42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估价对象</w:t>
            </w:r>
          </w:p>
        </w:tc>
        <w:tc>
          <w:tcPr>
            <w:tcW w:w="832" w:type="pct"/>
            <w:noWrap w:val="0"/>
            <w:vAlign w:val="center"/>
          </w:tcPr>
          <w:p w14:paraId="527AA01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案例A</w:t>
            </w:r>
          </w:p>
        </w:tc>
        <w:tc>
          <w:tcPr>
            <w:tcW w:w="832" w:type="pct"/>
            <w:noWrap w:val="0"/>
            <w:vAlign w:val="center"/>
          </w:tcPr>
          <w:p w14:paraId="75590AD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案例B</w:t>
            </w:r>
          </w:p>
        </w:tc>
        <w:tc>
          <w:tcPr>
            <w:tcW w:w="834" w:type="pct"/>
            <w:noWrap w:val="0"/>
            <w:vAlign w:val="center"/>
          </w:tcPr>
          <w:p w14:paraId="73A4D38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案例C</w:t>
            </w:r>
          </w:p>
        </w:tc>
      </w:tr>
      <w:tr w14:paraId="4B990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43" w:hRule="atLeast"/>
        </w:trPr>
        <w:tc>
          <w:tcPr>
            <w:tcW w:w="1746" w:type="pct"/>
            <w:gridSpan w:val="2"/>
            <w:noWrap w:val="0"/>
            <w:vAlign w:val="center"/>
          </w:tcPr>
          <w:p w14:paraId="3BEAD53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位置</w:t>
            </w:r>
          </w:p>
        </w:tc>
        <w:tc>
          <w:tcPr>
            <w:tcW w:w="1269" w:type="dxa"/>
            <w:noWrap w:val="0"/>
            <w:vAlign w:val="center"/>
          </w:tcPr>
          <w:p w14:paraId="19D8EB1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道州月岩西路皮革厂家属楼3栋4层404房</w:t>
            </w:r>
          </w:p>
        </w:tc>
        <w:tc>
          <w:tcPr>
            <w:tcW w:w="1401" w:type="dxa"/>
            <w:noWrap w:val="0"/>
            <w:vAlign w:val="center"/>
          </w:tcPr>
          <w:p w14:paraId="57718F1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柒酒烤肉楼上住宅</w:t>
            </w:r>
          </w:p>
        </w:tc>
        <w:tc>
          <w:tcPr>
            <w:tcW w:w="1401" w:type="dxa"/>
            <w:noWrap w:val="0"/>
            <w:vAlign w:val="center"/>
          </w:tcPr>
          <w:p w14:paraId="26A11C0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哈牛士原切牛排楼上住宅</w:t>
            </w:r>
          </w:p>
        </w:tc>
        <w:tc>
          <w:tcPr>
            <w:tcW w:w="1404" w:type="dxa"/>
            <w:noWrap w:val="0"/>
            <w:vAlign w:val="center"/>
          </w:tcPr>
          <w:p w14:paraId="1B2537B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爷爷不泡茶楼上住宅</w:t>
            </w:r>
          </w:p>
        </w:tc>
      </w:tr>
      <w:tr w14:paraId="3A741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1746" w:type="pct"/>
            <w:gridSpan w:val="2"/>
            <w:noWrap w:val="0"/>
            <w:vAlign w:val="center"/>
          </w:tcPr>
          <w:p w14:paraId="3E62DD7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住宅租金(元/m</w:t>
            </w:r>
            <w:r>
              <w:rPr>
                <w:rFonts w:hint="eastAsia" w:ascii="仿宋_GB2312" w:hAnsi="仿宋_GB2312" w:eastAsia="仿宋_GB2312" w:cs="仿宋_GB2312"/>
                <w:b w:val="0"/>
                <w:bCs w:val="0"/>
                <w:color w:val="000000"/>
                <w:kern w:val="2"/>
                <w:sz w:val="20"/>
                <w:szCs w:val="20"/>
                <w:highlight w:val="none"/>
                <w:vertAlign w:val="superscript"/>
                <w:lang w:val="en-US" w:eastAsia="zh-CN" w:bidi="ar-SA"/>
              </w:rPr>
              <w:t>2</w:t>
            </w:r>
            <w:r>
              <w:rPr>
                <w:rFonts w:hint="eastAsia" w:ascii="仿宋_GB2312" w:hAnsi="仿宋_GB2312" w:eastAsia="仿宋_GB2312" w:cs="仿宋_GB2312"/>
                <w:b w:val="0"/>
                <w:bCs w:val="0"/>
                <w:color w:val="000000"/>
                <w:kern w:val="2"/>
                <w:sz w:val="20"/>
                <w:szCs w:val="20"/>
                <w:highlight w:val="none"/>
                <w:lang w:val="en-US" w:eastAsia="zh-CN" w:bidi="ar-SA"/>
              </w:rPr>
              <w:t>·月)</w:t>
            </w:r>
          </w:p>
        </w:tc>
        <w:tc>
          <w:tcPr>
            <w:tcW w:w="1269" w:type="dxa"/>
            <w:noWrap w:val="0"/>
            <w:vAlign w:val="center"/>
          </w:tcPr>
          <w:p w14:paraId="73DA182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待估</w:t>
            </w:r>
          </w:p>
        </w:tc>
        <w:tc>
          <w:tcPr>
            <w:tcW w:w="1401" w:type="dxa"/>
            <w:noWrap w:val="0"/>
            <w:vAlign w:val="center"/>
          </w:tcPr>
          <w:p w14:paraId="7898EA63">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c>
          <w:tcPr>
            <w:tcW w:w="1401" w:type="dxa"/>
            <w:noWrap w:val="0"/>
            <w:vAlign w:val="center"/>
          </w:tcPr>
          <w:p w14:paraId="7F66CDF7">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11.99 </w:t>
            </w:r>
          </w:p>
        </w:tc>
        <w:tc>
          <w:tcPr>
            <w:tcW w:w="1404" w:type="dxa"/>
            <w:noWrap w:val="0"/>
            <w:vAlign w:val="center"/>
          </w:tcPr>
          <w:p w14:paraId="460F1408">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r>
      <w:tr w14:paraId="43FD0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1746" w:type="pct"/>
            <w:gridSpan w:val="2"/>
            <w:noWrap w:val="0"/>
            <w:vAlign w:val="center"/>
          </w:tcPr>
          <w:p w14:paraId="5A96202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用途</w:t>
            </w:r>
          </w:p>
        </w:tc>
        <w:tc>
          <w:tcPr>
            <w:tcW w:w="754" w:type="pct"/>
            <w:noWrap w:val="0"/>
            <w:vAlign w:val="center"/>
          </w:tcPr>
          <w:p w14:paraId="529621B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26F1638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23D3D03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4" w:type="pct"/>
            <w:noWrap w:val="0"/>
            <w:vAlign w:val="center"/>
          </w:tcPr>
          <w:p w14:paraId="1FD0F3E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170FD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1746" w:type="pct"/>
            <w:gridSpan w:val="2"/>
            <w:noWrap w:val="0"/>
            <w:vAlign w:val="center"/>
          </w:tcPr>
          <w:p w14:paraId="063DA5F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交易时间</w:t>
            </w:r>
          </w:p>
        </w:tc>
        <w:tc>
          <w:tcPr>
            <w:tcW w:w="754" w:type="pct"/>
            <w:noWrap w:val="0"/>
            <w:vAlign w:val="center"/>
          </w:tcPr>
          <w:p w14:paraId="43C002E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010E4F7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32C0618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4" w:type="pct"/>
            <w:noWrap w:val="0"/>
            <w:vAlign w:val="center"/>
          </w:tcPr>
          <w:p w14:paraId="1F9DE0E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2169D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1746" w:type="pct"/>
            <w:gridSpan w:val="2"/>
            <w:noWrap w:val="0"/>
            <w:vAlign w:val="center"/>
          </w:tcPr>
          <w:p w14:paraId="7FF224A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交易情况</w:t>
            </w:r>
          </w:p>
        </w:tc>
        <w:tc>
          <w:tcPr>
            <w:tcW w:w="754" w:type="pct"/>
            <w:noWrap w:val="0"/>
            <w:vAlign w:val="center"/>
          </w:tcPr>
          <w:p w14:paraId="2927B2B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3D3F46A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14610E4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4" w:type="pct"/>
            <w:noWrap w:val="0"/>
            <w:vAlign w:val="center"/>
          </w:tcPr>
          <w:p w14:paraId="044F166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20AC1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restart"/>
            <w:noWrap w:val="0"/>
            <w:vAlign w:val="center"/>
          </w:tcPr>
          <w:p w14:paraId="3561CC7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区域因素</w:t>
            </w:r>
          </w:p>
        </w:tc>
        <w:tc>
          <w:tcPr>
            <w:tcW w:w="1043" w:type="pct"/>
            <w:noWrap w:val="0"/>
            <w:vAlign w:val="center"/>
          </w:tcPr>
          <w:p w14:paraId="5F802EF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商服繁华度</w:t>
            </w:r>
          </w:p>
        </w:tc>
        <w:tc>
          <w:tcPr>
            <w:tcW w:w="1269" w:type="dxa"/>
            <w:noWrap w:val="0"/>
            <w:vAlign w:val="center"/>
          </w:tcPr>
          <w:p w14:paraId="381E678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23FFDE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209CE43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295CF43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0DDC4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5F70F1B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6D675BA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公交便捷度</w:t>
            </w:r>
          </w:p>
        </w:tc>
        <w:tc>
          <w:tcPr>
            <w:tcW w:w="1269" w:type="dxa"/>
            <w:noWrap w:val="0"/>
            <w:vAlign w:val="center"/>
          </w:tcPr>
          <w:p w14:paraId="3F288A0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6C75EE2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c>
          <w:tcPr>
            <w:tcW w:w="1401" w:type="dxa"/>
            <w:noWrap w:val="0"/>
            <w:vAlign w:val="center"/>
          </w:tcPr>
          <w:p w14:paraId="2BF9614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c>
          <w:tcPr>
            <w:tcW w:w="1404" w:type="dxa"/>
            <w:noWrap w:val="0"/>
            <w:vAlign w:val="center"/>
          </w:tcPr>
          <w:p w14:paraId="4762DE3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r>
      <w:tr w14:paraId="602E7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69E0742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7293CBA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道路通达度</w:t>
            </w:r>
          </w:p>
        </w:tc>
        <w:tc>
          <w:tcPr>
            <w:tcW w:w="1269" w:type="dxa"/>
            <w:noWrap w:val="0"/>
            <w:vAlign w:val="center"/>
          </w:tcPr>
          <w:p w14:paraId="68C2D12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1B3E310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09F6553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37C6EC9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05557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55ED0F4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3FDF991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水电综合保证率</w:t>
            </w:r>
          </w:p>
        </w:tc>
        <w:tc>
          <w:tcPr>
            <w:tcW w:w="1269" w:type="dxa"/>
            <w:noWrap w:val="0"/>
            <w:vAlign w:val="center"/>
          </w:tcPr>
          <w:p w14:paraId="56C3641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43D4B39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61EBAF7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3FF8A92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34FB5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31DC8FF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31C12E6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环境质量</w:t>
            </w:r>
          </w:p>
        </w:tc>
        <w:tc>
          <w:tcPr>
            <w:tcW w:w="1269" w:type="dxa"/>
            <w:noWrap w:val="0"/>
            <w:vAlign w:val="center"/>
          </w:tcPr>
          <w:p w14:paraId="7F2812E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FCE05A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529B732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2E73714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37115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43" w:hRule="atLeast"/>
        </w:trPr>
        <w:tc>
          <w:tcPr>
            <w:tcW w:w="702" w:type="pct"/>
            <w:vMerge w:val="continue"/>
            <w:noWrap w:val="0"/>
            <w:vAlign w:val="center"/>
          </w:tcPr>
          <w:p w14:paraId="01DBB4C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485D054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区域公共设施状况</w:t>
            </w:r>
          </w:p>
        </w:tc>
        <w:tc>
          <w:tcPr>
            <w:tcW w:w="1269" w:type="dxa"/>
            <w:noWrap w:val="0"/>
            <w:vAlign w:val="center"/>
          </w:tcPr>
          <w:p w14:paraId="11CDEB1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CB4949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01C7EC6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3914842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702A1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restart"/>
            <w:noWrap w:val="0"/>
            <w:vAlign w:val="center"/>
          </w:tcPr>
          <w:p w14:paraId="1E1A38F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个别因素</w:t>
            </w:r>
          </w:p>
        </w:tc>
        <w:tc>
          <w:tcPr>
            <w:tcW w:w="1043" w:type="pct"/>
            <w:noWrap w:val="0"/>
            <w:vAlign w:val="center"/>
          </w:tcPr>
          <w:p w14:paraId="2635D1E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所临道路类型</w:t>
            </w:r>
          </w:p>
        </w:tc>
        <w:tc>
          <w:tcPr>
            <w:tcW w:w="1269" w:type="dxa"/>
            <w:noWrap w:val="0"/>
            <w:vAlign w:val="center"/>
          </w:tcPr>
          <w:p w14:paraId="213CD59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15C51DB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c>
          <w:tcPr>
            <w:tcW w:w="1401" w:type="dxa"/>
            <w:noWrap w:val="0"/>
            <w:vAlign w:val="center"/>
          </w:tcPr>
          <w:p w14:paraId="2DE651F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c>
          <w:tcPr>
            <w:tcW w:w="1404" w:type="dxa"/>
            <w:noWrap w:val="0"/>
            <w:vAlign w:val="center"/>
          </w:tcPr>
          <w:p w14:paraId="6C880E3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r>
      <w:tr w14:paraId="61EF9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7D418F3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7C87F36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通风采光</w:t>
            </w:r>
          </w:p>
        </w:tc>
        <w:tc>
          <w:tcPr>
            <w:tcW w:w="1269" w:type="dxa"/>
            <w:noWrap w:val="0"/>
            <w:vAlign w:val="center"/>
          </w:tcPr>
          <w:p w14:paraId="3C61639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6A644BE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260B196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1EAB83C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64257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024750D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0CF1E48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房屋成新度</w:t>
            </w:r>
          </w:p>
        </w:tc>
        <w:tc>
          <w:tcPr>
            <w:tcW w:w="1269" w:type="dxa"/>
            <w:noWrap w:val="0"/>
            <w:vAlign w:val="center"/>
          </w:tcPr>
          <w:p w14:paraId="6E41A20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2B3199E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104</w:t>
            </w:r>
          </w:p>
        </w:tc>
        <w:tc>
          <w:tcPr>
            <w:tcW w:w="1401" w:type="dxa"/>
            <w:noWrap w:val="0"/>
            <w:vAlign w:val="center"/>
          </w:tcPr>
          <w:p w14:paraId="5371F53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104</w:t>
            </w:r>
          </w:p>
        </w:tc>
        <w:tc>
          <w:tcPr>
            <w:tcW w:w="1404" w:type="dxa"/>
            <w:noWrap w:val="0"/>
            <w:vAlign w:val="center"/>
          </w:tcPr>
          <w:p w14:paraId="49C08B0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104</w:t>
            </w:r>
          </w:p>
        </w:tc>
      </w:tr>
      <w:tr w14:paraId="33EF0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510CBFA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504B5AE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建筑物结构</w:t>
            </w:r>
          </w:p>
        </w:tc>
        <w:tc>
          <w:tcPr>
            <w:tcW w:w="1269" w:type="dxa"/>
            <w:noWrap w:val="0"/>
            <w:vAlign w:val="center"/>
          </w:tcPr>
          <w:p w14:paraId="57EBB3F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49EC985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C7D18C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469ECD3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61A0E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20615D8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3C3F3C4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建筑物内部格局</w:t>
            </w:r>
          </w:p>
        </w:tc>
        <w:tc>
          <w:tcPr>
            <w:tcW w:w="1269" w:type="dxa"/>
            <w:noWrap w:val="0"/>
            <w:vAlign w:val="center"/>
          </w:tcPr>
          <w:p w14:paraId="3CE4CBB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159EE8D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28E591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4DBE9FA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27744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28194AE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572C637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装修档次</w:t>
            </w:r>
          </w:p>
        </w:tc>
        <w:tc>
          <w:tcPr>
            <w:tcW w:w="1269" w:type="dxa"/>
            <w:noWrap w:val="0"/>
            <w:vAlign w:val="center"/>
          </w:tcPr>
          <w:p w14:paraId="011A3DB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1536307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4ABE08B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3FA9487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1748C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27D8378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7D4D5DB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停车情况</w:t>
            </w:r>
          </w:p>
        </w:tc>
        <w:tc>
          <w:tcPr>
            <w:tcW w:w="1269" w:type="dxa"/>
            <w:noWrap w:val="0"/>
            <w:vAlign w:val="center"/>
          </w:tcPr>
          <w:p w14:paraId="5092EDF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42396E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3E79C18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166497B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2A093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0" w:hRule="atLeast"/>
        </w:trPr>
        <w:tc>
          <w:tcPr>
            <w:tcW w:w="702" w:type="pct"/>
            <w:vMerge w:val="continue"/>
            <w:noWrap w:val="0"/>
            <w:vAlign w:val="center"/>
          </w:tcPr>
          <w:p w14:paraId="7CD4693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76FCA44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物业情况</w:t>
            </w:r>
          </w:p>
        </w:tc>
        <w:tc>
          <w:tcPr>
            <w:tcW w:w="1269" w:type="dxa"/>
            <w:noWrap w:val="0"/>
            <w:vAlign w:val="center"/>
          </w:tcPr>
          <w:p w14:paraId="548CE6A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66658D7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0876340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2ADFD15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bl>
    <w:p w14:paraId="35F53835">
      <w:pPr>
        <w:pStyle w:val="11"/>
        <w:keepNext/>
        <w:keepLines w:val="0"/>
        <w:pageBreakBefore w:val="0"/>
        <w:widowControl/>
        <w:kinsoku w:val="0"/>
        <w:wordWrap/>
        <w:overflowPunct/>
        <w:topLinePunct w:val="0"/>
        <w:autoSpaceDE w:val="0"/>
        <w:autoSpaceDN w:val="0"/>
        <w:bidi w:val="0"/>
        <w:adjustRightInd w:val="0"/>
        <w:snapToGrid w:val="0"/>
        <w:spacing w:before="157" w:beforeLines="50" w:after="10" w:line="480" w:lineRule="exact"/>
        <w:ind w:left="0" w:leftChars="0" w:firstLineChars="0" w:right="0" w:firstLine="0"/>
        <w:jc w:val="center"/>
        <w:textAlignment w:val="baseline"/>
        <w:rPr>
          <w:rFonts w:hint="eastAsia" w:ascii="仿宋" w:hAnsi="仿宋" w:eastAsia="仿宋" w:cs="仿宋"/>
          <w:sz w:val="28"/>
        </w:rPr>
      </w:pPr>
      <w:r>
        <w:rPr>
          <w:rFonts w:hint="eastAsia" w:ascii="仿宋_GB2312" w:hAnsi="仿宋_GB2312" w:eastAsia="仿宋_GB2312" w:cs="仿宋_GB2312"/>
          <w:b w:val="0"/>
          <w:bCs/>
          <w:color w:val="auto"/>
          <w:kern w:val="2"/>
          <w:sz w:val="28"/>
          <w:szCs w:val="28"/>
          <w:highlight w:val="none"/>
          <w:lang w:val="en-US" w:eastAsia="zh-CN" w:bidi="ar-SA"/>
        </w:rPr>
        <w:t>表3-</w:t>
      </w:r>
      <w:r>
        <w:rPr>
          <w:rFonts w:hint="eastAsia" w:ascii="仿宋_GB2312" w:hAnsi="仿宋_GB2312" w:cs="仿宋_GB2312" w:eastAsia="仿宋_GB2312"/>
          <w:b w:val="0"/>
          <w:bCs/>
          <w:color w:val="auto"/>
          <w:kern w:val="2"/>
          <w:sz w:val="28"/>
          <w:szCs w:val="28"/>
          <w:highlight w:val="none"/>
          <w:lang w:val="en-US" w:eastAsia="zh-CN" w:bidi="ar-SA"/>
        </w:rPr>
        <w:t>13</w:t>
      </w:r>
      <w:r>
        <w:rPr>
          <w:rFonts w:hint="eastAsia" w:ascii="仿宋_GB2312" w:hAnsi="仿宋_GB2312" w:eastAsia="仿宋_GB2312" w:cs="仿宋_GB2312"/>
          <w:b w:val="0"/>
          <w:bCs/>
          <w:color w:val="auto"/>
          <w:kern w:val="2"/>
          <w:sz w:val="28"/>
          <w:szCs w:val="28"/>
          <w:highlight w:val="none"/>
          <w:lang w:val="en-US" w:eastAsia="zh-CN" w:bidi="ar-SA"/>
        </w:rPr>
        <w:t xml:space="preserve"> 比较因素条件修正系数表</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1659"/>
        <w:gridCol w:w="1661"/>
        <w:gridCol w:w="1658"/>
        <w:gridCol w:w="1660"/>
        <w:gridCol w:w="9"/>
        <w:gridCol w:w="1650"/>
      </w:tblGrid>
      <w:tr w14:paraId="4EE34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6" w:hRule="atLeast"/>
        </w:trPr>
        <w:tc>
          <w:tcPr>
            <w:tcW w:w="3320" w:type="dxa"/>
            <w:gridSpan w:val="2"/>
            <w:tcBorders>
              <w:tl2br w:val="single" w:color="000000" w:sz="4" w:space="0"/>
            </w:tcBorders>
            <w:noWrap w:val="0"/>
            <w:vAlign w:val="center"/>
          </w:tcPr>
          <w:p w14:paraId="378B4F4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估价对象及比较实例</w:t>
            </w:r>
          </w:p>
          <w:p w14:paraId="6D20375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比较因素</w:t>
            </w:r>
          </w:p>
        </w:tc>
        <w:tc>
          <w:tcPr>
            <w:tcW w:w="1658" w:type="dxa"/>
            <w:noWrap w:val="0"/>
            <w:vAlign w:val="center"/>
          </w:tcPr>
          <w:p w14:paraId="32A5779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案例A</w:t>
            </w:r>
          </w:p>
        </w:tc>
        <w:tc>
          <w:tcPr>
            <w:tcW w:w="1660" w:type="dxa"/>
            <w:noWrap w:val="0"/>
            <w:vAlign w:val="center"/>
          </w:tcPr>
          <w:p w14:paraId="71B8DC9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案例B</w:t>
            </w:r>
          </w:p>
        </w:tc>
        <w:tc>
          <w:tcPr>
            <w:tcW w:w="1659" w:type="dxa"/>
            <w:gridSpan w:val="2"/>
            <w:noWrap w:val="0"/>
            <w:vAlign w:val="center"/>
          </w:tcPr>
          <w:p w14:paraId="005973B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案例C</w:t>
            </w:r>
          </w:p>
        </w:tc>
      </w:tr>
      <w:tr w14:paraId="0F9BE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trPr>
        <w:tc>
          <w:tcPr>
            <w:tcW w:w="3320" w:type="dxa"/>
            <w:gridSpan w:val="2"/>
            <w:noWrap w:val="0"/>
            <w:vAlign w:val="center"/>
          </w:tcPr>
          <w:p w14:paraId="3E5779E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位置</w:t>
            </w:r>
          </w:p>
        </w:tc>
        <w:tc>
          <w:tcPr>
            <w:tcW w:w="1658" w:type="dxa"/>
            <w:noWrap w:val="0"/>
            <w:vAlign w:val="center"/>
          </w:tcPr>
          <w:p w14:paraId="02A6E17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柒酒烤肉楼上住宅</w:t>
            </w:r>
          </w:p>
        </w:tc>
        <w:tc>
          <w:tcPr>
            <w:tcW w:w="1660" w:type="dxa"/>
            <w:noWrap w:val="0"/>
            <w:vAlign w:val="center"/>
          </w:tcPr>
          <w:p w14:paraId="2B388D3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哈牛士原切牛排楼上住宅</w:t>
            </w:r>
          </w:p>
        </w:tc>
        <w:tc>
          <w:tcPr>
            <w:tcW w:w="1659" w:type="dxa"/>
            <w:gridSpan w:val="2"/>
            <w:noWrap w:val="0"/>
            <w:vAlign w:val="center"/>
          </w:tcPr>
          <w:p w14:paraId="00559B4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爷爷不泡茶楼上住宅</w:t>
            </w:r>
          </w:p>
        </w:tc>
      </w:tr>
      <w:tr w14:paraId="2CA1B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3320" w:type="dxa"/>
            <w:gridSpan w:val="2"/>
            <w:noWrap w:val="0"/>
            <w:vAlign w:val="center"/>
          </w:tcPr>
          <w:p w14:paraId="2FA5035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住宅租金(元/m</w:t>
            </w:r>
            <w:r>
              <w:rPr>
                <w:rFonts w:hint="eastAsia" w:ascii="仿宋_GB2312" w:hAnsi="仿宋_GB2312" w:eastAsia="仿宋_GB2312" w:cs="仿宋_GB2312"/>
                <w:b w:val="0"/>
                <w:bCs w:val="0"/>
                <w:color w:val="000000"/>
                <w:kern w:val="2"/>
                <w:sz w:val="21"/>
                <w:szCs w:val="21"/>
                <w:highlight w:val="none"/>
                <w:vertAlign w:val="superscript"/>
                <w:lang w:val="en-US" w:eastAsia="zh-CN" w:bidi="ar-SA"/>
              </w:rPr>
              <w:t>2</w:t>
            </w:r>
            <w:r>
              <w:rPr>
                <w:rFonts w:hint="eastAsia" w:ascii="仿宋_GB2312" w:hAnsi="仿宋_GB2312" w:eastAsia="仿宋_GB2312" w:cs="仿宋_GB2312"/>
                <w:b w:val="0"/>
                <w:bCs w:val="0"/>
                <w:color w:val="000000"/>
                <w:kern w:val="2"/>
                <w:sz w:val="21"/>
                <w:szCs w:val="21"/>
                <w:highlight w:val="none"/>
                <w:lang w:val="en-US" w:eastAsia="zh-CN" w:bidi="ar-SA"/>
              </w:rPr>
              <w:t>·月)</w:t>
            </w:r>
          </w:p>
        </w:tc>
        <w:tc>
          <w:tcPr>
            <w:tcW w:w="1658" w:type="dxa"/>
            <w:noWrap w:val="0"/>
            <w:vAlign w:val="center"/>
          </w:tcPr>
          <w:p w14:paraId="33A9C3CC">
            <w:pPr>
              <w:keepNext w:val="0"/>
              <w:keepLines w:val="0"/>
              <w:widowControl/>
              <w:suppressLineNumbers w:val="0"/>
              <w:jc w:val="center"/>
              <w:textAlignment w:val="center"/>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c>
          <w:tcPr>
            <w:tcW w:w="1660" w:type="dxa"/>
            <w:noWrap w:val="0"/>
            <w:vAlign w:val="center"/>
          </w:tcPr>
          <w:p w14:paraId="590374B9">
            <w:pPr>
              <w:keepNext w:val="0"/>
              <w:keepLines w:val="0"/>
              <w:widowControl/>
              <w:suppressLineNumbers w:val="0"/>
              <w:jc w:val="center"/>
              <w:textAlignment w:val="center"/>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11.99 </w:t>
            </w:r>
          </w:p>
        </w:tc>
        <w:tc>
          <w:tcPr>
            <w:tcW w:w="1659" w:type="dxa"/>
            <w:gridSpan w:val="2"/>
            <w:noWrap w:val="0"/>
            <w:vAlign w:val="center"/>
          </w:tcPr>
          <w:p w14:paraId="2A3E58B3">
            <w:pPr>
              <w:keepNext w:val="0"/>
              <w:keepLines w:val="0"/>
              <w:widowControl/>
              <w:suppressLineNumbers w:val="0"/>
              <w:jc w:val="center"/>
              <w:textAlignment w:val="center"/>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r>
      <w:tr w14:paraId="00CF4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3320" w:type="dxa"/>
            <w:gridSpan w:val="2"/>
            <w:noWrap w:val="0"/>
            <w:vAlign w:val="center"/>
          </w:tcPr>
          <w:p w14:paraId="2A27D99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用途</w:t>
            </w:r>
          </w:p>
        </w:tc>
        <w:tc>
          <w:tcPr>
            <w:tcW w:w="1658" w:type="dxa"/>
            <w:noWrap w:val="0"/>
            <w:vAlign w:val="center"/>
          </w:tcPr>
          <w:p w14:paraId="1E7E5E0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7F15F00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71E3EBB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2F45B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3320" w:type="dxa"/>
            <w:gridSpan w:val="2"/>
            <w:noWrap w:val="0"/>
            <w:vAlign w:val="center"/>
          </w:tcPr>
          <w:p w14:paraId="66675E1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交易时间</w:t>
            </w:r>
          </w:p>
        </w:tc>
        <w:tc>
          <w:tcPr>
            <w:tcW w:w="1658" w:type="dxa"/>
            <w:noWrap w:val="0"/>
            <w:vAlign w:val="center"/>
          </w:tcPr>
          <w:p w14:paraId="4A7C4BD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4E02DE3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13AB266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0F246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3320" w:type="dxa"/>
            <w:gridSpan w:val="2"/>
            <w:noWrap w:val="0"/>
            <w:vAlign w:val="center"/>
          </w:tcPr>
          <w:p w14:paraId="1EC98AF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交易情况</w:t>
            </w:r>
          </w:p>
        </w:tc>
        <w:tc>
          <w:tcPr>
            <w:tcW w:w="1658" w:type="dxa"/>
            <w:noWrap w:val="0"/>
            <w:vAlign w:val="center"/>
          </w:tcPr>
          <w:p w14:paraId="2BC00FD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5D6C39F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077F873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022CE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restart"/>
            <w:noWrap w:val="0"/>
            <w:vAlign w:val="center"/>
          </w:tcPr>
          <w:p w14:paraId="362C157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区域因素</w:t>
            </w:r>
          </w:p>
        </w:tc>
        <w:tc>
          <w:tcPr>
            <w:tcW w:w="1661" w:type="dxa"/>
            <w:noWrap w:val="0"/>
            <w:vAlign w:val="center"/>
          </w:tcPr>
          <w:p w14:paraId="41A4508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商服繁华度</w:t>
            </w:r>
          </w:p>
        </w:tc>
        <w:tc>
          <w:tcPr>
            <w:tcW w:w="1658" w:type="dxa"/>
            <w:noWrap w:val="0"/>
            <w:vAlign w:val="center"/>
          </w:tcPr>
          <w:p w14:paraId="67BEB5B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57ED842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7B23F1C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64EE6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141D21E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39EE520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公交便捷度</w:t>
            </w:r>
          </w:p>
        </w:tc>
        <w:tc>
          <w:tcPr>
            <w:tcW w:w="1658" w:type="dxa"/>
            <w:noWrap w:val="0"/>
            <w:vAlign w:val="center"/>
          </w:tcPr>
          <w:p w14:paraId="4095430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c>
          <w:tcPr>
            <w:tcW w:w="1660" w:type="dxa"/>
            <w:noWrap w:val="0"/>
            <w:vAlign w:val="center"/>
          </w:tcPr>
          <w:p w14:paraId="4B8D437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c>
          <w:tcPr>
            <w:tcW w:w="1659" w:type="dxa"/>
            <w:gridSpan w:val="2"/>
            <w:noWrap w:val="0"/>
            <w:vAlign w:val="center"/>
          </w:tcPr>
          <w:p w14:paraId="0071267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r>
      <w:tr w14:paraId="049E1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5EDFE91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2B28605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道路通达度</w:t>
            </w:r>
          </w:p>
        </w:tc>
        <w:tc>
          <w:tcPr>
            <w:tcW w:w="1658" w:type="dxa"/>
            <w:noWrap w:val="0"/>
            <w:vAlign w:val="center"/>
          </w:tcPr>
          <w:p w14:paraId="439995E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1213CAF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3AEB32E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3056D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537F98C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51F9B25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水电综合保证率</w:t>
            </w:r>
          </w:p>
        </w:tc>
        <w:tc>
          <w:tcPr>
            <w:tcW w:w="1658" w:type="dxa"/>
            <w:noWrap w:val="0"/>
            <w:vAlign w:val="center"/>
          </w:tcPr>
          <w:p w14:paraId="303207E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66A64CB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4BD6D53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11707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6BC1DCB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5BA38BC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环境质量</w:t>
            </w:r>
          </w:p>
        </w:tc>
        <w:tc>
          <w:tcPr>
            <w:tcW w:w="1658" w:type="dxa"/>
            <w:noWrap w:val="0"/>
            <w:vAlign w:val="center"/>
          </w:tcPr>
          <w:p w14:paraId="7EAE5D1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6CEF20E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5453546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1B7AE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6" w:hRule="atLeast"/>
        </w:trPr>
        <w:tc>
          <w:tcPr>
            <w:tcW w:w="1659" w:type="dxa"/>
            <w:vMerge w:val="continue"/>
            <w:noWrap w:val="0"/>
            <w:vAlign w:val="center"/>
          </w:tcPr>
          <w:p w14:paraId="0F63670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2C87D82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区域公共设施状况</w:t>
            </w:r>
          </w:p>
        </w:tc>
        <w:tc>
          <w:tcPr>
            <w:tcW w:w="1658" w:type="dxa"/>
            <w:noWrap w:val="0"/>
            <w:vAlign w:val="center"/>
          </w:tcPr>
          <w:p w14:paraId="5C6B10A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0136797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1A1B34A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7BBB3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restart"/>
            <w:noWrap w:val="0"/>
            <w:vAlign w:val="center"/>
          </w:tcPr>
          <w:p w14:paraId="7C96E64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个别因素</w:t>
            </w:r>
          </w:p>
        </w:tc>
        <w:tc>
          <w:tcPr>
            <w:tcW w:w="1661" w:type="dxa"/>
            <w:noWrap w:val="0"/>
            <w:vAlign w:val="center"/>
          </w:tcPr>
          <w:p w14:paraId="6496540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所临道路类型</w:t>
            </w:r>
          </w:p>
        </w:tc>
        <w:tc>
          <w:tcPr>
            <w:tcW w:w="1658" w:type="dxa"/>
            <w:noWrap w:val="0"/>
            <w:vAlign w:val="center"/>
          </w:tcPr>
          <w:p w14:paraId="6D30F73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c>
          <w:tcPr>
            <w:tcW w:w="1660" w:type="dxa"/>
            <w:noWrap w:val="0"/>
            <w:vAlign w:val="center"/>
          </w:tcPr>
          <w:p w14:paraId="4E6C738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c>
          <w:tcPr>
            <w:tcW w:w="1659" w:type="dxa"/>
            <w:gridSpan w:val="2"/>
            <w:noWrap w:val="0"/>
            <w:vAlign w:val="center"/>
          </w:tcPr>
          <w:p w14:paraId="6892A58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r>
      <w:tr w14:paraId="5B31F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407B81D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78AEFFD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通风采光</w:t>
            </w:r>
          </w:p>
        </w:tc>
        <w:tc>
          <w:tcPr>
            <w:tcW w:w="1658" w:type="dxa"/>
            <w:noWrap w:val="0"/>
            <w:vAlign w:val="center"/>
          </w:tcPr>
          <w:p w14:paraId="56403BE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16B2591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0025EFE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0309A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1F0C82D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349B7C1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房屋成新度</w:t>
            </w:r>
          </w:p>
        </w:tc>
        <w:tc>
          <w:tcPr>
            <w:tcW w:w="1658" w:type="dxa"/>
            <w:noWrap w:val="0"/>
            <w:vAlign w:val="center"/>
          </w:tcPr>
          <w:p w14:paraId="6971D9E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33553B4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05858D6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657C9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7299238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29F0154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建筑物结构</w:t>
            </w:r>
          </w:p>
        </w:tc>
        <w:tc>
          <w:tcPr>
            <w:tcW w:w="1658" w:type="dxa"/>
            <w:noWrap w:val="0"/>
            <w:vAlign w:val="center"/>
          </w:tcPr>
          <w:p w14:paraId="43E3748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54B8FE5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23DB739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3432C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039A50D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1EC5C1C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建筑物内部格局</w:t>
            </w:r>
          </w:p>
        </w:tc>
        <w:tc>
          <w:tcPr>
            <w:tcW w:w="1658" w:type="dxa"/>
            <w:noWrap w:val="0"/>
            <w:vAlign w:val="center"/>
          </w:tcPr>
          <w:p w14:paraId="05145BD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60ACFA1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34379DE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36D05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3C2D648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414089F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装修档次</w:t>
            </w:r>
          </w:p>
        </w:tc>
        <w:tc>
          <w:tcPr>
            <w:tcW w:w="1658" w:type="dxa"/>
            <w:noWrap w:val="0"/>
            <w:vAlign w:val="center"/>
          </w:tcPr>
          <w:p w14:paraId="11CAAE6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20E9A3A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0FA1766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2A1AF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5719FF6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3438600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停车情况</w:t>
            </w:r>
          </w:p>
        </w:tc>
        <w:tc>
          <w:tcPr>
            <w:tcW w:w="1658" w:type="dxa"/>
            <w:noWrap w:val="0"/>
            <w:vAlign w:val="center"/>
          </w:tcPr>
          <w:p w14:paraId="325EDE6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324763D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4B1B703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4CEBB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0DB522A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219F50F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物业情况</w:t>
            </w:r>
          </w:p>
        </w:tc>
        <w:tc>
          <w:tcPr>
            <w:tcW w:w="1658" w:type="dxa"/>
            <w:noWrap w:val="0"/>
            <w:vAlign w:val="center"/>
          </w:tcPr>
          <w:p w14:paraId="7EC7534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0843835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6109404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290C8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3320" w:type="dxa"/>
            <w:gridSpan w:val="2"/>
            <w:noWrap w:val="0"/>
            <w:vAlign w:val="center"/>
          </w:tcPr>
          <w:p w14:paraId="77F5662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比准租金（元/平方米·天）</w:t>
            </w:r>
          </w:p>
        </w:tc>
        <w:tc>
          <w:tcPr>
            <w:tcW w:w="1658" w:type="dxa"/>
            <w:noWrap w:val="0"/>
            <w:vAlign w:val="center"/>
          </w:tcPr>
          <w:p w14:paraId="1248508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 xml:space="preserve">11.32 </w:t>
            </w:r>
          </w:p>
        </w:tc>
        <w:tc>
          <w:tcPr>
            <w:tcW w:w="1669" w:type="dxa"/>
            <w:gridSpan w:val="2"/>
            <w:noWrap w:val="0"/>
            <w:vAlign w:val="center"/>
          </w:tcPr>
          <w:p w14:paraId="5ABF40B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 xml:space="preserve">11.52 </w:t>
            </w:r>
          </w:p>
        </w:tc>
        <w:tc>
          <w:tcPr>
            <w:tcW w:w="1650" w:type="dxa"/>
            <w:noWrap w:val="0"/>
            <w:vAlign w:val="center"/>
          </w:tcPr>
          <w:p w14:paraId="04F3FF6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 xml:space="preserve">11.54 </w:t>
            </w:r>
          </w:p>
        </w:tc>
      </w:tr>
      <w:tr w14:paraId="582FC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90" w:hRule="atLeast"/>
        </w:trPr>
        <w:tc>
          <w:tcPr>
            <w:tcW w:w="3320" w:type="dxa"/>
            <w:gridSpan w:val="2"/>
            <w:noWrap w:val="0"/>
            <w:vAlign w:val="center"/>
          </w:tcPr>
          <w:p w14:paraId="0598364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算术平均值（元/平方米·天）</w:t>
            </w:r>
          </w:p>
        </w:tc>
        <w:tc>
          <w:tcPr>
            <w:tcW w:w="4977" w:type="dxa"/>
            <w:gridSpan w:val="4"/>
            <w:noWrap w:val="0"/>
            <w:vAlign w:val="center"/>
          </w:tcPr>
          <w:p w14:paraId="7ABCAD8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 xml:space="preserve">11.46 </w:t>
            </w:r>
          </w:p>
        </w:tc>
      </w:tr>
    </w:tbl>
    <w:p w14:paraId="0367F22D">
      <w:pPr>
        <w:keepNext w:val="0"/>
        <w:keepLines w:val="0"/>
        <w:pageBreakBefore w:val="0"/>
        <w:widowControl w:val="0"/>
        <w:kinsoku/>
        <w:wordWrap/>
        <w:overflowPunct/>
        <w:topLinePunct w:val="0"/>
        <w:bidi w:val="0"/>
        <w:adjustRightInd w:val="0"/>
        <w:snapToGrid w:val="0"/>
        <w:spacing w:line="480" w:lineRule="exact" w:before="0" w:after="0"/>
        <w:ind w:firstLine="616"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spacing w:val="14"/>
          <w:sz w:val="28"/>
          <w:szCs w:val="28"/>
        </w:rPr>
        <w:t>通</w:t>
      </w:r>
      <w:r>
        <w:rPr>
          <w:rFonts w:hint="default" w:ascii="仿宋_GB2312" w:hAnsi="仿宋_GB2312" w:eastAsia="仿宋_GB2312" w:cs="仿宋_GB2312"/>
          <w:b w:val="0"/>
          <w:bCs w:val="0"/>
          <w:color w:val="000000"/>
          <w:kern w:val="2"/>
          <w:sz w:val="28"/>
          <w:szCs w:val="28"/>
          <w:highlight w:val="none"/>
          <w:lang w:val="en-US" w:eastAsia="zh-CN" w:bidi="ar-SA"/>
        </w:rPr>
        <w:t>过市场比较，3个比较实例的比准租金接近，所以采取3个比较实例的比准租金结果的算术平均值作为估价对象的租金。</w:t>
      </w:r>
    </w:p>
    <w:p w14:paraId="3EC3A952">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住宅用房月租金</w:t>
      </w:r>
      <w:r>
        <w:rPr>
          <w:rFonts w:hint="eastAsia" w:ascii="仿宋_GB2312" w:hAnsi="仿宋_GB2312" w:eastAsia="仿宋_GB2312" w:cs="仿宋_GB2312"/>
          <w:b w:val="0"/>
          <w:bCs w:val="0"/>
          <w:color w:val="000000"/>
          <w:kern w:val="2"/>
          <w:sz w:val="28"/>
          <w:szCs w:val="28"/>
          <w:highlight w:val="none"/>
          <w:lang w:val="en-US" w:eastAsia="zh-CN" w:bidi="ar-SA"/>
        </w:rPr>
        <w:t>＝</w:t>
      </w:r>
      <w:r>
        <w:rPr>
          <w:rFonts w:hint="default" w:ascii="仿宋_GB2312" w:hAnsi="仿宋_GB2312" w:eastAsia="仿宋_GB2312" w:cs="仿宋_GB2312"/>
          <w:b w:val="0"/>
          <w:bCs w:val="0"/>
          <w:color w:val="000000"/>
          <w:kern w:val="2"/>
          <w:sz w:val="28"/>
          <w:szCs w:val="28"/>
          <w:highlight w:val="none"/>
          <w:lang w:val="en-US" w:eastAsia="zh-CN" w:bidi="ar-SA"/>
        </w:rPr>
        <w:t>（11.32</w:t>
      </w:r>
      <w:r>
        <w:rPr>
          <w:rFonts w:hint="eastAsia" w:ascii="仿宋_GB2312" w:hAnsi="仿宋_GB2312" w:eastAsia="仿宋_GB2312" w:cs="仿宋_GB2312"/>
          <w:b w:val="0"/>
          <w:bCs w:val="0"/>
          <w:color w:val="000000"/>
          <w:kern w:val="2"/>
          <w:sz w:val="28"/>
          <w:szCs w:val="28"/>
          <w:highlight w:val="none"/>
          <w:lang w:val="en-US" w:eastAsia="zh-CN" w:bidi="ar-SA"/>
        </w:rPr>
        <w:t>+</w:t>
      </w:r>
      <w:r>
        <w:rPr>
          <w:rFonts w:hint="default" w:ascii="仿宋_GB2312" w:hAnsi="仿宋_GB2312" w:eastAsia="仿宋_GB2312" w:cs="仿宋_GB2312"/>
          <w:b w:val="0"/>
          <w:bCs w:val="0"/>
          <w:color w:val="000000"/>
          <w:kern w:val="2"/>
          <w:sz w:val="28"/>
          <w:szCs w:val="28"/>
          <w:highlight w:val="none"/>
          <w:lang w:val="en-US" w:eastAsia="zh-CN" w:bidi="ar-SA"/>
        </w:rPr>
        <w:t>11.52</w:t>
      </w:r>
      <w:r>
        <w:rPr>
          <w:rFonts w:hint="eastAsia" w:ascii="仿宋_GB2312" w:hAnsi="仿宋_GB2312" w:eastAsia="仿宋_GB2312" w:cs="仿宋_GB2312"/>
          <w:b w:val="0"/>
          <w:bCs w:val="0"/>
          <w:color w:val="000000"/>
          <w:kern w:val="2"/>
          <w:sz w:val="28"/>
          <w:szCs w:val="28"/>
          <w:highlight w:val="none"/>
          <w:lang w:val="en-US" w:eastAsia="zh-CN" w:bidi="ar-SA"/>
        </w:rPr>
        <w:t>+</w:t>
      </w:r>
      <w:r>
        <w:rPr>
          <w:rFonts w:hint="default" w:ascii="仿宋_GB2312" w:hAnsi="仿宋_GB2312" w:eastAsia="仿宋_GB2312" w:cs="仿宋_GB2312"/>
          <w:b w:val="0"/>
          <w:bCs w:val="0"/>
          <w:color w:val="000000"/>
          <w:kern w:val="2"/>
          <w:sz w:val="28"/>
          <w:szCs w:val="28"/>
          <w:highlight w:val="none"/>
          <w:lang w:val="en-US" w:eastAsia="zh-CN" w:bidi="ar-SA"/>
        </w:rPr>
        <w:t>11.54）/3</w:t>
      </w:r>
      <w:r>
        <w:rPr>
          <w:rFonts w:hint="eastAsia" w:ascii="仿宋_GB2312" w:hAnsi="仿宋_GB2312" w:eastAsia="仿宋_GB2312" w:cs="仿宋_GB2312"/>
          <w:b w:val="0"/>
          <w:bCs w:val="0"/>
          <w:color w:val="000000"/>
          <w:kern w:val="2"/>
          <w:sz w:val="28"/>
          <w:szCs w:val="28"/>
          <w:highlight w:val="none"/>
          <w:lang w:val="en-US" w:eastAsia="zh-CN" w:bidi="ar-SA"/>
        </w:rPr>
        <w:t>＝11.46</w:t>
      </w:r>
      <w:r>
        <w:rPr>
          <w:rFonts w:hint="default" w:ascii="仿宋_GB2312" w:hAnsi="仿宋_GB2312" w:eastAsia="仿宋_GB2312" w:cs="仿宋_GB2312"/>
          <w:b w:val="0"/>
          <w:bCs w:val="0"/>
          <w:color w:val="000000"/>
          <w:kern w:val="2"/>
          <w:sz w:val="28"/>
          <w:szCs w:val="28"/>
          <w:highlight w:val="none"/>
          <w:lang w:val="en-US" w:eastAsia="zh-CN" w:bidi="ar-SA"/>
        </w:rPr>
        <w:t>（元/平方米·月）</w:t>
      </w:r>
    </w:p>
    <w:p w14:paraId="33DDE937">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fldChar w:fldCharType="begin"/>
      </w:r>
      <w:r>
        <w:rPr>
          <w:rFonts w:hint="default" w:ascii="仿宋_GB2312" w:hAnsi="仿宋_GB2312" w:eastAsia="仿宋_GB2312" w:cs="仿宋_GB2312"/>
          <w:b w:val="0"/>
          <w:bCs w:val="0"/>
          <w:color w:val="000000"/>
          <w:kern w:val="2"/>
          <w:sz w:val="28"/>
          <w:szCs w:val="28"/>
          <w:highlight w:val="none"/>
          <w:lang w:val="en-US" w:eastAsia="zh-CN" w:bidi="ar-SA"/>
        </w:rPr>
        <w:instrText xml:space="preserve"> = 3 \* GB3 </w:instrText>
      </w:r>
      <w:r>
        <w:rPr>
          <w:rFonts w:hint="default" w:ascii="仿宋_GB2312" w:hAnsi="仿宋_GB2312" w:eastAsia="仿宋_GB2312" w:cs="仿宋_GB2312"/>
          <w:b w:val="0"/>
          <w:bCs w:val="0"/>
          <w:color w:val="000000"/>
          <w:kern w:val="2"/>
          <w:sz w:val="28"/>
          <w:szCs w:val="28"/>
          <w:highlight w:val="none"/>
          <w:lang w:val="en-US" w:eastAsia="zh-CN" w:bidi="ar-SA"/>
        </w:rPr>
        <w:fldChar w:fldCharType="separate"/>
      </w:r>
      <w:r>
        <w:rPr>
          <w:rFonts w:hint="default" w:ascii="仿宋_GB2312" w:hAnsi="仿宋_GB2312" w:eastAsia="仿宋_GB2312" w:cs="仿宋_GB2312"/>
          <w:b w:val="0"/>
          <w:bCs w:val="0"/>
          <w:color w:val="000000"/>
          <w:kern w:val="2"/>
          <w:sz w:val="28"/>
          <w:szCs w:val="28"/>
          <w:highlight w:val="none"/>
          <w:lang w:val="zh-CN" w:eastAsia="zh-CN" w:bidi="ar-SA"/>
        </w:rPr>
        <w:t>③</w:t>
      </w:r>
      <w:r>
        <w:rPr>
          <w:rFonts w:hint="default" w:ascii="仿宋_GB2312" w:hAnsi="仿宋_GB2312" w:eastAsia="仿宋_GB2312" w:cs="仿宋_GB2312"/>
          <w:b w:val="0"/>
          <w:bCs w:val="0"/>
          <w:color w:val="000000"/>
          <w:kern w:val="2"/>
          <w:sz w:val="28"/>
          <w:szCs w:val="28"/>
          <w:highlight w:val="none"/>
          <w:lang w:val="en-US" w:eastAsia="zh-CN" w:bidi="ar-SA"/>
        </w:rPr>
        <w:fldChar w:fldCharType="end"/>
      </w:r>
      <w:r>
        <w:rPr>
          <w:rFonts w:hint="default" w:ascii="仿宋_GB2312" w:hAnsi="仿宋_GB2312" w:eastAsia="仿宋_GB2312" w:cs="仿宋_GB2312"/>
          <w:b w:val="0"/>
          <w:bCs w:val="0"/>
          <w:color w:val="000000"/>
          <w:kern w:val="2"/>
          <w:sz w:val="28"/>
          <w:szCs w:val="28"/>
          <w:highlight w:val="none"/>
          <w:lang w:val="en-US" w:eastAsia="zh-CN" w:bidi="ar-SA"/>
        </w:rPr>
        <w:t>房地年总收益的确定</w:t>
      </w:r>
    </w:p>
    <w:p w14:paraId="2BF94777">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估价人员通过对周边出租行情进行调查,区域内出租案例较多，根据市场调查区域商住房地产平均空置率为</w:t>
      </w:r>
      <w:r>
        <w:rPr>
          <w:rFonts w:hint="eastAsia" w:ascii="仿宋_GB2312" w:hAnsi="仿宋_GB2312" w:eastAsia="仿宋_GB2312" w:cs="仿宋_GB2312"/>
          <w:b w:val="0"/>
          <w:bCs w:val="0"/>
          <w:color w:val="000000"/>
          <w:kern w:val="2"/>
          <w:sz w:val="28"/>
          <w:szCs w:val="28"/>
          <w:highlight w:val="none"/>
          <w:lang w:val="en-US" w:eastAsia="zh-CN" w:bidi="ar-SA"/>
        </w:rPr>
        <w:t>3</w:t>
      </w:r>
      <w:r>
        <w:rPr>
          <w:rFonts w:hint="default" w:ascii="仿宋_GB2312" w:hAnsi="仿宋_GB2312" w:eastAsia="仿宋_GB2312" w:cs="仿宋_GB2312"/>
          <w:b w:val="0"/>
          <w:bCs w:val="0"/>
          <w:color w:val="000000"/>
          <w:kern w:val="2"/>
          <w:sz w:val="28"/>
          <w:szCs w:val="28"/>
          <w:highlight w:val="none"/>
          <w:lang w:val="en-US" w:eastAsia="zh-CN" w:bidi="ar-SA"/>
        </w:rPr>
        <w:t>%至</w:t>
      </w:r>
      <w:r>
        <w:rPr>
          <w:rFonts w:hint="eastAsia" w:ascii="仿宋_GB2312" w:hAnsi="仿宋_GB2312" w:eastAsia="仿宋_GB2312" w:cs="仿宋_GB2312"/>
          <w:b w:val="0"/>
          <w:bCs w:val="0"/>
          <w:color w:val="000000"/>
          <w:kern w:val="2"/>
          <w:sz w:val="28"/>
          <w:szCs w:val="28"/>
          <w:highlight w:val="none"/>
          <w:lang w:val="en-US" w:eastAsia="zh-CN" w:bidi="ar-SA"/>
        </w:rPr>
        <w:t>5</w:t>
      </w:r>
      <w:r>
        <w:rPr>
          <w:rFonts w:hint="default" w:ascii="仿宋_GB2312" w:hAnsi="仿宋_GB2312" w:eastAsia="仿宋_GB2312" w:cs="仿宋_GB2312"/>
          <w:b w:val="0"/>
          <w:bCs w:val="0"/>
          <w:color w:val="000000"/>
          <w:kern w:val="2"/>
          <w:sz w:val="28"/>
          <w:szCs w:val="28"/>
          <w:highlight w:val="none"/>
          <w:lang w:val="en-US" w:eastAsia="zh-CN" w:bidi="ar-SA"/>
        </w:rPr>
        <w:t>%，本次评估取平均空置率</w:t>
      </w:r>
      <w:r>
        <w:rPr>
          <w:rFonts w:hint="eastAsia" w:ascii="仿宋_GB2312" w:hAnsi="仿宋_GB2312" w:eastAsia="仿宋_GB2312" w:cs="仿宋_GB2312"/>
          <w:b w:val="0"/>
          <w:bCs w:val="0"/>
          <w:color w:val="000000"/>
          <w:kern w:val="2"/>
          <w:sz w:val="28"/>
          <w:szCs w:val="28"/>
          <w:highlight w:val="none"/>
          <w:lang w:val="en-US" w:eastAsia="zh-CN" w:bidi="ar-SA"/>
        </w:rPr>
        <w:t>4</w:t>
      </w:r>
      <w:r>
        <w:rPr>
          <w:rFonts w:hint="default" w:ascii="仿宋_GB2312" w:hAnsi="仿宋_GB2312" w:eastAsia="仿宋_GB2312" w:cs="仿宋_GB2312"/>
          <w:b w:val="0"/>
          <w:bCs w:val="0"/>
          <w:color w:val="000000"/>
          <w:kern w:val="2"/>
          <w:sz w:val="28"/>
          <w:szCs w:val="28"/>
          <w:highlight w:val="none"/>
          <w:lang w:val="en-US" w:eastAsia="zh-CN" w:bidi="ar-SA"/>
        </w:rPr>
        <w:t>%。估价对象地上建筑物可出租房屋比例为96%。</w:t>
      </w:r>
    </w:p>
    <w:p w14:paraId="6C8F2BB3">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房地年总</w:t>
      </w:r>
      <w:r>
        <w:rPr>
          <w:rFonts w:hint="default" w:ascii="仿宋_GB2312" w:hAnsi="仿宋_GB2312" w:eastAsia="仿宋_GB2312" w:cs="仿宋_GB2312"/>
          <w:b w:val="0"/>
          <w:bCs w:val="0"/>
          <w:color w:val="000000"/>
          <w:kern w:val="2"/>
          <w:sz w:val="28"/>
          <w:szCs w:val="28"/>
          <w:highlight w:val="none"/>
          <w:lang w:val="en-US" w:eastAsia="zh-CN" w:bidi="ar-SA"/>
        </w:rPr>
        <w:t>收益</w:t>
      </w:r>
      <w:r>
        <w:rPr>
          <w:rFonts w:hint="eastAsia" w:ascii="仿宋_GB2312" w:hAnsi="仿宋_GB2312" w:eastAsia="仿宋_GB2312" w:cs="仿宋_GB2312"/>
          <w:b w:val="0"/>
          <w:bCs w:val="0"/>
          <w:color w:val="000000"/>
          <w:kern w:val="2"/>
          <w:sz w:val="28"/>
          <w:szCs w:val="28"/>
          <w:highlight w:val="none"/>
          <w:lang w:val="en-US" w:eastAsia="zh-CN" w:bidi="ar-SA"/>
        </w:rPr>
        <w:t>＝</w:t>
      </w:r>
      <w:r>
        <w:rPr>
          <w:rFonts w:hint="default" w:ascii="仿宋_GB2312" w:hAnsi="仿宋_GB2312" w:eastAsia="仿宋_GB2312" w:cs="仿宋_GB2312"/>
          <w:b w:val="0"/>
          <w:bCs w:val="0"/>
          <w:color w:val="000000"/>
          <w:kern w:val="2"/>
          <w:sz w:val="28"/>
          <w:szCs w:val="28"/>
          <w:highlight w:val="none"/>
          <w:lang w:val="en-US" w:eastAsia="zh-CN" w:bidi="ar-SA"/>
        </w:rPr>
        <w:t>住宅用房月租金×12×（1-空置率）×住宅用房</w:t>
      </w:r>
      <w:r>
        <w:rPr>
          <w:rFonts w:hint="eastAsia" w:ascii="仿宋_GB2312" w:hAnsi="仿宋_GB2312" w:eastAsia="仿宋_GB2312" w:cs="仿宋_GB2312"/>
          <w:b w:val="0"/>
          <w:bCs w:val="0"/>
          <w:color w:val="000000"/>
          <w:kern w:val="2"/>
          <w:sz w:val="28"/>
          <w:szCs w:val="28"/>
          <w:highlight w:val="none"/>
          <w:lang w:val="en-US" w:eastAsia="zh-CN" w:bidi="ar-SA"/>
        </w:rPr>
        <w:t>出租率＝11.46</w:t>
      </w:r>
      <w:r>
        <w:rPr>
          <w:rFonts w:hint="default" w:ascii="仿宋_GB2312" w:hAnsi="仿宋_GB2312" w:eastAsia="仿宋_GB2312" w:cs="仿宋_GB2312"/>
          <w:b w:val="0"/>
          <w:bCs w:val="0"/>
          <w:color w:val="000000"/>
          <w:kern w:val="2"/>
          <w:sz w:val="28"/>
          <w:szCs w:val="28"/>
          <w:highlight w:val="none"/>
          <w:lang w:val="en-US" w:eastAsia="zh-CN" w:bidi="ar-SA"/>
        </w:rPr>
        <w:t>×12×（1-</w:t>
      </w:r>
      <w:r>
        <w:rPr>
          <w:rFonts w:hint="eastAsia" w:ascii="仿宋_GB2312" w:hAnsi="仿宋_GB2312" w:eastAsia="仿宋_GB2312" w:cs="仿宋_GB2312"/>
          <w:b w:val="0"/>
          <w:bCs w:val="0"/>
          <w:color w:val="000000"/>
          <w:kern w:val="2"/>
          <w:sz w:val="28"/>
          <w:szCs w:val="28"/>
          <w:highlight w:val="none"/>
          <w:lang w:val="en-US" w:eastAsia="zh-CN" w:bidi="ar-SA"/>
        </w:rPr>
        <w:t>4%</w:t>
      </w: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73.415</w:t>
      </w: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96</w:t>
      </w:r>
      <w:r>
        <w:rPr>
          <w:rFonts w:hint="default" w:ascii="仿宋_GB2312" w:hAnsi="仿宋_GB2312" w:eastAsia="仿宋_GB2312" w:cs="仿宋_GB2312"/>
          <w:b w:val="0"/>
          <w:bCs w:val="0"/>
          <w:color w:val="000000"/>
          <w:kern w:val="2"/>
          <w:sz w:val="28"/>
          <w:szCs w:val="28"/>
          <w:highlight w:val="none"/>
          <w:lang w:val="en-US" w:eastAsia="zh-CN" w:bidi="ar-SA"/>
        </w:rPr>
        <w:t>%÷1000</w:t>
      </w:r>
      <w:r>
        <w:rPr>
          <w:rFonts w:hint="eastAsia" w:ascii="仿宋_GB2312" w:hAnsi="仿宋_GB2312" w:eastAsia="仿宋_GB2312" w:cs="仿宋_GB2312"/>
          <w:b w:val="0"/>
          <w:bCs w:val="0"/>
          <w:color w:val="000000"/>
          <w:kern w:val="2"/>
          <w:sz w:val="28"/>
          <w:szCs w:val="28"/>
          <w:highlight w:val="none"/>
          <w:lang w:val="en-US" w:eastAsia="zh-CN" w:bidi="ar-SA"/>
        </w:rPr>
        <w:t>0＝0.9305（万元）</w:t>
      </w:r>
    </w:p>
    <w:p w14:paraId="65718552">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2、确定</w:t>
      </w:r>
      <w:r>
        <w:rPr>
          <w:rFonts w:hint="eastAsia" w:ascii="仿宋_GB2312" w:hAnsi="仿宋_GB2312" w:eastAsia="仿宋_GB2312" w:cs="仿宋_GB2312"/>
          <w:b w:val="0"/>
          <w:bCs w:val="0"/>
          <w:color w:val="000000"/>
          <w:kern w:val="2"/>
          <w:sz w:val="28"/>
          <w:szCs w:val="28"/>
          <w:highlight w:val="none"/>
          <w:lang w:val="en-US" w:eastAsia="zh-CN" w:bidi="ar-SA"/>
        </w:rPr>
        <w:t>房地</w:t>
      </w:r>
      <w:r>
        <w:rPr>
          <w:rFonts w:hint="default" w:ascii="仿宋_GB2312" w:hAnsi="仿宋_GB2312" w:eastAsia="仿宋_GB2312" w:cs="仿宋_GB2312"/>
          <w:b w:val="0"/>
          <w:bCs w:val="0"/>
          <w:color w:val="000000"/>
          <w:kern w:val="2"/>
          <w:sz w:val="28"/>
          <w:szCs w:val="28"/>
          <w:highlight w:val="none"/>
          <w:lang w:val="en-US" w:eastAsia="zh-CN" w:bidi="ar-SA"/>
        </w:rPr>
        <w:t>年总费用</w:t>
      </w:r>
    </w:p>
    <w:p w14:paraId="63F6A16C">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总费用是指利用土地进行经营活动时正常合理的必要年支出。</w:t>
      </w:r>
    </w:p>
    <w:p w14:paraId="78143A07">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（1）经营管理费：指对出租房屋进行的必要管理所需的费用。按年租金的2%～5%计，本次评估中根据估价对象地上建筑物管理难易程度确定为2%，则：</w:t>
      </w:r>
    </w:p>
    <w:p w14:paraId="7225B8FD">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经营管理费＝房地年总收益×2%</w:t>
      </w:r>
    </w:p>
    <w:p w14:paraId="7AEC1EB4">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0.9305</w:t>
      </w:r>
      <w:r>
        <w:rPr>
          <w:rFonts w:hint="default" w:ascii="仿宋_GB2312" w:hAnsi="仿宋_GB2312" w:eastAsia="仿宋_GB2312" w:cs="仿宋_GB2312"/>
          <w:b w:val="0"/>
          <w:bCs w:val="0"/>
          <w:color w:val="000000"/>
          <w:kern w:val="2"/>
          <w:sz w:val="28"/>
          <w:szCs w:val="28"/>
          <w:highlight w:val="none"/>
          <w:lang w:val="en-US" w:eastAsia="zh-CN" w:bidi="ar-SA"/>
        </w:rPr>
        <w:t>×2%</w:t>
      </w:r>
    </w:p>
    <w:p w14:paraId="15E473F9">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0.0186</w:t>
      </w:r>
      <w:r>
        <w:rPr>
          <w:rFonts w:hint="default" w:ascii="仿宋_GB2312" w:hAnsi="仿宋_GB2312" w:eastAsia="仿宋_GB2312" w:cs="仿宋_GB2312"/>
          <w:b w:val="0"/>
          <w:bCs w:val="0"/>
          <w:color w:val="000000"/>
          <w:kern w:val="2"/>
          <w:sz w:val="28"/>
          <w:szCs w:val="28"/>
          <w:highlight w:val="none"/>
          <w:lang w:val="en-US" w:eastAsia="zh-CN" w:bidi="ar-SA"/>
        </w:rPr>
        <w:t>（万元）</w:t>
      </w:r>
    </w:p>
    <w:p w14:paraId="6078E48A">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（2）经营维修费：指为保障房屋正常使用每年需支付的修缮费。根据估价对象房屋的实际使用情况，按建筑物重置价格的2%计算。</w:t>
      </w:r>
    </w:p>
    <w:p w14:paraId="0D05F9B7">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rPr>
          <w:rFonts w:hint="eastAsia" w:ascii="仿宋_GB2312" w:hAnsi="仿宋_GB2312" w:eastAsia="仿宋_GB2312" w:cs="仿宋_GB2312"/>
          <w:sz w:val="28"/>
          <w:szCs w:val="30"/>
          <w:lang w:val="en-US" w:eastAsia="zh-CN"/>
        </w:rPr>
      </w:pPr>
      <w:r>
        <w:rPr>
          <w:rFonts w:hint="eastAsia" w:ascii="仿宋_GB2312" w:hAnsi="仿宋_GB2312" w:eastAsia="仿宋_GB2312" w:cs="仿宋_GB2312"/>
          <w:sz w:val="28"/>
          <w:szCs w:val="30"/>
          <w:lang w:val="en-GB"/>
        </w:rPr>
        <w:t>根据《湖南省房地产协会关于发布&lt;湖南省建筑物建设成本参考标准研究成果&gt;的通知》（编号：湘房协[2023]3号，2023年2月14日）中的“各类建筑物建设成本参考标准”，住宅类</w:t>
      </w:r>
      <w:r>
        <w:rPr>
          <w:rFonts w:hint="eastAsia" w:ascii="仿宋_GB2312" w:eastAsia="仿宋_GB2312" w:cs="仿宋_GB2312" w:hAnsi="仿宋_GB2312"/>
          <w:sz w:val="28"/>
          <w:szCs w:val="30"/>
          <w:lang w:val="en-US" w:eastAsia="zh-CN"/>
        </w:rPr>
        <w:t>砖混</w:t>
      </w:r>
      <w:r>
        <w:rPr>
          <w:rFonts w:hint="eastAsia" w:ascii="仿宋_GB2312" w:hAnsi="仿宋_GB2312" w:eastAsia="仿宋_GB2312" w:cs="仿宋_GB2312"/>
          <w:sz w:val="28"/>
          <w:szCs w:val="30"/>
          <w:lang w:val="en-GB"/>
        </w:rPr>
        <w:t>结构</w:t>
      </w:r>
      <w:r>
        <w:rPr>
          <w:rFonts w:hint="eastAsia" w:ascii="仿宋_GB2312" w:eastAsia="仿宋_GB2312" w:cs="仿宋_GB2312" w:hAnsi="仿宋_GB2312"/>
          <w:sz w:val="28"/>
          <w:szCs w:val="30"/>
          <w:lang w:val="en-US" w:eastAsia="zh-CN"/>
        </w:rPr>
        <w:t>二等</w:t>
      </w:r>
      <w:r>
        <w:rPr>
          <w:rFonts w:hint="eastAsia" w:ascii="仿宋_GB2312" w:hAnsi="仿宋_GB2312" w:eastAsia="仿宋_GB2312" w:cs="仿宋_GB2312"/>
          <w:sz w:val="28"/>
          <w:szCs w:val="30"/>
          <w:lang w:val="en-GB"/>
        </w:rPr>
        <w:t>建设成本价格在1</w:t>
      </w:r>
      <w:r>
        <w:rPr>
          <w:rFonts w:hint="eastAsia" w:ascii="仿宋_GB2312" w:eastAsia="仿宋_GB2312" w:cs="仿宋_GB2312" w:hAnsi="仿宋_GB2312"/>
          <w:sz w:val="28"/>
          <w:szCs w:val="30"/>
          <w:lang w:val="en-US" w:eastAsia="zh-CN"/>
        </w:rPr>
        <w:t>2</w:t>
      </w:r>
      <w:r>
        <w:rPr>
          <w:rFonts w:hint="eastAsia" w:ascii="仿宋_GB2312" w:hAnsi="仿宋_GB2312" w:eastAsia="仿宋_GB2312" w:cs="仿宋_GB2312"/>
          <w:sz w:val="28"/>
          <w:szCs w:val="30"/>
          <w:lang w:val="en-GB"/>
        </w:rPr>
        <w:t>00-1</w:t>
      </w:r>
      <w:r>
        <w:rPr>
          <w:rFonts w:hint="eastAsia" w:ascii="仿宋_GB2312" w:eastAsia="仿宋_GB2312" w:cs="仿宋_GB2312" w:hAnsi="仿宋_GB2312"/>
          <w:sz w:val="28"/>
          <w:szCs w:val="30"/>
          <w:lang w:val="en-US" w:eastAsia="zh-CN"/>
        </w:rPr>
        <w:t>3</w:t>
      </w:r>
      <w:r>
        <w:rPr>
          <w:rFonts w:hint="eastAsia" w:ascii="仿宋_GB2312" w:hAnsi="仿宋_GB2312" w:eastAsia="仿宋_GB2312" w:cs="仿宋_GB2312"/>
          <w:sz w:val="28"/>
          <w:szCs w:val="30"/>
          <w:lang w:val="en-GB"/>
        </w:rPr>
        <w:t>00元/平方米</w:t>
      </w:r>
      <w:r>
        <w:rPr>
          <w:rFonts w:hint="eastAsia" w:ascii="仿宋_GB2312" w:hAnsi="仿宋_GB2312" w:eastAsia="仿宋_GB2312" w:cs="仿宋_GB2312"/>
          <w:sz w:val="28"/>
          <w:szCs w:val="30"/>
          <w:lang w:val="en-GB" w:eastAsia="zh-CN"/>
        </w:rPr>
        <w:t>，</w:t>
      </w:r>
      <w:r>
        <w:rPr>
          <w:rFonts w:hint="eastAsia" w:ascii="仿宋_GB2312" w:hAnsi="仿宋_GB2312" w:eastAsia="仿宋_GB2312" w:cs="仿宋_GB2312"/>
          <w:sz w:val="28"/>
          <w:szCs w:val="30"/>
          <w:lang w:val="en-GB"/>
        </w:rPr>
        <w:t>根据《湖南省房地产协会关于发布&lt;湖南省建筑物建设成本参考标准研究成果&gt;的通知》（编号：湘房协[2023]3号，2023年2月14日）中的“利用系数表”，估价对象位于</w:t>
      </w:r>
      <w:r>
        <w:rPr>
          <w:rFonts w:hint="eastAsia" w:ascii="仿宋_GB2312" w:hAnsi="仿宋_GB2312" w:eastAsia="仿宋_GB2312" w:cs="仿宋_GB2312"/>
          <w:sz w:val="28"/>
          <w:szCs w:val="30"/>
          <w:lang w:val="en-US" w:eastAsia="zh-CN"/>
        </w:rPr>
        <w:t>道县</w:t>
      </w:r>
      <w:r>
        <w:rPr>
          <w:rFonts w:hint="eastAsia" w:ascii="仿宋_GB2312" w:hAnsi="仿宋_GB2312" w:eastAsia="仿宋_GB2312" w:cs="仿宋_GB2312"/>
          <w:sz w:val="28"/>
          <w:szCs w:val="30"/>
          <w:lang w:val="en-GB"/>
        </w:rPr>
        <w:t>，应进行利用系数修正，修正系数为</w:t>
      </w:r>
      <w:r>
        <w:rPr>
          <w:rFonts w:hint="eastAsia" w:ascii="仿宋_GB2312" w:hAnsi="仿宋_GB2312" w:eastAsia="仿宋_GB2312" w:cs="仿宋_GB2312"/>
          <w:sz w:val="28"/>
          <w:szCs w:val="30"/>
          <w:lang w:val="en-US" w:eastAsia="zh-CN"/>
        </w:rPr>
        <w:t>0.90</w:t>
      </w:r>
      <w:r>
        <w:rPr>
          <w:rFonts w:hint="eastAsia" w:ascii="仿宋_GB2312" w:hAnsi="仿宋_GB2312" w:eastAsia="仿宋_GB2312" w:cs="仿宋_GB2312"/>
          <w:sz w:val="28"/>
          <w:szCs w:val="30"/>
          <w:lang w:val="en-GB"/>
        </w:rPr>
        <w:t>，取</w:t>
      </w:r>
      <w:r>
        <w:rPr>
          <w:rFonts w:hint="eastAsia" w:ascii="仿宋_GB2312" w:eastAsia="仿宋_GB2312" w:cs="仿宋_GB2312" w:hAnsi="仿宋_GB2312"/>
          <w:sz w:val="28"/>
          <w:szCs w:val="30"/>
          <w:lang w:val="en-US" w:eastAsia="zh-CN"/>
        </w:rPr>
        <w:t>二等砖混</w:t>
      </w:r>
      <w:r>
        <w:rPr>
          <w:rFonts w:hint="eastAsia" w:ascii="仿宋_GB2312" w:hAnsi="仿宋_GB2312" w:eastAsia="仿宋_GB2312" w:cs="仿宋_GB2312"/>
          <w:sz w:val="28"/>
          <w:szCs w:val="30"/>
          <w:lang w:val="en-GB"/>
        </w:rPr>
        <w:t>结构住宅用房重置价格为</w:t>
      </w:r>
      <w:r>
        <w:rPr>
          <w:rFonts w:hint="eastAsia" w:ascii="仿宋_GB2312" w:hAnsi="仿宋_GB2312" w:eastAsia="仿宋_GB2312" w:cs="仿宋_GB2312"/>
          <w:sz w:val="28"/>
          <w:szCs w:val="30"/>
          <w:lang w:val="en-US" w:eastAsia="zh-CN"/>
        </w:rPr>
        <w:t>1</w:t>
      </w:r>
      <w:r>
        <w:rPr>
          <w:rFonts w:hint="eastAsia" w:ascii="仿宋_GB2312" w:eastAsia="仿宋_GB2312" w:cs="仿宋_GB2312" w:hAnsi="仿宋_GB2312"/>
          <w:sz w:val="28"/>
          <w:szCs w:val="30"/>
          <w:lang w:val="en-US" w:eastAsia="zh-CN"/>
        </w:rPr>
        <w:t>3</w:t>
      </w:r>
      <w:r>
        <w:rPr>
          <w:rFonts w:hint="eastAsia" w:ascii="仿宋_GB2312" w:hAnsi="仿宋_GB2312" w:eastAsia="仿宋_GB2312" w:cs="仿宋_GB2312"/>
          <w:sz w:val="28"/>
          <w:szCs w:val="30"/>
          <w:lang w:val="en-US" w:eastAsia="zh-CN"/>
        </w:rPr>
        <w:t>00</w:t>
      </w:r>
      <w:r>
        <w:rPr>
          <w:rFonts w:hint="eastAsia" w:ascii="仿宋_GB2312" w:hAnsi="仿宋_GB2312" w:eastAsia="仿宋_GB2312" w:cs="仿宋_GB2312"/>
          <w:sz w:val="28"/>
          <w:szCs w:val="30"/>
          <w:lang w:val="en-GB"/>
        </w:rPr>
        <w:t>元/平方米，</w:t>
      </w:r>
      <w:r>
        <w:rPr>
          <w:rFonts w:hint="eastAsia" w:ascii="仿宋_GB2312" w:eastAsia="仿宋_GB2312" w:cs="仿宋_GB2312" w:hAnsi="仿宋_GB2312"/>
          <w:sz w:val="28"/>
          <w:szCs w:val="30"/>
          <w:lang w:val="en-US" w:eastAsia="zh-CN"/>
        </w:rPr>
        <w:t>则道县类似混合结构住宅楼建筑物重置价为1300×0.9=</w:t>
      </w:r>
      <w:r>
        <w:rPr>
          <w:rFonts w:hint="eastAsia" w:ascii="仿宋_GB2312" w:hAnsi="仿宋_GB2312" w:eastAsia="仿宋_GB2312" w:cs="仿宋_GB2312"/>
          <w:sz w:val="28"/>
          <w:szCs w:val="30"/>
          <w:lang w:val="en-US" w:eastAsia="zh-CN"/>
        </w:rPr>
        <w:t>1170元/平方米。</w:t>
      </w:r>
    </w:p>
    <w:p w14:paraId="16EACBAC">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rPr>
          <w:rFonts w:hint="eastAsia" w:ascii="仿宋_GB2312" w:hAnsi="仿宋_GB2312" w:eastAsia="仿宋_GB2312" w:cs="仿宋_GB2312"/>
          <w:sz w:val="28"/>
        </w:rPr>
      </w:pPr>
      <w:r>
        <w:rPr>
          <w:rFonts w:hint="eastAsia" w:ascii="仿宋_GB2312" w:hAnsi="仿宋_GB2312" w:eastAsia="仿宋_GB2312" w:cs="仿宋_GB2312"/>
          <w:sz w:val="28"/>
          <w:szCs w:val="28"/>
        </w:rPr>
        <w:t>考虑近几年价格上涨水平，取砖混结构重置价格年增长率为</w:t>
      </w:r>
      <w:r>
        <w:rPr>
          <w:rFonts w:hint="eastAsia" w:ascii="仿宋_GB2312" w:hAnsi="仿宋_GB2312" w:eastAsia="仿宋_GB2312" w:cs="仿宋_GB2312"/>
          <w:sz w:val="28"/>
          <w:szCs w:val="28"/>
          <w:lang w:val="en-US" w:eastAsia="zh-CN"/>
        </w:rPr>
        <w:t>2.2</w:t>
      </w:r>
      <w:r>
        <w:rPr>
          <w:rFonts w:hint="eastAsia" w:ascii="仿宋_GB2312" w:hAnsi="仿宋_GB2312" w:eastAsia="仿宋_GB2312" w:cs="仿宋_GB2312"/>
          <w:sz w:val="28"/>
          <w:szCs w:val="28"/>
        </w:rPr>
        <w:t>%。</w:t>
      </w:r>
      <w:r>
        <w:rPr>
          <w:rFonts w:hint="eastAsia" w:ascii="仿宋_GB2312" w:hAnsi="仿宋_GB2312" w:eastAsia="仿宋_GB2312" w:cs="仿宋_GB2312"/>
          <w:sz w:val="28"/>
          <w:szCs w:val="30"/>
          <w:lang w:val="en-GB"/>
        </w:rPr>
        <w:t>《湖南省房地产协会关于发布&lt;湖南省建筑物建设成本参考标准研究成果&gt;的通知》（编号：湘房协[2023]3号，2023年2月14日）建筑物建设成本对应的价值时点为2023年1月</w:t>
      </w:r>
      <w:r>
        <w:rPr>
          <w:rFonts w:hint="eastAsia" w:ascii="仿宋_GB2312" w:hAnsi="仿宋_GB2312" w:eastAsia="仿宋_GB2312" w:cs="仿宋_GB2312"/>
          <w:sz w:val="28"/>
          <w:szCs w:val="30"/>
          <w:lang w:val="en-GB"/>
        </w:rPr>
        <w:t xml:space="preserve">1 </w:t>
      </w:r>
      <w:r>
        <w:rPr>
          <w:rFonts w:hint="eastAsia" w:ascii="仿宋_GB2312" w:hAnsi="仿宋_GB2312" w:eastAsia="仿宋_GB2312" w:cs="仿宋_GB2312"/>
          <w:b w:val="0"/>
          <w:bCs w:val="0"/>
          <w:color w:val="000000"/>
          <w:sz w:val="28"/>
          <w:szCs w:val="28"/>
        </w:rPr>
        <w:t>日</w:t>
      </w:r>
      <w:r>
        <w:rPr>
          <w:rFonts w:hint="eastAsia" w:ascii="仿宋_GB2312" w:hAnsi="仿宋_GB2312" w:eastAsia="仿宋_GB2312" w:cs="仿宋_GB2312"/>
          <w:sz w:val="28"/>
        </w:rPr>
        <w:t>，而本次评估的估价期日是</w:t>
      </w:r>
      <w:r>
        <w:rPr>
          <w:rFonts w:hint="eastAsia" w:ascii="仿宋_GB2312" w:hAnsi="仿宋_GB2312" w:eastAsia="仿宋_GB2312" w:cs="仿宋_GB2312"/>
          <w:sz w:val="28"/>
          <w:lang w:eastAsia="zh-CN"/>
        </w:rPr>
        <w:t>2026年</w:t>
      </w:r>
      <w:r>
        <w:rPr>
          <w:rFonts w:hint="eastAsia" w:ascii="仿宋_GB2312" w:hAnsi="仿宋_GB2312" w:eastAsia="仿宋_GB2312" w:cs="仿宋_GB2312"/>
          <w:sz w:val="28"/>
          <w:lang w:val="en-US" w:eastAsia="zh-CN"/>
        </w:rPr>
        <w:t>5</w:t>
      </w:r>
      <w:r>
        <w:rPr>
          <w:rFonts w:hint="eastAsia" w:ascii="仿宋_GB2312" w:hAnsi="仿宋_GB2312" w:eastAsia="仿宋_GB2312" w:cs="仿宋_GB2312"/>
          <w:sz w:val="28"/>
          <w:lang w:eastAsia="zh-CN"/>
        </w:rPr>
        <w:t>月</w:t>
      </w:r>
      <w:r>
        <w:rPr>
          <w:rFonts w:hint="eastAsia" w:ascii="仿宋_GB2312" w:hAnsi="仿宋_GB2312" w:eastAsia="仿宋_GB2312" w:cs="仿宋_GB2312"/>
          <w:sz w:val="28"/>
          <w:lang w:val="en-US" w:eastAsia="zh-CN"/>
        </w:rPr>
        <w:t>18</w:t>
      </w:r>
      <w:r>
        <w:rPr>
          <w:rFonts w:hint="eastAsia" w:ascii="仿宋_GB2312" w:hAnsi="仿宋_GB2312" w:eastAsia="仿宋_GB2312" w:cs="仿宋_GB2312"/>
          <w:sz w:val="28"/>
          <w:lang w:eastAsia="zh-CN"/>
        </w:rPr>
        <w:t>日</w:t>
      </w:r>
      <w:r>
        <w:rPr>
          <w:rFonts w:hint="eastAsia" w:ascii="仿宋_GB2312" w:hAnsi="仿宋_GB2312" w:eastAsia="仿宋_GB2312" w:cs="仿宋_GB2312"/>
          <w:sz w:val="28"/>
        </w:rPr>
        <w:t>，相距</w:t>
      </w:r>
      <w:r>
        <w:rPr>
          <w:rFonts w:hint="eastAsia" w:ascii="仿宋_GB2312" w:hAnsi="仿宋_GB2312" w:eastAsia="仿宋_GB2312" w:cs="仿宋_GB2312"/>
          <w:sz w:val="28"/>
          <w:lang w:val="en-US" w:eastAsia="zh-CN"/>
        </w:rPr>
        <w:t>3.38</w:t>
      </w:r>
      <w:r>
        <w:rPr>
          <w:rFonts w:hint="eastAsia" w:ascii="仿宋_GB2312" w:hAnsi="仿宋_GB2312" w:eastAsia="仿宋_GB2312" w:cs="仿宋_GB2312"/>
          <w:sz w:val="28"/>
        </w:rPr>
        <w:t>年。</w:t>
      </w:r>
    </w:p>
    <w:p w14:paraId="617891A6">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rPr>
          <w:rFonts w:hint="eastAsia" w:ascii="仿宋_GB2312" w:hAnsi="仿宋_GB2312" w:eastAsia="仿宋_GB2312" w:cs="仿宋_GB2312"/>
          <w:lang w:val="en-US" w:eastAsia="zh-CN"/>
        </w:rPr>
      </w:pPr>
      <w:r>
        <w:rPr>
          <w:rFonts w:hint="eastAsia" w:ascii="仿宋_GB2312" w:hAnsi="仿宋_GB2312" w:eastAsia="仿宋_GB2312" w:cs="仿宋_GB2312"/>
          <w:sz w:val="28"/>
          <w:szCs w:val="28"/>
        </w:rPr>
        <w:t>可确定估价对象估价期日的房屋重置价格</w:t>
      </w:r>
      <w:r>
        <w:rPr>
          <w:rFonts w:hint="eastAsia" w:ascii="仿宋_GB2312" w:hAnsi="仿宋_GB2312" w:eastAsia="仿宋_GB2312" w:cs="仿宋_GB2312"/>
          <w:sz w:val="28"/>
          <w:szCs w:val="28"/>
          <w:lang w:val="en-US" w:eastAsia="zh-CN"/>
        </w:rPr>
        <w:t>单价</w:t>
      </w:r>
      <w:r>
        <w:rPr>
          <w:rFonts w:hint="eastAsia" w:ascii="仿宋_GB2312" w:hAnsi="仿宋_GB2312" w:eastAsia="仿宋_GB2312" w:cs="仿宋_GB2312"/>
          <w:sz w:val="28"/>
          <w:szCs w:val="28"/>
        </w:rPr>
        <w:t>为</w:t>
      </w:r>
      <w:r>
        <w:rPr>
          <w:rFonts w:hint="eastAsia" w:ascii="仿宋_GB2312" w:hAnsi="仿宋_GB2312" w:eastAsia="仿宋_GB2312" w:cs="仿宋_GB2312"/>
          <w:sz w:val="28"/>
          <w:szCs w:val="28"/>
          <w:lang w:val="en-US" w:eastAsia="zh-CN"/>
        </w:rPr>
        <w:t>1170</w:t>
      </w:r>
      <w:r>
        <w:rPr>
          <w:rFonts w:hint="eastAsia" w:ascii="仿宋_GB2312" w:hAnsi="仿宋_GB2312" w:eastAsia="仿宋_GB2312" w:cs="仿宋_GB2312"/>
          <w:sz w:val="28"/>
          <w:szCs w:val="28"/>
        </w:rPr>
        <w:t>×(1+</w:t>
      </w:r>
      <w:r>
        <w:rPr>
          <w:rFonts w:hint="eastAsia" w:ascii="仿宋_GB2312" w:hAnsi="仿宋_GB2312" w:eastAsia="仿宋_GB2312" w:cs="仿宋_GB2312"/>
          <w:sz w:val="28"/>
          <w:szCs w:val="28"/>
          <w:lang w:val="en-US" w:eastAsia="zh-CN"/>
        </w:rPr>
        <w:t>2.2</w:t>
      </w:r>
      <w:r>
        <w:rPr>
          <w:rFonts w:hint="eastAsia" w:ascii="仿宋_GB2312" w:hAnsi="仿宋_GB2312" w:eastAsia="仿宋_GB2312" w:cs="仿宋_GB2312"/>
          <w:sz w:val="28"/>
          <w:szCs w:val="28"/>
        </w:rPr>
        <w:t>%)</w:t>
      </w:r>
      <w:r>
        <w:rPr>
          <w:rFonts w:hint="eastAsia" w:ascii="仿宋_GB2312" w:hAnsi="仿宋_GB2312" w:eastAsia="仿宋_GB2312" w:cs="仿宋_GB2312"/>
          <w:sz w:val="28"/>
          <w:vertAlign w:val="superscript"/>
          <w:lang w:val="en-US" w:eastAsia="zh-CN"/>
        </w:rPr>
        <w:t>3.38</w:t>
      </w:r>
      <w:r>
        <w:rPr>
          <w:rFonts w:hint="eastAsia" w:ascii="仿宋_GB2312" w:hAnsi="仿宋_GB2312" w:eastAsia="仿宋_GB2312" w:cs="仿宋_GB2312"/>
          <w:sz w:val="28"/>
          <w:szCs w:val="28"/>
        </w:rPr>
        <w:t>=</w:t>
      </w:r>
      <w:r>
        <w:rPr>
          <w:rFonts w:hint="eastAsia" w:ascii="仿宋_GB2312" w:hAnsi="仿宋_GB2312" w:eastAsia="仿宋_GB2312" w:cs="仿宋_GB2312"/>
          <w:sz w:val="28"/>
          <w:szCs w:val="28"/>
          <w:lang w:val="en-US" w:eastAsia="zh-CN"/>
        </w:rPr>
        <w:t>1259</w:t>
      </w:r>
      <w:r>
        <w:rPr>
          <w:rFonts w:hint="eastAsia" w:ascii="仿宋_GB2312" w:hAnsi="仿宋_GB2312" w:eastAsia="仿宋_GB2312" w:cs="仿宋_GB2312"/>
          <w:sz w:val="28"/>
          <w:szCs w:val="28"/>
        </w:rPr>
        <w:t>元/平方米。</w:t>
      </w:r>
    </w:p>
    <w:p w14:paraId="2D225B21">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房屋重置价格＝重置单价×总建筑面积</w:t>
      </w:r>
    </w:p>
    <w:p w14:paraId="1751CC21">
      <w:pPr>
        <w:keepNext w:val="0"/>
        <w:keepLines w:val="0"/>
        <w:pageBreakBefore w:val="0"/>
        <w:widowControl w:val="0"/>
        <w:kinsoku/>
        <w:wordWrap/>
        <w:overflowPunct/>
        <w:topLinePunct w:val="0"/>
        <w:bidi w:val="0"/>
        <w:adjustRightInd w:val="0"/>
        <w:snapToGrid w:val="0"/>
        <w:spacing w:line="480" w:lineRule="exact" w:before="0" w:after="0"/>
        <w:ind w:firstLine="2240" w:firstLineChars="8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＝1259×73.415＝9.2429（万元）</w:t>
      </w:r>
    </w:p>
    <w:p w14:paraId="3E35FEA9">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则：经营维修费＝房屋重置价格×2%</w:t>
      </w:r>
    </w:p>
    <w:p w14:paraId="2B3444C6">
      <w:pPr>
        <w:keepNext w:val="0"/>
        <w:keepLines w:val="0"/>
        <w:pageBreakBefore w:val="0"/>
        <w:widowControl w:val="0"/>
        <w:kinsoku/>
        <w:wordWrap/>
        <w:overflowPunct/>
        <w:topLinePunct w:val="0"/>
        <w:bidi w:val="0"/>
        <w:adjustRightInd w:val="0"/>
        <w:snapToGrid w:val="0"/>
        <w:spacing w:line="480" w:lineRule="exact" w:before="0" w:after="0"/>
        <w:ind w:firstLine="2520" w:firstLineChars="9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＝9.2429×2%</w:t>
      </w:r>
    </w:p>
    <w:p w14:paraId="413D9D3D">
      <w:pPr>
        <w:keepNext w:val="0"/>
        <w:keepLines w:val="0"/>
        <w:pageBreakBefore w:val="0"/>
        <w:widowControl w:val="0"/>
        <w:kinsoku/>
        <w:wordWrap/>
        <w:overflowPunct/>
        <w:topLinePunct w:val="0"/>
        <w:bidi w:val="0"/>
        <w:adjustRightInd w:val="0"/>
        <w:snapToGrid w:val="0"/>
        <w:spacing w:line="480" w:lineRule="exact" w:before="0" w:after="0"/>
        <w:ind w:firstLine="2520" w:firstLineChars="9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＝0.1849（万元）</w:t>
      </w:r>
    </w:p>
    <w:p w14:paraId="6DD769B1">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（3）房屋年保险费：指房产所有人为使自己的房产避免意外损失而向保险公司支付的费用。按房屋现值乘以保险费率2‰计算，则：</w:t>
      </w:r>
    </w:p>
    <w:p w14:paraId="5BEAFAAD">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fldChar w:fldCharType="begin"/>
      </w:r>
      <w:r>
        <w:rPr>
          <w:rFonts w:hint="eastAsia" w:ascii="仿宋_GB2312" w:hAnsi="仿宋_GB2312" w:eastAsia="仿宋_GB2312" w:cs="仿宋_GB2312"/>
          <w:b w:val="0"/>
          <w:bCs w:val="0"/>
          <w:color w:val="000000"/>
          <w:kern w:val="2"/>
          <w:sz w:val="28"/>
          <w:szCs w:val="28"/>
          <w:highlight w:val="none"/>
          <w:lang w:val="en-US" w:eastAsia="zh-CN" w:bidi="ar-SA"/>
        </w:rPr>
        <w:instrText xml:space="preserve"> = 1 \* GB3 </w:instrText>
      </w:r>
      <w:r>
        <w:rPr>
          <w:rFonts w:hint="eastAsia" w:ascii="仿宋_GB2312" w:hAnsi="仿宋_GB2312" w:eastAsia="仿宋_GB2312" w:cs="仿宋_GB2312"/>
          <w:b w:val="0"/>
          <w:bCs w:val="0"/>
          <w:color w:val="000000"/>
          <w:kern w:val="2"/>
          <w:sz w:val="28"/>
          <w:szCs w:val="28"/>
          <w:highlight w:val="none"/>
          <w:lang w:val="en-US" w:eastAsia="zh-CN" w:bidi="ar-SA"/>
        </w:rPr>
        <w:fldChar w:fldCharType="separate"/>
      </w:r>
      <w:r>
        <w:rPr>
          <w:rFonts w:hint="eastAsia" w:ascii="仿宋_GB2312" w:hAnsi="仿宋_GB2312" w:eastAsia="仿宋_GB2312" w:cs="仿宋_GB2312"/>
          <w:b w:val="0"/>
          <w:bCs w:val="0"/>
          <w:color w:val="000000"/>
          <w:kern w:val="2"/>
          <w:sz w:val="28"/>
          <w:szCs w:val="28"/>
          <w:highlight w:val="none"/>
          <w:lang w:val="en-US" w:eastAsia="zh-CN" w:bidi="ar-SA"/>
        </w:rPr>
        <w:t>①</w:t>
      </w:r>
      <w:r>
        <w:rPr>
          <w:rFonts w:hint="eastAsia" w:ascii="仿宋_GB2312" w:hAnsi="仿宋_GB2312" w:eastAsia="仿宋_GB2312" w:cs="仿宋_GB2312"/>
          <w:b w:val="0"/>
          <w:bCs w:val="0"/>
          <w:color w:val="000000"/>
          <w:kern w:val="2"/>
          <w:sz w:val="28"/>
          <w:szCs w:val="28"/>
          <w:highlight w:val="none"/>
          <w:lang w:val="en-US"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计算房屋年折旧费：房屋年折旧费指房屋在使用过程中因损耗而在租金中补偿的那部分价值。</w:t>
      </w:r>
    </w:p>
    <w:p w14:paraId="417125C3">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估价对象建筑为混合结构，耐用年限为50年，残值率2%，估价对象地上房屋建成于2004年，已使用年限约为22年，剩余使用年限28年，此次评估设定出让土地使用权年限为70年，大于房屋剩余使用年限，根据孰短原则，折旧年限＝房屋已使用年限+房屋剩余使用年限。则年折旧费计算公式为：</w:t>
      </w:r>
    </w:p>
    <w:p w14:paraId="64AAAC8F">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年折旧费＝房屋重置价×（1-残值率）÷（房屋已使用年限+房屋剩余使用年限）</w:t>
      </w:r>
    </w:p>
    <w:p w14:paraId="253B825C">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＝9.2429×（1-2%）÷（22+28）</w:t>
      </w:r>
    </w:p>
    <w:p w14:paraId="43F0ECF0">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＝0.1812（万元）</w:t>
      </w:r>
    </w:p>
    <w:p w14:paraId="55DF1121">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fldChar w:fldCharType="begin"/>
      </w:r>
      <w:r>
        <w:rPr>
          <w:rFonts w:hint="eastAsia" w:ascii="仿宋_GB2312" w:hAnsi="仿宋_GB2312" w:eastAsia="仿宋_GB2312" w:cs="仿宋_GB2312"/>
          <w:b w:val="0"/>
          <w:bCs w:val="0"/>
          <w:color w:val="000000"/>
          <w:kern w:val="2"/>
          <w:sz w:val="28"/>
          <w:szCs w:val="28"/>
          <w:highlight w:val="none"/>
          <w:lang w:val="en-US" w:eastAsia="zh-CN" w:bidi="ar-SA"/>
        </w:rPr>
        <w:instrText xml:space="preserve"> = 2 \* GB3 </w:instrText>
      </w:r>
      <w:r>
        <w:rPr>
          <w:rFonts w:hint="eastAsia" w:ascii="仿宋_GB2312" w:hAnsi="仿宋_GB2312" w:eastAsia="仿宋_GB2312" w:cs="仿宋_GB2312"/>
          <w:b w:val="0"/>
          <w:bCs w:val="0"/>
          <w:color w:val="000000"/>
          <w:kern w:val="2"/>
          <w:sz w:val="28"/>
          <w:szCs w:val="28"/>
          <w:highlight w:val="none"/>
          <w:lang w:val="en-US" w:eastAsia="zh-CN" w:bidi="ar-SA"/>
        </w:rPr>
        <w:fldChar w:fldCharType="separate"/>
      </w:r>
      <w:r>
        <w:rPr>
          <w:rFonts w:hint="eastAsia" w:ascii="仿宋_GB2312" w:hAnsi="仿宋_GB2312" w:eastAsia="仿宋_GB2312" w:cs="仿宋_GB2312"/>
          <w:b w:val="0"/>
          <w:bCs w:val="0"/>
          <w:color w:val="000000"/>
          <w:kern w:val="2"/>
          <w:sz w:val="28"/>
          <w:szCs w:val="28"/>
          <w:highlight w:val="none"/>
          <w:lang w:val="en-US" w:eastAsia="zh-CN" w:bidi="ar-SA"/>
        </w:rPr>
        <w:t>②</w:t>
      </w:r>
      <w:r>
        <w:rPr>
          <w:rFonts w:hint="eastAsia" w:ascii="仿宋_GB2312" w:hAnsi="仿宋_GB2312" w:eastAsia="仿宋_GB2312" w:cs="仿宋_GB2312"/>
          <w:b w:val="0"/>
          <w:bCs w:val="0"/>
          <w:color w:val="000000"/>
          <w:kern w:val="2"/>
          <w:sz w:val="28"/>
          <w:szCs w:val="28"/>
          <w:highlight w:val="none"/>
          <w:lang w:val="en-US"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计算房屋现值</w:t>
      </w:r>
    </w:p>
    <w:p w14:paraId="2BF6FF0F">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房屋现值＝房屋重置价格-折旧总额</w:t>
      </w:r>
    </w:p>
    <w:p w14:paraId="3292E274">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＝9.2429-年折旧费×已使用年限</w:t>
      </w:r>
    </w:p>
    <w:p w14:paraId="63B88B0A">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＝9.2429-0.1812×22</w:t>
      </w:r>
    </w:p>
    <w:p w14:paraId="7B3E59DC">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＝5.2565（万元）</w:t>
      </w:r>
    </w:p>
    <w:p w14:paraId="299E9477">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fldChar w:fldCharType="begin"/>
      </w:r>
      <w:r>
        <w:rPr>
          <w:rFonts w:hint="eastAsia" w:ascii="仿宋_GB2312" w:hAnsi="仿宋_GB2312" w:eastAsia="仿宋_GB2312" w:cs="仿宋_GB2312"/>
          <w:b w:val="0"/>
          <w:bCs w:val="0"/>
          <w:color w:val="000000"/>
          <w:kern w:val="2"/>
          <w:sz w:val="28"/>
          <w:szCs w:val="28"/>
          <w:highlight w:val="none"/>
          <w:lang w:val="en-US" w:eastAsia="zh-CN" w:bidi="ar-SA"/>
        </w:rPr>
        <w:instrText xml:space="preserve"> = 3 \* GB3 </w:instrText>
      </w:r>
      <w:r>
        <w:rPr>
          <w:rFonts w:hint="eastAsia" w:ascii="仿宋_GB2312" w:hAnsi="仿宋_GB2312" w:eastAsia="仿宋_GB2312" w:cs="仿宋_GB2312"/>
          <w:b w:val="0"/>
          <w:bCs w:val="0"/>
          <w:color w:val="000000"/>
          <w:kern w:val="2"/>
          <w:sz w:val="28"/>
          <w:szCs w:val="28"/>
          <w:highlight w:val="none"/>
          <w:lang w:val="en-US" w:eastAsia="zh-CN" w:bidi="ar-SA"/>
        </w:rPr>
        <w:fldChar w:fldCharType="separate"/>
      </w:r>
      <w:r>
        <w:rPr>
          <w:rFonts w:hint="eastAsia" w:ascii="仿宋_GB2312" w:hAnsi="仿宋_GB2312" w:eastAsia="仿宋_GB2312" w:cs="仿宋_GB2312"/>
          <w:b w:val="0"/>
          <w:bCs w:val="0"/>
          <w:color w:val="000000"/>
          <w:kern w:val="2"/>
          <w:sz w:val="28"/>
          <w:szCs w:val="28"/>
          <w:highlight w:val="none"/>
          <w:lang w:val="en-US" w:eastAsia="zh-CN" w:bidi="ar-SA"/>
        </w:rPr>
        <w:t>③</w:t>
      </w:r>
      <w:r>
        <w:rPr>
          <w:rFonts w:hint="eastAsia" w:ascii="仿宋_GB2312" w:hAnsi="仿宋_GB2312" w:eastAsia="仿宋_GB2312" w:cs="仿宋_GB2312"/>
          <w:b w:val="0"/>
          <w:bCs w:val="0"/>
          <w:color w:val="000000"/>
          <w:kern w:val="2"/>
          <w:sz w:val="28"/>
          <w:szCs w:val="28"/>
          <w:highlight w:val="none"/>
          <w:lang w:val="en-US"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计算房屋年保险费</w:t>
      </w:r>
    </w:p>
    <w:p w14:paraId="2BBEF3D0">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房屋年保险费＝房屋现值×2‰</w:t>
      </w:r>
    </w:p>
    <w:p w14:paraId="5642A7CE">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＝5.2565×2%</w:t>
      </w:r>
    </w:p>
    <w:p w14:paraId="033A52BC">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＝0.0105（万元）</w:t>
      </w:r>
    </w:p>
    <w:p w14:paraId="41279481">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（4）出租年应交税金</w:t>
      </w:r>
    </w:p>
    <w:p w14:paraId="27578D64">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de-DE" w:eastAsia="zh-CN" w:bidi="ar-SA"/>
        </w:rPr>
        <w:fldChar w:fldCharType="begin"/>
      </w:r>
      <w:r>
        <w:rPr>
          <w:rFonts w:hint="eastAsia" w:ascii="仿宋_GB2312" w:hAnsi="仿宋_GB2312" w:eastAsia="仿宋_GB2312" w:cs="仿宋_GB2312"/>
          <w:b w:val="0"/>
          <w:bCs w:val="0"/>
          <w:color w:val="000000"/>
          <w:kern w:val="2"/>
          <w:sz w:val="28"/>
          <w:szCs w:val="28"/>
          <w:highlight w:val="none"/>
          <w:lang w:val="de-DE" w:eastAsia="zh-CN" w:bidi="ar-SA"/>
        </w:rPr>
        <w:instrText xml:space="preserve"> = 1 \* GB3 </w:instrText>
      </w:r>
      <w:r>
        <w:rPr>
          <w:rFonts w:hint="eastAsia" w:ascii="仿宋_GB2312" w:hAnsi="仿宋_GB2312" w:eastAsia="仿宋_GB2312" w:cs="仿宋_GB2312"/>
          <w:b w:val="0"/>
          <w:bCs w:val="0"/>
          <w:color w:val="000000"/>
          <w:kern w:val="2"/>
          <w:sz w:val="28"/>
          <w:szCs w:val="28"/>
          <w:highlight w:val="none"/>
          <w:lang w:val="de-DE" w:eastAsia="zh-CN" w:bidi="ar-SA"/>
        </w:rPr>
        <w:fldChar w:fldCharType="separate"/>
      </w:r>
      <w:r>
        <w:rPr>
          <w:rFonts w:hint="eastAsia" w:ascii="仿宋_GB2312" w:hAnsi="仿宋_GB2312" w:eastAsia="仿宋_GB2312" w:cs="仿宋_GB2312"/>
          <w:b w:val="0"/>
          <w:bCs w:val="0"/>
          <w:color w:val="000000"/>
          <w:kern w:val="2"/>
          <w:sz w:val="28"/>
          <w:szCs w:val="28"/>
          <w:highlight w:val="none"/>
          <w:lang w:val="de-DE" w:eastAsia="zh-CN" w:bidi="ar-SA"/>
        </w:rPr>
        <w:t>①</w:t>
      </w:r>
      <w:r>
        <w:rPr>
          <w:rFonts w:hint="eastAsia" w:ascii="仿宋_GB2312" w:hAnsi="仿宋_GB2312" w:eastAsia="仿宋_GB2312" w:cs="仿宋_GB2312"/>
          <w:b w:val="0"/>
          <w:bCs w:val="0"/>
          <w:color w:val="000000"/>
          <w:kern w:val="2"/>
          <w:sz w:val="28"/>
          <w:szCs w:val="28"/>
          <w:highlight w:val="none"/>
          <w:lang w:val="de-DE"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增值税及城市建设维护税和教育费附加</w:t>
      </w:r>
    </w:p>
    <w:p w14:paraId="0FF08B93">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根据《关于全面推开营业税改征增值税试点有关税收征收管理事项的公告》（2016年第23号）、《国务院办公厅关于加快培育和发展住房租赁市场的若干意见》（国办发〔2016〕39号），落实营改增关于住房租赁的有关政策，对个人出租住房的，由按照5%的征收率减按1.5%计算缴纳增值税；根据《财政部税务总局关于增值税法施行后增值税优惠政策衔接事项的公告》（财政部 税务总局公告2026年第10号，2026年1月30日），小规模纳税人增值税起征点为月销售额10万元，估价对象平均月租金收入未超过10万元，免征增值税。</w:t>
      </w:r>
    </w:p>
    <w:p w14:paraId="20D36B83">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②附加税（城市维护建设税、教育费附加、地方教育附加）</w:t>
      </w:r>
    </w:p>
    <w:p w14:paraId="539696DD">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增值税附加是以缴纳的增值税为基数，估价对象免征增值税，因此增值税附加为0。</w:t>
      </w:r>
    </w:p>
    <w:p w14:paraId="2F356D76">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③印花税：根据《财政部 国家税务总局 关于廉租住房经济适用住房和住房租赁有关税收政策的通知》（财税〔2008〕24号），对个人出租、承租住房签订的租赁合同，免征印花税。</w:t>
      </w:r>
    </w:p>
    <w:p w14:paraId="65FB287F">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④房产税：根据《财政部 国家税务总局 关于廉租住房经济适用住房和住房租赁有关税收政策的通知》（财税〔2008〕24号），对个人出租住房，按4%的税率征收房产税。根据《财政部税务总局关于进一步支持小微企业和个体工商户发展有关税费政策的公告》（财政部 税务总局公告2023年第12号，2023年8月2日），对增值税小规模纳税人减半征收房产税。</w:t>
      </w:r>
    </w:p>
    <w:p w14:paraId="3A829260">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出租年应交税金＝年总收益×税率</w:t>
      </w:r>
    </w:p>
    <w:p w14:paraId="1BB057FF">
      <w:pPr>
        <w:keepNext w:val="0"/>
        <w:keepLines w:val="0"/>
        <w:pageBreakBefore w:val="0"/>
        <w:widowControl w:val="0"/>
        <w:kinsoku/>
        <w:wordWrap/>
        <w:overflowPunct/>
        <w:topLinePunct w:val="0"/>
        <w:bidi w:val="0"/>
        <w:adjustRightInd w:val="0"/>
        <w:snapToGrid w:val="0"/>
        <w:spacing w:line="480" w:lineRule="exact" w:before="0" w:after="0"/>
        <w:ind w:firstLine="2520" w:firstLineChars="9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＝0.9305×4%×50%</w:t>
      </w:r>
    </w:p>
    <w:p w14:paraId="4CAB0B96">
      <w:pPr>
        <w:keepNext w:val="0"/>
        <w:keepLines w:val="0"/>
        <w:pageBreakBefore w:val="0"/>
        <w:widowControl w:val="0"/>
        <w:kinsoku/>
        <w:wordWrap/>
        <w:overflowPunct/>
        <w:topLinePunct w:val="0"/>
        <w:bidi w:val="0"/>
        <w:adjustRightInd w:val="0"/>
        <w:snapToGrid w:val="0"/>
        <w:spacing w:line="480" w:lineRule="exact" w:before="0" w:after="0"/>
        <w:ind w:firstLine="2520" w:firstLineChars="9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＝0.0186（万元）</w:t>
      </w:r>
    </w:p>
    <w:p w14:paraId="0F5FA4A2">
      <w:pPr>
        <w:keepNext w:val="0"/>
        <w:keepLines w:val="0"/>
        <w:pageBreakBefore w:val="0"/>
        <w:widowControl w:val="0"/>
        <w:kinsoku/>
        <w:wordWrap/>
        <w:overflowPunct/>
        <w:topLinePunct w:val="0"/>
        <w:bidi w:val="0"/>
        <w:adjustRightInd w:val="0"/>
        <w:snapToGrid w:val="0"/>
        <w:spacing w:line="480" w:lineRule="exact" w:before="0" w:after="0"/>
        <w:ind w:firstLine="560" w:firstLineChars="200"/>
        <w:jc w:val="left"/>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房地出租年总费用＝经营管理费+经营维修费+房屋年保险费+房屋出租年应交税金＝0.0186+0.1849+0.0105+0.0186＝0.2326（万元）</w:t>
      </w:r>
    </w:p>
    <w:p w14:paraId="43685971">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3、房地年纯收益</w:t>
      </w:r>
    </w:p>
    <w:p w14:paraId="3AF48718">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房地年纯收益＝房地年总收益-房地年总费用</w:t>
      </w:r>
    </w:p>
    <w:p w14:paraId="53D6B511">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＝0.9305-0.2326</w:t>
      </w:r>
    </w:p>
    <w:p w14:paraId="57761BD1">
      <w:pPr>
        <w:keepNext w:val="0"/>
        <w:keepLines w:val="0"/>
        <w:pageBreakBefore w:val="0"/>
        <w:widowControl w:val="0"/>
        <w:kinsoku/>
        <w:wordWrap/>
        <w:overflowPunct/>
        <w:topLinePunct w:val="0"/>
        <w:bidi w:val="0"/>
        <w:adjustRightInd w:val="0"/>
        <w:snapToGrid w:val="0"/>
        <w:spacing w:line="480" w:lineRule="exact" w:before="0" w:after="0"/>
        <w:ind w:firstLine="2240" w:firstLineChars="8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＝0.6979（万元）</w:t>
      </w:r>
    </w:p>
    <w:p w14:paraId="6A17CAFF">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4、房屋年纯收益</w:t>
      </w:r>
    </w:p>
    <w:p w14:paraId="4910DC75">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根据前文，采用土地纯收益与价格比率法、投资收益法测算确定土地和房屋的还原率，详见下表：</w:t>
      </w:r>
    </w:p>
    <w:p w14:paraId="3903085F">
      <w:pPr>
        <w:pStyle w:val="11"/>
        <w:keepNext/>
        <w:keepLines w:val="0"/>
        <w:pageBreakBefore w:val="0"/>
        <w:widowControl/>
        <w:kinsoku w:val="0"/>
        <w:wordWrap/>
        <w:overflowPunct/>
        <w:topLinePunct w:val="0"/>
        <w:autoSpaceDE w:val="0"/>
        <w:autoSpaceDN w:val="0"/>
        <w:bidi w:val="0"/>
        <w:adjustRightInd w:val="0"/>
        <w:snapToGrid w:val="0"/>
        <w:spacing w:before="157" w:beforeLines="50" w:after="10" w:line="480" w:lineRule="exact"/>
        <w:ind w:left="0" w:leftChars="0" w:firstLineChars="0" w:right="0" w:firstLine="0"/>
        <w:jc w:val="center"/>
        <w:textAlignment w:val="baseline"/>
        <w:rPr>
          <w:rFonts w:hint="eastAsia" w:ascii="仿宋_GB2312" w:hAnsi="仿宋_GB2312" w:eastAsia="仿宋_GB2312" w:cs="仿宋_GB2312"/>
          <w:b w:val="0"/>
          <w:bCs/>
          <w:color w:val="auto"/>
          <w:kern w:val="2"/>
          <w:sz w:val="28"/>
          <w:szCs w:val="28"/>
          <w:highlight w:val="none"/>
          <w:lang w:val="en-US" w:eastAsia="zh-CN" w:bidi="ar-SA"/>
        </w:rPr>
      </w:pPr>
      <w:r>
        <w:rPr>
          <w:rFonts w:hint="eastAsia" w:ascii="仿宋_GB2312" w:hAnsi="仿宋_GB2312" w:eastAsia="仿宋_GB2312" w:cs="仿宋_GB2312"/>
          <w:b w:val="0"/>
          <w:bCs/>
          <w:color w:val="auto"/>
          <w:kern w:val="2"/>
          <w:sz w:val="28"/>
          <w:szCs w:val="28"/>
          <w:highlight w:val="none"/>
          <w:lang w:val="en-US" w:eastAsia="zh-CN" w:bidi="ar-SA"/>
        </w:rPr>
        <w:t>表3-</w:t>
      </w:r>
      <w:r>
        <w:rPr>
          <w:rFonts w:hint="eastAsia" w:ascii="仿宋_GB2312" w:hAnsi="仿宋_GB2312" w:cs="仿宋_GB2312" w:eastAsia="仿宋_GB2312"/>
          <w:b w:val="0"/>
          <w:bCs/>
          <w:color w:val="auto"/>
          <w:kern w:val="2"/>
          <w:sz w:val="28"/>
          <w:szCs w:val="28"/>
          <w:highlight w:val="none"/>
          <w:lang w:val="en-US" w:eastAsia="zh-CN" w:bidi="ar-SA"/>
        </w:rPr>
        <w:t>14</w:t>
      </w:r>
      <w:r>
        <w:rPr>
          <w:rFonts w:hint="eastAsia" w:ascii="仿宋_GB2312" w:hAnsi="仿宋_GB2312" w:eastAsia="仿宋_GB2312" w:cs="仿宋_GB2312"/>
          <w:b w:val="0"/>
          <w:bCs/>
          <w:color w:val="auto"/>
          <w:kern w:val="2"/>
          <w:sz w:val="28"/>
          <w:szCs w:val="28"/>
          <w:highlight w:val="none"/>
          <w:lang w:val="en-US" w:eastAsia="zh-CN" w:bidi="ar-SA"/>
        </w:rPr>
        <w:t xml:space="preserve"> 道县土地和房屋还原利率表(%)</w:t>
      </w:r>
    </w:p>
    <w:tbl>
      <w:tblPr>
        <w:tblStyle w:val="12"/>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9"/>
        <w:gridCol w:w="6060"/>
      </w:tblGrid>
      <w:tr w14:paraId="5DC7F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2" w:hRule="atLeast"/>
          <w:jc w:val="center"/>
        </w:trPr>
        <w:tc>
          <w:tcPr>
            <w:tcW w:w="1443" w:type="pct"/>
            <w:vMerge w:val="restart"/>
            <w:tcBorders>
              <w:top w:val="single" w:color="auto" w:sz="6" w:space="0"/>
              <w:left w:val="single" w:color="auto" w:sz="6" w:space="0"/>
              <w:bottom w:val="single" w:color="auto" w:sz="4" w:space="0"/>
              <w:right w:val="single" w:color="auto" w:sz="4" w:space="0"/>
            </w:tcBorders>
            <w:noWrap w:val="0"/>
            <w:vAlign w:val="center"/>
          </w:tcPr>
          <w:p w14:paraId="16B7F38B">
            <w:pPr>
              <w:keepNext w:val="0"/>
              <w:keepLines w:val="0"/>
              <w:pageBreakBefore w:val="0"/>
              <w:widowControl/>
              <w:kinsoku/>
              <w:wordWrap/>
              <w:overflowPunct w:val="0"/>
              <w:topLinePunct w:val="0"/>
              <w:autoSpaceDE w:val="0"/>
              <w:autoSpaceDN w:val="0"/>
              <w:bidi w:val="0"/>
              <w:adjustRightInd w:val="0"/>
              <w:snapToGrid w:val="0"/>
              <w:spacing w:line="24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土地用途</w:t>
            </w:r>
          </w:p>
        </w:tc>
        <w:tc>
          <w:tcPr>
            <w:tcW w:w="3556" w:type="pct"/>
            <w:vMerge w:val="restart"/>
            <w:tcBorders>
              <w:top w:val="single" w:color="auto" w:sz="6" w:space="0"/>
              <w:left w:val="single" w:color="auto" w:sz="6" w:space="0"/>
              <w:right w:val="single" w:color="auto" w:sz="4" w:space="0"/>
            </w:tcBorders>
            <w:noWrap w:val="0"/>
            <w:vAlign w:val="center"/>
          </w:tcPr>
          <w:p w14:paraId="25B8E36A">
            <w:pPr>
              <w:keepNext w:val="0"/>
              <w:keepLines w:val="0"/>
              <w:pageBreakBefore w:val="0"/>
              <w:widowControl/>
              <w:kinsoku/>
              <w:wordWrap/>
              <w:overflowPunct w:val="0"/>
              <w:topLinePunct w:val="0"/>
              <w:autoSpaceDE w:val="0"/>
              <w:autoSpaceDN w:val="0"/>
              <w:bidi w:val="0"/>
              <w:adjustRightInd w:val="0"/>
              <w:snapToGrid w:val="0"/>
              <w:spacing w:line="24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住宅用地</w:t>
            </w:r>
          </w:p>
        </w:tc>
      </w:tr>
      <w:tr w14:paraId="54DFA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2" w:hRule="atLeast"/>
          <w:jc w:val="center"/>
        </w:trPr>
        <w:tc>
          <w:tcPr>
            <w:tcW w:w="1443" w:type="pct"/>
            <w:vMerge w:val="continue"/>
            <w:tcBorders>
              <w:top w:val="single" w:color="auto" w:sz="6" w:space="0"/>
              <w:left w:val="single" w:color="auto" w:sz="6" w:space="0"/>
              <w:bottom w:val="single" w:color="auto" w:sz="4" w:space="0"/>
              <w:right w:val="single" w:color="auto" w:sz="4" w:space="0"/>
            </w:tcBorders>
            <w:noWrap w:val="0"/>
            <w:vAlign w:val="center"/>
          </w:tcPr>
          <w:p w14:paraId="2BF22A83">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3556" w:type="pct"/>
            <w:vMerge w:val="continue"/>
            <w:tcBorders>
              <w:left w:val="single" w:color="auto" w:sz="6" w:space="0"/>
              <w:bottom w:val="single" w:color="auto" w:sz="4" w:space="0"/>
              <w:right w:val="single" w:color="auto" w:sz="4" w:space="0"/>
            </w:tcBorders>
            <w:noWrap w:val="0"/>
            <w:vAlign w:val="center"/>
          </w:tcPr>
          <w:p w14:paraId="23CC3E85">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r>
      <w:tr w14:paraId="07546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43" w:type="pct"/>
            <w:tcBorders>
              <w:top w:val="single" w:color="auto" w:sz="4" w:space="0"/>
              <w:left w:val="single" w:color="auto" w:sz="6" w:space="0"/>
              <w:bottom w:val="single" w:color="auto" w:sz="4" w:space="0"/>
              <w:right w:val="single" w:color="auto" w:sz="4" w:space="0"/>
            </w:tcBorders>
            <w:noWrap w:val="0"/>
            <w:vAlign w:val="center"/>
          </w:tcPr>
          <w:p w14:paraId="1EA3ABA3">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土地还原利率</w:t>
            </w:r>
          </w:p>
        </w:tc>
        <w:tc>
          <w:tcPr>
            <w:tcW w:w="3556" w:type="pct"/>
            <w:tcBorders>
              <w:top w:val="single" w:color="auto" w:sz="4" w:space="0"/>
              <w:left w:val="single" w:color="auto" w:sz="6" w:space="0"/>
              <w:bottom w:val="single" w:color="auto" w:sz="4" w:space="0"/>
              <w:right w:val="single" w:color="auto" w:sz="4" w:space="0"/>
            </w:tcBorders>
            <w:noWrap w:val="0"/>
            <w:vAlign w:val="center"/>
          </w:tcPr>
          <w:p w14:paraId="1D20EE16">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6.5%</w:t>
            </w:r>
          </w:p>
        </w:tc>
      </w:tr>
      <w:tr w14:paraId="7FB9C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43" w:type="pct"/>
            <w:tcBorders>
              <w:top w:val="single" w:color="auto" w:sz="4" w:space="0"/>
              <w:left w:val="single" w:color="auto" w:sz="6" w:space="0"/>
              <w:bottom w:val="single" w:color="auto" w:sz="6" w:space="0"/>
              <w:right w:val="single" w:color="auto" w:sz="4" w:space="0"/>
            </w:tcBorders>
            <w:noWrap w:val="0"/>
            <w:vAlign w:val="center"/>
          </w:tcPr>
          <w:p w14:paraId="76F73E04">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房屋还原利率</w:t>
            </w:r>
          </w:p>
        </w:tc>
        <w:tc>
          <w:tcPr>
            <w:tcW w:w="3556" w:type="pct"/>
            <w:tcBorders>
              <w:top w:val="single" w:color="auto" w:sz="4" w:space="0"/>
              <w:left w:val="single" w:color="auto" w:sz="6" w:space="0"/>
              <w:bottom w:val="single" w:color="auto" w:sz="6" w:space="0"/>
              <w:right w:val="single" w:color="auto" w:sz="4" w:space="0"/>
            </w:tcBorders>
            <w:noWrap w:val="0"/>
            <w:vAlign w:val="center"/>
          </w:tcPr>
          <w:p w14:paraId="6B87FBF4">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8.5%</w:t>
            </w:r>
          </w:p>
        </w:tc>
      </w:tr>
    </w:tbl>
    <w:p w14:paraId="27EA69F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则，房屋年纯收益＝房屋现值×房屋还原利率</w:t>
      </w:r>
    </w:p>
    <w:p w14:paraId="2E47AF7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＝5.2565×8.75%</w:t>
      </w:r>
    </w:p>
    <w:p w14:paraId="77B982C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2800" w:firstLineChars="10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＝0.4468（万元）</w:t>
      </w:r>
    </w:p>
    <w:p w14:paraId="7F46D56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5、土地年纯收益</w:t>
      </w:r>
    </w:p>
    <w:p w14:paraId="60C1E0C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土地年纯收益＝房地年纯收益-房屋年纯收益</w:t>
      </w:r>
    </w:p>
    <w:p w14:paraId="1A764BB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＝0.6979-0.4468</w:t>
      </w:r>
    </w:p>
    <w:p w14:paraId="1B141CE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2240" w:firstLineChars="8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＝0.2511（万元）</w:t>
      </w:r>
    </w:p>
    <w:p w14:paraId="3038667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6、计算待估宗地总地价</w:t>
      </w:r>
    </w:p>
    <w:p w14:paraId="7E52E1F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总地价＝土地年纯收益÷r×[1-1/（1＋r）</w:t>
      </w:r>
      <w:r>
        <w:rPr>
          <w:rFonts w:hint="eastAsia" w:ascii="仿宋_GB2312" w:hAnsi="仿宋_GB2312" w:eastAsia="仿宋_GB2312" w:cs="仿宋_GB2312"/>
          <w:b w:val="0"/>
          <w:bCs w:val="0"/>
          <w:color w:val="000000"/>
          <w:kern w:val="2"/>
          <w:sz w:val="28"/>
          <w:szCs w:val="28"/>
          <w:highlight w:val="none"/>
          <w:vertAlign w:val="superscript"/>
          <w:lang w:val="en-US" w:eastAsia="zh-CN" w:bidi="ar-SA"/>
        </w:rPr>
        <w:t>n</w:t>
      </w:r>
      <w:r>
        <w:rPr>
          <w:rFonts w:hint="eastAsia" w:ascii="仿宋_GB2312" w:hAnsi="仿宋_GB2312" w:eastAsia="仿宋_GB2312" w:cs="仿宋_GB2312"/>
          <w:b w:val="0"/>
          <w:bCs w:val="0"/>
          <w:color w:val="000000"/>
          <w:kern w:val="2"/>
          <w:sz w:val="28"/>
          <w:szCs w:val="28"/>
          <w:highlight w:val="none"/>
          <w:lang w:val="en-US" w:eastAsia="zh-CN" w:bidi="ar-SA"/>
        </w:rPr>
        <w:t>]</w:t>
      </w:r>
    </w:p>
    <w:p w14:paraId="5905851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其中：r—土地还原率6.5%。</w:t>
      </w:r>
    </w:p>
    <w:p w14:paraId="3A453CB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n—待估宗地土地使用年期</w:t>
      </w:r>
    </w:p>
    <w:p w14:paraId="5B2B4C6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＝0.2511÷6.5%×[1-1/（1+6.5%）</w:t>
      </w:r>
      <w:r>
        <w:rPr>
          <w:rFonts w:hint="eastAsia" w:ascii="仿宋_GB2312" w:hAnsi="仿宋_GB2312" w:eastAsia="仿宋_GB2312" w:cs="仿宋_GB2312"/>
          <w:b w:val="0"/>
          <w:bCs w:val="0"/>
          <w:color w:val="000000"/>
          <w:kern w:val="2"/>
          <w:sz w:val="28"/>
          <w:szCs w:val="28"/>
          <w:highlight w:val="none"/>
          <w:vertAlign w:val="superscript"/>
          <w:lang w:val="en-US" w:eastAsia="zh-CN" w:bidi="ar-SA"/>
        </w:rPr>
        <w:t>70</w:t>
      </w:r>
      <w:r>
        <w:rPr>
          <w:rFonts w:hint="eastAsia" w:ascii="仿宋_GB2312" w:hAnsi="仿宋_GB2312" w:eastAsia="仿宋_GB2312" w:cs="仿宋_GB2312"/>
          <w:b w:val="0"/>
          <w:bCs w:val="0"/>
          <w:color w:val="000000"/>
          <w:kern w:val="2"/>
          <w:sz w:val="28"/>
          <w:szCs w:val="28"/>
          <w:highlight w:val="none"/>
          <w:lang w:val="en-US" w:eastAsia="zh-CN" w:bidi="ar-SA"/>
        </w:rPr>
        <w:t>]</w:t>
      </w:r>
    </w:p>
    <w:p w14:paraId="3AD7D1B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1400" w:firstLineChars="5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＝3.8159（万元）</w:t>
      </w:r>
    </w:p>
    <w:p w14:paraId="58CC3B7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7、计算宗地单位面积地价</w:t>
      </w:r>
    </w:p>
    <w:p w14:paraId="6BF47B7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单位面积地价＝总地价÷总用地面积</w:t>
      </w:r>
    </w:p>
    <w:p w14:paraId="2991523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＝3.8159×10000÷15.2</w:t>
      </w:r>
    </w:p>
    <w:p w14:paraId="224783B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2240" w:firstLineChars="8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＝2510.5（元/平方米）</w:t>
      </w:r>
    </w:p>
    <w:p w14:paraId="10513B99">
      <w:pPr>
        <w:pStyle w:val="6"/>
        <w:keepNext w:val="0"/>
        <w:keepLines w:val="0"/>
        <w:pageBreakBefore w:val="0"/>
        <w:widowControl w:val="0"/>
        <w:kinsoku/>
        <w:wordWrap/>
        <w:topLinePunct w:val="0"/>
        <w:bidi w:val="0"/>
        <w:adjustRightInd w:val="0"/>
        <w:snapToGrid w:val="0"/>
        <w:spacing w:line="480" w:lineRule="exact" w:before="0" w:after="0"/>
        <w:ind w:left="0" w:leftChars="0" w:firstLine="560" w:firstLineChars="200"/>
        <w:textAlignment w:val="auto"/>
        <w:outlineLvl w:val="9"/>
        <w:rPr>
          <w:rFonts w:hint="eastAsia" w:ascii="仿宋_GB2312" w:hAnsi="Times New Roman" w:eastAsia="仿宋_GB2312" w:cs="Times New Roman"/>
          <w:sz w:val="28"/>
          <w:szCs w:val="30"/>
          <w:highlight w:val="none"/>
          <w:lang w:val="en-GB" w:eastAsia="zh-CN"/>
        </w:rPr>
      </w:pPr>
      <w:r>
        <w:rPr>
          <w:rFonts w:hint="eastAsia" w:ascii="仿宋_GB2312" w:hAnsi="仿宋_GB2312" w:eastAsia="仿宋_GB2312" w:cs="仿宋_GB2312"/>
          <w:b w:val="0"/>
          <w:bCs w:val="0"/>
          <w:color w:val="000000"/>
          <w:kern w:val="2"/>
          <w:sz w:val="28"/>
          <w:szCs w:val="28"/>
          <w:highlight w:val="none"/>
          <w:lang w:val="en-US" w:eastAsia="zh-CN" w:bidi="ar-SA"/>
        </w:rPr>
        <w:t>收益还原法法测算地价的结果为：估价对象于估价期日2026年</w:t>
      </w:r>
      <w:r>
        <w:rPr>
          <w:rFonts w:hint="eastAsia" w:ascii="仿宋_GB2312" w:hAnsi="仿宋_GB2312" w:cs="仿宋_GB2312" w:eastAsia="仿宋_GB2312"/>
          <w:b w:val="0"/>
          <w:bCs w:val="0"/>
          <w:color w:val="000000"/>
          <w:kern w:val="2"/>
          <w:sz w:val="28"/>
          <w:szCs w:val="28"/>
          <w:highlight w:val="none"/>
          <w:lang w:val="en-US" w:eastAsia="zh-CN" w:bidi="ar-SA"/>
        </w:rPr>
        <w:t>5</w:t>
      </w:r>
      <w:r>
        <w:rPr>
          <w:rFonts w:hint="eastAsia" w:ascii="仿宋_GB2312" w:hAnsi="仿宋_GB2312" w:eastAsia="仿宋_GB2312" w:cs="仿宋_GB2312"/>
          <w:b w:val="0"/>
          <w:bCs w:val="0"/>
          <w:color w:val="000000"/>
          <w:kern w:val="2"/>
          <w:sz w:val="28"/>
          <w:szCs w:val="28"/>
          <w:highlight w:val="none"/>
          <w:lang w:val="en-US" w:eastAsia="zh-CN" w:bidi="ar-SA"/>
        </w:rPr>
        <w:t>月</w:t>
      </w:r>
      <w:r>
        <w:rPr>
          <w:rFonts w:hint="eastAsia" w:ascii="仿宋_GB2312" w:hAnsi="仿宋_GB2312" w:cs="仿宋_GB2312" w:eastAsia="仿宋_GB2312"/>
          <w:b w:val="0"/>
          <w:bCs w:val="0"/>
          <w:color w:val="000000"/>
          <w:kern w:val="2"/>
          <w:sz w:val="28"/>
          <w:szCs w:val="28"/>
          <w:highlight w:val="none"/>
          <w:lang w:val="en-US" w:eastAsia="zh-CN" w:bidi="ar-SA"/>
        </w:rPr>
        <w:t>18</w:t>
      </w:r>
      <w:r>
        <w:rPr>
          <w:rFonts w:hint="eastAsia" w:ascii="仿宋_GB2312" w:hAnsi="仿宋_GB2312" w:eastAsia="仿宋_GB2312" w:cs="仿宋_GB2312"/>
          <w:b w:val="0"/>
          <w:bCs w:val="0"/>
          <w:color w:val="000000"/>
          <w:kern w:val="2"/>
          <w:sz w:val="28"/>
          <w:szCs w:val="28"/>
          <w:highlight w:val="none"/>
          <w:lang w:val="en-US" w:eastAsia="zh-CN" w:bidi="ar-SA"/>
        </w:rPr>
        <w:t>日，在设定土地用途，设定土地使用年限，设定土地开发程度，现状利用条件下的国有土地出让使用权价格为住宅用地</w:t>
      </w:r>
      <w:r>
        <w:rPr>
          <w:rFonts w:hint="eastAsia" w:ascii="仿宋_GB2312" w:hAnsi="仿宋_GB2312" w:cs="仿宋_GB2312" w:eastAsia="仿宋_GB2312"/>
          <w:b w:val="0"/>
          <w:bCs w:val="0"/>
          <w:color w:val="000000"/>
          <w:kern w:val="2"/>
          <w:sz w:val="28"/>
          <w:szCs w:val="28"/>
          <w:highlight w:val="none"/>
          <w:lang w:val="en-US" w:eastAsia="zh-CN" w:bidi="ar-SA"/>
        </w:rPr>
        <w:t>2510.5</w:t>
      </w:r>
      <w:r>
        <w:rPr>
          <w:rFonts w:hint="eastAsia" w:ascii="仿宋_GB2312" w:hAnsi="仿宋_GB2312" w:eastAsia="仿宋_GB2312" w:cs="仿宋_GB2312"/>
          <w:b w:val="0"/>
          <w:bCs w:val="0"/>
          <w:color w:val="000000"/>
          <w:kern w:val="2"/>
          <w:sz w:val="28"/>
          <w:szCs w:val="28"/>
          <w:highlight w:val="none"/>
          <w:lang w:val="en-US" w:eastAsia="zh-CN" w:bidi="ar-SA"/>
        </w:rPr>
        <w:t>元/平方米。</w:t>
      </w:r>
    </w:p>
    <w:p>
      <w:pPr>
        <w:spacing w:before="0" w:after="0"/>
      </w:pPr>
      <w:r>
        <w:t xml:space="preserve"/>
      </w:r>
    </w:p>
    <w:p w14:paraId="4A47F4FD">
      <w:pPr>
        <w:widowControl/>
        <w:spacing w:line="480" w:lineRule="exact" w:before="0" w:after="0"/>
        <w:ind w:firstLine="562" w:firstLineChars="200"/>
        <w:textAlignment w:val="baseline"/>
        <w:outlineLvl w:val="2"/>
        <w:rPr>
          <w:rFonts w:hint="eastAsia" w:ascii="仿宋_GB2312" w:hAnsi="仿宋_GB2312" w:eastAsia="仿宋_GB2312" w:cs="仿宋_GB2312"/>
          <w:b/>
          <w:bCs w:val="0"/>
          <w:color w:val="000000" w:themeColor="text1"/>
          <w:sz w:val="28"/>
          <w:szCs w:val="22"/>
          <w:highlight w:val="none"/>
          <w14:textFill>
            <w14:solidFill>
              <w14:schemeClr w14:val="tx1"/>
            </w14:solidFill>
          </w14:textFill>
        </w:rPr>
      </w:pPr>
      <w:r>
        <w:rPr>
          <w:rFonts w:hint="eastAsia" w:ascii="宋体" w:hAnsi="宋体" w:eastAsia="宋体" w:cs="宋体"/>
          <w:b/>
          <w:bCs w:val="0"/>
          <w:color w:val="000000" w:themeColor="text1"/>
          <w:sz w:val="28"/>
          <w:szCs w:val="22"/>
          <w:highlight w:val="none"/>
          <w14:textFill>
            <w14:solidFill>
              <w14:schemeClr w14:val="tx1"/>
            </w14:solidFill>
          </w14:textFill>
        </w:rPr>
        <w:t>三、地价的确定</w:t>
      </w:r>
    </w:p>
    <w:p w14:paraId="3A56CC1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1.地价确定的方法</w:t>
      </w:r>
    </w:p>
    <w:p>
      <w:pPr>
        <w:spacing w:before="0" w:after="0" w:line="480" w:lineRule="exact"/>
        <w:ind w:left="561" w:firstLine="0"/>
      </w:pPr>
      <w:r>
        <w:rPr>
          <w:rFonts w:ascii="仿宋_GB2312" w:hAnsi="仿宋_GB2312" w:eastAsia="仿宋_GB2312" w:cs="仿宋_GB2312"/>
          <w:sz w:val="28"/>
        </w:rPr>
        <w:t>{{ final_price_determination }}</w:t>
      </w:r>
    </w:p>
    <w:p w14:paraId="11DF4AFC">
      <w:pPr>
        <w:keepNext/>
        <w:spacing w:line="480" w:lineRule="exact" w:before="157" w:after="10"/>
        <w:ind w:left="0" w:right="0" w:firstLine="0"/>
        <w:jc w:val="center"/>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color w:val="000000" w:themeColor="text1"/>
          <w:sz w:val="28"/>
          <w:szCs w:val="28"/>
          <w:highlight w:val="none"/>
          <w:lang w:val="en-US" w:eastAsia="zh-CN"/>
          <w14:textFill>
            <w14:solidFill>
              <w14:schemeClr w14:val="tx1"/>
            </w14:solidFill>
          </w14:textFill>
        </w:rPr>
        <w:t>表3-15 估价对象地价结果表</w:t>
      </w:r>
    </w:p>
    <w:tbl>
      <w:tblPr>
        <w:tblStyle w:val="9"/>
        <w:tblW w:w="502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02"/>
        <w:gridCol w:w="1391"/>
        <w:gridCol w:w="781"/>
        <w:gridCol w:w="1144"/>
        <w:gridCol w:w="778"/>
        <w:gridCol w:w="1215"/>
        <w:gridCol w:w="1547"/>
      </w:tblGrid>
      <w:tr w14:paraId="15AE8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7" w:hRule="atLeast"/>
          <w:jc w:val="center"/>
        </w:trPr>
        <w:tc>
          <w:tcPr>
            <w:tcW w:w="1702" w:type="dxa"/>
            <w:vMerge w:val="restart"/>
            <w:shd w:val="clear" w:color="auto" w:fill="auto"/>
            <w:vAlign w:val="center"/>
          </w:tcPr>
          <w:p w14:paraId="36FE622B">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宗地名称</w:t>
            </w:r>
          </w:p>
        </w:tc>
        <w:tc>
          <w:tcPr>
            <w:tcW w:w="2172" w:type="dxa"/>
            <w:gridSpan w:val="2"/>
            <w:shd w:val="clear" w:color="auto" w:fill="auto"/>
            <w:vAlign w:val="center"/>
          </w:tcPr>
          <w:p w14:paraId="78571F57">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成本逼近法</w:t>
            </w:r>
          </w:p>
        </w:tc>
        <w:tc>
          <w:tcPr>
            <w:tcW w:w="1922" w:type="dxa"/>
            <w:gridSpan w:val="2"/>
            <w:shd w:val="clear" w:color="auto" w:fill="auto"/>
            <w:vAlign w:val="center"/>
          </w:tcPr>
          <w:p w14:paraId="40D6C184">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市场比较法</w:t>
            </w:r>
          </w:p>
        </w:tc>
        <w:tc>
          <w:tcPr>
            <w:tcW w:w="1215" w:type="dxa"/>
            <w:vMerge w:val="restart"/>
            <w:shd w:val="clear" w:color="auto" w:fill="auto"/>
            <w:vAlign w:val="center"/>
          </w:tcPr>
          <w:p w14:paraId="77F4F568">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最终评估地面单价（元/㎡）</w:t>
            </w:r>
          </w:p>
        </w:tc>
        <w:tc>
          <w:tcPr>
            <w:tcW w:w="1547" w:type="dxa"/>
            <w:vMerge w:val="restart"/>
            <w:shd w:val="clear" w:color="auto" w:fill="auto"/>
            <w:vAlign w:val="center"/>
          </w:tcPr>
          <w:p w14:paraId="1105B5B9">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总价（万元）</w:t>
            </w:r>
          </w:p>
        </w:tc>
      </w:tr>
      <w:tr w14:paraId="67092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7" w:hRule="atLeast"/>
          <w:jc w:val="center"/>
        </w:trPr>
        <w:tc>
          <w:tcPr>
            <w:tcW w:w="1702" w:type="dxa"/>
            <w:vMerge w:val="continue"/>
            <w:shd w:val="clear" w:color="auto" w:fill="auto"/>
            <w:vAlign w:val="center"/>
          </w:tcPr>
          <w:p w14:paraId="35D1D65D">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c>
          <w:tcPr>
            <w:tcW w:w="1391" w:type="dxa"/>
            <w:shd w:val="clear" w:color="auto" w:fill="auto"/>
            <w:vAlign w:val="center"/>
          </w:tcPr>
          <w:p w14:paraId="37C6694C">
            <w:pPr>
              <w:keepNext w:val="0"/>
              <w:keepLines w:val="0"/>
              <w:suppressLineNumbers w:val="0"/>
              <w:spacing w:before="0" w:beforeAutospacing="0" w:after="0" w:afterAutospacing="0"/>
              <w:ind w:left="0" w:right="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地面单价</w:t>
            </w:r>
          </w:p>
          <w:p w14:paraId="167E3BA0">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（元/㎡）</w:t>
            </w:r>
          </w:p>
        </w:tc>
        <w:tc>
          <w:tcPr>
            <w:tcW w:w="781" w:type="dxa"/>
            <w:shd w:val="clear" w:color="auto" w:fill="auto"/>
            <w:vAlign w:val="center"/>
          </w:tcPr>
          <w:p w14:paraId="348ED81C">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权重</w:t>
            </w:r>
          </w:p>
        </w:tc>
        <w:tc>
          <w:tcPr>
            <w:tcW w:w="1144" w:type="dxa"/>
            <w:shd w:val="clear" w:color="auto" w:fill="auto"/>
            <w:vAlign w:val="center"/>
          </w:tcPr>
          <w:p w14:paraId="545C8DD3">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地面单价（元/㎡）</w:t>
            </w:r>
          </w:p>
        </w:tc>
        <w:tc>
          <w:tcPr>
            <w:tcW w:w="778" w:type="dxa"/>
            <w:shd w:val="clear" w:color="auto" w:fill="auto"/>
            <w:vAlign w:val="center"/>
          </w:tcPr>
          <w:p w14:paraId="30F53B81">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权重</w:t>
            </w:r>
          </w:p>
        </w:tc>
        <w:tc>
          <w:tcPr>
            <w:tcW w:w="1215" w:type="dxa"/>
            <w:vMerge w:val="continue"/>
            <w:shd w:val="clear" w:color="auto" w:fill="auto"/>
            <w:vAlign w:val="center"/>
          </w:tcPr>
          <w:p w14:paraId="5233A959">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c>
          <w:tcPr>
            <w:tcW w:w="1547" w:type="dxa"/>
            <w:vMerge w:val="continue"/>
            <w:shd w:val="clear" w:color="auto" w:fill="auto"/>
            <w:vAlign w:val="center"/>
          </w:tcPr>
          <w:p w14:paraId="5164A0A2">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r>
      <w:tr w14:paraId="69674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4" w:hRule="atLeast"/>
          <w:jc w:val="center"/>
        </w:trPr>
        <w:tc>
          <w:tcPr>
            <w:tcW w:w="1702" w:type="dxa"/>
            <w:shd w:val="clear" w:color="auto" w:fill="auto"/>
            <w:vAlign w:val="center"/>
          </w:tcPr>
          <w:p w14:paraId="6A9762E7">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
              <w:rPr>
                <w:rFonts w:ascii="仿宋_GB2312" w:hAnsi="仿宋_GB2312" w:eastAsia="仿宋_GB2312" w:cs="仿宋_GB2312"/>
                <w:color w:val="000000"/>
              </w:rPr>
              <w:t>{{ land_location }}</w:t>
            </w:r>
          </w:p>
        </w:tc>
        <w:tc>
          <w:tcPr>
            <w:tcW w:w="1391" w:type="dxa"/>
            <w:shd w:val="clear" w:color="auto" w:fill="auto"/>
            <w:vAlign w:val="center"/>
          </w:tcPr>
          <w:p w14:paraId="1267EF5E">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cost_approx_price }}</w:t>
            </w:r>
          </w:p>
        </w:tc>
        <w:tc>
          <w:tcPr>
            <w:tcW w:w="781" w:type="dxa"/>
            <w:shd w:val="clear" w:color="auto" w:fill="auto"/>
            <w:vAlign w:val="center"/>
          </w:tcPr>
          <w:p w14:paraId="45C495F4">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50%</w:t>
            </w:r>
          </w:p>
        </w:tc>
        <w:tc>
          <w:tcPr>
            <w:tcW w:w="1144" w:type="dxa"/>
            <w:shd w:val="clear" w:color="auto" w:fill="auto"/>
            <w:vAlign w:val="center"/>
          </w:tcPr>
          <w:p w14:paraId="5CB8A432">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market_comp_price }}</w:t>
            </w:r>
          </w:p>
        </w:tc>
        <w:tc>
          <w:tcPr>
            <w:tcW w:w="778" w:type="dxa"/>
            <w:shd w:val="clear" w:color="auto" w:fill="auto"/>
            <w:vAlign w:val="center"/>
          </w:tcPr>
          <w:p w14:paraId="474D5C17">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50%</w:t>
            </w:r>
          </w:p>
        </w:tc>
        <w:tc>
          <w:tcPr>
            <w:tcW w:w="1215" w:type="dxa"/>
            <w:shd w:val="clear" w:color="auto" w:fill="auto"/>
            <w:vAlign w:val="center"/>
          </w:tcPr>
          <w:p w14:paraId="0C2B8619">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final_unit_price }}</w:t>
            </w:r>
          </w:p>
        </w:tc>
        <w:tc>
          <w:tcPr>
            <w:tcW w:w="1547" w:type="dxa"/>
            <w:shd w:val="clear" w:color="auto" w:fill="auto"/>
            <w:vAlign w:val="center"/>
          </w:tcPr>
          <w:p w14:paraId="7487E7C6">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final_total_price }}</w:t>
            </w:r>
          </w:p>
        </w:tc>
      </w:tr>
    </w:tbl>
    <w:p w14:paraId="196F8A4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2.确定估价结果</w:t>
      </w:r>
    </w:p>
    <w:p>
      <w:pPr>
        <w:spacing w:before="0" w:after="0" w:line="480" w:lineRule="exact"/>
        <w:ind w:left="561" w:firstLine="0"/>
      </w:pPr>
      <w:r>
        <w:rPr>
          <w:rFonts w:ascii="仿宋_GB2312" w:hAnsi="仿宋_GB2312" w:eastAsia="仿宋_GB2312" w:cs="仿宋_GB2312"/>
          <w:sz w:val="28"/>
        </w:rPr>
        <w:t>{{ valuation_result_statement }}</w:t>
      </w:r>
    </w:p>
    <w:p w14:paraId="414F5B82">
      <w:pPr>
        <w:pageBreakBefore/>
        <w:tabs>
          <w:tab w:val="left" w:pos="-105"/>
          <w:tab w:val="left" w:pos="735"/>
          <w:tab w:val="left" w:pos="1785"/>
        </w:tabs>
        <w:adjustRightInd w:val="0"/>
        <w:snapToGrid w:val="0"/>
        <w:spacing w:line="560" w:lineRule="exact" w:before="0" w:after="0"/>
        <w:jc w:val="center"/>
        <w:outlineLvl w:val="1"/>
        <w:rPr>
          <w:rFonts w:ascii="宋体" w:hAnsi="宋体" w:cs="仿宋_GB2312"/>
          <w:b/>
          <w:color w:val="000000" w:themeColor="text1"/>
          <w:sz w:val="32"/>
          <w:szCs w:val="32"/>
          <w:highlight w:val="none"/>
          <w14:textFill>
            <w14:solidFill>
              <w14:schemeClr w14:val="tx1"/>
            </w14:solidFill>
          </w14:textFill>
        </w:rPr>
      </w:pPr>
      <w:r>
        <w:rPr>
          <w:rFonts w:hint="eastAsia" w:ascii="宋体" w:hAnsi="宋体" w:cs="宋体" w:eastAsia="宋体"/>
          <w:b/>
          <w:color w:val="000000" w:themeColor="text1"/>
          <w:sz w:val="32"/>
          <w:szCs w:val="32"/>
          <w:highlight w:val="none"/>
          <w14:textFill>
            <w14:solidFill>
              <w14:schemeClr w14:val="tx1"/>
            </w14:solidFill>
          </w14:textFill>
        </w:rPr>
        <w:t>第四部分    附   件</w:t>
      </w:r>
    </w:p>
    <w:p w14:paraId="532421ED">
      <w:pPr>
        <w:tabs>
          <w:tab w:val="left" w:pos="-105"/>
          <w:tab w:val="left" w:pos="735"/>
          <w:tab w:val="left" w:pos="1785"/>
        </w:tabs>
        <w:adjustRightInd w:val="0"/>
        <w:snapToGrid w:val="0"/>
        <w:spacing w:line="400" w:lineRule="exact"/>
        <w:rPr>
          <w:rFonts w:ascii="仿宋_GB2312" w:eastAsia="仿宋_GB2312"/>
          <w:bCs/>
          <w:color w:val="000000" w:themeColor="text1"/>
          <w:sz w:val="28"/>
          <w:szCs w:val="22"/>
          <w:highlight w:val="none"/>
          <w14:textFill>
            <w14:solidFill>
              <w14:schemeClr w14:val="tx1"/>
            </w14:solidFill>
          </w14:textFill>
        </w:rPr>
      </w:pPr>
      <w:r>
        <w:rPr>
          <w:rFonts w:hint="eastAsia" w:ascii="宋体" w:hAnsi="宋体" w:cs="仿宋_GB2312"/>
          <w:b/>
          <w:color w:val="000000" w:themeColor="text1"/>
          <w:sz w:val="32"/>
          <w:szCs w:val="32"/>
          <w:highlight w:val="none"/>
          <w14:textFill>
            <w14:solidFill>
              <w14:schemeClr w14:val="tx1"/>
            </w14:solidFill>
          </w14:textFill>
        </w:rPr>
        <w:t xml:space="preserve"> </w:t>
      </w:r>
    </w:p>
    <w:p w14:paraId="41DB365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1.《评估委托书》；</w:t>
      </w:r>
    </w:p>
    <w:p w14:paraId="4ABB72F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2.委托方《统一社会信用代码证书》复印件；</w:t>
      </w:r>
    </w:p>
    <w:p w14:paraId="1BD9A75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3.{{ basis_docs_rendered }}；</w:t>
      </w:r>
    </w:p>
    <w:p w14:paraId="2B0E6F2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4.《关于国有建设用地的规划条件的函》（2025年9月11日）；</w:t>
      </w:r>
    </w:p>
    <w:p w14:paraId="549BA52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5.《{{ county_name }}{{ land_plot_number }}号地块建设用地规划红线图》；</w:t>
      </w:r>
      <w:r>
        <w:rPr>
          <w:rFonts w:ascii="仿宋_GB2312" w:hAnsi="仿宋_GB2312" w:eastAsia="仿宋_GB2312" w:cs="仿宋_GB2312"/>
          <w:color w:val="000000"/>
          <w:sz w:val="28"/>
        </w:rPr>
      </w:r>
    </w:p>
    <w:p w14:paraId="1ABF9B8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6.估价对象宗地区域位置示意图；</w:t>
      </w:r>
    </w:p>
    <w:p w14:paraId="2FCF6B5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7.现场勘查照片；</w:t>
      </w:r>
    </w:p>
    <w:p w14:paraId="401D1AE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8.现场勘查记录表；</w:t>
      </w:r>
    </w:p>
    <w:p w14:paraId="285238A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9.土地评估中介机构企业营业执照；</w:t>
      </w:r>
    </w:p>
    <w:p w14:paraId="2C03AEC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10.土地评估中介机构备案证明；</w:t>
      </w:r>
    </w:p>
    <w:p w14:paraId="31128BA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11.土地估价师资质证书。</w:t>
      </w:r>
    </w:p>
    <w:p w14:paraId="5AF61568">
      <w:pPr>
        <w:spacing w:before="0" w:after="0" w:line="480" w:lineRule="exact"/>
        <w:jc w:val="right"/>
        <w:rPr>
          <w:color w:val="000000" w:themeColor="text1"/>
          <w:highlight w:val="none"/>
          <w14:textFill>
            <w14:solidFill>
              <w14:schemeClr w14:val="tx1"/>
            </w14:solidFill>
          </w14:textFill>
        </w:rPr>
      </w:pPr>
      <w:r>
        <w:rPr>
          <w:rFonts w:hint="eastAsia" w:ascii="仿宋_GB2312" w:eastAsia="仿宋_GB2312" w:hAnsi="仿宋_GB2312" w:cs="仿宋_GB2312"/>
          <w:color w:val="000000" w:themeColor="text1"/>
          <w:sz w:val="28"/>
          <w:szCs w:val="28"/>
          <w:highlight w:val="none"/>
          <w14:textFill>
            <w14:solidFill>
              <w14:schemeClr w14:val="tx1"/>
            </w14:solidFill>
          </w14:textFill>
        </w:rPr>
        <w:t>（以上资料均为复印件）</w:t>
      </w:r>
    </w:p>
    <w:p w14:paraId="562BE5F1">
      <w:pPr>
        <w:rPr>
          <w:highlight w:val="none"/>
        </w:rPr>
      </w:pPr>
    </w:p>
    <w:sectPr>
      <w:footerReference r:id="rId28"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昆仑仿宋">
    <w:altName w:val="仿宋"/>
    <w:panose1 w:val="00000000000000000000"/>
    <w:charset w:val="86"/>
    <w:family w:val="auto"/>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00" w:usb3="00000000" w:csb0="00040000"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A7F603">
    <w:pPr>
      <w:pStyle w:val="7"/>
      <w:pBdr>
        <w:bottom w:val="single" w:color="auto" w:sz="6" w:space="1"/>
      </w:pBdr>
      <w:rPr>
        <w:rFonts w:ascii="仿宋_GB2312" w:eastAsia="仿宋_GB2312"/>
        <w:sz w:val="21"/>
        <w:szCs w:val="21"/>
      </w:rPr>
    </w:pPr>
  </w:p>
  <w:p w14:paraId="39535968">
    <w:pPr>
      <w:pStyle w:val="7"/>
    </w:pPr>
    <w:r/>
    <w:r>
      <w:rPr>
        <w:rFonts w:ascii="仿宋_GB2312" w:hAnsi="仿宋_GB2312" w:eastAsia="仿宋_GB2312" w:cs="仿宋_GB2312"/>
        <w:sz w:val="21"/>
      </w:rPr>
      <w:t xml:space="preserve"> {{ appraisal_org }}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07175C">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E25BEE">
    <w:pPr>
      <w:pStyle w:val="7"/>
    </w:pPr>
    <w:r>
      <w:rPr>
        <w:sz w:val="18"/>
      </w:rPr>
      <mc:AlternateContent>
        <mc:Choice Requires="wps">
          <w:drawing>
            <wp:anchor distT="0" distB="0" distL="114300" distR="114300" simplePos="0" relativeHeight="251672576" behindDoc="0" locked="0" layoutInCell="1" allowOverlap="1">
              <wp:simplePos x="0" y="0"/>
              <wp:positionH relativeFrom="margin">
                <wp:align>right</wp:align>
              </wp:positionH>
              <wp:positionV relativeFrom="paragraph">
                <wp:posOffset>0</wp:posOffset>
              </wp:positionV>
              <wp:extent cx="1828800" cy="1828800"/>
              <wp:effectExtent l="0" t="0" r="0" b="0"/>
              <wp:wrapNone/>
              <wp:docPr id="39" name="文本框 3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9A5A05">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YzS4AzAgAAYwQAAA4AAABkcnMvZTJvRG9jLnhtbK1UzY7TMBC+I/EO&#10;lu80aVesSt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JYzS4AzAgAAYwQAAA4AAAAAAAAAAQAgAAAAHwEAAGRycy9lMm9Eb2MueG1sUEsF&#10;BgAAAAAGAAYAWQEAAMQFAAAAAA==&#10;">
              <v:fill on="f" focussize="0,0"/>
              <v:stroke on="f" weight="0.5pt"/>
              <v:imagedata o:title=""/>
              <o:lock v:ext="edit" aspectratio="f"/>
              <v:textbox inset="0mm,0mm,0mm,0mm" style="mso-fit-shape-to-text:t;">
                <w:txbxContent>
                  <w:p w14:paraId="5E9A5A05">
                    <w:pPr>
                      <w:pStyle w:val="7"/>
                    </w:pPr>
                    <w:r>
                      <w:fldChar w:fldCharType="begin"/>
                    </w:r>
                    <w:r>
                      <w:instrText xml:space="preserve"> PAGE  \* MERGEFORMAT </w:instrText>
                    </w:r>
                    <w:r>
                      <w:fldChar w:fldCharType="separate"/>
                    </w:r>
                    <w:r>
                      <w:t>1</w:t>
                    </w:r>
                    <w:r>
                      <w:fldChar w:fldCharType="end"/>
                    </w:r>
                  </w:p>
                </w:txbxContent>
              </v:textbox>
            </v:shape>
          </w:pict>
        </mc:Fallback>
      </mc:AlternateContent>
    </w:r>
    <w: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57785" cy="131445"/>
              <wp:effectExtent l="0" t="0" r="0" b="0"/>
              <wp:wrapNone/>
              <wp:docPr id="9" name="文本框 13"/>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6D1EA53C">
                          <w:pPr>
                            <w:snapToGrid w:val="0"/>
                            <w:rPr>
                              <w:sz w:val="18"/>
                            </w:rPr>
                          </w:pPr>
                        </w:p>
                      </w:txbxContent>
                    </wps:txbx>
                    <wps:bodyPr wrap="square" lIns="0" tIns="0" rIns="0" bIns="0"/>
                  </wps:wsp>
                </a:graphicData>
              </a:graphic>
            </wp:anchor>
          </w:drawing>
        </mc:Choice>
        <mc:Fallback>
          <w:pict>
            <v:shape id="文本框 13" o:spid="_x0000_s1026" o:spt="202" type="#_x0000_t202" style="position:absolute;left:0pt;margin-top:0pt;height:10.35pt;width:4.55pt;mso-position-horizontal:right;mso-position-horizontal-relative:margin;z-index:251662336;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KOoCma+AQAAcwMAAA4AAAAAAAAAAQAgAAAAIgEAAGRycy9lMm9Eb2MueG1sUEsF&#10;BgAAAAAGAAYAWQEAAFIFAAAAAA==&#10;">
              <v:fill on="f" focussize="0,0"/>
              <v:stroke on="f"/>
              <v:imagedata o:title=""/>
              <o:lock v:ext="edit" aspectratio="f"/>
              <v:textbox inset="0mm,0mm,0mm,0mm">
                <w:txbxContent>
                  <w:p w14:paraId="6D1EA53C">
                    <w:pPr>
                      <w:snapToGrid w:val="0"/>
                      <w:rPr>
                        <w:sz w:val="18"/>
                      </w:rPr>
                    </w:pP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margin">
                <wp:posOffset>5715000</wp:posOffset>
              </wp:positionH>
              <wp:positionV relativeFrom="paragraph">
                <wp:posOffset>13335</wp:posOffset>
              </wp:positionV>
              <wp:extent cx="114935" cy="131445"/>
              <wp:effectExtent l="0" t="0" r="0" b="0"/>
              <wp:wrapNone/>
              <wp:docPr id="7" name="文本框 10"/>
              <wp:cNvGraphicFramePr/>
              <a:graphic xmlns:a="http://schemas.openxmlformats.org/drawingml/2006/main">
                <a:graphicData uri="http://schemas.microsoft.com/office/word/2010/wordprocessingShape">
                  <wps:wsp>
                    <wps:cNvSpPr txBox="1"/>
                    <wps:spPr>
                      <a:xfrm>
                        <a:off x="0" y="0"/>
                        <a:ext cx="114935" cy="131445"/>
                      </a:xfrm>
                      <a:prstGeom prst="rect">
                        <a:avLst/>
                      </a:prstGeom>
                      <a:noFill/>
                      <a:ln>
                        <a:noFill/>
                      </a:ln>
                    </wps:spPr>
                    <wps:txbx>
                      <w:txbxContent>
                        <w:p w14:paraId="793EDD3D">
                          <w:pPr>
                            <w:snapToGrid w:val="0"/>
                            <w:rPr>
                              <w:sz w:val="18"/>
                            </w:rPr>
                          </w:pPr>
                        </w:p>
                      </w:txbxContent>
                    </wps:txbx>
                    <wps:bodyPr wrap="square" lIns="0" tIns="0" rIns="0" bIns="0" upright="1"/>
                  </wps:wsp>
                </a:graphicData>
              </a:graphic>
            </wp:anchor>
          </w:drawing>
        </mc:Choice>
        <mc:Fallback>
          <w:pict>
            <v:shape id="文本框 10" o:spid="_x0000_s1026" o:spt="202" type="#_x0000_t202" style="position:absolute;left:0pt;margin-left:450pt;margin-top:1.05pt;height:10.35pt;width:9.05pt;mso-position-horizontal-relative:margin;z-index:251660288;mso-width-relative:page;mso-height-relative:page;" filled="f" stroked="f" coordsize="21600,21600" o:gfxdata="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Q6m0J1gAAAAgBAAAPAAAAAAAAAAEAIAAAACIAAABkcnMvZG93bnJldi54&#10;bWxQSwECFAAUAAAACACHTuJAvV5v3cMBAACAAwAADgAAAAAAAAABACAAAAAlAQAAZHJzL2Uyb0Rv&#10;Yy54bWxQSwUGAAAAAAYABgBZAQAAWgUAAAAA&#10;">
              <v:fill on="f" focussize="0,0"/>
              <v:stroke on="f"/>
              <v:imagedata o:title=""/>
              <o:lock v:ext="edit" aspectratio="f"/>
              <v:textbox inset="0mm,0mm,0mm,0mm">
                <w:txbxContent>
                  <w:p w14:paraId="793EDD3D">
                    <w:pPr>
                      <w:snapToGrid w:val="0"/>
                      <w:rPr>
                        <w:sz w:val="18"/>
                      </w:rPr>
                    </w:pP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4C7D12">
    <w:pPr>
      <w:pStyle w:val="7"/>
      <w:pBdr>
        <w:bottom w:val="single" w:color="auto" w:sz="6" w:space="1"/>
      </w:pBdr>
      <w:rPr>
        <w:rFonts w:ascii="仿宋_GB2312" w:eastAsia="仿宋_GB2312"/>
        <w:sz w:val="21"/>
        <w:szCs w:val="21"/>
      </w:rPr>
    </w:pPr>
    <w:r>
      <w:rPr>
        <w:sz w:val="21"/>
      </w:rPr>
      <mc:AlternateContent>
        <mc:Choice Requires="wps">
          <w:drawing>
            <wp:anchor distT="0" distB="0" distL="114300" distR="114300" simplePos="0" relativeHeight="251663360" behindDoc="0" locked="0" layoutInCell="1" allowOverlap="1">
              <wp:simplePos x="0" y="0"/>
              <wp:positionH relativeFrom="margin">
                <wp:align>right</wp:align>
              </wp:positionH>
              <wp:positionV relativeFrom="paragraph">
                <wp:posOffset>195580</wp:posOffset>
              </wp:positionV>
              <wp:extent cx="212090" cy="143510"/>
              <wp:effectExtent l="0" t="0" r="0" b="0"/>
              <wp:wrapNone/>
              <wp:docPr id="10" name="文本框 9"/>
              <wp:cNvGraphicFramePr/>
              <a:graphic xmlns:a="http://schemas.openxmlformats.org/drawingml/2006/main">
                <a:graphicData uri="http://schemas.microsoft.com/office/word/2010/wordprocessingShape">
                  <wps:wsp>
                    <wps:cNvSpPr txBox="1"/>
                    <wps:spPr>
                      <a:xfrm>
                        <a:off x="0" y="0"/>
                        <a:ext cx="212090" cy="143510"/>
                      </a:xfrm>
                      <a:prstGeom prst="rect">
                        <a:avLst/>
                      </a:prstGeom>
                      <a:noFill/>
                      <a:ln>
                        <a:noFill/>
                      </a:ln>
                    </wps:spPr>
                    <wps:txbx>
                      <w:txbxContent>
                        <w:p w14:paraId="0697E14A">
                          <w:pPr>
                            <w:snapToGrid w:val="0"/>
                            <w:rPr>
                              <w:sz w:val="18"/>
                            </w:rPr>
                          </w:pPr>
                        </w:p>
                      </w:txbxContent>
                    </wps:txbx>
                    <wps:bodyPr wrap="square" lIns="0" tIns="0" rIns="0" bIns="0"/>
                  </wps:wsp>
                </a:graphicData>
              </a:graphic>
            </wp:anchor>
          </w:drawing>
        </mc:Choice>
        <mc:Fallback>
          <w:pict>
            <v:shape id="文本框 9" o:spid="_x0000_s1026" o:spt="202" type="#_x0000_t202" style="position:absolute;left:0pt;margin-top:15.4pt;height:11.3pt;width:16.7pt;mso-position-horizontal:right;mso-position-horizontal-relative:margin;z-index:251663360;mso-width-relative:page;mso-height-relative:page;" filled="f" stroked="f" coordsize="21600,21600" o:gfxdata="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BnWKSh1AAAAAUBAAAPAAAAAAAAAAEAIAAAACIAAABkcnMvZG93bnJldi54bWxQSwECFAAU&#10;AAAACACHTuJA83Oqc7wBAAB0AwAADgAAAAAAAAABACAAAAAjAQAAZHJzL2Uyb0RvYy54bWxQSwUG&#10;AAAAAAYABgBZAQAAUQUAAAAA&#10;">
              <v:fill on="f" focussize="0,0"/>
              <v:stroke on="f"/>
              <v:imagedata o:title=""/>
              <o:lock v:ext="edit" aspectratio="f"/>
              <v:textbox inset="0mm,0mm,0mm,0mm">
                <w:txbxContent>
                  <w:p w14:paraId="0697E14A">
                    <w:pPr>
                      <w:snapToGrid w:val="0"/>
                      <w:rPr>
                        <w:sz w:val="18"/>
                      </w:rPr>
                    </w:pPr>
                  </w:p>
                </w:txbxContent>
              </v:textbox>
            </v:shape>
          </w:pict>
        </mc:Fallback>
      </mc:AlternateContent>
    </w:r>
  </w:p>
  <w:p w14:paraId="68931304">
    <w:pPr>
      <w:pStyle w:val="7"/>
      <w:pBdr>
        <w:top w:val="none" w:color="auto" w:sz="0" w:space="0"/>
        <w:left w:val="none" w:color="auto" w:sz="0" w:space="0"/>
        <w:bottom w:val="none" w:color="auto" w:sz="0" w:space="0"/>
        <w:right w:val="none" w:color="auto" w:sz="0" w:space="0"/>
        <w:between w:val="none" w:color="auto" w:sz="0" w:space="0"/>
      </w:pBdr>
      <w:jc w:val="both"/>
    </w:pPr>
    <w:r>
      <w:rPr>
        <w:sz w:val="21"/>
      </w:rPr>
      <mc:AlternateContent>
        <mc:Choice Requires="wps">
          <w:drawing>
            <wp:anchor distT="0" distB="0" distL="114300" distR="114300" simplePos="0" relativeHeight="251673600" behindDoc="0" locked="0" layoutInCell="1" allowOverlap="1">
              <wp:simplePos x="0" y="0"/>
              <wp:positionH relativeFrom="margin">
                <wp:align>right</wp:align>
              </wp:positionH>
              <wp:positionV relativeFrom="paragraph">
                <wp:posOffset>0</wp:posOffset>
              </wp:positionV>
              <wp:extent cx="1828800" cy="1828800"/>
              <wp:effectExtent l="0" t="0" r="0" b="0"/>
              <wp:wrapNone/>
              <wp:docPr id="40" name="文本框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F11EFC">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7J9wA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C7J9wAzAgAAYwQAAA4AAAAAAAAAAQAgAAAAHwEAAGRycy9lMm9Eb2MueG1sUEsF&#10;BgAAAAAGAAYAWQEAAMQFAAAAAA==&#10;">
              <v:fill on="f" focussize="0,0"/>
              <v:stroke on="f" weight="0.5pt"/>
              <v:imagedata o:title=""/>
              <o:lock v:ext="edit" aspectratio="f"/>
              <v:textbox inset="0mm,0mm,0mm,0mm" style="mso-fit-shape-to-text:t;">
                <w:txbxContent>
                  <w:p w14:paraId="1CF11EFC">
                    <w:pPr>
                      <w:pStyle w:val="7"/>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ascii="仿宋_GB2312" w:hAnsi="仿宋_GB2312" w:eastAsia="仿宋_GB2312" w:cs="仿宋_GB2312"/>
        <w:spacing w:val="14"/>
        <w:sz w:val="21"/>
        <w:szCs w:val="21"/>
        <w:lang w:val="en-US" w:eastAsia="zh-CN"/>
      </w:rPr>
      <w:t>湖</w:t>
    </w:r>
    <w:r>
      <w:rPr>
        <w:rFonts w:hint="eastAsia" w:ascii="仿宋_GB2312" w:hAnsi="仿宋_GB2312" w:eastAsia="仿宋_GB2312" w:cs="仿宋_GB2312"/>
        <w:spacing w:val="14"/>
        <w:sz w:val="21"/>
        <w:szCs w:val="21"/>
        <w:lang w:eastAsia="zh-CN"/>
      </w:rPr>
      <w:t>南兆财不动产规划评估有限公司</w:t>
    </w: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9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14:paraId="30FD40D0">
                          <w:pPr>
                            <w:pStyle w:val="7"/>
                            <w:jc w:val="left"/>
                          </w:pPr>
                          <w:r>
                            <w:rPr>
                              <w:rFonts w:hint="eastAsia" w:ascii="仿宋_GB2312" w:eastAsia="仿宋_GB2312"/>
                              <w:sz w:val="21"/>
                              <w:szCs w:val="21"/>
                            </w:rPr>
                            <w:t>　　</w:t>
                          </w:r>
                        </w:p>
                      </w:txbxContent>
                    </wps:txbx>
                    <wps:bodyPr vert="horz" wrap="none" lIns="0" tIns="0" rIns="0" bIns="0" anchor="t">
                      <a:spAutoFit/>
                    </wps:bodyPr>
                  </wps:wsp>
                </a:graphicData>
              </a:graphic>
            </wp:anchor>
          </w:drawing>
        </mc:Choice>
        <mc:Fallback>
          <w:pict>
            <v:shape id="文本框 93"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GhpgkvTAAAABQEAAA8AAAAAAAAAAQAg&#10;AAAAIgAAAGRycy9kb3ducmV2LnhtbFBLAQIUABQAAAAIAIdO4kB+9joV2gEAALADAAAOAAAAAAAA&#10;AAEAIAAAACIBAABkcnMvZTJvRG9jLnhtbFBLBQYAAAAABgAGAFkBAABuBQAAAAA=&#10;">
              <v:fill on="f" focussize="0,0"/>
              <v:stroke on="f" weight="1.25pt"/>
              <v:imagedata o:title=""/>
              <o:lock v:ext="edit" aspectratio="f"/>
              <v:textbox inset="0mm,0mm,0mm,0mm" style="mso-fit-shape-to-text:t;">
                <w:txbxContent>
                  <w:p w14:paraId="30FD40D0">
                    <w:pPr>
                      <w:pStyle w:val="7"/>
                      <w:jc w:val="left"/>
                    </w:pPr>
                    <w:r>
                      <w:rPr>
                        <w:rFonts w:hint="eastAsia" w:ascii="仿宋_GB2312" w:eastAsia="仿宋_GB2312"/>
                        <w:sz w:val="21"/>
                        <w:szCs w:val="21"/>
                      </w:rPr>
                      <w:t>　　</w:t>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A6C785">
    <w:pPr>
      <w:pStyle w:val="7"/>
      <w:pBdr>
        <w:bottom w:val="single" w:color="auto" w:sz="6" w:space="1"/>
      </w:pBdr>
      <w:rPr>
        <w:rFonts w:ascii="仿宋_GB2312" w:eastAsia="仿宋_GB2312"/>
        <w:sz w:val="21"/>
        <w:szCs w:val="21"/>
      </w:rPr>
    </w:pPr>
  </w:p>
  <w:p w14:paraId="21E1C8DA">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57785" cy="131445"/>
              <wp:effectExtent l="0" t="0" r="0" b="0"/>
              <wp:wrapNone/>
              <wp:docPr id="5"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72A5AB9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70528;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KYuouS+AQAAcgMAAA4AAAAAAAAAAQAgAAAAIgEAAGRycy9lMm9Eb2MueG1sUEsF&#10;BgAAAAAGAAYAWQEAAFIFAAAAAA==&#10;">
              <v:fill on="f" focussize="0,0"/>
              <v:stroke on="f"/>
              <v:imagedata o:title=""/>
              <o:lock v:ext="edit" aspectratio="f"/>
              <v:textbox inset="0mm,0mm,0mm,0mm">
                <w:txbxContent>
                  <w:p w14:paraId="72A5AB9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EF68C">
    <w:pPr>
      <w:pStyle w:val="7"/>
      <w:pBdr>
        <w:bottom w:val="single" w:color="auto" w:sz="6" w:space="1"/>
      </w:pBdr>
      <w:rPr>
        <w:rFonts w:ascii="仿宋_GB2312" w:eastAsia="仿宋_GB2312"/>
        <w:sz w:val="21"/>
        <w:szCs w:val="21"/>
      </w:rPr>
    </w:pPr>
  </w:p>
  <w:p w14:paraId="43511147">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57785" cy="131445"/>
              <wp:effectExtent l="0" t="0" r="0" b="0"/>
              <wp:wrapNone/>
              <wp:docPr id="30"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20F7DCC7">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68480;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P7d5Y2+AQAAcwMAAA4AAAAAAAAAAQAgAAAAIgEAAGRycy9lMm9Eb2MueG1sUEsF&#10;BgAAAAAGAAYAWQEAAFIFAAAAAA==&#10;">
              <v:fill on="f" focussize="0,0"/>
              <v:stroke on="f"/>
              <v:imagedata o:title=""/>
              <o:lock v:ext="edit" aspectratio="f"/>
              <v:textbox inset="0mm,0mm,0mm,0mm">
                <w:txbxContent>
                  <w:p w14:paraId="20F7DCC7">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08D0CA">
    <w:pPr>
      <w:pStyle w:val="7"/>
      <w:pBdr>
        <w:bottom w:val="single" w:color="auto" w:sz="6" w:space="1"/>
      </w:pBdr>
      <w:rPr>
        <w:rFonts w:ascii="仿宋_GB2312" w:eastAsia="仿宋_GB2312"/>
        <w:sz w:val="21"/>
        <w:szCs w:val="21"/>
      </w:rPr>
    </w:pPr>
  </w:p>
  <w:p w14:paraId="40CDE9F3">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57785" cy="131445"/>
              <wp:effectExtent l="0" t="0" r="0" b="0"/>
              <wp:wrapNone/>
              <wp:docPr id="11"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4B06D9BE">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65408;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Br0NBN0wAAAAIBAAAPAAAAAAAAAAEAIAAAACIAAABkcnMvZG93bnJldi54bWxQSwECFAAU&#10;AAAACACHTuJAgEtshL0BAABzAwAADgAAAAAAAAABACAAAAAiAQAAZHJzL2Uyb0RvYy54bWxQSwUG&#10;AAAAAAYABgBZAQAAUQUAAAAA&#10;">
              <v:fill on="f" focussize="0,0"/>
              <v:stroke on="f"/>
              <v:imagedata o:title=""/>
              <o:lock v:ext="edit" aspectratio="f"/>
              <v:textbox inset="0mm,0mm,0mm,0mm">
                <w:txbxContent>
                  <w:p w14:paraId="4B06D9BE">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04F0B1">
    <w:pPr>
      <w:pStyle w:val="7"/>
      <w:pBdr>
        <w:bottom w:val="single" w:color="auto" w:sz="6" w:space="1"/>
      </w:pBdr>
      <w:rPr>
        <w:rFonts w:ascii="仿宋_GB2312" w:eastAsia="仿宋_GB2312"/>
        <w:sz w:val="21"/>
        <w:szCs w:val="21"/>
      </w:rPr>
    </w:pPr>
    <w:r>
      <w:rPr>
        <w:sz w:val="21"/>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281305" cy="214630"/>
              <wp:effectExtent l="0" t="0" r="0" b="0"/>
              <wp:wrapNone/>
              <wp:docPr id="15" name="文本框 9"/>
              <wp:cNvGraphicFramePr/>
              <a:graphic xmlns:a="http://schemas.openxmlformats.org/drawingml/2006/main">
                <a:graphicData uri="http://schemas.microsoft.com/office/word/2010/wordprocessingShape">
                  <wps:wsp>
                    <wps:cNvSpPr txBox="1"/>
                    <wps:spPr>
                      <a:xfrm>
                        <a:off x="0" y="0"/>
                        <a:ext cx="281305" cy="214630"/>
                      </a:xfrm>
                      <a:prstGeom prst="rect">
                        <a:avLst/>
                      </a:prstGeom>
                      <a:noFill/>
                      <a:ln>
                        <a:noFill/>
                      </a:ln>
                    </wps:spPr>
                    <wps:txbx>
                      <w:txbxContent>
                        <w:p w14:paraId="5158947C">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6.9pt;width:22.15pt;mso-position-horizontal:right;mso-position-horizontal-relative:margin;z-index:251660288;mso-width-relative:page;mso-height-relative:page;" filled="f" stroked="f" coordsize="21600,21600" o:gfxdata="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CYRikJ1AAAAAMBAAAPAAAAAAAAAAEAIAAAACIAAABkcnMvZG93bnJldi54bWxQSwEC&#10;FAAUAAAACACHTuJAMezP4L8BAAB0AwAADgAAAAAAAAABACAAAAAjAQAAZHJzL2Uyb0RvYy54bWxQ&#10;SwUGAAAAAAYABgBZAQAAVAUAAAAA&#10;">
              <v:fill on="f" focussize="0,0"/>
              <v:stroke on="f"/>
              <v:imagedata o:title=""/>
              <o:lock v:ext="edit" aspectratio="f"/>
              <v:textbox inset="0mm,0mm,0mm,0mm">
                <w:txbxContent>
                  <w:p w14:paraId="5158947C">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w:t>
                    </w:r>
                    <w:r>
                      <w:rPr>
                        <w:rFonts w:hint="eastAsia"/>
                        <w:sz w:val="18"/>
                      </w:rPr>
                      <w:fldChar w:fldCharType="end"/>
                    </w:r>
                  </w:p>
                </w:txbxContent>
              </v:textbox>
            </v:shape>
          </w:pict>
        </mc:Fallback>
      </mc:AlternateContent>
    </w:r>
  </w:p>
  <w:p w14:paraId="63E5D906">
    <w:pPr>
      <w:pStyle w:val="7"/>
    </w:pPr>
    <w:r/>
    <w:r>
      <w:rPr>
        <w:rFonts w:ascii="仿宋_GB2312" w:hAnsi="仿宋_GB2312" w:eastAsia="仿宋_GB2312" w:cs="仿宋_GB2312"/>
        <w:sz w:val="21"/>
      </w:rPr>
      <w:t xml:space="preserve"> {{ appraisal_org }}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5CC552">
    <w:pPr>
      <w:pStyle w:val="7"/>
      <w:pBdr>
        <w:top w:val="none" w:color="auto" w:sz="0" w:space="0"/>
        <w:left w:val="none" w:color="auto" w:sz="0" w:space="0"/>
        <w:bottom w:val="none" w:color="auto" w:sz="0" w:space="1"/>
        <w:right w:val="none" w:color="auto" w:sz="0" w:space="0"/>
        <w:between w:val="none" w:color="auto" w:sz="0" w:space="0"/>
      </w:pBdr>
    </w:pPr>
    <w:r/>
    <w:r>
      <w:rPr>
        <w:rFonts w:ascii="仿宋_GB2312" w:hAnsi="仿宋_GB2312" w:eastAsia="仿宋_GB2312" w:cs="仿宋_GB2312"/>
        <w:sz w:val="18"/>
      </w:rPr>
      <w:t xml:space="preserve"> {{ appraisal_org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A249C1">
    <w:pPr>
      <w:pStyle w:val="7"/>
    </w:pPr>
    <w:r/>
    <w:r>
      <w:rPr>
        <w:rFonts w:ascii="仿宋_GB2312" w:hAnsi="仿宋_GB2312" w:eastAsia="仿宋_GB2312" w:cs="仿宋_GB2312"/>
        <w:sz w:val="18"/>
      </w:rPr>
      <w:t>{{ appraisal_org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6E49B3">
    <w:pPr>
      <w:pStyle w:val="7"/>
      <w:pBdr>
        <w:bottom w:val="single" w:color="auto" w:sz="6" w:space="1"/>
      </w:pBdr>
      <w:rPr>
        <w:rFonts w:ascii="仿宋_GB2312" w:eastAsia="仿宋_GB2312"/>
        <w:sz w:val="21"/>
        <w:szCs w:val="21"/>
      </w:rPr>
    </w:pPr>
  </w:p>
  <w:p w14:paraId="42053632">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57785" cy="131445"/>
              <wp:effectExtent l="0" t="0" r="0" b="0"/>
              <wp:wrapNone/>
              <wp:docPr id="18"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1E11956D">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70528;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HVFfIG+AQAAcwMAAA4AAAAAAAAAAQAgAAAAIgEAAGRycy9lMm9Eb2MueG1sUEsF&#10;BgAAAAAGAAYAWQEAAFIFAAAAAA==&#10;">
              <v:fill on="f" focussize="0,0"/>
              <v:stroke on="f"/>
              <v:imagedata o:title=""/>
              <o:lock v:ext="edit" aspectratio="f"/>
              <v:textbox inset="0mm,0mm,0mm,0mm">
                <w:txbxContent>
                  <w:p w14:paraId="1E11956D">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86724A">
    <w:pPr>
      <w:pStyle w:val="7"/>
      <w:pBdr>
        <w:bottom w:val="single" w:color="auto" w:sz="6" w:space="1"/>
      </w:pBdr>
      <w:rPr>
        <w:rFonts w:ascii="仿宋_GB2312" w:eastAsia="仿宋_GB2312"/>
        <w:sz w:val="21"/>
        <w:szCs w:val="21"/>
      </w:rPr>
    </w:pPr>
  </w:p>
  <w:p w14:paraId="2783410E">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57785" cy="131445"/>
              <wp:effectExtent l="0" t="0" r="0" b="0"/>
              <wp:wrapNone/>
              <wp:docPr id="34"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1292AE7C">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68480;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JH/J8q+AQAAcwMAAA4AAAAAAAAAAQAgAAAAIgEAAGRycy9lMm9Eb2MueG1sUEsF&#10;BgAAAAAGAAYAWQEAAFIFAAAAAA==&#10;">
              <v:fill on="f" focussize="0,0"/>
              <v:stroke on="f"/>
              <v:imagedata o:title=""/>
              <o:lock v:ext="edit" aspectratio="f"/>
              <v:textbox inset="0mm,0mm,0mm,0mm">
                <w:txbxContent>
                  <w:p w14:paraId="1292AE7C">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C226F">
    <w:pPr>
      <w:pStyle w:val="7"/>
      <w:pBdr>
        <w:bottom w:val="single" w:color="auto" w:sz="6" w:space="1"/>
      </w:pBdr>
      <w:rPr>
        <w:rFonts w:ascii="仿宋_GB2312" w:eastAsia="仿宋_GB2312"/>
        <w:sz w:val="21"/>
        <w:szCs w:val="21"/>
      </w:rPr>
    </w:pPr>
  </w:p>
  <w:p w14:paraId="70C3430A">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57785" cy="131445"/>
              <wp:effectExtent l="0" t="0" r="0" b="0"/>
              <wp:wrapNone/>
              <wp:docPr id="27"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03158153">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67456;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KdK3CK+AQAAcwMAAA4AAAAAAAAAAQAgAAAAIgEAAGRycy9lMm9Eb2MueG1sUEsF&#10;BgAAAAAGAAYAWQEAAFIFAAAAAA==&#10;">
              <v:fill on="f" focussize="0,0"/>
              <v:stroke on="f"/>
              <v:imagedata o:title=""/>
              <o:lock v:ext="edit" aspectratio="f"/>
              <v:textbox inset="0mm,0mm,0mm,0mm">
                <w:txbxContent>
                  <w:p w14:paraId="03158153">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A42AA8">
    <w:pPr>
      <w:pStyle w:val="7"/>
      <w:pBdr>
        <w:bottom w:val="single" w:color="auto" w:sz="6" w:space="1"/>
      </w:pBdr>
      <w:rPr>
        <w:rFonts w:ascii="仿宋_GB2312" w:eastAsia="仿宋_GB2312"/>
        <w:sz w:val="21"/>
        <w:szCs w:val="21"/>
      </w:rPr>
    </w:pPr>
  </w:p>
  <w:p w14:paraId="7B874CD7">
    <w:pPr>
      <w:pStyle w:val="7"/>
    </w:pPr>
    <w:r/>
    <w:r>
      <w:rPr>
        <w:rFonts w:ascii="仿宋_GB2312" w:hAnsi="仿宋_GB2312" w:eastAsia="仿宋_GB2312" w:cs="仿宋_GB2312"/>
        <w:sz w:val="21"/>
      </w:rPr>
      <w:t xml:space="preserve">{{ appraisal_org }}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B3C14F">
    <w:pPr>
      <w:pStyle w:val="8"/>
      <w:keepNext w:val="0"/>
      <w:keepLines w:val="0"/>
      <w:pageBreakBefore w:val="0"/>
      <w:widowControl w:val="0"/>
      <w:pBdr>
        <w:top w:val="none" w:color="auto" w:sz="0" w:space="0"/>
        <w:left w:val="none" w:color="auto" w:sz="0" w:space="0"/>
        <w:bottom w:val="single" w:color="auto" w:sz="4" w:space="1"/>
        <w:right w:val="none" w:color="auto" w:sz="0" w:space="0"/>
        <w:between w:val="none" w:color="auto" w:sz="0" w:space="0"/>
      </w:pBdr>
      <w:kinsoku/>
      <w:wordWrap/>
      <w:overflowPunct/>
      <w:topLinePunct w:val="0"/>
      <w:bidi w:val="0"/>
      <w:adjustRightInd/>
      <w:snapToGrid w:val="0"/>
      <w:spacing w:before="0" w:beforeLines="50"/>
      <w:jc w:val="center"/>
      <w:textAlignment w:val="auto"/>
    </w:pPr>
    <w:r>
      <w:rPr>
        <w:rFonts w:ascii="仿宋_GB2312" w:hAnsi="仿宋_GB2312" w:eastAsia="仿宋_GB2312" w:cs="仿宋_GB2312"/>
      </w:rPr>
      <w:t>土地估价报告编号：{{ report_no }}</w:t>
    </w:r>
  </w:p>
  <w:p w14:paraId="3ABBC4BB">
    <w:pPr>
      <w:pStyle w:val="8"/>
      <w:pBdr>
        <w:top w:val="none" w:color="auto" w:sz="0" w:space="0"/>
        <w:left w:val="none" w:color="auto" w:sz="0" w:space="0"/>
        <w:bottom w:val="none" w:color="auto" w:sz="0" w:space="1"/>
        <w:right w:val="none" w:color="auto" w:sz="0" w:space="0"/>
        <w:between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F92CF">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E640FF">
    <w:pPr>
      <w:pStyle w:val="8"/>
      <w:pBdr>
        <w:bottom w:val="none" w:color="auto" w:sz="0" w:space="1"/>
      </w:pBd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AAD5A6">
    <w:pPr>
      <w:pStyle w:val="8"/>
      <w:keepNext w:val="0"/>
      <w:keepLines w:val="0"/>
      <w:pageBreakBefore w:val="0"/>
      <w:widowControl w:val="0"/>
      <w:pBdr>
        <w:top w:val="none" w:color="auto" w:sz="0" w:space="0"/>
        <w:left w:val="none" w:color="auto" w:sz="0" w:space="0"/>
        <w:bottom w:val="single" w:color="auto" w:sz="4" w:space="1"/>
        <w:right w:val="none" w:color="auto" w:sz="0" w:space="0"/>
        <w:between w:val="none" w:color="auto" w:sz="0" w:space="0"/>
      </w:pBdr>
      <w:kinsoku/>
      <w:wordWrap/>
      <w:overflowPunct/>
      <w:topLinePunct w:val="0"/>
      <w:bidi w:val="0"/>
      <w:adjustRightInd/>
      <w:snapToGrid w:val="0"/>
      <w:spacing w:before="0" w:beforeLines="50"/>
      <w:jc w:val="center"/>
      <w:textAlignment w:val="auto"/>
    </w:pPr>
    <w:r>
      <w:rPr>
        <w:rFonts w:hint="eastAsia" w:ascii="仿宋_GB2312" w:hAnsi="仿宋_GB2312" w:eastAsia="仿宋_GB2312" w:cs="仿宋_GB2312"/>
        <w:sz w:val="21"/>
        <w:szCs w:val="21"/>
        <w:lang w:val="en-US" w:eastAsia="zh-CN"/>
      </w:rPr>
      <w:t>土地估价报告编号：</w:t>
    </w:r>
    <w:r>
      <w:rPr>
        <w:rFonts w:hint="eastAsia" w:ascii="仿宋_GB2312" w:hAnsi="仿宋_GB2312" w:eastAsia="仿宋_GB2312" w:cs="仿宋_GB2312"/>
        <w:sz w:val="21"/>
        <w:szCs w:val="21"/>
      </w:rPr>
      <w:t>（湖南）湘兆财土地[2025]（</w:t>
    </w:r>
    <w:r>
      <w:rPr>
        <w:rFonts w:hint="eastAsia" w:ascii="仿宋_GB2312" w:hAnsi="仿宋_GB2312" w:eastAsia="仿宋_GB2312" w:cs="仿宋_GB2312"/>
        <w:sz w:val="21"/>
        <w:szCs w:val="21"/>
        <w:lang w:val="en-US" w:eastAsia="zh-CN"/>
      </w:rPr>
      <w:t>估</w:t>
    </w:r>
    <w:r>
      <w:rPr>
        <w:rFonts w:hint="eastAsia" w:ascii="仿宋_GB2312" w:hAnsi="仿宋_GB2312" w:eastAsia="仿宋_GB2312" w:cs="仿宋_GB2312"/>
        <w:sz w:val="21"/>
        <w:szCs w:val="21"/>
      </w:rPr>
      <w:t>）字第ZC00</w:t>
    </w:r>
    <w:r>
      <w:rPr>
        <w:rFonts w:hint="eastAsia" w:ascii="仿宋_GB2312" w:hAnsi="仿宋_GB2312" w:eastAsia="仿宋_GB2312" w:cs="仿宋_GB2312"/>
        <w:sz w:val="21"/>
        <w:szCs w:val="21"/>
        <w:lang w:val="en-US" w:eastAsia="zh-CN"/>
      </w:rPr>
      <w:t>34</w:t>
    </w:r>
    <w:r>
      <w:rPr>
        <w:rFonts w:hint="eastAsia" w:ascii="仿宋_GB2312" w:hAnsi="仿宋_GB2312" w:eastAsia="仿宋_GB2312" w:cs="仿宋_GB2312"/>
        <w:sz w:val="21"/>
        <w:szCs w:val="21"/>
      </w:rPr>
      <w:t>号</w:t>
    </w:r>
  </w:p>
  <w:p w14:paraId="603F9CA6">
    <w:pPr>
      <w:pStyle w:val="8"/>
      <w:pBdr>
        <w:top w:val="none" w:color="auto" w:sz="0" w:space="0"/>
        <w:left w:val="none" w:color="auto" w:sz="0" w:space="0"/>
        <w:bottom w:val="none" w:color="auto" w:sz="0" w:space="1"/>
        <w:right w:val="none" w:color="auto" w:sz="0" w:space="0"/>
        <w:between w:val="none" w:color="auto" w:sz="0" w:space="0"/>
      </w:pBd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B0470B">
    <w:pPr>
      <w:pStyle w:val="8"/>
      <w:jc w:val="both"/>
    </w:pPr>
    <w:r>
      <w:drawing>
        <wp:anchor distT="0" distB="0" distL="114300" distR="114300" simplePos="0" relativeHeight="251671552" behindDoc="0" locked="0" layoutInCell="1" allowOverlap="1">
          <wp:simplePos x="0" y="0"/>
          <wp:positionH relativeFrom="margin">
            <wp:posOffset>-364490</wp:posOffset>
          </wp:positionH>
          <wp:positionV relativeFrom="paragraph">
            <wp:posOffset>-56515</wp:posOffset>
          </wp:positionV>
          <wp:extent cx="391795" cy="354965"/>
          <wp:effectExtent l="0" t="0" r="8255" b="6985"/>
          <wp:wrapNone/>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446AB9">
    <w:pPr>
      <w:pStyle w:val="8"/>
      <w:jc w:val="both"/>
    </w:pPr>
    <w:r>
      <w:drawing>
        <wp:anchor distT="0" distB="0" distL="114300" distR="114300" simplePos="0" relativeHeight="251669504" behindDoc="0" locked="0" layoutInCell="1" allowOverlap="1">
          <wp:simplePos x="0" y="0"/>
          <wp:positionH relativeFrom="margin">
            <wp:posOffset>-364490</wp:posOffset>
          </wp:positionH>
          <wp:positionV relativeFrom="paragraph">
            <wp:posOffset>-56515</wp:posOffset>
          </wp:positionV>
          <wp:extent cx="391795" cy="354965"/>
          <wp:effectExtent l="0" t="0" r="8255" b="6985"/>
          <wp:wrapNone/>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43FE18">
    <w:pPr>
      <w:pStyle w:val="8"/>
      <w:jc w:val="both"/>
    </w:pPr>
    <w:r>
      <w:drawing>
        <wp:anchor distT="0" distB="0" distL="114300" distR="114300" simplePos="0" relativeHeight="251666432" behindDoc="0" locked="0" layoutInCell="1" allowOverlap="1">
          <wp:simplePos x="0" y="0"/>
          <wp:positionH relativeFrom="margin">
            <wp:posOffset>-364490</wp:posOffset>
          </wp:positionH>
          <wp:positionV relativeFrom="paragraph">
            <wp:posOffset>-56515</wp:posOffset>
          </wp:positionV>
          <wp:extent cx="391795" cy="354965"/>
          <wp:effectExtent l="0" t="0" r="4445" b="10795"/>
          <wp:wrapNone/>
          <wp:docPr id="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1DEBA5">
    <w:pPr>
      <w:pStyle w:val="8"/>
      <w:keepNext w:val="0"/>
      <w:keepLines w:val="0"/>
      <w:pageBreakBefore w:val="0"/>
      <w:widowControl w:val="0"/>
      <w:pBdr>
        <w:top w:val="none" w:color="auto" w:sz="0" w:space="0"/>
        <w:left w:val="none" w:color="auto" w:sz="0" w:space="0"/>
        <w:bottom w:val="single" w:color="auto" w:sz="4" w:space="1"/>
        <w:right w:val="none" w:color="auto" w:sz="0" w:space="0"/>
        <w:between w:val="none" w:color="auto" w:sz="0" w:space="0"/>
      </w:pBdr>
      <w:kinsoku/>
      <w:wordWrap/>
      <w:overflowPunct/>
      <w:topLinePunct w:val="0"/>
      <w:bidi w:val="0"/>
      <w:adjustRightInd/>
      <w:snapToGrid w:val="0"/>
      <w:spacing w:before="0" w:beforeLines="50"/>
      <w:jc w:val="center"/>
      <w:textAlignment w:val="auto"/>
    </w:pPr>
    <w:r>
      <w:rPr>
        <w:rFonts w:ascii="仿宋_GB2312" w:hAnsi="仿宋_GB2312" w:eastAsia="仿宋_GB2312" w:cs="仿宋_GB2312"/>
      </w:rPr>
      <w:t>土地估价报告编号：{{ report_no }}</w:t>
    </w:r>
  </w:p>
  <w:p w14:paraId="1607CD45">
    <w:pPr>
      <w:pStyle w:val="8"/>
      <w:pBdr>
        <w:top w:val="none" w:color="auto" w:sz="0" w:space="0"/>
        <w:left w:val="none" w:color="auto" w:sz="0" w:space="0"/>
        <w:bottom w:val="none" w:color="auto" w:sz="0" w:space="0"/>
        <w:right w:val="none" w:color="auto" w:sz="0" w:space="0"/>
        <w:between w:val="none" w:color="auto" w:sz="0" w:space="0"/>
      </w:pBdr>
      <w:jc w:val="cent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282A6F">
    <w:pPr>
      <w:pStyle w:val="8"/>
      <w:keepNext w:val="0"/>
      <w:keepLines w:val="0"/>
      <w:pageBreakBefore w:val="0"/>
      <w:widowControl w:val="0"/>
      <w:pBdr>
        <w:top w:val="none" w:color="auto" w:sz="0" w:space="0"/>
        <w:left w:val="none" w:color="auto" w:sz="0" w:space="0"/>
        <w:bottom w:val="single" w:color="auto" w:sz="4" w:space="1"/>
        <w:right w:val="none" w:color="auto" w:sz="0" w:space="0"/>
        <w:between w:val="none" w:color="auto" w:sz="0" w:space="0"/>
      </w:pBdr>
      <w:kinsoku/>
      <w:wordWrap/>
      <w:overflowPunct/>
      <w:topLinePunct w:val="0"/>
      <w:bidi w:val="0"/>
      <w:adjustRightInd/>
      <w:snapToGrid w:val="0"/>
      <w:spacing w:before="0" w:beforeLines="50"/>
      <w:jc w:val="center"/>
      <w:textAlignment w:val="auto"/>
    </w:pPr>
    <w:r>
      <w:rPr>
        <w:rFonts w:ascii="仿宋_GB2312" w:hAnsi="仿宋_GB2312" w:eastAsia="仿宋_GB2312" w:cs="仿宋_GB2312"/>
      </w:rPr>
      <w:t>土地估价报告编号：{{ technical_report_no }}</w:t>
    </w:r>
  </w:p>
  <w:p w14:paraId="16860AF1">
    <w:pPr>
      <w:pStyle w:val="8"/>
      <w:pBdr>
        <w:top w:val="none" w:color="auto" w:sz="0" w:space="0"/>
        <w:left w:val="none" w:color="auto" w:sz="0" w:space="0"/>
        <w:bottom w:val="none" w:color="auto" w:sz="0" w:space="0"/>
        <w:right w:val="none" w:color="auto" w:sz="0" w:space="0"/>
        <w:between w:val="none" w:color="auto" w:sz="0" w:space="0"/>
      </w:pBdr>
      <w:jc w:val="cent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81DA0B">
    <w:pPr>
      <w:pStyle w:val="8"/>
      <w:jc w:val="both"/>
    </w:pPr>
    <w:r>
      <w:drawing>
        <wp:anchor distT="0" distB="0" distL="114300" distR="114300" simplePos="0" relativeHeight="251671552" behindDoc="0" locked="0" layoutInCell="1" allowOverlap="1">
          <wp:simplePos x="0" y="0"/>
          <wp:positionH relativeFrom="margin">
            <wp:posOffset>-364490</wp:posOffset>
          </wp:positionH>
          <wp:positionV relativeFrom="paragraph">
            <wp:posOffset>-56515</wp:posOffset>
          </wp:positionV>
          <wp:extent cx="391795" cy="354965"/>
          <wp:effectExtent l="0" t="0" r="8255" b="6985"/>
          <wp:wrapNone/>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2816DA">
    <w:pPr>
      <w:pStyle w:val="8"/>
      <w:jc w:val="both"/>
    </w:pPr>
    <w:r>
      <w:drawing>
        <wp:anchor distT="0" distB="0" distL="114300" distR="114300" simplePos="0" relativeHeight="251669504" behindDoc="0" locked="0" layoutInCell="1" allowOverlap="1">
          <wp:simplePos x="0" y="0"/>
          <wp:positionH relativeFrom="margin">
            <wp:posOffset>-364490</wp:posOffset>
          </wp:positionH>
          <wp:positionV relativeFrom="paragraph">
            <wp:posOffset>-56515</wp:posOffset>
          </wp:positionV>
          <wp:extent cx="391795" cy="354965"/>
          <wp:effectExtent l="0" t="0" r="8255" b="6985"/>
          <wp:wrapNone/>
          <wp:docPr id="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DCB22F">
    <w:pPr>
      <w:pStyle w:val="8"/>
      <w:jc w:val="both"/>
    </w:pPr>
    <w:r>
      <w:drawing>
        <wp:anchor distT="0" distB="0" distL="114300" distR="114300" simplePos="0" relativeHeight="251668480" behindDoc="0" locked="0" layoutInCell="1" allowOverlap="1">
          <wp:simplePos x="0" y="0"/>
          <wp:positionH relativeFrom="margin">
            <wp:posOffset>-364490</wp:posOffset>
          </wp:positionH>
          <wp:positionV relativeFrom="paragraph">
            <wp:posOffset>-56515</wp:posOffset>
          </wp:positionV>
          <wp:extent cx="391795" cy="354965"/>
          <wp:effectExtent l="0" t="0" r="4445" b="10795"/>
          <wp:wrapNone/>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endnotePr>
    <w:numFmt w:val="decimal"/>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A0179B"/>
    <w:rsid w:val="01AA37AF"/>
    <w:rsid w:val="069833AA"/>
    <w:rsid w:val="0FB82485"/>
    <w:rsid w:val="11553800"/>
    <w:rsid w:val="12531C9B"/>
    <w:rsid w:val="1A6D6AE8"/>
    <w:rsid w:val="1E07311D"/>
    <w:rsid w:val="1F210279"/>
    <w:rsid w:val="1F4B28C0"/>
    <w:rsid w:val="205E3D7E"/>
    <w:rsid w:val="22DF7BFA"/>
    <w:rsid w:val="2D224A15"/>
    <w:rsid w:val="31CF685F"/>
    <w:rsid w:val="3A44225D"/>
    <w:rsid w:val="3AB62A61"/>
    <w:rsid w:val="3F282F28"/>
    <w:rsid w:val="3FBA0B4E"/>
    <w:rsid w:val="428A3831"/>
    <w:rsid w:val="44452090"/>
    <w:rsid w:val="46A0179B"/>
    <w:rsid w:val="50C86CD0"/>
    <w:rsid w:val="51027B59"/>
    <w:rsid w:val="56313756"/>
    <w:rsid w:val="5C9719EC"/>
    <w:rsid w:val="5F6841AD"/>
    <w:rsid w:val="5FCF78A6"/>
    <w:rsid w:val="64351986"/>
    <w:rsid w:val="670A5468"/>
    <w:rsid w:val="693B342C"/>
    <w:rsid w:val="6C5D6B7B"/>
    <w:rsid w:val="6D833554"/>
    <w:rsid w:val="729F57FE"/>
    <w:rsid w:val="78DA75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99"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lang w:val="en-US" w:eastAsia="zh-CN" w:bidi="ar-SA"/>
    </w:rPr>
  </w:style>
  <w:style w:type="character" w:default="1" w:styleId="11">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2">
    <w:name w:val="Body Text First Indent 2"/>
    <w:basedOn w:val="3"/>
    <w:qFormat/>
    <w:uiPriority w:val="99"/>
    <w:pPr>
      <w:spacing w:after="120"/>
      <w:ind w:left="420" w:leftChars="200" w:firstLine="420" w:firstLineChars="200"/>
    </w:pPr>
    <w:rPr>
      <w:sz w:val="21"/>
      <w:szCs w:val="24"/>
    </w:rPr>
  </w:style>
  <w:style w:type="paragraph" w:styleId="3">
    <w:name w:val="Body Text Indent"/>
    <w:basedOn w:val="1"/>
    <w:next w:val="4"/>
    <w:qFormat/>
    <w:uiPriority w:val="0"/>
    <w:pPr>
      <w:spacing w:line="520" w:lineRule="exact"/>
      <w:ind w:left="360"/>
    </w:pPr>
    <w:rPr>
      <w:sz w:val="28"/>
    </w:rPr>
  </w:style>
  <w:style w:type="paragraph" w:customStyle="1" w:styleId="4">
    <w:name w:val="标准"/>
    <w:basedOn w:val="1"/>
    <w:qFormat/>
    <w:uiPriority w:val="0"/>
    <w:pPr>
      <w:autoSpaceDE w:val="0"/>
      <w:autoSpaceDN w:val="0"/>
      <w:adjustRightInd w:val="0"/>
      <w:spacing w:line="480" w:lineRule="atLeast"/>
      <w:textAlignment w:val="bottom"/>
    </w:pPr>
    <w:rPr>
      <w:rFonts w:ascii="昆仑仿宋" w:eastAsia="昆仑仿宋"/>
      <w:spacing w:val="40"/>
      <w:kern w:val="0"/>
      <w:sz w:val="28"/>
      <w:szCs w:val="20"/>
    </w:rPr>
  </w:style>
  <w:style w:type="paragraph" w:styleId="5">
    <w:name w:val="annotation text"/>
    <w:basedOn w:val="1"/>
    <w:qFormat/>
    <w:uiPriority w:val="0"/>
    <w:pPr>
      <w:jc w:val="left"/>
    </w:pPr>
  </w:style>
  <w:style w:type="paragraph" w:styleId="6">
    <w:name w:val="Plain Text"/>
    <w:basedOn w:val="1"/>
    <w:qFormat/>
    <w:uiPriority w:val="0"/>
    <w:rPr>
      <w:rFonts w:ascii="宋体"/>
      <w:sz w:val="28"/>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bottom w:val="single" w:color="auto" w:sz="6" w:space="1"/>
      </w:pBdr>
      <w:tabs>
        <w:tab w:val="center" w:pos="4153"/>
        <w:tab w:val="right" w:pos="8306"/>
      </w:tabs>
      <w:snapToGrid w:val="0"/>
      <w:jc w:val="center"/>
    </w:pPr>
    <w:rPr>
      <w:sz w:val="18"/>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
    <w:name w:val="1表格文字压缩"/>
    <w:basedOn w:val="1"/>
    <w:next w:val="1"/>
    <w:autoRedefine/>
    <w:qFormat/>
    <w:uiPriority w:val="0"/>
    <w:pPr>
      <w:widowControl/>
      <w:spacing w:line="260" w:lineRule="exact"/>
      <w:jc w:val="center"/>
      <w:textAlignment w:val="center"/>
    </w:pPr>
    <w:rPr>
      <w:rFonts w:ascii="仿宋_GB2312" w:hAnsi="宋体" w:eastAsia="仿宋_GB2312" w:cs="宋体"/>
      <w:spacing w:val="-20"/>
      <w:kern w:val="0"/>
      <w:szCs w:val="21"/>
    </w:rPr>
  </w:style>
  <w:style w:type="paragraph" w:customStyle="1" w:styleId="13">
    <w:name w:val="四号仿宋28磅"/>
    <w:basedOn w:val="1"/>
    <w:autoRedefine/>
    <w:qFormat/>
    <w:uiPriority w:val="0"/>
    <w:pPr>
      <w:spacing w:line="560" w:lineRule="exact"/>
      <w:ind w:firstLine="200" w:firstLineChars="200"/>
    </w:pPr>
    <w:rPr>
      <w:rFonts w:ascii="仿宋_GB2312" w:eastAsia="仿宋_GB2312"/>
      <w:sz w:val="28"/>
    </w:rPr>
  </w:style>
  <w:style w:type="paragraph" w:customStyle="1" w:styleId="14">
    <w:name w:val="列出段落1"/>
    <w:basedOn w:val="15"/>
    <w:autoRedefine/>
    <w:qFormat/>
    <w:uiPriority w:val="0"/>
    <w:pPr>
      <w:ind w:firstLine="420" w:firstLineChars="200"/>
    </w:pPr>
  </w:style>
  <w:style w:type="paragraph" w:customStyle="1" w:styleId="15">
    <w:name w:val="正文_10_43"/>
    <w:autoRedefine/>
    <w:qFormat/>
    <w:uiPriority w:val="0"/>
    <w:pPr>
      <w:widowControl w:val="0"/>
      <w:jc w:val="both"/>
    </w:pPr>
    <w:rPr>
      <w:rFonts w:ascii="Times New Roman" w:hAnsi="Times New Roman" w:eastAsia="宋体" w:cs="Times New Roman"/>
      <w:kern w:val="2"/>
      <w:sz w:val="21"/>
      <w:szCs w:val="24"/>
      <w:lang w:val="en-US" w:eastAsia="zh-CN" w:bidi="ar-SA"/>
    </w:rPr>
  </w:style>
  <w:style w:type="character" w:customStyle="1" w:styleId="16">
    <w:name w:val="font81"/>
    <w:basedOn w:val="11"/>
    <w:qFormat/>
    <w:uiPriority w:val="0"/>
    <w:rPr>
      <w:rFonts w:hint="eastAsia" w:ascii="仿宋" w:hAnsi="仿宋" w:eastAsia="仿宋" w:cs="仿宋"/>
      <w:color w:val="000000"/>
      <w:sz w:val="21"/>
      <w:szCs w:val="21"/>
      <w:u w:val="none"/>
    </w:rPr>
  </w:style>
  <w:style w:type="character" w:customStyle="1" w:styleId="17">
    <w:name w:val="font91"/>
    <w:basedOn w:val="11"/>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7" Type="http://schemas.openxmlformats.org/officeDocument/2006/relationships/fontTable" Target="fontTable.xml"/><Relationship Id="rId46" Type="http://schemas.openxmlformats.org/officeDocument/2006/relationships/customXml" Target="../customXml/item1.xml"/><Relationship Id="rId45" Type="http://schemas.openxmlformats.org/officeDocument/2006/relationships/image" Target="media/image13.jpeg"/><Relationship Id="rId44" Type="http://schemas.openxmlformats.org/officeDocument/2006/relationships/image" Target="media/image12.jpeg"/><Relationship Id="rId43" Type="http://schemas.openxmlformats.org/officeDocument/2006/relationships/image" Target="media/image11.png"/><Relationship Id="rId42" Type="http://schemas.openxmlformats.org/officeDocument/2006/relationships/image" Target="media/image10.jpeg"/><Relationship Id="rId41" Type="http://schemas.openxmlformats.org/officeDocument/2006/relationships/image" Target="media/image9.png"/><Relationship Id="rId40" Type="http://schemas.openxmlformats.org/officeDocument/2006/relationships/image" Target="media/image8.png"/><Relationship Id="rId4" Type="http://schemas.openxmlformats.org/officeDocument/2006/relationships/header" Target="header2.xml"/><Relationship Id="rId39" Type="http://schemas.openxmlformats.org/officeDocument/2006/relationships/image" Target="media/image7.jpeg"/><Relationship Id="rId38" Type="http://schemas.openxmlformats.org/officeDocument/2006/relationships/image" Target="media/image6.jpeg"/><Relationship Id="rId37" Type="http://schemas.openxmlformats.org/officeDocument/2006/relationships/image" Target="media/image5.png"/><Relationship Id="rId36" Type="http://schemas.openxmlformats.org/officeDocument/2006/relationships/chart" Target="charts/chart4.xml"/><Relationship Id="rId35" Type="http://schemas.openxmlformats.org/officeDocument/2006/relationships/chart" Target="charts/chart3.xml"/><Relationship Id="rId34" Type="http://schemas.openxmlformats.org/officeDocument/2006/relationships/chart" Target="charts/chart2.xml"/><Relationship Id="rId33" Type="http://schemas.openxmlformats.org/officeDocument/2006/relationships/image" Target="media/image4.emf"/><Relationship Id="rId32" Type="http://schemas.openxmlformats.org/officeDocument/2006/relationships/chart" Target="charts/chart1.xml"/><Relationship Id="rId31" Type="http://schemas.openxmlformats.org/officeDocument/2006/relationships/image" Target="media/image3.jpeg"/><Relationship Id="rId30" Type="http://schemas.openxmlformats.org/officeDocument/2006/relationships/image" Target="media/image2.png"/><Relationship Id="rId3" Type="http://schemas.openxmlformats.org/officeDocument/2006/relationships/header" Target="header1.xml"/><Relationship Id="rId29" Type="http://schemas.openxmlformats.org/officeDocument/2006/relationships/theme" Target="theme/theme1.xml"/><Relationship Id="rId28" Type="http://schemas.openxmlformats.org/officeDocument/2006/relationships/footer" Target="footer14.xml"/><Relationship Id="rId27" Type="http://schemas.openxmlformats.org/officeDocument/2006/relationships/footer" Target="footer13.xml"/><Relationship Id="rId26" Type="http://schemas.openxmlformats.org/officeDocument/2006/relationships/header" Target="header12.xml"/><Relationship Id="rId25" Type="http://schemas.openxmlformats.org/officeDocument/2006/relationships/footer" Target="footer12.xml"/><Relationship Id="rId24" Type="http://schemas.openxmlformats.org/officeDocument/2006/relationships/header" Target="header11.xml"/><Relationship Id="rId23" Type="http://schemas.openxmlformats.org/officeDocument/2006/relationships/footer" Target="footer11.xml"/><Relationship Id="rId22" Type="http://schemas.openxmlformats.org/officeDocument/2006/relationships/header" Target="header10.xml"/><Relationship Id="rId21" Type="http://schemas.openxmlformats.org/officeDocument/2006/relationships/footer" Target="footer10.xml"/><Relationship Id="rId20" Type="http://schemas.openxmlformats.org/officeDocument/2006/relationships/footer" Target="footer9.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footer" Target="footer8.xml"/><Relationship Id="rId17" Type="http://schemas.openxmlformats.org/officeDocument/2006/relationships/header" Target="header8.xml"/><Relationship Id="rId16" Type="http://schemas.openxmlformats.org/officeDocument/2006/relationships/footer" Target="footer7.xml"/><Relationship Id="rId15" Type="http://schemas.openxmlformats.org/officeDocument/2006/relationships/header" Target="header7.xml"/><Relationship Id="rId14" Type="http://schemas.openxmlformats.org/officeDocument/2006/relationships/footer" Target="footer6.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E:\&#22303;&#22320;&#25151;&#20135;&#35780;&#20272;&#25253;&#21578;\&#36947;&#21439;&#36164;&#26009;\&#20854;&#20182;&#36164;&#26009;\&#36947;&#21439;&#22303;&#22320;&#24066;&#22330;&#20998;&#26512;.xlsx"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E:\&#22303;&#22320;&#25151;&#20135;&#35780;&#20272;&#25253;&#21578;\&#36947;&#21439;&#36164;&#26009;\&#20854;&#20182;&#36164;&#26009;\&#36947;&#21439;&#22303;&#22320;&#24066;&#22330;&#20998;&#26512;.xlsx" TargetMode="External"/></Relationships>
</file>

<file path=word/charts/_rels/chart3.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file:///E:\&#22303;&#22320;&#25151;&#20135;&#35780;&#20272;&#25253;&#21578;\&#36947;&#21439;&#36164;&#26009;\&#20854;&#20182;&#36164;&#26009;\&#36947;&#21439;&#22303;&#22320;&#24066;&#22330;&#20998;&#26512;.xlsx" TargetMode="External"/></Relationships>
</file>

<file path=word/charts/_rels/chart4.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E:\&#22303;&#22320;&#25151;&#20135;&#35780;&#20272;&#25253;&#21578;\&#36947;&#21439;&#36164;&#26009;\&#20854;&#20182;&#36164;&#26009;\&#36947;&#21439;&#22303;&#22320;&#24066;&#22330;&#20998;&#26512;.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t>土地供应总量</a:t>
            </a:r>
          </a:p>
        </c:rich>
      </c:tx>
      <c:layout/>
      <c:overlay val="0"/>
      <c:spPr>
        <a:noFill/>
        <a:ln>
          <a:noFill/>
        </a:ln>
        <a:effectLst/>
      </c:spPr>
    </c:title>
    <c:autoTitleDeleted val="0"/>
    <c:plotArea>
      <c:layout/>
      <c:barChart>
        <c:barDir val="col"/>
        <c:grouping val="clustered"/>
        <c:varyColors val="0"/>
        <c:ser>
          <c:idx val="0"/>
          <c:order val="0"/>
          <c:tx>
            <c:strRef>
              <c:f>"出让土地"</c:f>
              <c:strCache>
                <c:ptCount val="1"/>
                <c:pt idx="0">
                  <c:v>出让土地</c:v>
                </c:pt>
              </c:strCache>
            </c:strRef>
          </c:tx>
          <c:spPr>
            <a:solidFill>
              <a:schemeClr val="accent4">
                <a:lumMod val="75000"/>
              </a:schemeClr>
            </a:solidFill>
            <a:ln>
              <a:noFill/>
            </a:ln>
            <a:effectLst/>
          </c:spPr>
          <c:invertIfNegative val="0"/>
          <c:dLbls>
            <c:dLbl>
              <c:idx val="0"/>
              <c:layout>
                <c:manualLayout>
                  <c:x val="-0.0157894736842105"/>
                  <c:y val="0.0173611111111111"/>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157894736842105"/>
                  <c:y val="0.03125"/>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986842105263158"/>
                  <c:y val="0.0138888888888889"/>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0.0236842105263158"/>
                  <c:y val="0.0208333333333333"/>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197368421052632"/>
                  <c:y val="0"/>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[道县土地市场分析.xlsx]Sheet3!$B$22:$B$26</c:f>
              <c:numCache>
                <c:formatCode>0.00_ </c:formatCode>
                <c:ptCount val="5"/>
                <c:pt idx="0">
                  <c:v>91.77</c:v>
                </c:pt>
                <c:pt idx="1">
                  <c:v>100.84</c:v>
                </c:pt>
                <c:pt idx="2">
                  <c:v>67.23</c:v>
                </c:pt>
                <c:pt idx="3">
                  <c:v>20.42</c:v>
                </c:pt>
                <c:pt idx="4" c:formatCode="General">
                  <c:v>134.88</c:v>
                </c:pt>
              </c:numCache>
            </c:numRef>
          </c:val>
        </c:ser>
        <c:ser>
          <c:idx val="1"/>
          <c:order val="1"/>
          <c:tx>
            <c:strRef>
              <c:f>"划拨土地"</c:f>
              <c:strCache>
                <c:ptCount val="1"/>
                <c:pt idx="0">
                  <c:v>划拨土地</c:v>
                </c:pt>
              </c:strCache>
            </c:strRef>
          </c:tx>
          <c:spPr>
            <a:solidFill>
              <a:srgbClr val="C00000"/>
            </a:solidFill>
            <a:ln>
              <a:noFill/>
            </a:ln>
            <a:effectLst/>
          </c:spPr>
          <c:invertIfNegative val="0"/>
          <c:dLbls>
            <c:dLbl>
              <c:idx val="0"/>
              <c:layout>
                <c:manualLayout>
                  <c:x val="-0.0177631578947368"/>
                  <c:y val="0.0104166666666667"/>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0600237513338615"/>
                  <c:y val="0.0347222222222222"/>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197368421052632"/>
                  <c:y val="0.0277777777777778"/>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5.80875012908208e-5"/>
                  <c:y val="0.0347222222222222"/>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177631578947368"/>
                  <c:y val="0.0243055555555556"/>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[道县土地市场分析.xlsx]Sheet3!$C$22:$C$26</c:f>
              <c:numCache>
                <c:formatCode>0.00_ </c:formatCode>
                <c:ptCount val="5"/>
                <c:pt idx="0">
                  <c:v>164.63</c:v>
                </c:pt>
                <c:pt idx="1">
                  <c:v>83.89</c:v>
                </c:pt>
                <c:pt idx="2">
                  <c:v>94.4</c:v>
                </c:pt>
                <c:pt idx="3">
                  <c:v>181.51</c:v>
                </c:pt>
                <c:pt idx="4" c:formatCode="General">
                  <c:v>32.85</c:v>
                </c:pt>
              </c:numCache>
            </c:numRef>
          </c:val>
        </c:ser>
        <c:ser>
          <c:idx val="2"/>
          <c:order val="2"/>
          <c:tx>
            <c:strRef>
              <c:f>"总面积"</c:f>
              <c:strCache>
                <c:ptCount val="1"/>
                <c:pt idx="0">
                  <c:v>总面积</c:v>
                </c:pt>
              </c:strCache>
            </c:strRef>
          </c:tx>
          <c:spPr>
            <a:solidFill>
              <a:schemeClr val="accent1">
                <a:lumMod val="75000"/>
              </a:schemeClr>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[道县土地市场分析.xlsx]Sheet3!$D$22:$D$26</c:f>
              <c:numCache>
                <c:formatCode>0.00_ </c:formatCode>
                <c:ptCount val="5"/>
                <c:pt idx="0">
                  <c:v>256.4</c:v>
                </c:pt>
                <c:pt idx="1">
                  <c:v>184.73</c:v>
                </c:pt>
                <c:pt idx="2">
                  <c:v>161.63</c:v>
                </c:pt>
                <c:pt idx="3">
                  <c:v>201.93</c:v>
                </c:pt>
                <c:pt idx="4">
                  <c:v>167.73</c:v>
                </c:pt>
              </c:numCache>
            </c:numRef>
          </c:val>
        </c:ser>
        <c:dLbls>
          <c:showLegendKey val="0"/>
          <c:showVal val="1"/>
          <c:showCatName val="0"/>
          <c:showSerName val="0"/>
          <c:showPercent val="0"/>
          <c:showBubbleSize val="0"/>
        </c:dLbls>
        <c:gapWidth val="219"/>
        <c:overlap val="-27"/>
        <c:axId val="634919036"/>
        <c:axId val="120007239"/>
      </c:barChart>
      <c:catAx>
        <c:axId val="634919036"/>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20007239"/>
        <c:crosses val="autoZero"/>
        <c:auto val="1"/>
        <c:lblAlgn val="ctr"/>
        <c:lblOffset val="100"/>
        <c:noMultiLvlLbl val="0"/>
      </c:catAx>
      <c:valAx>
        <c:axId val="120007239"/>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单位：公顷</a:t>
                </a:r>
              </a:p>
            </c:rich>
          </c:tx>
          <c:layout>
            <c:manualLayout>
              <c:xMode val="edge"/>
              <c:yMode val="edge"/>
              <c:x val="0.0230263157894737"/>
              <c:y val="0.155023148148148"/>
            </c:manualLayout>
          </c:layout>
          <c:overlay val="0"/>
          <c:spPr>
            <a:noFill/>
            <a:ln>
              <a:noFill/>
            </a:ln>
            <a:effectLst/>
          </c:spPr>
        </c:title>
        <c:numFmt formatCode="0.00_ "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34919036"/>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d914df3f-6393-4c6f-9afc-c3972d61cdb5}"/>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forceAA="0"/>
          <a:lstStyle/>
          <a:p>
            <a:pPr defTabSz="914400">
              <a:defRPr lang="zh-CN" sz="1400" b="0" i="0" u="none" strike="noStrike" kern="1200" spc="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面积比例</a:t>
            </a:r>
          </a:p>
        </c:rich>
      </c:tx>
      <c:layout/>
      <c:overlay val="0"/>
      <c:spPr>
        <a:noFill/>
        <a:ln>
          <a:noFill/>
        </a:ln>
        <a:effectLst/>
      </c:spPr>
    </c:title>
    <c:autoTitleDeleted val="0"/>
    <c:plotArea>
      <c:layout>
        <c:manualLayout>
          <c:layoutTarget val="inner"/>
          <c:xMode val="edge"/>
          <c:yMode val="edge"/>
          <c:x val="0.136433056168336"/>
          <c:y val="0.152459954233409"/>
          <c:w val="0.497709146444935"/>
          <c:h val="0.83895881006865"/>
        </c:manualLayout>
      </c:layout>
      <c:doughnutChart>
        <c:varyColors val="1"/>
        <c:ser>
          <c:idx val="0"/>
          <c:order val="0"/>
          <c:spPr>
            <a:ln w="19050">
              <a:solidFill>
                <a:schemeClr val="bg1"/>
              </a:solidFill>
            </a:ln>
          </c:spPr>
          <c:explosion val="0"/>
          <c:dPt>
            <c:idx val="0"/>
            <c:bubble3D val="0"/>
            <c:spPr>
              <a:solidFill>
                <a:schemeClr val="accent6"/>
              </a:solidFill>
              <a:ln w="19050">
                <a:solidFill>
                  <a:schemeClr val="bg1"/>
                </a:solidFill>
              </a:ln>
              <a:effectLst/>
            </c:spPr>
          </c:dPt>
          <c:dPt>
            <c:idx val="1"/>
            <c:bubble3D val="0"/>
            <c:spPr>
              <a:solidFill>
                <a:schemeClr val="accent1"/>
              </a:solidFill>
              <a:ln w="19050">
                <a:solidFill>
                  <a:schemeClr val="bg1"/>
                </a:solidFill>
              </a:ln>
              <a:effectLst/>
            </c:spPr>
          </c:dPt>
          <c:dPt>
            <c:idx val="2"/>
            <c:bubble3D val="0"/>
            <c:spPr>
              <a:solidFill>
                <a:schemeClr val="accent2"/>
              </a:solidFill>
              <a:ln w="19050">
                <a:solidFill>
                  <a:schemeClr val="bg1"/>
                </a:solidFill>
              </a:ln>
              <a:effectLst/>
            </c:spPr>
          </c:dPt>
          <c:dPt>
            <c:idx val="3"/>
            <c:bubble3D val="0"/>
            <c:spPr>
              <a:solidFill>
                <a:schemeClr val="accent3"/>
              </a:solidFill>
              <a:ln w="19050">
                <a:solidFill>
                  <a:schemeClr val="bg1"/>
                </a:solidFill>
              </a:ln>
              <a:effectLst/>
            </c:spPr>
          </c:dPt>
          <c:dPt>
            <c:idx val="4"/>
            <c:bubble3D val="0"/>
            <c:spPr>
              <a:solidFill>
                <a:schemeClr val="accent4"/>
              </a:solidFill>
              <a:ln w="19050">
                <a:solidFill>
                  <a:schemeClr val="bg1"/>
                </a:solidFill>
              </a:ln>
              <a:effectLst/>
            </c:spPr>
          </c:dPt>
          <c:dPt>
            <c:idx val="5"/>
            <c:bubble3D val="0"/>
            <c:spPr>
              <a:solidFill>
                <a:schemeClr val="accent5"/>
              </a:solidFill>
              <a:ln w="19050">
                <a:solidFill>
                  <a:schemeClr val="bg1"/>
                </a:solidFill>
              </a:ln>
              <a:effectLst/>
            </c:spPr>
          </c:dPt>
          <c:dLbls>
            <c:dLbl>
              <c:idx val="0"/>
              <c:layout>
                <c:manualLayout>
                  <c:x val="0.134979746504639"/>
                  <c:y val="-0.0253583241455347"/>
                </c:manualLayout>
              </c:layout>
              <c:showLegendKey val="0"/>
              <c:showVal val="0"/>
              <c:showCatName val="0"/>
              <c:showSerName val="0"/>
              <c:showPercent val="1"/>
              <c:showBubbleSize val="0"/>
              <c:extLst>
                <c:ext xmlns:c15="http://schemas.microsoft.com/office/drawing/2012/chart" uri="{CE6537A1-D6FC-4f65-9D91-7224C49458BB}">
                  <c15:layout/>
                </c:ext>
              </c:extLst>
            </c:dLbl>
            <c:dLbl>
              <c:idx val="1"/>
              <c:layout>
                <c:manualLayout>
                  <c:x val="0.145955834313341"/>
                  <c:y val="0.0873208379272326"/>
                </c:manualLayout>
              </c:layout>
              <c:showLegendKey val="0"/>
              <c:showVal val="0"/>
              <c:showCatName val="0"/>
              <c:showSerName val="0"/>
              <c:showPercent val="1"/>
              <c:showBubbleSize val="0"/>
              <c:extLst>
                <c:ext xmlns:c15="http://schemas.microsoft.com/office/drawing/2012/chart" uri="{CE6537A1-D6FC-4f65-9D91-7224C49458BB}">
                  <c15:layout/>
                </c:ext>
              </c:extLst>
            </c:dLbl>
            <c:dLbl>
              <c:idx val="2"/>
              <c:layout>
                <c:manualLayout>
                  <c:x val="-0.0790539657650594"/>
                  <c:y val="0.117309812568908"/>
                </c:manualLayout>
              </c:layout>
              <c:showLegendKey val="0"/>
              <c:showVal val="0"/>
              <c:showCatName val="0"/>
              <c:showSerName val="0"/>
              <c:showPercent val="1"/>
              <c:showBubbleSize val="0"/>
              <c:extLst>
                <c:ext xmlns:c15="http://schemas.microsoft.com/office/drawing/2012/chart" uri="{CE6537A1-D6FC-4f65-9D91-7224C49458BB}">
                  <c15:layout/>
                </c:ext>
              </c:extLst>
            </c:dLbl>
            <c:dLbl>
              <c:idx val="3"/>
              <c:layout>
                <c:manualLayout>
                  <c:x val="-0.110544884359075"/>
                  <c:y val="0.0482910694597574"/>
                </c:manualLayout>
              </c:layout>
              <c:showLegendKey val="0"/>
              <c:showVal val="0"/>
              <c:showCatName val="0"/>
              <c:showSerName val="0"/>
              <c:showPercent val="1"/>
              <c:showBubbleSize val="0"/>
              <c:extLst>
                <c:ext xmlns:c15="http://schemas.microsoft.com/office/drawing/2012/chart" uri="{CE6537A1-D6FC-4f65-9D91-7224C49458BB}">
                  <c15:layout/>
                </c:ext>
              </c:extLst>
            </c:dLbl>
            <c:dLbl>
              <c:idx val="4"/>
              <c:layout>
                <c:manualLayout>
                  <c:x val="-0.125441003528028"/>
                  <c:y val="-0.124145534729879"/>
                </c:manualLayout>
              </c:layout>
              <c:showLegendKey val="0"/>
              <c:showVal val="0"/>
              <c:showCatName val="0"/>
              <c:showSerName val="0"/>
              <c:showPercent val="1"/>
              <c:showBubbleSize val="0"/>
              <c:extLst>
                <c:ext xmlns:c15="http://schemas.microsoft.com/office/drawing/2012/chart" uri="{CE6537A1-D6FC-4f65-9D91-7224C49458BB}">
                  <c15:layout/>
                </c:ext>
              </c:extLst>
            </c:dLbl>
            <c:dLbl>
              <c:idx val="5"/>
              <c:layout>
                <c:manualLayout>
                  <c:x val="0.0763099438128838"/>
                  <c:y val="-0.12877618522602"/>
                </c:manualLayout>
              </c:layout>
              <c:showLegendKey val="0"/>
              <c:showVal val="0"/>
              <c:showCatName val="0"/>
              <c:showSerName val="0"/>
              <c:showPercent val="1"/>
              <c:showBubbleSize val="0"/>
              <c:extLst>
                <c:ext xmlns:c15="http://schemas.microsoft.com/office/drawing/2012/chart" uri="{CE6537A1-D6FC-4f65-9D91-7224C49458BB}">
                  <c15:layout/>
                </c:ext>
              </c:extLst>
            </c:dLbl>
            <c:numFmt formatCode="General" sourceLinked="1"/>
            <c:spPr>
              <a:noFill/>
              <a:ln>
                <a:noFill/>
              </a:ln>
              <a:effectLst/>
            </c:spPr>
            <c:txPr>
              <a:bodyPr rot="0" spcFirstLastPara="0" vertOverflow="ellipsis" vert="horz" wrap="square" lIns="38100" tIns="19050" rIns="38100" bIns="19050"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[道县土地市场分析.xlsx]Sheet3!$O$22:$O$27</c:f>
              <c:strCache>
                <c:ptCount val="6"/>
                <c:pt idx="0">
                  <c:v>商服用地</c:v>
                </c:pt>
                <c:pt idx="1">
                  <c:v>住宅用地</c:v>
                </c:pt>
                <c:pt idx="2">
                  <c:v>工矿仓储用地</c:v>
                </c:pt>
                <c:pt idx="3">
                  <c:v>公共管理与公共服务用地</c:v>
                </c:pt>
                <c:pt idx="4">
                  <c:v>特殊用地</c:v>
                </c:pt>
                <c:pt idx="5">
                  <c:v>交通运输用地</c:v>
                </c:pt>
              </c:strCache>
            </c:strRef>
          </c:cat>
          <c:val>
            <c:numRef>
              <c:f>[道县土地市场分析.xlsx]Sheet3!$P$22:$P$27</c:f>
              <c:numCache>
                <c:formatCode>General</c:formatCode>
                <c:ptCount val="6"/>
              </c:numCache>
            </c:numRef>
          </c:val>
        </c:ser>
        <c:ser>
          <c:idx val="1"/>
          <c:order val="1"/>
          <c:spPr>
            <a:ln w="19050">
              <a:solidFill>
                <a:schemeClr val="bg1"/>
              </a:solidFill>
            </a:ln>
          </c:spPr>
          <c:explosion val="0"/>
          <c:dPt>
            <c:idx val="0"/>
            <c:bubble3D val="0"/>
            <c:spPr>
              <a:solidFill>
                <a:schemeClr val="accent6"/>
              </a:solidFill>
              <a:ln w="19050">
                <a:solidFill>
                  <a:schemeClr val="bg1"/>
                </a:solidFill>
              </a:ln>
              <a:effectLst/>
            </c:spPr>
          </c:dPt>
          <c:dPt>
            <c:idx val="1"/>
            <c:bubble3D val="0"/>
            <c:spPr>
              <a:solidFill>
                <a:schemeClr val="accent1"/>
              </a:solidFill>
              <a:ln w="19050">
                <a:solidFill>
                  <a:schemeClr val="bg1"/>
                </a:solidFill>
              </a:ln>
              <a:effectLst/>
            </c:spPr>
          </c:dPt>
          <c:dPt>
            <c:idx val="2"/>
            <c:bubble3D val="0"/>
            <c:spPr>
              <a:solidFill>
                <a:schemeClr val="accent2"/>
              </a:solidFill>
              <a:ln w="19050">
                <a:solidFill>
                  <a:schemeClr val="bg1"/>
                </a:solidFill>
              </a:ln>
              <a:effectLst/>
            </c:spPr>
          </c:dPt>
          <c:dPt>
            <c:idx val="3"/>
            <c:bubble3D val="0"/>
            <c:spPr>
              <a:solidFill>
                <a:schemeClr val="accent3"/>
              </a:solidFill>
              <a:ln w="19050">
                <a:solidFill>
                  <a:schemeClr val="bg1"/>
                </a:solidFill>
              </a:ln>
              <a:effectLst/>
            </c:spPr>
          </c:dPt>
          <c:dPt>
            <c:idx val="4"/>
            <c:bubble3D val="0"/>
            <c:spPr>
              <a:solidFill>
                <a:schemeClr val="accent4"/>
              </a:solidFill>
              <a:ln w="19050">
                <a:solidFill>
                  <a:schemeClr val="bg1"/>
                </a:solidFill>
              </a:ln>
              <a:effectLst/>
            </c:spPr>
          </c:dPt>
          <c:dPt>
            <c:idx val="5"/>
            <c:bubble3D val="0"/>
            <c:spPr>
              <a:solidFill>
                <a:schemeClr val="accent5"/>
              </a:solidFill>
              <a:ln w="19050">
                <a:solidFill>
                  <a:schemeClr val="bg1"/>
                </a:solidFill>
              </a:ln>
              <a:effectLst/>
            </c:spPr>
          </c:dPt>
          <c:dLbls>
            <c:dLbl>
              <c:idx val="0"/>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2.7</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1"/>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21</a:t>
                    </a:r>
                    <a:r>
                      <a:rPr lang="en-US" altLang="zh-CN"/>
                      <a:t>.42</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2"/>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10.6</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3"/>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26</a:t>
                    </a:r>
                    <a:r>
                      <a:rPr lang="en-US" altLang="zh-CN"/>
                      <a:t>.55</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4"/>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0.75</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5"/>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37.98</a:t>
                    </a:r>
                    <a:r>
                      <a:t>%</a:t>
                    </a:r>
                  </a:p>
                </c:rich>
              </c:tx>
              <c:showLegendKey val="0"/>
              <c:showVal val="0"/>
              <c:showCatName val="0"/>
              <c:showSerName val="0"/>
              <c:showPercent val="1"/>
              <c:showBubbleSize val="0"/>
              <c:separator>
</c:separator>
              <c:extLst>
                <c:ext xmlns:c15="http://schemas.microsoft.com/office/drawing/2012/chart" uri="{CE6537A1-D6FC-4f65-9D91-7224C49458BB}"/>
              </c:extLst>
            </c:dLbl>
            <c:numFmt formatCode="General" sourceLinked="1"/>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[道县土地市场分析.xlsx]Sheet3!$O$22:$O$27</c:f>
              <c:strCache>
                <c:ptCount val="6"/>
                <c:pt idx="0">
                  <c:v>商服用地</c:v>
                </c:pt>
                <c:pt idx="1">
                  <c:v>住宅用地</c:v>
                </c:pt>
                <c:pt idx="2">
                  <c:v>工矿仓储用地</c:v>
                </c:pt>
                <c:pt idx="3">
                  <c:v>公共管理与公共服务用地</c:v>
                </c:pt>
                <c:pt idx="4">
                  <c:v>特殊用地</c:v>
                </c:pt>
                <c:pt idx="5">
                  <c:v>交通运输用地</c:v>
                </c:pt>
              </c:strCache>
            </c:strRef>
          </c:cat>
          <c:val>
            <c:numRef>
              <c:f>[道县土地市场分析.xlsx]Sheet3!$Q$22:$Q$27</c:f>
              <c:numCache>
                <c:formatCode>0.00%</c:formatCode>
                <c:ptCount val="6"/>
                <c:pt idx="0">
                  <c:v>0.0325</c:v>
                </c:pt>
                <c:pt idx="1">
                  <c:v>0.1901</c:v>
                </c:pt>
                <c:pt idx="2">
                  <c:v>0.1224</c:v>
                </c:pt>
                <c:pt idx="3">
                  <c:v>0.295</c:v>
                </c:pt>
                <c:pt idx="4">
                  <c:v>0.009</c:v>
                </c:pt>
                <c:pt idx="5">
                  <c:v>0.351</c:v>
                </c:pt>
              </c:numCache>
            </c:numRef>
          </c:val>
        </c:ser>
        <c:dLbls>
          <c:showLegendKey val="0"/>
          <c:showVal val="1"/>
          <c:showCatName val="0"/>
          <c:showSerName val="0"/>
          <c:showPercent val="0"/>
          <c:showBubbleSize val="0"/>
          <c:showLeaderLines val="1"/>
        </c:dLbls>
        <c:firstSliceAng val="27"/>
        <c:holeSize val="52"/>
      </c:doughnutChart>
      <c:spPr>
        <a:noFill/>
        <a:ln>
          <a:noFill/>
        </a:ln>
        <a:effectLst/>
      </c:spPr>
    </c:plotArea>
    <c:legend>
      <c:legendPos val="b"/>
      <c:layout>
        <c:manualLayout>
          <c:xMode val="edge"/>
          <c:yMode val="edge"/>
          <c:x val="0.698625487866961"/>
          <c:y val="0.19279176201373"/>
          <c:w val="0.296283726455116"/>
          <c:h val="0.779462242562929"/>
        </c:manualLayout>
      </c:layout>
      <c:overlay val="0"/>
      <c:spPr>
        <a:noFill/>
        <a:ln>
          <a:noFill/>
        </a:ln>
        <a:effectLst/>
      </c:spPr>
      <c:txPr>
        <a:bodyPr rot="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
    <c:plotVisOnly val="1"/>
    <c:dispBlanksAs val="gap"/>
    <c:showDLblsOverMax val="0"/>
    <c:extLst>
      <c:ext uri="{0b15fc19-7d7d-44ad-8c2d-2c3a37ce22c3}">
        <chartProps xmlns="https://web.wps.cn/et/2018/main" chartId="{f101004f-e116-4afe-a5f6-04c3ec9023ab}"/>
      </c:ext>
    </c:extLst>
  </c:chart>
  <c:spPr>
    <a:solidFill>
      <a:schemeClr val="bg1"/>
    </a:solidFill>
    <a:ln w="6350" cap="flat" cmpd="sng" algn="ctr">
      <a:solidFill>
        <a:schemeClr val="tx1">
          <a:lumMod val="50000"/>
          <a:lumOff val="50000"/>
          <a:alpha val="25000"/>
        </a:schemeClr>
      </a:solidFill>
      <a:round/>
    </a:ln>
    <a:effectLst/>
  </c:spPr>
  <c:txPr>
    <a:bodyPr/>
    <a:lstStyle/>
    <a:p>
      <a:pPr>
        <a:defRPr lang="zh-CN">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t>土地供应总量</a:t>
            </a:r>
          </a:p>
        </c:rich>
      </c:tx>
      <c:layout/>
      <c:overlay val="0"/>
      <c:spPr>
        <a:noFill/>
        <a:ln>
          <a:noFill/>
        </a:ln>
        <a:effectLst/>
      </c:spPr>
    </c:title>
    <c:autoTitleDeleted val="0"/>
    <c:plotArea>
      <c:layout/>
      <c:barChart>
        <c:barDir val="col"/>
        <c:grouping val="clustered"/>
        <c:varyColors val="0"/>
        <c:ser>
          <c:idx val="0"/>
          <c:order val="0"/>
          <c:tx>
            <c:strRef>
              <c:f>"出让土地"</c:f>
              <c:strCache>
                <c:ptCount val="1"/>
                <c:pt idx="0">
                  <c:v>出让土地</c:v>
                </c:pt>
              </c:strCache>
            </c:strRef>
          </c:tx>
          <c:spPr>
            <a:solidFill>
              <a:schemeClr val="accent4">
                <a:lumMod val="75000"/>
              </a:schemeClr>
            </a:solidFill>
            <a:ln>
              <a:noFill/>
            </a:ln>
            <a:effectLst/>
          </c:spPr>
          <c:invertIfNegative val="0"/>
          <c:dLbls>
            <c:dLbl>
              <c:idx val="0"/>
              <c:layout>
                <c:manualLayout>
                  <c:x val="-0.0157894736842105"/>
                  <c:y val="0.0173611111111111"/>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157894736842105"/>
                  <c:y val="0.03125"/>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986842105263158"/>
                  <c:y val="0.0138888888888889"/>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0.0236842105263158"/>
                  <c:y val="0.0208333333333333"/>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197368421052632"/>
                  <c:y val="0"/>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[道县土地市场分析.xlsx]Sheet3!$B$22:$B$26</c:f>
              <c:numCache>
                <c:formatCode>0.00_ </c:formatCode>
                <c:ptCount val="5"/>
                <c:pt idx="0">
                  <c:v>91.77</c:v>
                </c:pt>
                <c:pt idx="1">
                  <c:v>100.84</c:v>
                </c:pt>
                <c:pt idx="2">
                  <c:v>67.23</c:v>
                </c:pt>
                <c:pt idx="3">
                  <c:v>20.42</c:v>
                </c:pt>
                <c:pt idx="4" c:formatCode="General">
                  <c:v>134.88</c:v>
                </c:pt>
              </c:numCache>
            </c:numRef>
          </c:val>
        </c:ser>
        <c:ser>
          <c:idx val="1"/>
          <c:order val="1"/>
          <c:tx>
            <c:strRef>
              <c:f>"划拨土地"</c:f>
              <c:strCache>
                <c:ptCount val="1"/>
                <c:pt idx="0">
                  <c:v>划拨土地</c:v>
                </c:pt>
              </c:strCache>
            </c:strRef>
          </c:tx>
          <c:spPr>
            <a:solidFill>
              <a:srgbClr val="C00000"/>
            </a:solidFill>
            <a:ln>
              <a:noFill/>
            </a:ln>
            <a:effectLst/>
          </c:spPr>
          <c:invertIfNegative val="0"/>
          <c:dLbls>
            <c:dLbl>
              <c:idx val="0"/>
              <c:layout>
                <c:manualLayout>
                  <c:x val="-0.0177631578947368"/>
                  <c:y val="0.0104166666666667"/>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0600237513338615"/>
                  <c:y val="0.0347222222222222"/>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197368421052632"/>
                  <c:y val="0.0277777777777778"/>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5.80875012908208e-5"/>
                  <c:y val="0.0347222222222222"/>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177631578947368"/>
                  <c:y val="0.0243055555555556"/>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[道县土地市场分析.xlsx]Sheet3!$C$22:$C$26</c:f>
              <c:numCache>
                <c:formatCode>0.00_ </c:formatCode>
                <c:ptCount val="5"/>
                <c:pt idx="0">
                  <c:v>164.63</c:v>
                </c:pt>
                <c:pt idx="1">
                  <c:v>83.89</c:v>
                </c:pt>
                <c:pt idx="2">
                  <c:v>94.4</c:v>
                </c:pt>
                <c:pt idx="3">
                  <c:v>181.51</c:v>
                </c:pt>
                <c:pt idx="4" c:formatCode="General">
                  <c:v>32.85</c:v>
                </c:pt>
              </c:numCache>
            </c:numRef>
          </c:val>
        </c:ser>
        <c:ser>
          <c:idx val="2"/>
          <c:order val="2"/>
          <c:tx>
            <c:strRef>
              <c:f>"总面积"</c:f>
              <c:strCache>
                <c:ptCount val="1"/>
                <c:pt idx="0">
                  <c:v>总面积</c:v>
                </c:pt>
              </c:strCache>
            </c:strRef>
          </c:tx>
          <c:spPr>
            <a:solidFill>
              <a:schemeClr val="accent1">
                <a:lumMod val="75000"/>
              </a:schemeClr>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[道县土地市场分析.xlsx]Sheet3!$D$22:$D$26</c:f>
              <c:numCache>
                <c:formatCode>0.00_ </c:formatCode>
                <c:ptCount val="5"/>
                <c:pt idx="0">
                  <c:v>256.4</c:v>
                </c:pt>
                <c:pt idx="1">
                  <c:v>184.73</c:v>
                </c:pt>
                <c:pt idx="2">
                  <c:v>161.63</c:v>
                </c:pt>
                <c:pt idx="3">
                  <c:v>201.93</c:v>
                </c:pt>
                <c:pt idx="4">
                  <c:v>167.73</c:v>
                </c:pt>
              </c:numCache>
            </c:numRef>
          </c:val>
        </c:ser>
        <c:dLbls>
          <c:showLegendKey val="0"/>
          <c:showVal val="1"/>
          <c:showCatName val="0"/>
          <c:showSerName val="0"/>
          <c:showPercent val="0"/>
          <c:showBubbleSize val="0"/>
        </c:dLbls>
        <c:gapWidth val="219"/>
        <c:overlap val="-27"/>
        <c:axId val="634919036"/>
        <c:axId val="120007239"/>
      </c:barChart>
      <c:catAx>
        <c:axId val="634919036"/>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20007239"/>
        <c:crosses val="autoZero"/>
        <c:auto val="1"/>
        <c:lblAlgn val="ctr"/>
        <c:lblOffset val="100"/>
        <c:noMultiLvlLbl val="0"/>
      </c:catAx>
      <c:valAx>
        <c:axId val="120007239"/>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单位：公顷</a:t>
                </a:r>
              </a:p>
            </c:rich>
          </c:tx>
          <c:layout>
            <c:manualLayout>
              <c:xMode val="edge"/>
              <c:yMode val="edge"/>
              <c:x val="0.0230263157894737"/>
              <c:y val="0.155023148148148"/>
            </c:manualLayout>
          </c:layout>
          <c:overlay val="0"/>
          <c:spPr>
            <a:noFill/>
            <a:ln>
              <a:noFill/>
            </a:ln>
            <a:effectLst/>
          </c:spPr>
        </c:title>
        <c:numFmt formatCode="0.00_ "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34919036"/>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d914df3f-6393-4c6f-9afc-c3972d61cdb5}"/>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forceAA="0"/>
          <a:lstStyle/>
          <a:p>
            <a:pPr defTabSz="914400">
              <a:defRPr lang="zh-CN" sz="1400" b="0" i="0" u="none" strike="noStrike" kern="1200" spc="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面积比例</a:t>
            </a:r>
          </a:p>
        </c:rich>
      </c:tx>
      <c:layout/>
      <c:overlay val="0"/>
      <c:spPr>
        <a:noFill/>
        <a:ln>
          <a:noFill/>
        </a:ln>
        <a:effectLst/>
      </c:spPr>
    </c:title>
    <c:autoTitleDeleted val="0"/>
    <c:plotArea>
      <c:layout>
        <c:manualLayout>
          <c:layoutTarget val="inner"/>
          <c:xMode val="edge"/>
          <c:yMode val="edge"/>
          <c:x val="0.145596470388597"/>
          <c:y val="0.152459954233409"/>
          <c:w val="0.497709146444935"/>
          <c:h val="0.83895881006865"/>
        </c:manualLayout>
      </c:layout>
      <c:doughnutChart>
        <c:varyColors val="1"/>
        <c:ser>
          <c:idx val="0"/>
          <c:order val="0"/>
          <c:spPr>
            <a:ln w="19050">
              <a:solidFill>
                <a:schemeClr val="bg1"/>
              </a:solidFill>
            </a:ln>
          </c:spPr>
          <c:explosion val="0"/>
          <c:dPt>
            <c:idx val="0"/>
            <c:bubble3D val="0"/>
            <c:spPr>
              <a:solidFill>
                <a:schemeClr val="accent6"/>
              </a:solidFill>
              <a:ln w="19050">
                <a:solidFill>
                  <a:schemeClr val="bg1"/>
                </a:solidFill>
              </a:ln>
              <a:effectLst/>
            </c:spPr>
          </c:dPt>
          <c:dPt>
            <c:idx val="1"/>
            <c:bubble3D val="0"/>
            <c:spPr>
              <a:solidFill>
                <a:schemeClr val="accent1"/>
              </a:solidFill>
              <a:ln w="19050">
                <a:solidFill>
                  <a:schemeClr val="bg1"/>
                </a:solidFill>
              </a:ln>
              <a:effectLst/>
            </c:spPr>
          </c:dPt>
          <c:dPt>
            <c:idx val="2"/>
            <c:bubble3D val="0"/>
            <c:spPr>
              <a:solidFill>
                <a:schemeClr val="accent2"/>
              </a:solidFill>
              <a:ln w="19050">
                <a:solidFill>
                  <a:schemeClr val="bg1"/>
                </a:solidFill>
              </a:ln>
              <a:effectLst/>
            </c:spPr>
          </c:dPt>
          <c:dPt>
            <c:idx val="3"/>
            <c:bubble3D val="0"/>
            <c:spPr>
              <a:solidFill>
                <a:schemeClr val="accent3"/>
              </a:solidFill>
              <a:ln w="19050">
                <a:solidFill>
                  <a:schemeClr val="bg1"/>
                </a:solidFill>
              </a:ln>
              <a:effectLst/>
            </c:spPr>
          </c:dPt>
          <c:dPt>
            <c:idx val="4"/>
            <c:bubble3D val="0"/>
            <c:spPr>
              <a:solidFill>
                <a:schemeClr val="accent4"/>
              </a:solidFill>
              <a:ln w="19050">
                <a:solidFill>
                  <a:schemeClr val="bg1"/>
                </a:solidFill>
              </a:ln>
              <a:effectLst/>
            </c:spPr>
          </c:dPt>
          <c:dPt>
            <c:idx val="5"/>
            <c:bubble3D val="0"/>
            <c:spPr>
              <a:solidFill>
                <a:schemeClr val="accent5"/>
              </a:solidFill>
              <a:ln w="19050">
                <a:solidFill>
                  <a:schemeClr val="bg1"/>
                </a:solidFill>
              </a:ln>
              <a:effectLst/>
            </c:spPr>
          </c:dPt>
          <c:dLbls>
            <c:dLbl>
              <c:idx val="0"/>
              <c:layout>
                <c:manualLayout>
                  <c:x val="0.134979746504639"/>
                  <c:y val="-0.0253583241455347"/>
                </c:manualLayout>
              </c:layout>
              <c:showLegendKey val="0"/>
              <c:showVal val="0"/>
              <c:showCatName val="0"/>
              <c:showSerName val="0"/>
              <c:showPercent val="1"/>
              <c:showBubbleSize val="0"/>
              <c:extLst>
                <c:ext xmlns:c15="http://schemas.microsoft.com/office/drawing/2012/chart" uri="{CE6537A1-D6FC-4f65-9D91-7224C49458BB}">
                  <c15:layout/>
                </c:ext>
              </c:extLst>
            </c:dLbl>
            <c:dLbl>
              <c:idx val="1"/>
              <c:layout>
                <c:manualLayout>
                  <c:x val="0.145955834313341"/>
                  <c:y val="0.0873208379272326"/>
                </c:manualLayout>
              </c:layout>
              <c:showLegendKey val="0"/>
              <c:showVal val="0"/>
              <c:showCatName val="0"/>
              <c:showSerName val="0"/>
              <c:showPercent val="1"/>
              <c:showBubbleSize val="0"/>
              <c:extLst>
                <c:ext xmlns:c15="http://schemas.microsoft.com/office/drawing/2012/chart" uri="{CE6537A1-D6FC-4f65-9D91-7224C49458BB}">
                  <c15:layout/>
                </c:ext>
              </c:extLst>
            </c:dLbl>
            <c:dLbl>
              <c:idx val="2"/>
              <c:layout>
                <c:manualLayout>
                  <c:x val="-0.0790539657650594"/>
                  <c:y val="0.117309812568908"/>
                </c:manualLayout>
              </c:layout>
              <c:showLegendKey val="0"/>
              <c:showVal val="0"/>
              <c:showCatName val="0"/>
              <c:showSerName val="0"/>
              <c:showPercent val="1"/>
              <c:showBubbleSize val="0"/>
              <c:extLst>
                <c:ext xmlns:c15="http://schemas.microsoft.com/office/drawing/2012/chart" uri="{CE6537A1-D6FC-4f65-9D91-7224C49458BB}">
                  <c15:layout/>
                </c:ext>
              </c:extLst>
            </c:dLbl>
            <c:dLbl>
              <c:idx val="3"/>
              <c:layout>
                <c:manualLayout>
                  <c:x val="-0.110544884359075"/>
                  <c:y val="0.0482910694597574"/>
                </c:manualLayout>
              </c:layout>
              <c:showLegendKey val="0"/>
              <c:showVal val="0"/>
              <c:showCatName val="0"/>
              <c:showSerName val="0"/>
              <c:showPercent val="1"/>
              <c:showBubbleSize val="0"/>
              <c:extLst>
                <c:ext xmlns:c15="http://schemas.microsoft.com/office/drawing/2012/chart" uri="{CE6537A1-D6FC-4f65-9D91-7224C49458BB}">
                  <c15:layout/>
                </c:ext>
              </c:extLst>
            </c:dLbl>
            <c:dLbl>
              <c:idx val="4"/>
              <c:layout>
                <c:manualLayout>
                  <c:x val="-0.125441003528028"/>
                  <c:y val="-0.124145534729879"/>
                </c:manualLayout>
              </c:layout>
              <c:showLegendKey val="0"/>
              <c:showVal val="0"/>
              <c:showCatName val="0"/>
              <c:showSerName val="0"/>
              <c:showPercent val="1"/>
              <c:showBubbleSize val="0"/>
              <c:extLst>
                <c:ext xmlns:c15="http://schemas.microsoft.com/office/drawing/2012/chart" uri="{CE6537A1-D6FC-4f65-9D91-7224C49458BB}">
                  <c15:layout/>
                </c:ext>
              </c:extLst>
            </c:dLbl>
            <c:dLbl>
              <c:idx val="5"/>
              <c:layout>
                <c:manualLayout>
                  <c:x val="0.0763099438128838"/>
                  <c:y val="-0.12877618522602"/>
                </c:manualLayout>
              </c:layout>
              <c:showLegendKey val="0"/>
              <c:showVal val="0"/>
              <c:showCatName val="0"/>
              <c:showSerName val="0"/>
              <c:showPercent val="1"/>
              <c:showBubbleSize val="0"/>
              <c:extLst>
                <c:ext xmlns:c15="http://schemas.microsoft.com/office/drawing/2012/chart" uri="{CE6537A1-D6FC-4f65-9D91-7224C49458BB}">
                  <c15:layout/>
                </c:ext>
              </c:extLst>
            </c:dLbl>
            <c:numFmt formatCode="General" sourceLinked="1"/>
            <c:spPr>
              <a:noFill/>
              <a:ln>
                <a:noFill/>
              </a:ln>
              <a:effectLst/>
            </c:spPr>
            <c:txPr>
              <a:bodyPr rot="0" spcFirstLastPara="0" vertOverflow="ellipsis" vert="horz" wrap="square" lIns="38100" tIns="19050" rIns="38100" bIns="19050"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[道县土地市场分析.xlsx]Sheet3!$O$22:$O$27</c:f>
              <c:strCache>
                <c:ptCount val="6"/>
                <c:pt idx="0">
                  <c:v>商服用地</c:v>
                </c:pt>
                <c:pt idx="1">
                  <c:v>住宅用地</c:v>
                </c:pt>
                <c:pt idx="2">
                  <c:v>工矿仓储用地</c:v>
                </c:pt>
                <c:pt idx="3">
                  <c:v>公共管理与公共服务用地</c:v>
                </c:pt>
                <c:pt idx="4">
                  <c:v>特殊用地</c:v>
                </c:pt>
                <c:pt idx="5">
                  <c:v>交通运输用地</c:v>
                </c:pt>
              </c:strCache>
            </c:strRef>
          </c:cat>
          <c:val>
            <c:numRef>
              <c:f>[道县土地市场分析.xlsx]Sheet3!$P$22:$P$27</c:f>
              <c:numCache>
                <c:formatCode>General</c:formatCode>
                <c:ptCount val="6"/>
              </c:numCache>
            </c:numRef>
          </c:val>
        </c:ser>
        <c:ser>
          <c:idx val="1"/>
          <c:order val="1"/>
          <c:spPr>
            <a:ln w="19050">
              <a:solidFill>
                <a:schemeClr val="bg1"/>
              </a:solidFill>
            </a:ln>
          </c:spPr>
          <c:explosion val="0"/>
          <c:dPt>
            <c:idx val="0"/>
            <c:bubble3D val="0"/>
            <c:spPr>
              <a:solidFill>
                <a:schemeClr val="accent6"/>
              </a:solidFill>
              <a:ln w="19050">
                <a:solidFill>
                  <a:schemeClr val="bg1"/>
                </a:solidFill>
              </a:ln>
              <a:effectLst/>
            </c:spPr>
          </c:dPt>
          <c:dPt>
            <c:idx val="1"/>
            <c:bubble3D val="0"/>
            <c:spPr>
              <a:solidFill>
                <a:schemeClr val="accent1"/>
              </a:solidFill>
              <a:ln w="19050">
                <a:solidFill>
                  <a:schemeClr val="bg1"/>
                </a:solidFill>
              </a:ln>
              <a:effectLst/>
            </c:spPr>
          </c:dPt>
          <c:dPt>
            <c:idx val="2"/>
            <c:bubble3D val="0"/>
            <c:spPr>
              <a:solidFill>
                <a:schemeClr val="accent2"/>
              </a:solidFill>
              <a:ln w="19050">
                <a:solidFill>
                  <a:schemeClr val="bg1"/>
                </a:solidFill>
              </a:ln>
              <a:effectLst/>
            </c:spPr>
          </c:dPt>
          <c:dPt>
            <c:idx val="3"/>
            <c:bubble3D val="0"/>
            <c:spPr>
              <a:solidFill>
                <a:schemeClr val="accent3"/>
              </a:solidFill>
              <a:ln w="19050">
                <a:solidFill>
                  <a:schemeClr val="bg1"/>
                </a:solidFill>
              </a:ln>
              <a:effectLst/>
            </c:spPr>
          </c:dPt>
          <c:dPt>
            <c:idx val="4"/>
            <c:bubble3D val="0"/>
            <c:spPr>
              <a:solidFill>
                <a:schemeClr val="accent4"/>
              </a:solidFill>
              <a:ln w="19050">
                <a:solidFill>
                  <a:schemeClr val="bg1"/>
                </a:solidFill>
              </a:ln>
              <a:effectLst/>
            </c:spPr>
          </c:dPt>
          <c:dPt>
            <c:idx val="5"/>
            <c:bubble3D val="0"/>
            <c:spPr>
              <a:solidFill>
                <a:schemeClr val="accent5"/>
              </a:solidFill>
              <a:ln w="19050">
                <a:solidFill>
                  <a:schemeClr val="bg1"/>
                </a:solidFill>
              </a:ln>
              <a:effectLst/>
            </c:spPr>
          </c:dPt>
          <c:dLbls>
            <c:dLbl>
              <c:idx val="0"/>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2.7</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1"/>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21</a:t>
                    </a:r>
                    <a:r>
                      <a:rPr lang="en-US" altLang="zh-CN"/>
                      <a:t>.42</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2"/>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10.6</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3"/>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26</a:t>
                    </a:r>
                    <a:r>
                      <a:rPr lang="en-US" altLang="zh-CN"/>
                      <a:t>.55</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4"/>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0.75</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5"/>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37.98</a:t>
                    </a:r>
                    <a:r>
                      <a:t>%</a:t>
                    </a:r>
                  </a:p>
                </c:rich>
              </c:tx>
              <c:showLegendKey val="0"/>
              <c:showVal val="0"/>
              <c:showCatName val="0"/>
              <c:showSerName val="0"/>
              <c:showPercent val="1"/>
              <c:showBubbleSize val="0"/>
              <c:separator>
</c:separator>
              <c:extLst>
                <c:ext xmlns:c15="http://schemas.microsoft.com/office/drawing/2012/chart" uri="{CE6537A1-D6FC-4f65-9D91-7224C49458BB}"/>
              </c:extLst>
            </c:dLbl>
            <c:numFmt formatCode="General" sourceLinked="1"/>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[道县土地市场分析.xlsx]Sheet3!$O$22:$O$27</c:f>
              <c:strCache>
                <c:ptCount val="6"/>
                <c:pt idx="0">
                  <c:v>商服用地</c:v>
                </c:pt>
                <c:pt idx="1">
                  <c:v>住宅用地</c:v>
                </c:pt>
                <c:pt idx="2">
                  <c:v>工矿仓储用地</c:v>
                </c:pt>
                <c:pt idx="3">
                  <c:v>公共管理与公共服务用地</c:v>
                </c:pt>
                <c:pt idx="4">
                  <c:v>特殊用地</c:v>
                </c:pt>
                <c:pt idx="5">
                  <c:v>交通运输用地</c:v>
                </c:pt>
              </c:strCache>
            </c:strRef>
          </c:cat>
          <c:val>
            <c:numRef>
              <c:f>[道县土地市场分析.xlsx]Sheet3!$Q$22:$Q$27</c:f>
              <c:numCache>
                <c:formatCode>0.00%</c:formatCode>
                <c:ptCount val="6"/>
                <c:pt idx="0">
                  <c:v>0.0325</c:v>
                </c:pt>
                <c:pt idx="1">
                  <c:v>0.1901</c:v>
                </c:pt>
                <c:pt idx="2">
                  <c:v>0.1224</c:v>
                </c:pt>
                <c:pt idx="3">
                  <c:v>0.295</c:v>
                </c:pt>
                <c:pt idx="4">
                  <c:v>0.009</c:v>
                </c:pt>
                <c:pt idx="5">
                  <c:v>0.351</c:v>
                </c:pt>
              </c:numCache>
            </c:numRef>
          </c:val>
        </c:ser>
        <c:dLbls>
          <c:showLegendKey val="0"/>
          <c:showVal val="1"/>
          <c:showCatName val="0"/>
          <c:showSerName val="0"/>
          <c:showPercent val="0"/>
          <c:showBubbleSize val="0"/>
          <c:showLeaderLines val="1"/>
        </c:dLbls>
        <c:firstSliceAng val="27"/>
        <c:holeSize val="52"/>
      </c:doughnutChart>
      <c:spPr>
        <a:noFill/>
        <a:ln>
          <a:noFill/>
        </a:ln>
        <a:effectLst/>
      </c:spPr>
    </c:plotArea>
    <c:legend>
      <c:legendPos val="b"/>
      <c:layout>
        <c:manualLayout>
          <c:xMode val="edge"/>
          <c:yMode val="edge"/>
          <c:x val="0.698625487866961"/>
          <c:y val="0.19279176201373"/>
          <c:w val="0.296283726455116"/>
          <c:h val="0.779462242562929"/>
        </c:manualLayout>
      </c:layout>
      <c:overlay val="0"/>
      <c:spPr>
        <a:noFill/>
        <a:ln>
          <a:noFill/>
        </a:ln>
        <a:effectLst/>
      </c:spPr>
      <c:txPr>
        <a:bodyPr rot="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
    <c:plotVisOnly val="1"/>
    <c:dispBlanksAs val="gap"/>
    <c:showDLblsOverMax val="0"/>
    <c:extLst>
      <c:ext uri="{0b15fc19-7d7d-44ad-8c2d-2c3a37ce22c3}">
        <chartProps xmlns="https://web.wps.cn/et/2018/main" chartId="{f101004f-e116-4afe-a5f6-04c3ec9023ab}"/>
      </c:ext>
    </c:extLst>
  </c:chart>
  <c:spPr>
    <a:solidFill>
      <a:schemeClr val="bg1"/>
    </a:solidFill>
    <a:ln w="6350" cap="flat" cmpd="sng" algn="ctr">
      <a:solidFill>
        <a:schemeClr val="tx1">
          <a:lumMod val="50000"/>
          <a:lumOff val="50000"/>
          <a:alpha val="25000"/>
        </a:schemeClr>
      </a:solidFill>
      <a:round/>
    </a:ln>
    <a:effectLst/>
  </c:spPr>
  <c:txPr>
    <a:bodyPr/>
    <a:lstStyle/>
    <a:p>
      <a:pPr>
        <a:defRPr lang="zh-CN">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29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1029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119</Pages>
  <Words>9689</Words>
  <Characters>11224</Characters>
  <Lines>0</Lines>
  <Paragraphs>0</Paragraphs>
  <TotalTime>0</TotalTime>
  <ScaleCrop>false</ScaleCrop>
  <LinksUpToDate>false</LinksUpToDate>
  <CharactersWithSpaces>11728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2025-11-27T14:34:00Z</dcterms:created>
  <dc:creator>熙里处</dc:creator>
  <cp:lastModifiedBy>歪比八卜</cp:lastModifiedBy>
  <dcterms:modified xsi:type="dcterms:W3CDTF">2026-06-01T02:51:24Z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098284A2088F430A8E5A60FDD1D00DE4_13</vt:lpwstr>
  </property>
  <property fmtid="{D5CDD505-2E9C-101B-9397-08002B2CF9AE}" pid="4" name="KSOTemplateDocerSaveRecord">
    <vt:lpwstr>eyJoZGlkIjoiYzg2ZDFhZjAxODU1NmRlODQ1YThmY2VjYmViZjg0YjgiLCJ1c2VySWQiOiIyNTc4NTE1ODcifQ==</vt:lpwstr>
  </property>
</Properties>
</file>