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r>
        <w:t>★基准地价系数修正法</w:t>
      </w:r>
    </w:p>
    <w:p>
      <w:r>
        <w:t>{{ benchmark_corr_method_intro }}</w:t>
      </w:r>
    </w:p>
    <w:p>
      <w:r>
        <w:t>★剩余法</w:t>
      </w:r>
    </w:p>
    <w:p>
      <w:r>
        <w:t>{{ residual_method_intro }}</w:t>
      </w:r>
    </w:p>
    <w:p>
      <w:pPr>
        <w:spacing w:before="0" w:after="0" w:line="460" w:lineRule="exact"/>
        <w:ind w:left="561" w:firstLine="0"/>
      </w:pPr>
      <w:r>
        <w:rPr>
          <w:rFonts w:ascii="仿宋_GB2312" w:hAnsi="仿宋_GB2312" w:eastAsia="仿宋_GB2312" w:cs="仿宋_GB2312"/>
          <w:sz w:val="28"/>
        </w:rPr>
        <w:t>{{ final_price_determination }}</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 county_name }}）</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r>
        <w:rPr>
          <w:rFonts w:ascii="仿宋_GB2312" w:hAnsi="仿宋_GB2312" w:eastAsia="仿宋_GB2312"/>
          <w:b/>
        </w:rPr>
        <w:t>★成本逼近法</w:t>
      </w:r>
    </w:p>
    <w:p>
      <w:r>
        <w:rPr>
          <w:rFonts w:ascii="仿宋_GB2312" w:hAnsi="仿宋_GB2312" w:eastAsia="仿宋_GB2312"/>
          <w:b w:val="0"/>
        </w:rPr>
        <w:t>【待校核】</w:t>
      </w:r>
    </w:p>
    <w:p>
      <w:r>
        <w:rPr>
          <w:rFonts w:ascii="仿宋_GB2312" w:hAnsi="仿宋_GB2312" w:eastAsia="仿宋_GB2312"/>
          <w:b/>
        </w:rPr>
        <w:t>计算过程：</w:t>
      </w:r>
    </w:p>
    <w:p>
      <w:r>
        <w:rPr>
          <w:rFonts w:ascii="仿宋_GB2312" w:hAnsi="仿宋_GB2312" w:eastAsia="仿宋_GB2312"/>
          <w:b w:val="0"/>
        </w:rPr>
        <w:t>估价对象位于道县状元路以北、潇水北路以西，本次成本逼近法按水田测算土地取得成本。系统依据估价期日有效的政策文件、估价师确认的市场调查资料及外部测算结果进行计算。</w:t>
      </w:r>
    </w:p>
    <w:p>
      <w:r>
        <w:rPr>
          <w:rFonts w:ascii="仿宋_GB2312" w:hAnsi="仿宋_GB2312" w:eastAsia="仿宋_GB2312"/>
          <w:b/>
        </w:rPr>
        <w:t>1、土地取得费</w:t>
      </w:r>
    </w:p>
    <w:p>
      <w:r>
        <w:rPr>
          <w:rFonts w:ascii="仿宋_GB2312" w:hAnsi="仿宋_GB2312" w:eastAsia="仿宋_GB2312"/>
          <w:b w:val="0"/>
        </w:rPr>
        <w:t>土地取得费由征地补偿、青苗及地上附着物等费用组成，合计为238.26元/平方米。</w:t>
      </w:r>
    </w:p>
    <w:p>
      <w:r>
        <w:rPr>
          <w:rFonts w:ascii="仿宋_GB2312" w:hAnsi="仿宋_GB2312" w:eastAsia="仿宋_GB2312"/>
          <w:b/>
        </w:rPr>
        <w:t>土地取得费测算表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征地补偿费和安置补助费</w:t>
            </w:r>
          </w:p>
        </w:tc>
        <w:tc>
          <w:tcPr>
            <w:tcW w:type="dxa" w:w="2268"/>
            <w:vAlign w:val="center"/>
          </w:tcPr>
          <w:p>
            <w:pPr>
              <w:spacing w:before="0" w:after="0"/>
              <w:ind w:firstLine="0"/>
              <w:jc w:val="center"/>
            </w:pPr>
            <w:r>
              <w:rPr>
                <w:rFonts w:ascii="仿宋_GB2312" w:hAnsi="仿宋_GB2312" w:eastAsia="仿宋_GB2312"/>
                <w:b w:val="0"/>
                <w:sz w:val="16"/>
              </w:rPr>
              <w:t>道县征地区片Ⅰ推荐值</w:t>
            </w:r>
          </w:p>
        </w:tc>
        <w:tc>
          <w:tcPr>
            <w:tcW w:type="dxa" w:w="1474"/>
            <w:vAlign w:val="center"/>
          </w:tcPr>
          <w:p>
            <w:pPr>
              <w:spacing w:before="0" w:after="0"/>
              <w:ind w:firstLine="0"/>
              <w:jc w:val="center"/>
            </w:pPr>
            <w:r>
              <w:rPr>
                <w:rFonts w:ascii="仿宋_GB2312" w:hAnsi="仿宋_GB2312" w:eastAsia="仿宋_GB2312"/>
                <w:b w:val="0"/>
                <w:sz w:val="16"/>
              </w:rPr>
              <w:t>66300 元/亩</w:t>
            </w:r>
          </w:p>
        </w:tc>
        <w:tc>
          <w:tcPr>
            <w:tcW w:type="dxa" w:w="2154"/>
            <w:vAlign w:val="center"/>
          </w:tcPr>
          <w:p>
            <w:pPr>
              <w:spacing w:before="0" w:after="0"/>
              <w:ind w:firstLine="0"/>
              <w:jc w:val="center"/>
            </w:pPr>
            <w:r>
              <w:rPr>
                <w:rFonts w:ascii="仿宋_GB2312" w:hAnsi="仿宋_GB2312" w:eastAsia="仿宋_GB2312"/>
                <w:b w:val="0"/>
                <w:sz w:val="16"/>
              </w:rPr>
              <w:t>区片标准×地类系数×0.0015</w:t>
            </w:r>
          </w:p>
        </w:tc>
        <w:tc>
          <w:tcPr>
            <w:tcW w:type="dxa" w:w="1474"/>
            <w:vAlign w:val="center"/>
          </w:tcPr>
          <w:p>
            <w:pPr>
              <w:spacing w:before="0" w:after="0"/>
              <w:ind w:firstLine="0"/>
              <w:jc w:val="center"/>
            </w:pPr>
            <w:r>
              <w:rPr>
                <w:rFonts w:ascii="仿宋_GB2312" w:hAnsi="仿宋_GB2312" w:eastAsia="仿宋_GB2312"/>
                <w:b w:val="0"/>
                <w:sz w:val="16"/>
              </w:rPr>
              <w:t>99.45</w:t>
            </w:r>
          </w:p>
        </w:tc>
      </w:tr>
      <w:tr>
        <w:tc>
          <w:tcPr>
            <w:tcW w:type="dxa" w:w="1757"/>
            <w:vAlign w:val="center"/>
          </w:tcPr>
          <w:p>
            <w:pPr>
              <w:spacing w:before="0" w:after="0"/>
              <w:ind w:firstLine="0"/>
              <w:jc w:val="center"/>
            </w:pPr>
            <w:r>
              <w:rPr>
                <w:rFonts w:ascii="仿宋_GB2312" w:hAnsi="仿宋_GB2312" w:eastAsia="仿宋_GB2312"/>
                <w:b w:val="0"/>
                <w:sz w:val="16"/>
              </w:rPr>
              <w:t>青苗及地上附着物补偿</w:t>
            </w:r>
          </w:p>
        </w:tc>
        <w:tc>
          <w:tcPr>
            <w:tcW w:type="dxa" w:w="2268"/>
            <w:vAlign w:val="center"/>
          </w:tcPr>
          <w:p>
            <w:pPr>
              <w:spacing w:before="0" w:after="0"/>
              <w:ind w:firstLine="0"/>
              <w:jc w:val="center"/>
            </w:pPr>
            <w:r>
              <w:rPr>
                <w:rFonts w:ascii="仿宋_GB2312" w:hAnsi="仿宋_GB2312" w:eastAsia="仿宋_GB2312"/>
                <w:b w:val="0"/>
                <w:sz w:val="16"/>
              </w:rPr>
              <w:t>附着物补偿外部测算</w:t>
            </w:r>
          </w:p>
        </w:tc>
        <w:tc>
          <w:tcPr>
            <w:tcW w:type="dxa" w:w="1474"/>
            <w:vAlign w:val="center"/>
          </w:tcPr>
          <w:p>
            <w:pPr>
              <w:spacing w:before="0" w:after="0"/>
              <w:ind w:firstLine="0"/>
              <w:jc w:val="center"/>
            </w:pPr>
            <w:r>
              <w:rPr>
                <w:rFonts w:ascii="仿宋_GB2312" w:hAnsi="仿宋_GB2312" w:eastAsia="仿宋_GB2312"/>
                <w:b w:val="0"/>
                <w:sz w:val="16"/>
              </w:rPr>
              <w:t>—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138.81</w:t>
            </w:r>
          </w:p>
        </w:tc>
      </w:tr>
    </w:tbl>
    <w:p>
      <w:r>
        <w:rPr>
          <w:rFonts w:ascii="仿宋_GB2312" w:hAnsi="仿宋_GB2312" w:eastAsia="仿宋_GB2312"/>
          <w:b/>
        </w:rPr>
        <w:t>2、相关税费（T）</w:t>
      </w:r>
    </w:p>
    <w:p>
      <w:r>
        <w:rPr>
          <w:rFonts w:ascii="仿宋_GB2312" w:hAnsi="仿宋_GB2312" w:eastAsia="仿宋_GB2312"/>
          <w:b w:val="0"/>
        </w:rPr>
        <w:t>根据估价对象征收地类及适用政策，相关税费合计为155.60元/平方米。</w:t>
      </w:r>
    </w:p>
    <w:p>
      <w:r>
        <w:rPr>
          <w:rFonts w:ascii="仿宋_GB2312" w:hAnsi="仿宋_GB2312" w:eastAsia="仿宋_GB2312"/>
          <w:b/>
        </w:rPr>
        <w:t>土地取得费及相关税费一览表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水利建设基金</w:t>
            </w:r>
          </w:p>
        </w:tc>
        <w:tc>
          <w:tcPr>
            <w:tcW w:type="dxa" w:w="2268"/>
            <w:vAlign w:val="center"/>
          </w:tcPr>
          <w:p>
            <w:pPr>
              <w:spacing w:before="0" w:after="0"/>
              <w:ind w:firstLine="0"/>
              <w:jc w:val="center"/>
            </w:pPr>
            <w:r>
              <w:rPr>
                <w:rFonts w:ascii="仿宋_GB2312" w:hAnsi="仿宋_GB2312" w:eastAsia="仿宋_GB2312"/>
                <w:b w:val="0"/>
                <w:sz w:val="16"/>
              </w:rPr>
              <w:t>新增建设用地有偿使用费相关政策</w:t>
            </w:r>
          </w:p>
        </w:tc>
        <w:tc>
          <w:tcPr>
            <w:tcW w:type="dxa" w:w="1474"/>
            <w:vAlign w:val="center"/>
          </w:tcPr>
          <w:p>
            <w:pPr>
              <w:spacing w:before="0" w:after="0"/>
              <w:ind w:firstLine="0"/>
              <w:jc w:val="center"/>
            </w:pPr>
            <w:r>
              <w:rPr>
                <w:rFonts w:ascii="仿宋_GB2312" w:hAnsi="仿宋_GB2312" w:eastAsia="仿宋_GB2312"/>
                <w:b w:val="0"/>
                <w:sz w:val="16"/>
              </w:rPr>
              <w:t>1.60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1.60</w:t>
            </w:r>
          </w:p>
        </w:tc>
      </w:tr>
      <w:tr>
        <w:tc>
          <w:tcPr>
            <w:tcW w:type="dxa" w:w="1757"/>
            <w:vAlign w:val="center"/>
          </w:tcPr>
          <w:p>
            <w:pPr>
              <w:spacing w:before="0" w:after="0"/>
              <w:ind w:firstLine="0"/>
              <w:jc w:val="center"/>
            </w:pPr>
            <w:r>
              <w:rPr>
                <w:rFonts w:ascii="仿宋_GB2312" w:hAnsi="仿宋_GB2312" w:eastAsia="仿宋_GB2312"/>
                <w:b w:val="0"/>
                <w:sz w:val="16"/>
              </w:rPr>
              <w:t>耕地占用税</w:t>
            </w:r>
          </w:p>
        </w:tc>
        <w:tc>
          <w:tcPr>
            <w:tcW w:type="dxa" w:w="2268"/>
            <w:vAlign w:val="center"/>
          </w:tcPr>
          <w:p>
            <w:pPr>
              <w:spacing w:before="0" w:after="0"/>
              <w:ind w:firstLine="0"/>
              <w:jc w:val="center"/>
            </w:pPr>
            <w:r>
              <w:rPr>
                <w:rFonts w:ascii="仿宋_GB2312" w:hAnsi="仿宋_GB2312" w:eastAsia="仿宋_GB2312"/>
                <w:b w:val="0"/>
                <w:sz w:val="16"/>
              </w:rPr>
              <w:t>policy_recommendation</w:t>
            </w:r>
          </w:p>
        </w:tc>
        <w:tc>
          <w:tcPr>
            <w:tcW w:type="dxa" w:w="1474"/>
            <w:vAlign w:val="center"/>
          </w:tcPr>
          <w:p>
            <w:pPr>
              <w:spacing w:before="0" w:after="0"/>
              <w:ind w:firstLine="0"/>
              <w:jc w:val="center"/>
            </w:pPr>
            <w:r>
              <w:rPr>
                <w:rFonts w:ascii="仿宋_GB2312" w:hAnsi="仿宋_GB2312" w:eastAsia="仿宋_GB2312"/>
                <w:b w:val="0"/>
                <w:sz w:val="16"/>
              </w:rPr>
              <w:t>25.00 元/平方米</w:t>
            </w:r>
          </w:p>
        </w:tc>
        <w:tc>
          <w:tcPr>
            <w:tcW w:type="dxa" w:w="2154"/>
            <w:vAlign w:val="center"/>
          </w:tcPr>
          <w:p>
            <w:pPr>
              <w:spacing w:before="0" w:after="0"/>
              <w:ind w:firstLine="0"/>
              <w:jc w:val="center"/>
            </w:pPr>
            <w:r>
              <w:rPr>
                <w:rFonts w:ascii="仿宋_GB2312" w:hAnsi="仿宋_GB2312" w:eastAsia="仿宋_GB2312"/>
                <w:b w:val="0"/>
                <w:sz w:val="16"/>
              </w:rPr>
              <w:t>适用税额×地类调整系数</w:t>
            </w:r>
          </w:p>
        </w:tc>
        <w:tc>
          <w:tcPr>
            <w:tcW w:type="dxa" w:w="1474"/>
            <w:vAlign w:val="center"/>
          </w:tcPr>
          <w:p>
            <w:pPr>
              <w:spacing w:before="0" w:after="0"/>
              <w:ind w:firstLine="0"/>
              <w:jc w:val="center"/>
            </w:pPr>
            <w:r>
              <w:rPr>
                <w:rFonts w:ascii="仿宋_GB2312" w:hAnsi="仿宋_GB2312" w:eastAsia="仿宋_GB2312"/>
                <w:b w:val="0"/>
                <w:sz w:val="16"/>
              </w:rPr>
              <w:t>25.00</w:t>
            </w:r>
          </w:p>
        </w:tc>
      </w:tr>
      <w:tr>
        <w:tc>
          <w:tcPr>
            <w:tcW w:type="dxa" w:w="1757"/>
            <w:vAlign w:val="center"/>
          </w:tcPr>
          <w:p>
            <w:pPr>
              <w:spacing w:before="0" w:after="0"/>
              <w:ind w:firstLine="0"/>
              <w:jc w:val="center"/>
            </w:pPr>
            <w:r>
              <w:rPr>
                <w:rFonts w:ascii="仿宋_GB2312" w:hAnsi="仿宋_GB2312" w:eastAsia="仿宋_GB2312"/>
                <w:b w:val="0"/>
                <w:sz w:val="16"/>
              </w:rPr>
              <w:t>耕地开垦费</w:t>
            </w:r>
          </w:p>
        </w:tc>
        <w:tc>
          <w:tcPr>
            <w:tcW w:type="dxa" w:w="2268"/>
            <w:vAlign w:val="center"/>
          </w:tcPr>
          <w:p>
            <w:pPr>
              <w:spacing w:before="0" w:after="0"/>
              <w:ind w:firstLine="0"/>
              <w:jc w:val="center"/>
            </w:pPr>
            <w:r>
              <w:rPr>
                <w:rFonts w:ascii="仿宋_GB2312" w:hAnsi="仿宋_GB2312" w:eastAsia="仿宋_GB2312"/>
                <w:b w:val="0"/>
                <w:sz w:val="16"/>
              </w:rPr>
              <w:t>policy_recommendation</w:t>
            </w:r>
          </w:p>
        </w:tc>
        <w:tc>
          <w:tcPr>
            <w:tcW w:type="dxa" w:w="1474"/>
            <w:vAlign w:val="center"/>
          </w:tcPr>
          <w:p>
            <w:pPr>
              <w:spacing w:before="0" w:after="0"/>
              <w:ind w:firstLine="0"/>
              <w:jc w:val="center"/>
            </w:pPr>
            <w:r>
              <w:rPr>
                <w:rFonts w:ascii="仿宋_GB2312" w:hAnsi="仿宋_GB2312" w:eastAsia="仿宋_GB2312"/>
                <w:b w:val="0"/>
                <w:sz w:val="16"/>
              </w:rPr>
              <w:t>99.00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99.00</w:t>
            </w:r>
          </w:p>
        </w:tc>
      </w:tr>
      <w:tr>
        <w:tc>
          <w:tcPr>
            <w:tcW w:type="dxa" w:w="1757"/>
            <w:vAlign w:val="center"/>
          </w:tcPr>
          <w:p>
            <w:pPr>
              <w:spacing w:before="0" w:after="0"/>
              <w:ind w:firstLine="0"/>
              <w:jc w:val="center"/>
            </w:pPr>
            <w:r>
              <w:rPr>
                <w:rFonts w:ascii="仿宋_GB2312" w:hAnsi="仿宋_GB2312" w:eastAsia="仿宋_GB2312"/>
                <w:b w:val="0"/>
                <w:sz w:val="16"/>
              </w:rPr>
              <w:t>被征地农民社会保障费</w:t>
            </w:r>
          </w:p>
        </w:tc>
        <w:tc>
          <w:tcPr>
            <w:tcW w:type="dxa" w:w="2268"/>
            <w:vAlign w:val="center"/>
          </w:tcPr>
          <w:p>
            <w:pPr>
              <w:spacing w:before="0" w:after="0"/>
              <w:ind w:firstLine="0"/>
              <w:jc w:val="center"/>
            </w:pPr>
            <w:r>
              <w:rPr>
                <w:rFonts w:ascii="仿宋_GB2312" w:hAnsi="仿宋_GB2312" w:eastAsia="仿宋_GB2312"/>
                <w:b w:val="0"/>
                <w:sz w:val="16"/>
              </w:rPr>
              <w:t>policy_recommendation</w:t>
            </w:r>
          </w:p>
        </w:tc>
        <w:tc>
          <w:tcPr>
            <w:tcW w:type="dxa" w:w="1474"/>
            <w:vAlign w:val="center"/>
          </w:tcPr>
          <w:p>
            <w:pPr>
              <w:spacing w:before="0" w:after="0"/>
              <w:ind w:firstLine="0"/>
              <w:jc w:val="center"/>
            </w:pPr>
            <w:r>
              <w:rPr>
                <w:rFonts w:ascii="仿宋_GB2312" w:hAnsi="仿宋_GB2312" w:eastAsia="仿宋_GB2312"/>
                <w:b w:val="0"/>
                <w:sz w:val="16"/>
              </w:rPr>
              <w:t>30.00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30.00</w:t>
            </w:r>
          </w:p>
        </w:tc>
      </w:tr>
    </w:tbl>
    <w:p>
      <w:r>
        <w:rPr>
          <w:rFonts w:ascii="仿宋_GB2312" w:hAnsi="仿宋_GB2312" w:eastAsia="仿宋_GB2312"/>
          <w:b/>
        </w:rPr>
        <w:t>3、土地开发费</w:t>
      </w:r>
    </w:p>
    <w:p>
      <w:r>
        <w:rPr>
          <w:rFonts w:ascii="仿宋_GB2312" w:hAnsi="仿宋_GB2312" w:eastAsia="仿宋_GB2312"/>
          <w:b w:val="0"/>
        </w:rPr>
        <w:t>根据设定土地开发程度及区域市场调查资料，土地开发费合计为82.00元/平方米。</w:t>
      </w:r>
    </w:p>
    <w:p>
      <w:r>
        <w:rPr>
          <w:rFonts w:ascii="仿宋_GB2312" w:hAnsi="仿宋_GB2312" w:eastAsia="仿宋_GB2312"/>
          <w:b/>
        </w:rPr>
        <w:t>土地开发费用分项一览表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通路</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16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16</w:t>
            </w:r>
          </w:p>
        </w:tc>
      </w:tr>
      <w:tr>
        <w:tc>
          <w:tcPr>
            <w:tcW w:type="dxa" w:w="1757"/>
            <w:vAlign w:val="center"/>
          </w:tcPr>
          <w:p>
            <w:pPr>
              <w:spacing w:before="0" w:after="0"/>
              <w:ind w:firstLine="0"/>
              <w:jc w:val="center"/>
            </w:pPr>
            <w:r>
              <w:rPr>
                <w:rFonts w:ascii="仿宋_GB2312" w:hAnsi="仿宋_GB2312" w:eastAsia="仿宋_GB2312"/>
                <w:b w:val="0"/>
                <w:sz w:val="16"/>
              </w:rPr>
              <w:t>通电</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13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w:t>
            </w:r>
          </w:p>
        </w:tc>
      </w:tr>
      <w:tr>
        <w:tc>
          <w:tcPr>
            <w:tcW w:type="dxa" w:w="1757"/>
            <w:vAlign w:val="center"/>
          </w:tcPr>
          <w:p>
            <w:pPr>
              <w:spacing w:before="0" w:after="0"/>
              <w:ind w:firstLine="0"/>
              <w:jc w:val="center"/>
            </w:pPr>
            <w:r>
              <w:rPr>
                <w:rFonts w:ascii="仿宋_GB2312" w:hAnsi="仿宋_GB2312" w:eastAsia="仿宋_GB2312"/>
                <w:b w:val="0"/>
                <w:sz w:val="16"/>
              </w:rPr>
              <w:t>供水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13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w:t>
            </w:r>
          </w:p>
        </w:tc>
      </w:tr>
      <w:tr>
        <w:tc>
          <w:tcPr>
            <w:tcW w:type="dxa" w:w="1757"/>
            <w:vAlign w:val="center"/>
          </w:tcPr>
          <w:p>
            <w:pPr>
              <w:spacing w:before="0" w:after="0"/>
              <w:ind w:firstLine="0"/>
              <w:jc w:val="center"/>
            </w:pPr>
            <w:r>
              <w:rPr>
                <w:rFonts w:ascii="仿宋_GB2312" w:hAnsi="仿宋_GB2312" w:eastAsia="仿宋_GB2312"/>
                <w:b w:val="0"/>
                <w:sz w:val="16"/>
              </w:rPr>
              <w:t>排水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15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15</w:t>
            </w:r>
          </w:p>
        </w:tc>
      </w:tr>
      <w:tr>
        <w:tc>
          <w:tcPr>
            <w:tcW w:type="dxa" w:w="1757"/>
            <w:vAlign w:val="center"/>
          </w:tcPr>
          <w:p>
            <w:pPr>
              <w:spacing w:before="0" w:after="0"/>
              <w:ind w:firstLine="0"/>
              <w:jc w:val="center"/>
            </w:pPr>
            <w:r>
              <w:rPr>
                <w:rFonts w:ascii="仿宋_GB2312" w:hAnsi="仿宋_GB2312" w:eastAsia="仿宋_GB2312"/>
                <w:b w:val="0"/>
                <w:sz w:val="16"/>
              </w:rPr>
              <w:t>通讯</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6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6</w:t>
            </w:r>
          </w:p>
        </w:tc>
      </w:tr>
      <w:tr>
        <w:tc>
          <w:tcPr>
            <w:tcW w:type="dxa" w:w="1757"/>
            <w:vAlign w:val="center"/>
          </w:tcPr>
          <w:p>
            <w:pPr>
              <w:spacing w:before="0" w:after="0"/>
              <w:ind w:firstLine="0"/>
              <w:jc w:val="center"/>
            </w:pPr>
            <w:r>
              <w:rPr>
                <w:rFonts w:ascii="仿宋_GB2312" w:hAnsi="仿宋_GB2312" w:eastAsia="仿宋_GB2312"/>
                <w:b w:val="0"/>
                <w:sz w:val="16"/>
              </w:rPr>
              <w:t>场地平整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19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19</w:t>
            </w:r>
          </w:p>
        </w:tc>
      </w:tr>
    </w:tbl>
    <w:p>
      <w:r>
        <w:rPr>
          <w:rFonts w:ascii="仿宋_GB2312" w:hAnsi="仿宋_GB2312" w:eastAsia="仿宋_GB2312"/>
          <w:b/>
        </w:rPr>
        <w:t>4、投资利息、投资利润及土地增值收益</w:t>
      </w:r>
    </w:p>
    <w:p>
      <w:r>
        <w:rPr>
          <w:rFonts w:ascii="仿宋_GB2312" w:hAnsi="仿宋_GB2312" w:eastAsia="仿宋_GB2312"/>
          <w:b w:val="0"/>
        </w:rPr>
        <w:t>土地取得费及相关税费按期初投入，土地开发费按开发期内均匀投入；开发周期为1年，投资利息率为3%。投资利润按各用途场景确认的利润率分别计算。</w:t>
      </w:r>
    </w:p>
    <w:p>
      <w:r>
        <w:rPr>
          <w:rFonts w:ascii="仿宋_GB2312" w:hAnsi="仿宋_GB2312" w:eastAsia="仿宋_GB2312"/>
          <w:b/>
        </w:rPr>
        <w:t>5、土地使用年期修正系数</w:t>
      </w:r>
    </w:p>
    <w:p>
      <w:r>
        <w:rPr>
          <w:rFonts w:ascii="仿宋_GB2312" w:hAnsi="仿宋_GB2312" w:eastAsia="仿宋_GB2312"/>
          <w:b w:val="0"/>
        </w:rPr>
        <w:t>土地使用年期修正系数按1－1/（1＋r）ⁿ计算，其中r为土地还原率，n为设定土地使用年期。</w:t>
      </w:r>
    </w:p>
    <w:p>
      <w:r>
        <w:rPr>
          <w:rFonts w:ascii="仿宋_GB2312" w:hAnsi="仿宋_GB2312" w:eastAsia="仿宋_GB2312"/>
          <w:b/>
        </w:rPr>
        <w:t>土地还原率风险因素测算表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bl>
    <w:p>
      <w:r>
        <w:rPr>
          <w:rFonts w:ascii="仿宋_GB2312" w:hAnsi="仿宋_GB2312" w:eastAsia="仿宋_GB2312"/>
          <w:b/>
        </w:rPr>
        <w:t>6、区位修正系数</w:t>
      </w:r>
    </w:p>
    <w:p>
      <w:r>
        <w:rPr>
          <w:rFonts w:ascii="仿宋_GB2312" w:hAnsi="仿宋_GB2312" w:eastAsia="仿宋_GB2312"/>
          <w:b w:val="0"/>
        </w:rPr>
        <w:t>区位修正根据估价对象区域及个别因素条件、经确认的因素权重和等级修正率计算；外部AHP结果仅作为权重来源。</w:t>
      </w:r>
    </w:p>
    <w:p>
      <w:r>
        <w:rPr>
          <w:rFonts w:ascii="仿宋_GB2312" w:hAnsi="仿宋_GB2312" w:eastAsia="仿宋_GB2312"/>
          <w:b/>
        </w:rPr>
        <w:t>宗地地价影响因素条件说明、修正系数表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commercial：商业综合区位修正</w:t>
            </w:r>
          </w:p>
        </w:tc>
        <w:tc>
          <w:tcPr>
            <w:tcW w:type="dxa" w:w="2268"/>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待校核</w:t>
            </w:r>
          </w:p>
        </w:tc>
        <w:tc>
          <w:tcPr>
            <w:tcW w:type="dxa" w:w="2154"/>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11.31</w:t>
            </w:r>
          </w:p>
        </w:tc>
      </w:tr>
      <w:tr>
        <w:tc>
          <w:tcPr>
            <w:tcW w:type="dxa" w:w="1757"/>
            <w:vAlign w:val="center"/>
          </w:tcPr>
          <w:p>
            <w:pPr>
              <w:spacing w:before="0" w:after="0"/>
              <w:ind w:firstLine="0"/>
              <w:jc w:val="center"/>
            </w:pPr>
            <w:r>
              <w:rPr>
                <w:rFonts w:ascii="仿宋_GB2312" w:hAnsi="仿宋_GB2312" w:eastAsia="仿宋_GB2312"/>
                <w:b w:val="0"/>
                <w:sz w:val="16"/>
              </w:rPr>
              <w:t>residential：住宅综合区位修正</w:t>
            </w:r>
          </w:p>
        </w:tc>
        <w:tc>
          <w:tcPr>
            <w:tcW w:type="dxa" w:w="2268"/>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待校核</w:t>
            </w:r>
          </w:p>
        </w:tc>
        <w:tc>
          <w:tcPr>
            <w:tcW w:type="dxa" w:w="2154"/>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12.88</w:t>
            </w:r>
          </w:p>
        </w:tc>
      </w:tr>
    </w:tbl>
    <w:p>
      <w:r>
        <w:rPr>
          <w:rFonts w:ascii="仿宋_GB2312" w:hAnsi="仿宋_GB2312" w:eastAsia="仿宋_GB2312"/>
          <w:b/>
        </w:rPr>
        <w:t>成本逼近法测算结果表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用途</w:t>
            </w:r>
          </w:p>
        </w:tc>
        <w:tc>
          <w:tcPr>
            <w:tcW w:type="dxa" w:w="2268"/>
            <w:vAlign w:val="center"/>
          </w:tcPr>
          <w:p>
            <w:pPr>
              <w:spacing w:before="0" w:after="0"/>
              <w:ind w:firstLine="0"/>
              <w:jc w:val="center"/>
            </w:pPr>
            <w:r>
              <w:rPr>
                <w:rFonts w:ascii="仿宋_GB2312" w:hAnsi="仿宋_GB2312" w:eastAsia="仿宋_GB2312"/>
                <w:b/>
                <w:sz w:val="16"/>
              </w:rPr>
              <w:t>土地成本价格</w:t>
            </w:r>
          </w:p>
        </w:tc>
        <w:tc>
          <w:tcPr>
            <w:tcW w:type="dxa" w:w="1474"/>
            <w:vAlign w:val="center"/>
          </w:tcPr>
          <w:p>
            <w:pPr>
              <w:spacing w:before="0" w:after="0"/>
              <w:ind w:firstLine="0"/>
              <w:jc w:val="center"/>
            </w:pPr>
            <w:r>
              <w:rPr>
                <w:rFonts w:ascii="仿宋_GB2312" w:hAnsi="仿宋_GB2312" w:eastAsia="仿宋_GB2312"/>
                <w:b/>
                <w:sz w:val="16"/>
              </w:rPr>
              <w:t>土地增值收益</w:t>
            </w:r>
          </w:p>
        </w:tc>
        <w:tc>
          <w:tcPr>
            <w:tcW w:type="dxa" w:w="2154"/>
            <w:vAlign w:val="center"/>
          </w:tcPr>
          <w:p>
            <w:pPr>
              <w:spacing w:before="0" w:after="0"/>
              <w:ind w:firstLine="0"/>
              <w:jc w:val="center"/>
            </w:pPr>
            <w:r>
              <w:rPr>
                <w:rFonts w:ascii="仿宋_GB2312" w:hAnsi="仿宋_GB2312" w:eastAsia="仿宋_GB2312"/>
                <w:b/>
                <w:sz w:val="16"/>
              </w:rPr>
              <w:t>年期修正系数</w:t>
            </w:r>
          </w:p>
        </w:tc>
        <w:tc>
          <w:tcPr>
            <w:tcW w:type="dxa" w:w="1474"/>
            <w:vAlign w:val="center"/>
          </w:tcPr>
          <w:p>
            <w:pPr>
              <w:spacing w:before="0" w:after="0"/>
              <w:ind w:firstLine="0"/>
              <w:jc w:val="center"/>
            </w:pPr>
            <w:r>
              <w:rPr>
                <w:rFonts w:ascii="仿宋_GB2312" w:hAnsi="仿宋_GB2312" w:eastAsia="仿宋_GB2312"/>
                <w:b/>
                <w:sz w:val="16"/>
              </w:rPr>
              <w:t>最终单价</w:t>
            </w:r>
          </w:p>
        </w:tc>
      </w:tr>
      <w:tr>
        <w:tc>
          <w:tcPr>
            <w:tcW w:type="dxa" w:w="1757"/>
            <w:vAlign w:val="center"/>
          </w:tcPr>
          <w:p>
            <w:pPr>
              <w:spacing w:before="0" w:after="0"/>
              <w:ind w:firstLine="0"/>
              <w:jc w:val="center"/>
            </w:pPr>
            <w:r>
              <w:rPr>
                <w:rFonts w:ascii="仿宋_GB2312" w:hAnsi="仿宋_GB2312" w:eastAsia="仿宋_GB2312"/>
                <w:b w:val="0"/>
                <w:sz w:val="16"/>
              </w:rPr>
              <w:t>商业服务业用地</w:t>
            </w:r>
          </w:p>
        </w:tc>
        <w:tc>
          <w:tcPr>
            <w:tcW w:type="dxa" w:w="2268"/>
            <w:vAlign w:val="center"/>
          </w:tcPr>
          <w:p>
            <w:pPr>
              <w:spacing w:before="0" w:after="0"/>
              <w:ind w:firstLine="0"/>
              <w:jc w:val="center"/>
            </w:pPr>
            <w:r>
              <w:rPr>
                <w:rFonts w:ascii="仿宋_GB2312" w:hAnsi="仿宋_GB2312" w:eastAsia="仿宋_GB2312"/>
                <w:b w:val="0"/>
                <w:sz w:val="16"/>
              </w:rPr>
              <w:t>560.28</w:t>
            </w:r>
          </w:p>
        </w:tc>
        <w:tc>
          <w:tcPr>
            <w:tcW w:type="dxa" w:w="1474"/>
            <w:vAlign w:val="center"/>
          </w:tcPr>
          <w:p>
            <w:pPr>
              <w:spacing w:before="0" w:after="0"/>
              <w:ind w:firstLine="0"/>
              <w:jc w:val="center"/>
            </w:pPr>
            <w:r>
              <w:rPr>
                <w:rFonts w:ascii="仿宋_GB2312" w:hAnsi="仿宋_GB2312" w:eastAsia="仿宋_GB2312"/>
                <w:b w:val="0"/>
                <w:sz w:val="16"/>
              </w:rPr>
              <w:t>224.11</w:t>
            </w:r>
          </w:p>
        </w:tc>
        <w:tc>
          <w:tcPr>
            <w:tcW w:type="dxa" w:w="2154"/>
            <w:vAlign w:val="center"/>
          </w:tcPr>
          <w:p>
            <w:pPr>
              <w:spacing w:before="0" w:after="0"/>
              <w:ind w:firstLine="0"/>
              <w:jc w:val="center"/>
            </w:pPr>
            <w:r>
              <w:rPr>
                <w:rFonts w:ascii="仿宋_GB2312" w:hAnsi="仿宋_GB2312" w:eastAsia="仿宋_GB2312"/>
                <w:b w:val="0"/>
                <w:sz w:val="16"/>
              </w:rPr>
              <w:t>0.9253</w:t>
            </w:r>
          </w:p>
        </w:tc>
        <w:tc>
          <w:tcPr>
            <w:tcW w:type="dxa" w:w="1474"/>
            <w:vAlign w:val="center"/>
          </w:tcPr>
          <w:p>
            <w:pPr>
              <w:spacing w:before="0" w:after="0"/>
              <w:ind w:firstLine="0"/>
              <w:jc w:val="center"/>
            </w:pPr>
            <w:r>
              <w:rPr>
                <w:rFonts w:ascii="仿宋_GB2312" w:hAnsi="仿宋_GB2312" w:eastAsia="仿宋_GB2312"/>
                <w:b w:val="0"/>
                <w:sz w:val="16"/>
              </w:rPr>
              <w:t>807.9</w:t>
            </w:r>
          </w:p>
        </w:tc>
      </w:tr>
      <w:tr>
        <w:tc>
          <w:tcPr>
            <w:tcW w:type="dxa" w:w="1757"/>
            <w:vAlign w:val="center"/>
          </w:tcPr>
          <w:p>
            <w:pPr>
              <w:spacing w:before="0" w:after="0"/>
              <w:ind w:firstLine="0"/>
              <w:jc w:val="center"/>
            </w:pPr>
            <w:r>
              <w:rPr>
                <w:rFonts w:ascii="仿宋_GB2312" w:hAnsi="仿宋_GB2312" w:eastAsia="仿宋_GB2312"/>
                <w:b w:val="0"/>
                <w:sz w:val="16"/>
              </w:rPr>
              <w:t>居住用地</w:t>
            </w:r>
          </w:p>
        </w:tc>
        <w:tc>
          <w:tcPr>
            <w:tcW w:type="dxa" w:w="2268"/>
            <w:vAlign w:val="center"/>
          </w:tcPr>
          <w:p>
            <w:pPr>
              <w:spacing w:before="0" w:after="0"/>
              <w:ind w:firstLine="0"/>
              <w:jc w:val="center"/>
            </w:pPr>
            <w:r>
              <w:rPr>
                <w:rFonts w:ascii="仿宋_GB2312" w:hAnsi="仿宋_GB2312" w:eastAsia="仿宋_GB2312"/>
                <w:b w:val="0"/>
                <w:sz w:val="16"/>
              </w:rPr>
              <w:t>560.28</w:t>
            </w:r>
          </w:p>
        </w:tc>
        <w:tc>
          <w:tcPr>
            <w:tcW w:type="dxa" w:w="1474"/>
            <w:vAlign w:val="center"/>
          </w:tcPr>
          <w:p>
            <w:pPr>
              <w:spacing w:before="0" w:after="0"/>
              <w:ind w:firstLine="0"/>
              <w:jc w:val="center"/>
            </w:pPr>
            <w:r>
              <w:rPr>
                <w:rFonts w:ascii="仿宋_GB2312" w:hAnsi="仿宋_GB2312" w:eastAsia="仿宋_GB2312"/>
                <w:b w:val="0"/>
                <w:sz w:val="16"/>
              </w:rPr>
              <w:t>196.10</w:t>
            </w:r>
          </w:p>
        </w:tc>
        <w:tc>
          <w:tcPr>
            <w:tcW w:type="dxa" w:w="2154"/>
            <w:vAlign w:val="center"/>
          </w:tcPr>
          <w:p>
            <w:pPr>
              <w:spacing w:before="0" w:after="0"/>
              <w:ind w:firstLine="0"/>
              <w:jc w:val="center"/>
            </w:pPr>
            <w:r>
              <w:rPr>
                <w:rFonts w:ascii="仿宋_GB2312" w:hAnsi="仿宋_GB2312" w:eastAsia="仿宋_GB2312"/>
                <w:b w:val="0"/>
                <w:sz w:val="16"/>
              </w:rPr>
              <w:t>0.9807</w:t>
            </w:r>
          </w:p>
        </w:tc>
        <w:tc>
          <w:tcPr>
            <w:tcW w:type="dxa" w:w="1474"/>
            <w:vAlign w:val="center"/>
          </w:tcPr>
          <w:p>
            <w:pPr>
              <w:spacing w:before="0" w:after="0"/>
              <w:ind w:firstLine="0"/>
              <w:jc w:val="center"/>
            </w:pPr>
            <w:r>
              <w:rPr>
                <w:rFonts w:ascii="仿宋_GB2312" w:hAnsi="仿宋_GB2312" w:eastAsia="仿宋_GB2312"/>
                <w:b w:val="0"/>
                <w:sz w:val="16"/>
              </w:rPr>
              <w:t>837.3</w:t>
            </w:r>
          </w:p>
        </w:tc>
      </w:tr>
    </w:tbl>
    <w:p>
      <w:r>
        <w:rPr>
          <w:rFonts w:ascii="仿宋_GB2312" w:hAnsi="仿宋_GB2312" w:eastAsia="仿宋_GB2312"/>
          <w:b/>
        </w:rPr>
        <w:t>7、成本逼近法价格计算</w:t>
      </w:r>
    </w:p>
    <w:p>
      <w:r>
        <w:rPr>
          <w:rFonts w:ascii="仿宋_GB2312" w:hAnsi="仿宋_GB2312" w:eastAsia="仿宋_GB2312"/>
          <w:b w:val="0"/>
        </w:rPr>
        <w:t>商业服务业用地成本逼近法测算单价为807.9元/平方米。</w:t>
      </w:r>
    </w:p>
    <w:p>
      <w:r>
        <w:rPr>
          <w:rFonts w:ascii="仿宋_GB2312" w:hAnsi="仿宋_GB2312" w:eastAsia="仿宋_GB2312"/>
          <w:b w:val="0"/>
        </w:rPr>
        <w:t>居住用地成本逼近法测算单价为837.3元/平方米。</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t>{{ market_comp_method_intro }}</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r>
        <w:t>{{ market_comp_step1_instances }}</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r>
        <w:t>比较因素条件指数及修正依据由当前报告冻结的结构化市场比较法分析生成。</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r>
        <w:t>{{ market_comp_step4_solve }}</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60" w:lineRule="exact"/>
        <w:ind w:left="561" w:firstLine="0"/>
      </w:pPr>
      <w:r>
        <w:rPr>
          <w:rFonts w:ascii="仿宋_GB2312" w:hAnsi="仿宋_GB2312" w:eastAsia="仿宋_GB2312" w:cs="仿宋_GB2312"/>
          <w:sz w:val="28"/>
        </w:rPr>
        <w:t>{{ final_price_determination }}</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