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57BC51A">
      <w:pPr>
        <w:spacing w:line="520" w:lineRule="exact"/>
        <w:jc w:val="center"/>
        <w:rPr>
          <w:rFonts w:ascii="宋体"/>
          <w:b/>
          <w:color w:val="000000" w:themeColor="text1"/>
          <w:sz w:val="44"/>
          <w:szCs w:val="44"/>
          <w:highlight w:val="none"/>
          <w14:textFill>
            <w14:solidFill>
              <w14:schemeClr w14:val="tx1"/>
            </w14:solidFill>
          </w14:textFill>
        </w:rPr>
      </w:pPr>
      <w:bookmarkStart w:id="0" w:name="_GoBack"/>
      <w:bookmarkEnd w:id="0"/>
    </w:p>
    <w:p w14:paraId="6654ABD8">
      <w:pPr>
        <w:spacing w:line="520" w:lineRule="exact"/>
        <w:jc w:val="center"/>
        <w:rPr>
          <w:rFonts w:ascii="宋体"/>
          <w:b/>
          <w:color w:val="000000" w:themeColor="text1"/>
          <w:sz w:val="44"/>
          <w:szCs w:val="44"/>
          <w:highlight w:val="none"/>
          <w14:textFill>
            <w14:solidFill>
              <w14:schemeClr w14:val="tx1"/>
            </w14:solidFill>
          </w14:textFill>
        </w:rPr>
      </w:pPr>
    </w:p>
    <w:p w14:paraId="64D29931">
      <w:pPr>
        <w:spacing w:line="520" w:lineRule="exact"/>
        <w:jc w:val="center"/>
        <w:rPr>
          <w:rFonts w:ascii="宋体"/>
          <w:b/>
          <w:bCs/>
          <w:color w:val="000000" w:themeColor="text1"/>
          <w:sz w:val="44"/>
          <w:szCs w:val="44"/>
          <w:highlight w:val="none"/>
          <w14:textFill>
            <w14:solidFill>
              <w14:schemeClr w14:val="tx1"/>
            </w14:solidFill>
          </w14:textFill>
        </w:rPr>
      </w:pPr>
      <w:r>
        <w:rPr>
          <w:rFonts w:hint="eastAsia" w:ascii="宋体"/>
          <w:b/>
          <w:bCs/>
          <w:color w:val="000000" w:themeColor="text1"/>
          <w:sz w:val="44"/>
          <w:szCs w:val="44"/>
          <w:highlight w:val="none"/>
          <w14:textFill>
            <w14:solidFill>
              <w14:schemeClr w14:val="tx1"/>
            </w14:solidFill>
          </w14:textFill>
        </w:rPr>
        <w:t>土 地 估 价 报 告</w:t>
      </w:r>
    </w:p>
    <w:p w14:paraId="76422A75">
      <w:pPr>
        <w:spacing w:line="520" w:lineRule="exact"/>
        <w:rPr>
          <w:color w:val="000000" w:themeColor="text1"/>
          <w:sz w:val="32"/>
          <w:highlight w:val="none"/>
          <w14:textFill>
            <w14:solidFill>
              <w14:schemeClr w14:val="tx1"/>
            </w14:solidFill>
          </w14:textFill>
        </w:rPr>
      </w:pPr>
    </w:p>
    <w:p w14:paraId="5BC0D033">
      <w:pPr>
        <w:spacing w:line="520" w:lineRule="exact"/>
        <w:rPr>
          <w:color w:val="000000" w:themeColor="text1"/>
          <w:sz w:val="32"/>
          <w:highlight w:val="none"/>
          <w14:textFill>
            <w14:solidFill>
              <w14:schemeClr w14:val="tx1"/>
            </w14:solidFill>
          </w14:textFill>
        </w:rPr>
      </w:pPr>
    </w:p>
    <w:p w14:paraId="6F2FBCBF">
      <w:pPr>
        <w:spacing w:line="520" w:lineRule="exact"/>
        <w:rPr>
          <w:color w:val="000000" w:themeColor="text1"/>
          <w:sz w:val="32"/>
          <w:highlight w:val="none"/>
          <w14:textFill>
            <w14:solidFill>
              <w14:schemeClr w14:val="tx1"/>
            </w14:solidFill>
          </w14:textFill>
        </w:rPr>
      </w:pPr>
    </w:p>
    <w:tbl>
      <w:tblPr>
        <w:tblStyle w:val="9"/>
        <w:tblW w:w="9560" w:type="dxa"/>
        <w:jc w:val="center"/>
        <w:tblLayout w:type="fixed"/>
        <w:tblCellMar>
          <w:top w:w="0" w:type="dxa"/>
          <w:left w:w="108" w:type="dxa"/>
          <w:bottom w:w="0" w:type="dxa"/>
          <w:right w:w="108" w:type="dxa"/>
        </w:tblCellMar>
      </w:tblPr>
      <w:tblGrid>
        <w:gridCol w:w="3364"/>
        <w:gridCol w:w="6196"/>
      </w:tblGrid>
      <w:tr w14:paraId="189AF926">
        <w:tblPrEx>
          <w:tblCellMar>
            <w:top w:w="0" w:type="dxa"/>
            <w:left w:w="108" w:type="dxa"/>
            <w:bottom w:w="0" w:type="dxa"/>
            <w:right w:w="108" w:type="dxa"/>
          </w:tblCellMar>
        </w:tblPrEx>
        <w:trPr>
          <w:trHeight w:val="1410" w:hRule="atLeast"/>
          <w:jc w:val="center"/>
        </w:trPr>
        <w:tc>
          <w:tcPr>
            <w:tcW w:w="3364" w:type="dxa"/>
            <w:vAlign w:val="center"/>
          </w:tcPr>
          <w:p w14:paraId="7922849E">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6196" w:type="dxa"/>
            <w:vAlign w:val="center"/>
          </w:tcPr>
          <w:p w14:paraId="574CB272">
            <w:pPr>
              <w:pStyle w:val="6"/>
              <w:keepNext w:val="0"/>
              <w:keepLines w:val="0"/>
              <w:suppressLineNumbers w:val="0"/>
              <w:tabs>
                <w:tab w:val="left" w:pos="0"/>
                <w:tab w:val="left" w:pos="2340"/>
              </w:tabs>
              <w:adjustRightInd w:val="0"/>
              <w:snapToGrid w:val="0"/>
              <w:spacing w:before="0" w:beforeAutospacing="0" w:after="0" w:afterAutospacing="0" w:line="0" w:lineRule="atLeast"/>
              <w:ind w:left="2" w:right="0" w:hanging="2"/>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project_name }}</w:t>
            </w:r>
          </w:p>
        </w:tc>
      </w:tr>
      <w:tr w14:paraId="08884643">
        <w:tblPrEx>
          <w:tblCellMar>
            <w:top w:w="0" w:type="dxa"/>
            <w:left w:w="108" w:type="dxa"/>
            <w:bottom w:w="0" w:type="dxa"/>
            <w:right w:w="108" w:type="dxa"/>
          </w:tblCellMar>
        </w:tblPrEx>
        <w:trPr>
          <w:trHeight w:val="1134" w:hRule="atLeast"/>
          <w:jc w:val="center"/>
        </w:trPr>
        <w:tc>
          <w:tcPr>
            <w:tcW w:w="3364" w:type="dxa"/>
            <w:vAlign w:val="center"/>
          </w:tcPr>
          <w:p w14:paraId="6713592C">
            <w:pPr>
              <w:pStyle w:val="6"/>
              <w:keepNext w:val="0"/>
              <w:keepLines w:val="0"/>
              <w:suppressLineNumbers w:val="0"/>
              <w:tabs>
                <w:tab w:val="left" w:pos="468"/>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6196" w:type="dxa"/>
            <w:vAlign w:val="center"/>
          </w:tcPr>
          <w:p w14:paraId="55C85EB9">
            <w:pPr>
              <w:pStyle w:val="6"/>
              <w:keepNext w:val="0"/>
              <w:keepLines w:val="0"/>
              <w:suppressLineNumbers w:val="0"/>
              <w:tabs>
                <w:tab w:val="left" w:pos="0"/>
                <w:tab w:val="left" w:pos="2340"/>
              </w:tabs>
              <w:adjustRightInd w:val="0"/>
              <w:snapToGrid w:val="0"/>
              <w:spacing w:before="0" w:beforeAutospacing="0" w:after="0" w:afterAutospacing="0" w:line="0" w:lineRule="atLeast"/>
              <w:ind w:left="-6" w:leftChars="-3" w:right="0"/>
              <w:jc w:val="left"/>
              <w:rPr>
                <w:rFonts w:ascii="楷体" w:hAnsi="楷体" w:eastAsia="楷体"/>
                <w:color w:val="000000" w:themeColor="text1"/>
                <w:spacing w:val="14"/>
                <w:sz w:val="32"/>
                <w:szCs w:val="32"/>
                <w:highlight w:val="none"/>
                <w14:textFill>
                  <w14:solidFill>
                    <w14:schemeClr w14:val="tx1"/>
                  </w14:solidFill>
                </w14:textFill>
              </w:rPr>
            </w:pPr>
            <w:r/>
            <w:r>
              <w:rPr>
                <w:rFonts w:ascii="仿宋_GB2312" w:hAnsi="仿宋_GB2312" w:eastAsia="仿宋_GB2312" w:cs="仿宋_GB2312"/>
                <w:color w:val="000000"/>
                <w:sz w:val="32"/>
              </w:rPr>
              <w:t>{{ appraisal_org }}</w:t>
            </w:r>
          </w:p>
        </w:tc>
      </w:tr>
      <w:tr w14:paraId="011EDA8E">
        <w:tblPrEx>
          <w:tblCellMar>
            <w:top w:w="0" w:type="dxa"/>
            <w:left w:w="108" w:type="dxa"/>
            <w:bottom w:w="0" w:type="dxa"/>
            <w:right w:w="108" w:type="dxa"/>
          </w:tblCellMar>
        </w:tblPrEx>
        <w:trPr>
          <w:trHeight w:val="1134" w:hRule="atLeast"/>
          <w:jc w:val="center"/>
        </w:trPr>
        <w:tc>
          <w:tcPr>
            <w:tcW w:w="3364" w:type="dxa"/>
            <w:vAlign w:val="center"/>
          </w:tcPr>
          <w:p w14:paraId="742A7F66">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6196" w:type="dxa"/>
            <w:vAlign w:val="center"/>
          </w:tcPr>
          <w:p w14:paraId="770D2DD8">
            <w:pPr>
              <w:pStyle w:val="6"/>
              <w:keepNext w:val="0"/>
              <w:keepLines w:val="0"/>
              <w:suppressLineNumbers w:val="0"/>
              <w:tabs>
                <w:tab w:val="left" w:pos="0"/>
                <w:tab w:val="left" w:pos="234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06059496">
        <w:tblPrEx>
          <w:tblCellMar>
            <w:top w:w="0" w:type="dxa"/>
            <w:left w:w="108" w:type="dxa"/>
            <w:bottom w:w="0" w:type="dxa"/>
            <w:right w:w="108" w:type="dxa"/>
          </w:tblCellMar>
        </w:tblPrEx>
        <w:trPr>
          <w:trHeight w:val="1134" w:hRule="atLeast"/>
          <w:jc w:val="center"/>
        </w:trPr>
        <w:tc>
          <w:tcPr>
            <w:tcW w:w="3364" w:type="dxa"/>
            <w:vAlign w:val="center"/>
          </w:tcPr>
          <w:p w14:paraId="7549ABCC">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ascii="楷体" w:hAnsi="楷体" w:eastAsia="楷体" w:cs="Times New Roman"/>
                <w:b/>
                <w:bCs/>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6196" w:type="dxa"/>
            <w:vAlign w:val="center"/>
          </w:tcPr>
          <w:p w14:paraId="5B193721">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pPr>
            <w:r>
              <w:rPr>
                <w:rFonts w:hint="eastAsia" w:ascii="楷体" w:hAnsi="楷体" w:eastAsia="楷体" w:cs="Times New Roman"/>
                <w:color w:val="000000" w:themeColor="text1"/>
                <w:spacing w:val="14"/>
                <w:kern w:val="2"/>
                <w:sz w:val="32"/>
                <w:szCs w:val="32"/>
                <w:highlight w:val="none"/>
                <w:lang w:val="en-US" w:eastAsia="zh-CN" w:bidi="ar-SA"/>
                <w14:textFill>
                  <w14:solidFill>
                    <w14:schemeClr w14:val="tx1"/>
                  </w14:solidFill>
                </w14:textFill>
              </w:rPr>
              <w:t>详见备案页</w:t>
            </w:r>
          </w:p>
        </w:tc>
      </w:tr>
      <w:tr w14:paraId="28305D6E">
        <w:tblPrEx>
          <w:tblCellMar>
            <w:top w:w="0" w:type="dxa"/>
            <w:left w:w="108" w:type="dxa"/>
            <w:bottom w:w="0" w:type="dxa"/>
            <w:right w:w="108" w:type="dxa"/>
          </w:tblCellMar>
        </w:tblPrEx>
        <w:trPr>
          <w:trHeight w:val="1134" w:hRule="atLeast"/>
          <w:jc w:val="center"/>
        </w:trPr>
        <w:tc>
          <w:tcPr>
            <w:tcW w:w="3364" w:type="dxa"/>
            <w:vAlign w:val="center"/>
          </w:tcPr>
          <w:p w14:paraId="42D8D80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9" w:right="-78" w:rightChars="-37" w:hanging="1739" w:hangingChars="498"/>
              <w:jc w:val="left"/>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6196" w:type="dxa"/>
            <w:vAlign w:val="center"/>
          </w:tcPr>
          <w:p w14:paraId="42FEE57D">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bl>
    <w:p w14:paraId="7F67BAAE">
      <w:pPr>
        <w:spacing w:line="520" w:lineRule="exact"/>
        <w:rPr>
          <w:color w:val="000000" w:themeColor="text1"/>
          <w:sz w:val="32"/>
          <w:highlight w:val="none"/>
          <w14:textFill>
            <w14:solidFill>
              <w14:schemeClr w14:val="tx1"/>
            </w14:solidFill>
          </w14:textFill>
        </w:rPr>
      </w:pPr>
    </w:p>
    <w:p w14:paraId="5D1D63C7">
      <w:pPr>
        <w:spacing w:line="520" w:lineRule="exact"/>
        <w:rPr>
          <w:color w:val="000000" w:themeColor="text1"/>
          <w:sz w:val="32"/>
          <w:highlight w:val="none"/>
          <w14:textFill>
            <w14:solidFill>
              <w14:schemeClr w14:val="tx1"/>
            </w14:solidFill>
          </w14:textFill>
        </w:rPr>
      </w:pPr>
    </w:p>
    <w:p w14:paraId="7C4572D0">
      <w:pPr>
        <w:spacing w:line="520" w:lineRule="exact"/>
        <w:rPr>
          <w:color w:val="000000" w:themeColor="text1"/>
          <w:sz w:val="32"/>
          <w:highlight w:val="none"/>
          <w14:textFill>
            <w14:solidFill>
              <w14:schemeClr w14:val="tx1"/>
            </w14:solidFill>
          </w14:textFill>
        </w:rPr>
      </w:pPr>
    </w:p>
    <w:p w14:paraId="424CEEA7">
      <w:pPr>
        <w:spacing w:line="520" w:lineRule="exact"/>
        <w:rPr>
          <w:color w:val="000000" w:themeColor="text1"/>
          <w:sz w:val="32"/>
          <w:highlight w:val="none"/>
          <w14:textFill>
            <w14:solidFill>
              <w14:schemeClr w14:val="tx1"/>
            </w14:solidFill>
          </w14:textFill>
        </w:rPr>
      </w:pPr>
    </w:p>
    <w:p w14:paraId="5F1F0DED">
      <w:pPr>
        <w:spacing w:line="520" w:lineRule="exact"/>
        <w:rPr>
          <w:color w:val="000000" w:themeColor="text1"/>
          <w:sz w:val="32"/>
          <w:highlight w:val="none"/>
          <w14:textFill>
            <w14:solidFill>
              <w14:schemeClr w14:val="tx1"/>
            </w14:solidFill>
          </w14:textFill>
        </w:rPr>
      </w:pPr>
    </w:p>
    <w:p w14:paraId="45A7C87E">
      <w:pPr>
        <w:spacing w:line="360" w:lineRule="auto"/>
        <w:rPr>
          <w:rFonts w:ascii="楷体_GB2312" w:eastAsia="楷体_GB2312"/>
          <w:b/>
          <w:bCs/>
          <w:color w:val="000000" w:themeColor="text1"/>
          <w:sz w:val="32"/>
          <w:highlight w:val="none"/>
          <w14:textFill>
            <w14:solidFill>
              <w14:schemeClr w14:val="tx1"/>
            </w14:solidFill>
          </w14:textFill>
        </w:rPr>
        <w:sectPr>
          <w:headerReference r:id="rId5" w:type="first"/>
          <w:footerReference r:id="rId8" w:type="first"/>
          <w:headerReference r:id="rId3" w:type="default"/>
          <w:footerReference r:id="rId6" w:type="default"/>
          <w:headerReference r:id="rId4" w:type="even"/>
          <w:footerReference r:id="rId7" w:type="even"/>
          <w:endnotePr>
            <w:numFmt w:val="decimal"/>
          </w:endnotePr>
          <w:pgSz w:w="11906" w:h="16838"/>
          <w:pgMar w:top="1440" w:right="1797" w:bottom="1440" w:left="1797" w:header="851" w:footer="992" w:gutter="0"/>
          <w:pgNumType w:fmt="decimal" w:start="1"/>
          <w:cols w:space="720" w:num="1"/>
          <w:titlePg/>
          <w:docGrid w:linePitch="312" w:charSpace="0"/>
        </w:sectPr>
      </w:pPr>
    </w:p>
    <w:p w14:paraId="768E58D4">
      <w:pPr>
        <w:pStyle w:val="12"/>
        <w:keepNext w:val="0"/>
        <w:keepLines w:val="0"/>
        <w:pageBreakBefore w:val="0"/>
        <w:kinsoku/>
        <w:wordWrap/>
        <w:overflowPunct/>
        <w:topLinePunct w:val="0"/>
        <w:autoSpaceDE/>
        <w:autoSpaceDN/>
        <w:bidi w:val="0"/>
        <w:adjustRightInd/>
        <w:snapToGrid w:val="0"/>
        <w:spacing w:line="240" w:lineRule="auto"/>
        <w:outlineLvl w:val="0"/>
        <w:rPr>
          <w:rFonts w:ascii="宋体" w:eastAsia="宋体"/>
          <w:color w:val="000000" w:themeColor="text1"/>
          <w:sz w:val="32"/>
          <w:szCs w:val="32"/>
          <w:highlight w:val="none"/>
          <w14:textFill>
            <w14:solidFill>
              <w14:schemeClr w14:val="tx1"/>
            </w14:solidFill>
          </w14:textFill>
        </w:rPr>
      </w:pPr>
      <w:r>
        <w:rPr>
          <w:rFonts w:hint="eastAsia" w:ascii="宋体" w:eastAsia="宋体"/>
          <w:b/>
          <w:bCs/>
          <w:color w:val="000000" w:themeColor="text1"/>
          <w:sz w:val="32"/>
          <w:szCs w:val="32"/>
          <w:highlight w:val="none"/>
          <w14:textFill>
            <w14:solidFill>
              <w14:schemeClr w14:val="tx1"/>
            </w14:solidFill>
          </w14:textFill>
        </w:rPr>
        <w:t>土 地 估 价 报 告</w:t>
      </w:r>
    </w:p>
    <w:p w14:paraId="0F89BD83">
      <w:pPr>
        <w:pStyle w:val="13"/>
        <w:keepNext w:val="0"/>
        <w:keepLines w:val="0"/>
        <w:pageBreakBefore w:val="0"/>
        <w:kinsoku/>
        <w:wordWrap/>
        <w:overflowPunct/>
        <w:topLinePunct w:val="0"/>
        <w:autoSpaceDE/>
        <w:autoSpaceDN/>
        <w:bidi w:val="0"/>
        <w:adjustRightInd/>
        <w:snapToGrid w:val="0"/>
        <w:spacing w:before="120" w:beforeLines="50" w:after="240" w:afterLines="100" w:line="240" w:lineRule="auto"/>
        <w:ind w:firstLine="0" w:firstLineChars="0"/>
        <w:jc w:val="center"/>
        <w:outlineLvl w:val="0"/>
        <w:rPr>
          <w:rFonts w:ascii="宋体" w:hAnsi="宋体" w:eastAsia="宋体" w:cs="宋体"/>
          <w:b/>
          <w:color w:val="000000" w:themeColor="text1"/>
          <w:sz w:val="32"/>
          <w:szCs w:val="32"/>
          <w:highlight w:val="none"/>
          <w14:textFill>
            <w14:solidFill>
              <w14:schemeClr w14:val="tx1"/>
            </w14:solidFill>
          </w14:textFill>
        </w:rPr>
      </w:pPr>
      <w:r>
        <w:rPr>
          <w:rFonts w:hint="eastAsia" w:ascii="宋体" w:hAnsi="宋体" w:eastAsia="宋体" w:cs="宋体"/>
          <w:b/>
          <w:color w:val="000000" w:themeColor="text1"/>
          <w:sz w:val="32"/>
          <w:szCs w:val="32"/>
          <w:highlight w:val="none"/>
          <w14:textFill>
            <w14:solidFill>
              <w14:schemeClr w14:val="tx1"/>
            </w14:solidFill>
          </w14:textFill>
        </w:rPr>
        <w:t>第一部分  摘要</w:t>
      </w:r>
    </w:p>
    <w:p w14:paraId="7A480F7C">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3263ECE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rPr>
        <w:t>{{ project_name }}</w:t>
      </w:r>
    </w:p>
    <w:p w14:paraId="0AB73EC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377B17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
        <w:rPr>
          <w:rFonts w:ascii="仿宋_GB2312" w:hAnsi="仿宋_GB2312" w:eastAsia="仿宋_GB2312" w:cs="仿宋_GB2312"/>
          <w:color w:val="000000"/>
          <w:sz w:val="28"/>
        </w:rPr>
        <w:t>{{ client_name }}</w:t>
      </w:r>
    </w:p>
    <w:p w14:paraId="5A8AA147">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bCs/>
          <w:color w:val="000000" w:themeColor="text1"/>
          <w:sz w:val="28"/>
          <w:szCs w:val="28"/>
          <w:highlight w:val="none"/>
          <w14:textFill>
            <w14:solidFill>
              <w14:schemeClr w14:val="tx1"/>
            </w14:solidFill>
          </w14:textFill>
        </w:rPr>
        <w:t>三、</w:t>
      </w:r>
      <w:r>
        <w:rPr>
          <w:rFonts w:hint="eastAsia" w:ascii="仿宋_GB2312" w:eastAsia="仿宋_GB2312"/>
          <w:b/>
          <w:color w:val="000000" w:themeColor="text1"/>
          <w:sz w:val="28"/>
          <w:szCs w:val="28"/>
          <w:highlight w:val="none"/>
          <w14:textFill>
            <w14:solidFill>
              <w14:schemeClr w14:val="tx1"/>
            </w14:solidFill>
          </w14:textFill>
        </w:rPr>
        <w:t>估价目的</w:t>
      </w:r>
    </w:p>
    <w:p w14:paraId="7ADA03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3D67BC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60B2B325">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四、估价期日</w:t>
      </w:r>
    </w:p>
    <w:p w14:paraId="0AF12F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20A7FB43">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五、估价日期</w:t>
      </w:r>
    </w:p>
    <w:p w14:paraId="40E3E99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 valuation_work_date }}</w:t>
      </w:r>
    </w:p>
    <w:p w14:paraId="2CC98B2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六、地价定义</w:t>
      </w:r>
    </w:p>
    <w:p w14:paraId="1E93723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483DD2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3A96644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7667C5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1F017B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33E316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31B7B57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1A331A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2FB19EA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5987A8B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AC576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2375872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4BACEB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222F81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C2DE8B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2FE76CB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337ACB1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336FAC8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9"/>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p>
    <w:p w14:paraId="15F1BAD4">
      <w:pP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br w:type="page"/>
      </w:r>
    </w:p>
    <w:p w14:paraId="6B18444E">
      <w:pPr>
        <w:keepNext w:val="0"/>
        <w:keepLines w:val="0"/>
        <w:pageBreakBefore w:val="0"/>
        <w:widowControl w:val="0"/>
        <w:numPr>
          <w:ilvl w:val="0"/>
          <w:numId w:val="0"/>
        </w:numPr>
        <w:kinsoku/>
        <w:wordWrap/>
        <w:overflowPunct/>
        <w:topLinePunct w:val="0"/>
        <w:autoSpaceDE/>
        <w:autoSpaceDN/>
        <w:bidi w:val="0"/>
        <w:spacing w:line="460" w:lineRule="exact"/>
        <w:ind w:firstLine="562" w:firstLineChars="200"/>
        <w:textAlignment w:val="auto"/>
        <w:outlineLvl w:val="1"/>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hAnsi="Times New Roman" w:eastAsia="仿宋_GB2312" w:cs="Times New Roman"/>
          <w:b/>
          <w:color w:val="000000" w:themeColor="text1"/>
          <w:kern w:val="2"/>
          <w:sz w:val="28"/>
          <w:szCs w:val="28"/>
          <w:highlight w:val="none"/>
          <w:lang w:val="en-US" w:eastAsia="zh-CN" w:bidi="ar-SA"/>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估价结果</w:t>
      </w:r>
    </w:p>
    <w:p w14:paraId="354B2AD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pPr>
        <w:spacing w:before="0" w:after="120" w:line="460" w:lineRule="exact"/>
        <w:ind w:left="561" w:firstLine="0"/>
      </w:pPr>
      <w:r>
        <w:rPr>
          <w:rFonts w:ascii="仿宋_GB2312" w:hAnsi="仿宋_GB2312" w:eastAsia="仿宋_GB2312" w:cs="仿宋_GB2312"/>
          <w:sz w:val="28"/>
        </w:rPr>
        <w:t>{{ valuation_result_statement }}</w:t>
      </w:r>
    </w:p>
    <w:p w14:paraId="5E5DA2E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56C99E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水平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0283DC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的简单算术平均值作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7FF80E81">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38E2E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5B77391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56E24D36">
      <w:pPr>
        <w:rPr>
          <w:rFonts w:hint="eastAsia" w:ascii="仿宋_GB2312" w:hAns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br w:type="page"/>
      </w:r>
    </w:p>
    <w:p w14:paraId="07E2B988">
      <w:pPr>
        <w:spacing w:before="0" w:beforeLines="-2147483648" w:line="460" w:lineRule="exact"/>
        <w:ind w:firstLine="562" w:firstLineChars="200"/>
        <w:outlineLvl w:val="9"/>
        <w:rPr>
          <w:rFonts w:ascii="仿宋_GB2312" w:eastAsia="仿宋_GB2312"/>
          <w:b/>
          <w:color w:val="000000" w:themeColor="text1"/>
          <w:szCs w:val="28"/>
          <w:highlight w:val="none"/>
          <w14:textFill>
            <w14:solidFill>
              <w14:schemeClr w14:val="tx1"/>
            </w14:solidFill>
          </w14:textFill>
        </w:rPr>
      </w:pPr>
      <w:r>
        <w:rPr>
          <w:rFonts w:hint="eastAsia" w:ascii="仿宋_GB2312" w:hAnsi="仿宋_GB2312" w:eastAsia="仿宋_GB2312" w:cs="仿宋_GB2312"/>
          <w:b/>
          <w:color w:val="000000" w:themeColor="text1"/>
          <w:sz w:val="28"/>
          <w:szCs w:val="28"/>
          <w:highlight w:val="none"/>
          <w14:textFill>
            <w14:solidFill>
              <w14:schemeClr w14:val="tx1"/>
            </w14:solidFill>
          </w14:textFill>
        </w:rPr>
        <w:t>八、土地估价师签字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2CD78A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2DAC57FC">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6B5234F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6E9C668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7D1239C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7465A432">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5605A63A">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4CB171A6">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94F0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548710EB">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4B7C996E">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0C56E8FF">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5AAFD7C0">
      <w:pPr>
        <w:spacing w:line="440" w:lineRule="exact"/>
        <w:ind w:firstLine="562" w:firstLineChars="200"/>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九、土地估价机构</w:t>
      </w:r>
    </w:p>
    <w:p w14:paraId="53022D82">
      <w:pPr>
        <w:tabs>
          <w:tab w:val="left" w:pos="3780"/>
        </w:tabs>
        <w:spacing w:before="240" w:beforeLines="100" w:line="440" w:lineRule="exact"/>
        <w:jc w:val="left"/>
        <w:rPr>
          <w:rFonts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50444B32">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0EE88D38">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40DD68A0">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
        <w:rPr>
          <w:rFonts w:ascii="仿宋_GB2312" w:hAnsi="仿宋_GB2312" w:eastAsia="仿宋_GB2312" w:cs="仿宋_GB2312"/>
          <w:color w:val="000000"/>
          <w:sz w:val="28"/>
        </w:rPr>
        <w:t>{{ appraisal_org }}</w:t>
      </w:r>
    </w:p>
    <w:p w14:paraId="1B0F9F6C">
      <w:pPr>
        <w:pStyle w:val="13"/>
        <w:keepNext w:val="0"/>
        <w:keepLines w:val="0"/>
        <w:pageBreakBefore w:val="0"/>
        <w:widowControl w:val="0"/>
        <w:kinsoku/>
        <w:wordWrap/>
        <w:overflowPunct/>
        <w:topLinePunct w:val="0"/>
        <w:autoSpaceDE/>
        <w:autoSpaceDN/>
        <w:bidi w:val="0"/>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sectPr>
          <w:headerReference r:id="rId9" w:type="first"/>
          <w:footerReference r:id="rId10" w:type="first"/>
          <w:endnotePr>
            <w:numFmt w:val="decimal"/>
          </w:endnotePr>
          <w:pgSz w:w="11906" w:h="16838"/>
          <w:pgMar w:top="1440" w:right="1800" w:bottom="1440" w:left="1800" w:header="851" w:footer="992" w:gutter="0"/>
          <w:pgNumType w:fmt="decimal" w:start="1"/>
          <w:cols w:space="720" w:num="1"/>
          <w:titlePg/>
          <w:docGrid w:linePitch="312" w:charSpace="0"/>
        </w:sectPr>
      </w:pPr>
      <w:r>
        <w:rPr>
          <w:rFonts w:ascii="仿宋_GB2312" w:hAnsi="仿宋_GB2312" w:eastAsia="仿宋_GB2312" w:cs="仿宋_GB2312"/>
          <w:color w:val="000000"/>
        </w:rPr>
        <w:t xml:space="preserve">                              {{ report_date }}</w:t>
      </w:r>
    </w:p>
    <w:p w14:paraId="11A4184C">
      <w:pPr>
        <w:keepNext w:val="0"/>
        <w:keepLines w:val="0"/>
        <w:pageBreakBefore w:val="0"/>
        <w:widowControl w:val="0"/>
        <w:kinsoku/>
        <w:wordWrap/>
        <w:overflowPunct/>
        <w:topLinePunct w:val="0"/>
        <w:autoSpaceDE/>
        <w:autoSpaceDN/>
        <w:bidi w:val="0"/>
        <w:adjustRightInd/>
        <w:snapToGrid/>
        <w:spacing w:line="200" w:lineRule="exact"/>
        <w:ind w:left="0" w:hanging="537" w:hangingChars="192"/>
        <w:jc w:val="center"/>
        <w:textAlignment w:val="auto"/>
        <w:outlineLvl w:val="9"/>
        <w:rPr>
          <w:rFonts w:hint="eastAsia" w:ascii="仿宋_GB2312" w:eastAsia="仿宋_GB2312"/>
          <w:b/>
          <w:bCs/>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w:t>
      </w:r>
    </w:p>
    <w:p w14:paraId="0CF0DCC1">
      <w:pPr>
        <w:spacing w:line="520" w:lineRule="exact"/>
        <w:ind w:left="538" w:hanging="540" w:hangingChars="192"/>
        <w:jc w:val="center"/>
        <w:outlineLvl w:val="2"/>
        <w:rPr>
          <w:rFonts w:ascii="仿宋_GB2312" w:eastAsia="仿宋_GB2312"/>
          <w:b/>
          <w:bCs/>
          <w:color w:val="000000" w:themeColor="text1"/>
          <w:sz w:val="28"/>
          <w:highlight w:val="none"/>
          <w14:textFill>
            <w14:solidFill>
              <w14:schemeClr w14:val="tx1"/>
            </w14:solidFill>
          </w14:textFill>
        </w:rPr>
      </w:pP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p>
    <w:p w14:paraId="170F58C6">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rPr>
        <w:t>估价机构：{{ appraisal_org }}                                                          估价期日：{{ valuation_date }}</w:t>
      </w:r>
    </w:p>
    <w:p w14:paraId="44C42AC6">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rPr>
        <w:t>估价报告编号：{{ report_no }}           估价目的：{{ transfer_purpose }}                    估价期日的土地使用权性质：{{ right_type }}</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2"/>
        <w:gridCol w:w="975"/>
        <w:gridCol w:w="1127"/>
        <w:gridCol w:w="825"/>
        <w:gridCol w:w="809"/>
        <w:gridCol w:w="554"/>
        <w:gridCol w:w="607"/>
        <w:gridCol w:w="811"/>
        <w:gridCol w:w="466"/>
        <w:gridCol w:w="941"/>
        <w:gridCol w:w="1353"/>
        <w:gridCol w:w="1615"/>
        <w:gridCol w:w="840"/>
        <w:gridCol w:w="1007"/>
        <w:gridCol w:w="689"/>
        <w:gridCol w:w="724"/>
        <w:gridCol w:w="891"/>
        <w:gridCol w:w="683"/>
      </w:tblGrid>
      <w:tr w14:paraId="5C069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60" w:type="pct"/>
            <w:vMerge w:val="restart"/>
            <w:vAlign w:val="center"/>
            <w:tcMar>
              <w:top w:w="35" w:type="dxa"/>
              <w:left w:w="35" w:type="dxa"/>
              <w:bottom w:w="35" w:type="dxa"/>
              <w:right w:w="35" w:type="dxa"/>
            </w:tcMar>
          </w:tcPr>
          <w:p w14:paraId="4DFF3B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5" w:type="pct"/>
            <w:vMerge w:val="restart"/>
            <w:vAlign w:val="center"/>
            <w:tcMar>
              <w:top w:w="35" w:type="dxa"/>
              <w:left w:w="35" w:type="dxa"/>
              <w:bottom w:w="35" w:type="dxa"/>
              <w:right w:w="35" w:type="dxa"/>
            </w:tcMar>
          </w:tcPr>
          <w:p w14:paraId="1B4172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5AE49D7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63" w:type="pct"/>
            <w:vMerge w:val="restart"/>
            <w:vAlign w:val="center"/>
            <w:tcMar>
              <w:top w:w="35" w:type="dxa"/>
              <w:left w:w="35" w:type="dxa"/>
              <w:bottom w:w="35" w:type="dxa"/>
              <w:right w:w="35" w:type="dxa"/>
            </w:tcMar>
          </w:tcPr>
          <w:p w14:paraId="52AEE5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7" w:type="pct"/>
            <w:vMerge w:val="restart"/>
            <w:vAlign w:val="center"/>
            <w:tcMar>
              <w:top w:w="35" w:type="dxa"/>
              <w:left w:w="35" w:type="dxa"/>
              <w:bottom w:w="35" w:type="dxa"/>
              <w:right w:w="35" w:type="dxa"/>
            </w:tcMar>
          </w:tcPr>
          <w:p w14:paraId="561DE0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41" w:type="pct"/>
            <w:gridSpan w:val="3"/>
            <w:vAlign w:val="center"/>
            <w:tcMar>
              <w:top w:w="35" w:type="dxa"/>
              <w:left w:w="35" w:type="dxa"/>
              <w:bottom w:w="35" w:type="dxa"/>
              <w:right w:w="35" w:type="dxa"/>
            </w:tcMar>
          </w:tcPr>
          <w:p w14:paraId="0B8DB7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628" w:type="pct"/>
            <w:gridSpan w:val="3"/>
            <w:vAlign w:val="center"/>
            <w:tcMar>
              <w:top w:w="35" w:type="dxa"/>
              <w:left w:w="35" w:type="dxa"/>
              <w:bottom w:w="35" w:type="dxa"/>
              <w:right w:w="35" w:type="dxa"/>
            </w:tcMar>
          </w:tcPr>
          <w:p w14:paraId="6574021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5" w:type="pct"/>
            <w:vMerge w:val="restart"/>
            <w:vAlign w:val="center"/>
            <w:tcMar>
              <w:top w:w="35" w:type="dxa"/>
              <w:left w:w="35" w:type="dxa"/>
              <w:bottom w:w="35" w:type="dxa"/>
              <w:right w:w="35" w:type="dxa"/>
            </w:tcMar>
          </w:tcPr>
          <w:p w14:paraId="3E9CF4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8" w:type="pct"/>
            <w:vMerge w:val="restart"/>
            <w:vAlign w:val="center"/>
            <w:tcMar>
              <w:top w:w="35" w:type="dxa"/>
              <w:left w:w="35" w:type="dxa"/>
              <w:bottom w:w="35" w:type="dxa"/>
              <w:right w:w="35" w:type="dxa"/>
            </w:tcMar>
          </w:tcPr>
          <w:p w14:paraId="60931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72" w:type="pct"/>
            <w:vMerge w:val="restart"/>
            <w:vAlign w:val="center"/>
            <w:tcMar>
              <w:top w:w="35" w:type="dxa"/>
              <w:left w:w="35" w:type="dxa"/>
              <w:bottom w:w="35" w:type="dxa"/>
              <w:right w:w="35" w:type="dxa"/>
            </w:tcMar>
          </w:tcPr>
          <w:p w14:paraId="45052E9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5" w:type="pct"/>
            <w:vMerge w:val="restart"/>
            <w:vAlign w:val="center"/>
            <w:tcMar>
              <w:top w:w="35" w:type="dxa"/>
              <w:left w:w="35" w:type="dxa"/>
              <w:bottom w:w="35" w:type="dxa"/>
              <w:right w:w="35" w:type="dxa"/>
            </w:tcMar>
          </w:tcPr>
          <w:p w14:paraId="7E5885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24" w:type="pct"/>
            <w:vMerge w:val="restart"/>
            <w:vAlign w:val="center"/>
            <w:tcMar>
              <w:top w:w="35" w:type="dxa"/>
              <w:left w:w="35" w:type="dxa"/>
              <w:bottom w:w="35" w:type="dxa"/>
              <w:right w:w="35" w:type="dxa"/>
            </w:tcMar>
          </w:tcPr>
          <w:p w14:paraId="3DF9A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35" w:type="pct"/>
            <w:vMerge w:val="restart"/>
            <w:vAlign w:val="center"/>
            <w:tcMar>
              <w:top w:w="35" w:type="dxa"/>
              <w:left w:w="35" w:type="dxa"/>
              <w:bottom w:w="35" w:type="dxa"/>
              <w:right w:w="35" w:type="dxa"/>
            </w:tcMar>
          </w:tcPr>
          <w:p w14:paraId="3CDEE84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8" w:type="pct"/>
            <w:vMerge w:val="restart"/>
            <w:vAlign w:val="center"/>
            <w:tcMar>
              <w:top w:w="35" w:type="dxa"/>
              <w:left w:w="35" w:type="dxa"/>
              <w:bottom w:w="35" w:type="dxa"/>
              <w:right w:w="35" w:type="dxa"/>
            </w:tcMar>
          </w:tcPr>
          <w:p w14:paraId="2FA94CA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2673F6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22" w:type="pct"/>
            <w:vMerge w:val="restart"/>
            <w:vAlign w:val="center"/>
            <w:tcMar>
              <w:top w:w="35" w:type="dxa"/>
              <w:left w:w="35" w:type="dxa"/>
              <w:bottom w:w="35" w:type="dxa"/>
              <w:right w:w="35" w:type="dxa"/>
            </w:tcMar>
          </w:tcPr>
          <w:p w14:paraId="033E873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CC7E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60" w:type="pct"/>
            <w:vMerge w:val="continue"/>
            <w:vAlign w:val="center"/>
          </w:tcPr>
          <w:p w14:paraId="24FAB2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5" w:type="pct"/>
            <w:vMerge w:val="continue"/>
            <w:vAlign w:val="center"/>
          </w:tcPr>
          <w:p w14:paraId="0A4C36D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63" w:type="pct"/>
            <w:vMerge w:val="continue"/>
            <w:vAlign w:val="center"/>
          </w:tcPr>
          <w:p w14:paraId="05055C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140DFE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Align w:val="center"/>
            <w:tcMar>
              <w:top w:w="35" w:type="dxa"/>
              <w:left w:w="35" w:type="dxa"/>
              <w:bottom w:w="35" w:type="dxa"/>
              <w:right w:w="35" w:type="dxa"/>
            </w:tcMar>
          </w:tcPr>
          <w:p w14:paraId="285EC9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81" w:type="pct"/>
            <w:vAlign w:val="center"/>
            <w:tcMar>
              <w:top w:w="35" w:type="dxa"/>
              <w:left w:w="35" w:type="dxa"/>
              <w:bottom w:w="35" w:type="dxa"/>
              <w:right w:w="35" w:type="dxa"/>
            </w:tcMar>
          </w:tcPr>
          <w:p w14:paraId="0D225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7" w:type="pct"/>
            <w:vAlign w:val="center"/>
            <w:tcMar>
              <w:top w:w="35" w:type="dxa"/>
              <w:left w:w="35" w:type="dxa"/>
              <w:bottom w:w="35" w:type="dxa"/>
              <w:right w:w="35" w:type="dxa"/>
            </w:tcMar>
          </w:tcPr>
          <w:p w14:paraId="4F974C3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171" w:type="pct"/>
            <w:vAlign w:val="center"/>
            <w:tcMar>
              <w:top w:w="35" w:type="dxa"/>
              <w:left w:w="35" w:type="dxa"/>
              <w:bottom w:w="35" w:type="dxa"/>
              <w:right w:w="35" w:type="dxa"/>
            </w:tcMar>
          </w:tcPr>
          <w:p w14:paraId="2E6AEBF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53" w:type="pct"/>
            <w:vAlign w:val="center"/>
            <w:tcMar>
              <w:top w:w="35" w:type="dxa"/>
              <w:left w:w="35" w:type="dxa"/>
              <w:bottom w:w="35" w:type="dxa"/>
              <w:right w:w="35" w:type="dxa"/>
            </w:tcMar>
          </w:tcPr>
          <w:p w14:paraId="4961F4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3" w:type="pct"/>
            <w:vAlign w:val="center"/>
            <w:tcMar>
              <w:top w:w="35" w:type="dxa"/>
              <w:left w:w="35" w:type="dxa"/>
              <w:bottom w:w="35" w:type="dxa"/>
              <w:right w:w="35" w:type="dxa"/>
            </w:tcMar>
          </w:tcPr>
          <w:p w14:paraId="3A47FA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5" w:type="pct"/>
            <w:vMerge w:val="continue"/>
            <w:vAlign w:val="center"/>
          </w:tcPr>
          <w:p w14:paraId="10C4B6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8" w:type="pct"/>
            <w:vMerge w:val="continue"/>
            <w:vAlign w:val="center"/>
          </w:tcPr>
          <w:p w14:paraId="6092D3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72" w:type="pct"/>
            <w:vMerge w:val="continue"/>
            <w:vAlign w:val="center"/>
          </w:tcPr>
          <w:p w14:paraId="05E18C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5" w:type="pct"/>
            <w:vMerge w:val="continue"/>
            <w:vAlign w:val="center"/>
          </w:tcPr>
          <w:p w14:paraId="7B2B2A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4" w:type="pct"/>
            <w:vMerge w:val="continue"/>
            <w:vAlign w:val="center"/>
          </w:tcPr>
          <w:p w14:paraId="2FDEA4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35" w:type="pct"/>
            <w:vMerge w:val="continue"/>
            <w:vAlign w:val="center"/>
          </w:tcPr>
          <w:p w14:paraId="29F8A15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8" w:type="pct"/>
            <w:vMerge w:val="continue"/>
            <w:vAlign w:val="center"/>
          </w:tcPr>
          <w:p w14:paraId="58823D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2" w:type="pct"/>
            <w:vMerge w:val="continue"/>
            <w:vAlign w:val="center"/>
          </w:tcPr>
          <w:p w14:paraId="7BAF88C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CD81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60" w:type="pct"/>
            <w:vAlign w:val="center"/>
            <w:tcMar>
              <w:top w:w="35" w:type="dxa"/>
              <w:left w:w="35" w:type="dxa"/>
              <w:bottom w:w="35" w:type="dxa"/>
              <w:right w:w="35" w:type="dxa"/>
            </w:tcMar>
          </w:tcPr>
          <w:p w14:paraId="683A53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5" w:type="pct"/>
            <w:vAlign w:val="center"/>
            <w:tcMar>
              <w:top w:w="35" w:type="dxa"/>
              <w:left w:w="35" w:type="dxa"/>
              <w:bottom w:w="35" w:type="dxa"/>
              <w:right w:w="35" w:type="dxa"/>
            </w:tcMar>
          </w:tcPr>
          <w:p w14:paraId="75AC025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63" w:type="pct"/>
            <w:vAlign w:val="center"/>
            <w:tcMar>
              <w:top w:w="35" w:type="dxa"/>
              <w:left w:w="35" w:type="dxa"/>
              <w:bottom w:w="35" w:type="dxa"/>
              <w:right w:w="35" w:type="dxa"/>
            </w:tcMar>
          </w:tcPr>
          <w:p w14:paraId="0A0D7F9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7" w:type="pct"/>
            <w:vAlign w:val="center"/>
            <w:tcMar>
              <w:top w:w="35" w:type="dxa"/>
              <w:left w:w="35" w:type="dxa"/>
              <w:bottom w:w="35" w:type="dxa"/>
              <w:right w:w="35" w:type="dxa"/>
            </w:tcMar>
          </w:tcPr>
          <w:p w14:paraId="695D09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62" w:type="pct"/>
            <w:vAlign w:val="center"/>
            <w:tcMar>
              <w:top w:w="35" w:type="dxa"/>
              <w:left w:w="35" w:type="dxa"/>
              <w:bottom w:w="35" w:type="dxa"/>
              <w:right w:w="35" w:type="dxa"/>
            </w:tcMar>
          </w:tcPr>
          <w:p w14:paraId="1780128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81" w:type="pct"/>
            <w:vAlign w:val="center"/>
            <w:tcMar>
              <w:top w:w="35" w:type="dxa"/>
              <w:left w:w="35" w:type="dxa"/>
              <w:bottom w:w="35" w:type="dxa"/>
              <w:right w:w="35" w:type="dxa"/>
            </w:tcMar>
          </w:tcPr>
          <w:p w14:paraId="5C5964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7" w:type="pct"/>
            <w:vAlign w:val="center"/>
            <w:tcMar>
              <w:top w:w="35" w:type="dxa"/>
              <w:left w:w="35" w:type="dxa"/>
              <w:bottom w:w="35" w:type="dxa"/>
              <w:right w:w="35" w:type="dxa"/>
            </w:tcMar>
          </w:tcPr>
          <w:p w14:paraId="3B503D3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1" w:type="pct"/>
            <w:vAlign w:val="center"/>
            <w:tcMar>
              <w:top w:w="35" w:type="dxa"/>
              <w:left w:w="35" w:type="dxa"/>
              <w:bottom w:w="35" w:type="dxa"/>
              <w:right w:w="35" w:type="dxa"/>
            </w:tcMar>
          </w:tcPr>
          <w:p w14:paraId="7695DB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53" w:type="pct"/>
            <w:vAlign w:val="center"/>
            <w:tcMar>
              <w:top w:w="35" w:type="dxa"/>
              <w:left w:w="35" w:type="dxa"/>
              <w:bottom w:w="35" w:type="dxa"/>
              <w:right w:w="35" w:type="dxa"/>
            </w:tcMar>
          </w:tcPr>
          <w:p w14:paraId="46C1A9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3" w:type="pct"/>
            <w:vAlign w:val="center"/>
            <w:tcMar>
              <w:top w:w="35" w:type="dxa"/>
              <w:left w:w="35" w:type="dxa"/>
              <w:bottom w:w="35" w:type="dxa"/>
              <w:right w:w="35" w:type="dxa"/>
            </w:tcMar>
          </w:tcPr>
          <w:p w14:paraId="35A8B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5" w:type="pct"/>
            <w:vAlign w:val="center"/>
            <w:tcMar>
              <w:top w:w="35" w:type="dxa"/>
              <w:left w:w="35" w:type="dxa"/>
              <w:bottom w:w="35" w:type="dxa"/>
              <w:right w:w="35" w:type="dxa"/>
            </w:tcMar>
          </w:tcPr>
          <w:p w14:paraId="0DF97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8" w:type="pct"/>
            <w:vAlign w:val="center"/>
            <w:tcMar>
              <w:top w:w="35" w:type="dxa"/>
              <w:left w:w="35" w:type="dxa"/>
              <w:bottom w:w="35" w:type="dxa"/>
              <w:right w:w="35" w:type="dxa"/>
            </w:tcMar>
          </w:tcPr>
          <w:p w14:paraId="44D122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72" w:type="pct"/>
            <w:vAlign w:val="center"/>
            <w:tcMar>
              <w:top w:w="35" w:type="dxa"/>
              <w:left w:w="35" w:type="dxa"/>
              <w:bottom w:w="35" w:type="dxa"/>
              <w:right w:w="35" w:type="dxa"/>
            </w:tcMar>
          </w:tcPr>
          <w:p w14:paraId="15C70B1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5" w:type="pct"/>
            <w:vAlign w:val="center"/>
            <w:tcMar>
              <w:top w:w="35" w:type="dxa"/>
              <w:left w:w="35" w:type="dxa"/>
              <w:bottom w:w="35" w:type="dxa"/>
              <w:right w:w="35" w:type="dxa"/>
            </w:tcMar>
          </w:tcPr>
          <w:p w14:paraId="197EBC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24" w:type="pct"/>
            <w:vAlign w:val="center"/>
            <w:tcMar>
              <w:top w:w="35" w:type="dxa"/>
              <w:left w:w="35" w:type="dxa"/>
              <w:bottom w:w="35" w:type="dxa"/>
              <w:right w:w="35" w:type="dxa"/>
            </w:tcMar>
          </w:tcPr>
          <w:p w14:paraId="4EF124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35" w:type="pct"/>
            <w:vAlign w:val="center"/>
            <w:tcMar>
              <w:top w:w="35" w:type="dxa"/>
              <w:left w:w="35" w:type="dxa"/>
              <w:bottom w:w="35" w:type="dxa"/>
              <w:right w:w="35" w:type="dxa"/>
            </w:tcMar>
          </w:tcPr>
          <w:p w14:paraId="6B11CD9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8" w:type="pct"/>
            <w:shd w:val="clear" w:color="auto" w:fill="auto"/>
            <w:vAlign w:val="center"/>
            <w:tcMar>
              <w:top w:w="35" w:type="dxa"/>
              <w:left w:w="35" w:type="dxa"/>
              <w:bottom w:w="35" w:type="dxa"/>
              <w:right w:w="35" w:type="dxa"/>
            </w:tcMar>
          </w:tcPr>
          <w:p w14:paraId="3C51DF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22" w:type="pct"/>
            <w:vAlign w:val="center"/>
            <w:tcMar>
              <w:top w:w="35" w:type="dxa"/>
              <w:left w:w="35" w:type="dxa"/>
              <w:bottom w:w="35" w:type="dxa"/>
              <w:right w:w="35" w:type="dxa"/>
            </w:tcMar>
          </w:tcPr>
          <w:p w14:paraId="02E196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7891DF78">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排水、供水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F132A0A">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370D3D0D">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rPr>
      </w:r>
    </w:p>
    <w:p w14:paraId="7785B2A9">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2"/>
        <w:gridCol w:w="2322"/>
        <w:gridCol w:w="3011"/>
        <w:gridCol w:w="2048"/>
        <w:gridCol w:w="2448"/>
        <w:gridCol w:w="4194"/>
      </w:tblGrid>
      <w:tr w14:paraId="1E1DBA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1" w:type="pct"/>
            <w:noWrap w:val="0"/>
            <w:vAlign w:val="center"/>
          </w:tcPr>
          <w:p w14:paraId="44D543CB">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3A447DE5">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15C9E47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651" w:type="pct"/>
            <w:noWrap w:val="0"/>
            <w:vAlign w:val="center"/>
          </w:tcPr>
          <w:p w14:paraId="096C27EA">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778" w:type="pct"/>
            <w:noWrap w:val="0"/>
            <w:vAlign w:val="center"/>
          </w:tcPr>
          <w:p w14:paraId="6FB3AF1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333" w:type="pct"/>
            <w:noWrap w:val="0"/>
            <w:vAlign w:val="center"/>
          </w:tcPr>
          <w:p w14:paraId="7F48AD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42EB61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08" w:hRule="atLeast"/>
          <w:jc w:val="center"/>
        </w:trPr>
        <w:tc>
          <w:tcPr>
            <w:tcW w:w="541" w:type="pct"/>
            <w:noWrap w:val="0"/>
            <w:vAlign w:val="center"/>
          </w:tcPr>
          <w:p w14:paraId="7B088AAB">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22A5966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0B559232">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1072708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651" w:type="pct"/>
            <w:noWrap w:val="0"/>
            <w:vAlign w:val="center"/>
          </w:tcPr>
          <w:p w14:paraId="7E44F5B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778" w:type="pct"/>
            <w:noWrap w:val="0"/>
            <w:vAlign w:val="center"/>
          </w:tcPr>
          <w:p w14:paraId="11808839">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333" w:type="pct"/>
            <w:noWrap w:val="0"/>
            <w:vAlign w:val="center"/>
          </w:tcPr>
          <w:p w14:paraId="1F929EE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5D89970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rPr>
      </w:r>
    </w:p>
    <w:p w14:paraId="72DFE86F">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2B47F6B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7A3E6D39">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2BCEE57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rPr>
        <w:t>2.本估价报告有效期自提交估价报告日{{ report_date }}至{{ report_valid_until }}一年内有效。</w:t>
      </w:r>
    </w:p>
    <w:p w14:paraId="459F75BC">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03091924">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rPr>
      </w:r>
    </w:p>
    <w:p w14:paraId="329D4C3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
        <w:rPr>
          <w:rFonts w:ascii="仿宋_GB2312" w:hAnsi="仿宋_GB2312" w:eastAsia="仿宋_GB2312" w:cs="仿宋_GB2312"/>
          <w:color w:val="000000"/>
        </w:rPr>
        <w:t>5.依据{{ client_name }}《关于国有建设用地的规划条件的函》（2025年9月11日），用地面积{{ land_area }}平方米，本次评估面积以拟出让地块红线图的供应面积为准。</w:t>
      </w:r>
    </w:p>
    <w:p w14:paraId="7C2B4B6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099D94EF">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4682344D">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
        <w:rPr>
          <w:rFonts w:ascii="仿宋_GB2312" w:hAnsi="仿宋_GB2312" w:eastAsia="仿宋_GB2312" w:cs="仿宋_GB2312"/>
          <w:color w:val="000000"/>
        </w:rPr>
        <w:t xml:space="preserve">{{ appraisal_org }}                                                                                                                                                                                                                    </w:t>
      </w:r>
    </w:p>
    <w:p w14:paraId="2B90C41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rPr>
        <w:t xml:space="preserve">                                                                                                                   {{ report_date }}</w:t>
      </w:r>
    </w:p>
    <w:p w14:paraId="1890A5BA">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type w:val="continuous"/>
          <w:pgSz w:w="16838" w:h="11906" w:orient="landscape"/>
          <w:pgMar w:top="720" w:right="663" w:bottom="720" w:left="663" w:header="624" w:footer="624" w:gutter="0"/>
          <w:pgNumType w:fmt="decimal"/>
          <w:cols w:space="720" w:num="1"/>
          <w:docGrid w:linePitch="312" w:charSpace="0"/>
        </w:sectPr>
      </w:pPr>
    </w:p>
    <w:p w14:paraId="6BD788E0">
      <w:pPr>
        <w:spacing w:before="120" w:beforeLines="50" w:after="240" w:afterLines="100" w:line="440" w:lineRule="exact"/>
        <w:ind w:left="641" w:firstLine="180" w:firstLineChars="56"/>
        <w:jc w:val="center"/>
        <w:outlineLvl w:val="0"/>
        <w:rPr>
          <w:rFonts w:ascii="宋体" w:hAnsi="宋体"/>
          <w:b/>
          <w:color w:val="000000" w:themeColor="text1"/>
          <w:sz w:val="32"/>
          <w:szCs w:val="32"/>
          <w:highlight w:val="none"/>
          <w14:textFill>
            <w14:solidFill>
              <w14:schemeClr w14:val="tx1"/>
            </w14:solidFill>
          </w14:textFill>
        </w:rPr>
      </w:pPr>
      <w:r>
        <w:rPr>
          <w:rFonts w:hint="eastAsia" w:ascii="宋体" w:hAnsi="宋体"/>
          <w:b/>
          <w:bCs/>
          <w:color w:val="000000" w:themeColor="text1"/>
          <w:sz w:val="32"/>
          <w:highlight w:val="none"/>
          <w14:textFill>
            <w14:solidFill>
              <w14:schemeClr w14:val="tx1"/>
            </w14:solidFill>
          </w14:textFill>
        </w:rPr>
        <w:t>第二部分    估价对象界定</w:t>
      </w:r>
    </w:p>
    <w:p w14:paraId="3CD27D9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一、委托估价方</w:t>
      </w:r>
    </w:p>
    <w:p w14:paraId="222853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 xml:space="preserve">委托估价方：{{ client_name }} </w:t>
      </w:r>
    </w:p>
    <w:p w14:paraId="5210314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10EAE09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EA4EA1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023DBD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0507BE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color w:val="000000" w:themeColor="text1"/>
          <w:sz w:val="28"/>
          <w:szCs w:val="30"/>
          <w:highlight w:val="none"/>
          <w:lang w:val="en-US" w:eastAsia="zh-CN"/>
          <w14:textFill>
            <w14:solidFill>
              <w14:schemeClr w14:val="tx1"/>
            </w14:solidFill>
          </w14:textFill>
        </w:rPr>
      </w:r>
      <w:r>
        <w:rPr>
          <w:rFonts w:hint="eastAsia" w:ascii="仿宋_GB2312" w:eastAsia="仿宋_GB2312"/>
          <w:color w:val="000000" w:themeColor="text1"/>
          <w:sz w:val="28"/>
          <w:szCs w:val="30"/>
          <w:highlight w:val="none"/>
          <w14:textFill>
            <w14:solidFill>
              <w14:schemeClr w14:val="tx1"/>
            </w14:solidFill>
          </w14:textFill>
        </w:rPr>
      </w:r>
    </w:p>
    <w:p w14:paraId="556188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 client_phone }}</w:t>
      </w:r>
    </w:p>
    <w:p w14:paraId="441D6F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5639949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72789BC">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二、估价对象</w:t>
      </w:r>
    </w:p>
    <w:p w14:paraId="29E9A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t>本次估价对象为{{ client_name }}{{ transfer_purpose }}涉及的位于{{ land_location_full }}的{{ parcel_count }}{{ land_usage }}国有建设用地使用权，根据《评估委托书》、{{ basis_docs_rendered }}、《{{ county_name }}{{ land_plot_number }}号地块建设用地规划红线图》等资料，估价对象土地面积为{{ land_area }}平方米，土地开发程度为{{ land_development_set }}，土地使用者为{{ land_user }}。</w:t>
      </w:r>
      <w:r>
        <w:rPr>
          <w:rFonts w:ascii="仿宋_GB2312" w:hAnsi="仿宋_GB2312" w:eastAsia="仿宋_GB2312" w:cs="仿宋_GB2312"/>
          <w:color w:val="000000"/>
          <w:sz w:val="28"/>
        </w:rPr>
      </w:r>
    </w:p>
    <w:p w14:paraId="5650E2D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估价对象仅为国有建设用地使用权，不包括其他土地附着物、动产、债权债务、特许经营权等其他财产或权益。</w:t>
      </w:r>
    </w:p>
    <w:p w14:paraId="066C5006">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1"/>
        <w:rPr>
          <w:rFonts w:eastAsia="仿宋_GB2312"/>
          <w:b/>
          <w:color w:val="000000" w:themeColor="text1"/>
          <w:sz w:val="28"/>
          <w:szCs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三、估价对象概况</w:t>
      </w:r>
    </w:p>
    <w:p w14:paraId="403B3C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pPr>
        <w:spacing w:before="0" w:after="0" w:line="460" w:lineRule="exact"/>
        <w:ind w:left="561" w:firstLine="0"/>
      </w:pPr>
      <w:r>
        <w:rPr>
          <w:rFonts w:ascii="仿宋_GB2312" w:hAnsi="仿宋_GB2312" w:eastAsia="仿宋_GB2312" w:cs="仿宋_GB2312"/>
          <w:sz w:val="28"/>
        </w:rPr>
        <w:t>{{ land_registration_desc }}</w:t>
      </w:r>
    </w:p>
    <w:p w14:paraId="3A3D5A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pPr>
        <w:spacing w:before="0" w:after="0" w:line="460" w:lineRule="exact"/>
        <w:ind w:left="561" w:firstLine="0"/>
      </w:pPr>
      <w:r>
        <w:rPr>
          <w:rFonts w:ascii="仿宋_GB2312" w:hAnsi="仿宋_GB2312" w:eastAsia="仿宋_GB2312" w:cs="仿宋_GB2312"/>
          <w:sz w:val="28"/>
        </w:rPr>
        <w:t>{{ land_right_desc }}</w:t>
      </w:r>
    </w:p>
    <w:p w14:paraId="6EC8BC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75B8A2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60" w:lineRule="exact"/>
        <w:ind w:left="561" w:firstLine="0"/>
      </w:pPr>
      <w:r>
        <w:rPr>
          <w:rFonts w:ascii="仿宋_GB2312" w:hAnsi="仿宋_GB2312" w:eastAsia="仿宋_GB2312" w:cs="仿宋_GB2312"/>
          <w:sz w:val="28"/>
        </w:rPr>
        <w:t>{{ land_use_status_desc }}</w:t>
      </w:r>
    </w:p>
    <w:p>
      <w:pPr>
        <w:spacing w:before="0" w:after="0" w:line="460" w:lineRule="exact"/>
        <w:ind w:left="561" w:firstLine="0"/>
      </w:pPr>
      <w:r>
        <w:rPr>
          <w:rFonts w:ascii="仿宋_GB2312" w:hAnsi="仿宋_GB2312" w:eastAsia="仿宋_GB2312" w:cs="仿宋_GB2312"/>
          <w:sz w:val="28"/>
        </w:rPr>
        <w:t>估价对象利用现状如下：</w:t>
      </w:r>
    </w:p>
    <w:p w14:paraId="3892FF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34C703D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333228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FB5FD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7F99139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4D8F55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681B72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1D814087">
      <w:pPr>
        <w:keepNext w:val="0"/>
        <w:keepLines w:val="0"/>
        <w:pageBreakBefore w:val="0"/>
        <w:widowControl w:val="0"/>
        <w:tabs>
          <w:tab w:val="left" w:pos="1050"/>
        </w:tabs>
        <w:kinsoku/>
        <w:wordWrap/>
        <w:overflowPunct/>
        <w:topLinePunct w:val="0"/>
        <w:autoSpaceDE/>
        <w:autoSpaceDN/>
        <w:bidi w:val="0"/>
        <w:spacing w:line="460" w:lineRule="exact"/>
        <w:ind w:right="23" w:firstLine="562" w:firstLineChars="200"/>
        <w:textAlignment w:val="auto"/>
        <w:outlineLvl w:val="1"/>
        <w:rPr>
          <w:rFonts w:ascii="仿宋" w:hAnsi="仿宋" w:eastAsia="仿宋"/>
          <w:color w:val="000000" w:themeColor="text1"/>
          <w:sz w:val="28"/>
          <w:highlight w:val="none"/>
          <w14:textFill>
            <w14:solidFill>
              <w14:schemeClr w14:val="tx1"/>
            </w14:solidFill>
          </w14:textFill>
        </w:rPr>
      </w:pPr>
      <w:r>
        <w:rPr>
          <w:rFonts w:hint="eastAsia" w:eastAsia="仿宋_GB2312"/>
          <w:b/>
          <w:color w:val="000000" w:themeColor="text1"/>
          <w:sz w:val="28"/>
          <w:szCs w:val="28"/>
          <w:highlight w:val="none"/>
          <w14:textFill>
            <w14:solidFill>
              <w14:schemeClr w14:val="tx1"/>
            </w14:solidFill>
          </w14:textFill>
        </w:rPr>
        <w:t>四、影响地价的因素说明</w:t>
      </w:r>
    </w:p>
    <w:p w14:paraId="4B572F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4366BD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422B52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2C42317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2895C4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00C9C0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6A6EA4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35009D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48A7CD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791385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BA3D3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25152C2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758EAF3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61AF73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359D6C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2A3CC0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690BC0B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1D4F5A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4B7DD3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435FC6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3AFFA5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286315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3F986F8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26D1C26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5140AF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D54A7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7E56D9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3CED0E1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69AA2AE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0647595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58B98C2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566DB3B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6DF65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7D4A51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0C1A436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3A92DB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7E2A0F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70412E0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384E11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099965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17AF1E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418ABB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5CEE065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4470CB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1F64BA0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4DE428B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782FF9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7FF5A8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2EB033E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21F8B2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1627E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10863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29F31E1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9FE85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A43D0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97222D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243AB6D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17811C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2CC2199">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0E950F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DA348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8FE55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B81C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5B09E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63D844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6FA9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7554D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A1F56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8B9A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1FA626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EA8D83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F492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9FDA1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39425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25BB68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F582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B970B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F894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3EF8A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1E0C13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7A36E5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481D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D1C5D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D8D77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7888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8B1E4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1CBA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DAE50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EB50C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2740F3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EF19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F1C9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7F3C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31A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596E014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D5D8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5B64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FF9525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53FB6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17A4758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501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EF622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46B8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ED9A8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1D04DA12">
      <w:pPr>
        <w:pStyle w:val="2"/>
        <w:keepNext w:val="0"/>
        <w:keepLines w:val="0"/>
        <w:pageBreakBefore w:val="0"/>
        <w:widowControl w:val="0"/>
        <w:kinsoku/>
        <w:wordWrap/>
        <w:overflowPunct/>
        <w:topLinePunct w:val="0"/>
        <w:autoSpaceDE/>
        <w:autoSpaceDN/>
        <w:bidi w:val="0"/>
        <w:adjustRightInd/>
        <w:snapToGrid/>
        <w:spacing w:after="0" w:line="240" w:lineRule="auto"/>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547DD2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4654550" cy="2590800"/>
            <wp:effectExtent l="4445" t="4445" r="19685" b="10795"/>
            <wp:docPr id="63"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3A26772A">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7997F6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4DD3CD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3A34AC59">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1646A79D">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08CB03B2">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757545" cy="2015490"/>
            <wp:effectExtent l="0" t="0" r="3175" b="11430"/>
            <wp:docPr id="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inline>
        </w:drawing>
      </w:r>
    </w:p>
    <w:p w14:paraId="641D151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color w:val="000000" w:themeColor="text1"/>
          <w:highlight w:val="none"/>
          <w14:textFill>
            <w14:solidFill>
              <w14:schemeClr w14:val="tx1"/>
            </w14:solidFill>
          </w14:textFill>
        </w:rPr>
      </w:pPr>
    </w:p>
    <w:p w14:paraId="5FAE3191">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3742055" cy="2219960"/>
            <wp:effectExtent l="4445" t="4445" r="17780" b="15875"/>
            <wp:docPr id="64"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E715250">
      <w:pPr>
        <w:keepLines w:val="0"/>
        <w:pageBreakBefore w:val="0"/>
        <w:kinsoku/>
        <w:wordWrap/>
        <w:overflowPunct/>
        <w:topLinePunct w:val="0"/>
        <w:autoSpaceDE/>
        <w:autoSpaceDN/>
        <w:bidi w:val="0"/>
        <w:spacing w:line="48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777A7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27322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32AE3E1A">
      <w:pPr>
        <w:keepLines w:val="0"/>
        <w:pageBreakBefore w:val="0"/>
        <w:kinsoku/>
        <w:wordWrap/>
        <w:overflowPunct/>
        <w:topLinePunct w:val="0"/>
        <w:autoSpaceDE/>
        <w:autoSpaceDN/>
        <w:bidi w:val="0"/>
        <w:spacing w:line="48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508AB32">
      <w:pPr>
        <w:pStyle w:val="14"/>
        <w:jc w:val="right"/>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5C47E83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3CF25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4AE7F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2FC153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2941DB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4B2803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687E1B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AE605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94AFD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5E8F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484C9F4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606A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5CCA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F9904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2932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02B17FB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9227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A89E1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49D40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C94B2D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7A63FA6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08914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A87AE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A926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E2DFE6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42F582C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D96FB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09CF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E4BFA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CBAE37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4225CA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577A7B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B0836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D54F4F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0A74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2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31B0D5A3">
      <w:pPr>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00ACBD4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767141C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35D63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045728A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F837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0E950E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74FC75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284F8C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F16EE2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68FB6F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B47FCA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13AF87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E56D8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08EED6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21A8A8A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6009B60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261B2C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1707785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1B190A2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36DE5F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19A1E75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1DFF65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4569ED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752D8D6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3CB2CF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2C482D6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1A178A7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493530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6D6D9E5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0121425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4D6303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4300DC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53E7E0C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780B662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52F96E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0AC0762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01BC37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2CC2A07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4915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4D58C26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18E2EA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5C5841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64A9F2F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2506580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285AF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13EC95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1EB3273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5AB9571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7E24680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203B1A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66564A5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4717502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375509C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01E50F6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4686AF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374A230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687B82C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4187B9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4312013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21A0AE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53194B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209973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51ADAA4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19EE11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82951A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61C1328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477FD08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180E96D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1874895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2AE0A2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51F13C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51231C9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5D3D4D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7FF10B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458F93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3CDF9A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5D39204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66E92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158EAB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62304E2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6159FA4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01F1BC0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62A6B2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3DD938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7E663FD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1D47E46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77227A8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6386851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7A01944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3C96210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1BA8E4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22F87BD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339E2D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6C8C11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38DA4AB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6124C4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722C1C2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3CA7E4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5F8DE56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6994D63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4FAB7ED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6791673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AD583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367D1B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949A5E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2F22614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090B29A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28FA135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0E8544C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215608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4F2952E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0286C68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C61EA7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661AD11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44DA3D7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52F1821D">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0A4BE403">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7FAFBBA">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18B8BE7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276D25C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5CB6D88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284489C2">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05C1ABB">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163C2FE">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71B0B690">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3B65C784">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302882EA">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02ED6B67">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7E45BD32">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2F16459C">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330A78C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31B8B2C8">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4477E263">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0933A585">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75F2DA9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A5A03E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5970DA3E">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5B971D0F">
      <w:pPr>
        <w:pStyle w:val="2"/>
        <w:keepNext w:val="0"/>
        <w:keepLines w:val="0"/>
        <w:pageBreakBefore w:val="0"/>
        <w:widowControl w:val="0"/>
        <w:kinsoku/>
        <w:wordWrap/>
        <w:overflowPunct/>
        <w:topLinePunct w:val="0"/>
        <w:autoSpaceDE/>
        <w:autoSpaceDN/>
        <w:bidi w:val="0"/>
        <w:adjustRightInd/>
        <w:snapToGrid/>
        <w:spacing w:after="0" w:line="48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501ECDA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69E303B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72714E1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1D4C8D8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37D86E7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0D70EA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6544F15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6403E6F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42DB945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2D1CC2E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64B7D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56CB683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0900C50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6049C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47C88F47">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044D550C">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CE0F72F">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089F9922">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545AF47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FFD9DF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709A43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2F38F06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52E6987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510F37E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2C2C6E7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E41B4B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5A59E07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593BE6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113B5DA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11428BE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667DBA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1735F52D">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607F4A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536EBFB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1BB2278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22F4227B">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F2840C1">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2EC25ED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5688FE8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39FA9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61E131B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4A12677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145F5FE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364019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C8C8F28">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0D565D1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7DF5C5BA">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5C1304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406E67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0BF01D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77D8C5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3504F6A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523EACAC">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51680C8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0FCC2F77">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2ADABEAB">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834E80">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221558E6">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A907B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76C90B0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FE6979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6CA09E1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6CD3CA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61B55515">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 name="图片 1"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5D9B8107">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3" name="图片 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0207301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60982C1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1AF2793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849B2D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7C889307">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37F0EB9E">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6EBA7B6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11A7E29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46A524A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5C96FA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516EFC0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6D7AC5F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310ED1DA">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68010F0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9EF1C13">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11" w:type="first"/>
          <w:footerReference r:id="rId12" w:type="first"/>
          <w:endnotePr>
            <w:numFmt w:val="decimal"/>
          </w:endnotePr>
          <w:type w:val="continuous"/>
          <w:pgSz w:w="11906" w:h="16838"/>
          <w:pgMar w:top="1440" w:right="1800" w:bottom="1440" w:left="1800" w:header="851" w:footer="992"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6A8170F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D4FE92F">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3" w:type="first"/>
          <w:footerReference r:id="rId14"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A2C50C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0DD4A18E">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15" w:type="first"/>
          <w:footerReference r:id="rId16"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7B6D4CF8">
      <w:pPr>
        <w:tabs>
          <w:tab w:val="left" w:pos="0"/>
        </w:tabs>
        <w:spacing w:before="120" w:beforeLines="50" w:after="240" w:afterLines="100" w:line="440" w:lineRule="exact"/>
        <w:jc w:val="center"/>
        <w:outlineLvl w:val="1"/>
        <w:rPr>
          <w:rFonts w:ascii="宋体" w:hAnsi="宋体"/>
          <w:b/>
          <w:color w:val="000000" w:themeColor="text1"/>
          <w:sz w:val="32"/>
          <w:szCs w:val="32"/>
          <w:highlight w:val="none"/>
          <w14:textFill>
            <w14:solidFill>
              <w14:schemeClr w14:val="tx1"/>
            </w14:solidFill>
          </w14:textFill>
        </w:rPr>
      </w:pPr>
      <w:r>
        <w:rPr>
          <w:rFonts w:hint="eastAsia" w:ascii="宋体" w:hAnsi="宋体"/>
          <w:b/>
          <w:color w:val="000000" w:themeColor="text1"/>
          <w:sz w:val="32"/>
          <w:szCs w:val="32"/>
          <w:highlight w:val="none"/>
          <w14:textFill>
            <w14:solidFill>
              <w14:schemeClr w14:val="tx1"/>
            </w14:solidFill>
          </w14:textFill>
        </w:rPr>
        <w:t>第三部分   土地估价结果及其使用</w:t>
      </w:r>
    </w:p>
    <w:p w14:paraId="11C473B3">
      <w:pPr>
        <w:keepNext w:val="0"/>
        <w:keepLines w:val="0"/>
        <w:pageBreakBefore w:val="0"/>
        <w:widowControl w:val="0"/>
        <w:kinsoku/>
        <w:wordWrap/>
        <w:topLinePunct w:val="0"/>
        <w:bidi w:val="0"/>
        <w:spacing w:line="460" w:lineRule="exact"/>
        <w:ind w:firstLine="562" w:firstLineChars="200"/>
        <w:textAlignment w:val="auto"/>
        <w:outlineLvl w:val="1"/>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一、估价依据</w:t>
      </w:r>
    </w:p>
    <w:p w14:paraId="1648BD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B5806B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6F3C2A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0BC1F6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63647F1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128CF79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497821B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1A4656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4F133C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E36E0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4AA5D2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512B02D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227F01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33FB13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ABC4EE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0535F0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5ACFB4B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3FCDC4F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68AFA4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7FBA967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2F0B97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4CA2CE4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5EE35B3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333AF49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071A130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0B5784A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7A4D49E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3ED8EC0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2391820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5862CE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6F488D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2FBB4B4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7D2BEB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03436E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3EFDB13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311FB5F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745EFC4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1A7D8E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5F5DB1F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07171B1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2064FA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70439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C7F72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3841216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47E5D6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93D3B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EB1900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eastAsia="宋体"/>
          <w:color w:val="000000" w:themeColor="text1"/>
          <w:highlight w:val="none"/>
          <w:lang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2EB04C7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4580E31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5F7FC82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3806C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5768618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F58DE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393CF9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7E4E170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752053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28D702A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72FD31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06B9039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737795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860A0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7DE881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4.《{{ county_name }}{{ land_plot_number }}号地块建设用地规划红线图》；</w:t>
      </w:r>
      <w:r>
        <w:rPr>
          <w:rFonts w:ascii="仿宋_GB2312" w:hAnsi="仿宋_GB2312" w:eastAsia="仿宋_GB2312" w:cs="仿宋_GB2312"/>
          <w:color w:val="000000"/>
          <w:sz w:val="28"/>
        </w:rPr>
      </w:r>
    </w:p>
    <w:p w14:paraId="079C58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7A0635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3BC56B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50A820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0C1BE1A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103DBC9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4674A0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55F178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67CECE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06D94A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081122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3D4162E3">
      <w:pPr>
        <w:keepNext w:val="0"/>
        <w:keepLines w:val="0"/>
        <w:pageBreakBefore w:val="0"/>
        <w:widowControl w:val="0"/>
        <w:kinsoku/>
        <w:wordWrap/>
        <w:topLinePunct w:val="0"/>
        <w:bidi w:val="0"/>
        <w:spacing w:line="460" w:lineRule="exact"/>
        <w:ind w:firstLine="562" w:firstLineChars="200"/>
        <w:textAlignment w:val="auto"/>
        <w:outlineLvl w:val="1"/>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二、土地估价</w:t>
      </w:r>
    </w:p>
    <w:p w14:paraId="209AB8D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（一）估价原则</w:t>
      </w:r>
    </w:p>
    <w:p w14:paraId="24AD22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768AF2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3A7D9FF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709CED6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基准地价系数修正法中对区域平均级别价进行修正也体现了替代原则。</w:t>
      </w:r>
    </w:p>
    <w:p w14:paraId="4EE74F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04EE365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176814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40B2B1D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3F22DE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771A04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DA774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473489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3BA17B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0DCD62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341FFD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4C401B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0AD336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0B0CAF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7EF393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339AFB7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3188F8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3B78B8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210A7E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64B9C6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2B5FE50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0CE254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0DB8C8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（5）评估位于中心城区的工业仓储用地，一般情况下不宜采用成本逼近法。</w:t>
      </w:r>
    </w:p>
    <w:p w14:paraId="2027E3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1256CB9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329736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7B8CE9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31791D0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0430F97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69B64C1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11098C9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7701A15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60" w:lineRule="exact"/>
        <w:ind w:left="561" w:firstLine="0"/>
      </w:pPr>
      <w:r>
        <w:rPr>
          <w:rFonts w:ascii="仿宋_GB2312" w:hAnsi="仿宋_GB2312" w:eastAsia="仿宋_GB2312" w:cs="仿宋_GB2312"/>
          <w:sz w:val="28"/>
        </w:rPr>
        <w:t>{{ valuation_method_reasons }}</w:t>
      </w:r>
    </w:p>
    <w:p>
      <w:pPr>
        <w:spacing w:before="0" w:after="0" w:line="460" w:lineRule="exact"/>
        <w:ind w:left="561" w:firstLine="0"/>
      </w:pPr>
      <w:r>
        <w:rPr>
          <w:rFonts w:ascii="仿宋_GB2312" w:hAnsi="仿宋_GB2312" w:eastAsia="仿宋_GB2312" w:cs="仿宋_GB2312"/>
          <w:sz w:val="28"/>
        </w:rPr>
        <w:t>{{ valuation_method_applicability }}</w:t>
      </w:r>
    </w:p>
    <w:p w14:paraId="2D9A1B3A">
      <w:pPr>
        <w:keepNext w:val="0"/>
        <w:keepLines w:val="0"/>
        <w:pageBreakBefore w:val="0"/>
        <w:widowControl w:val="0"/>
        <w:kinsoku/>
        <w:wordWrap/>
        <w:overflowPunct w:val="0"/>
        <w:topLinePunct w:val="0"/>
        <w:autoSpaceDE w:val="0"/>
        <w:autoSpaceDN w:val="0"/>
        <w:bidi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（三）估价结果</w:t>
      </w:r>
    </w:p>
    <w:p w14:paraId="52A87E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r>
        <w:t>★基准地价系数修正法</w:t>
      </w:r>
    </w:p>
    <w:p>
      <w:r>
        <w:t>{{ benchmark_corr_method_intro }}</w:t>
      </w:r>
    </w:p>
    <w:p>
      <w:r>
        <w:t>★剩余法</w:t>
      </w:r>
    </w:p>
    <w:p>
      <w:r>
        <w:t>{{ residual_method_intro }}</w:t>
      </w:r>
    </w:p>
    <w:p>
      <w:pPr>
        <w:spacing w:before="0" w:after="0" w:line="460" w:lineRule="exact"/>
        <w:ind w:left="561" w:firstLine="0"/>
      </w:pPr>
      <w:r>
        <w:rPr>
          <w:rFonts w:ascii="仿宋_GB2312" w:hAnsi="仿宋_GB2312" w:eastAsia="仿宋_GB2312" w:cs="仿宋_GB2312"/>
          <w:sz w:val="28"/>
        </w:rPr>
        <w:t>{{ final_price_determination }}</w:t>
      </w:r>
    </w:p>
    <w:p w14:paraId="32C9FBCE">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0"/>
        <w:gridCol w:w="1390"/>
        <w:gridCol w:w="781"/>
        <w:gridCol w:w="1143"/>
        <w:gridCol w:w="778"/>
        <w:gridCol w:w="1214"/>
        <w:gridCol w:w="1546"/>
      </w:tblGrid>
      <w:tr w14:paraId="17FB6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5EFBCB2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D20C3E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33BEEAD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36B704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3FCE9E5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28D2C7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5639B7C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6F7076F2">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3AB8D74E">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6433603A">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4623621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55719BB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63BB559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042D911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75157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23C6A175">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7EDAD7F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1F76BBC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0C911FBA">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58E9F2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4730094C">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DCA2BB8">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2789BB6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120" w:line="460" w:lineRule="exact"/>
        <w:ind w:left="561" w:firstLine="0"/>
      </w:pPr>
      <w:r>
        <w:rPr>
          <w:rFonts w:ascii="仿宋_GB2312" w:hAnsi="仿宋_GB2312" w:eastAsia="仿宋_GB2312" w:cs="仿宋_GB2312"/>
          <w:sz w:val="28"/>
        </w:rPr>
        <w:t>{{ valuation_result_statement }}</w:t>
      </w:r>
    </w:p>
    <w:p w14:paraId="0477BC23">
      <w:pPr>
        <w:keepNext w:val="0"/>
        <w:keepLines w:val="0"/>
        <w:pageBreakBefore w:val="0"/>
        <w:widowControl w:val="0"/>
        <w:kinsoku/>
        <w:wordWrap/>
        <w:overflowPunct/>
        <w:topLinePunct w:val="0"/>
        <w:autoSpaceDE/>
        <w:autoSpaceDN/>
        <w:bidi w:val="0"/>
        <w:spacing w:line="460" w:lineRule="exact"/>
        <w:ind w:firstLine="562" w:firstLineChars="200"/>
        <w:textAlignment w:val="auto"/>
        <w:rPr>
          <w:rFonts w:hint="eastAsia"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b/>
          <w:bCs/>
          <w:color w:val="000000" w:themeColor="text1"/>
          <w:sz w:val="28"/>
          <w:szCs w:val="30"/>
          <w:highlight w:val="none"/>
          <w14:textFill>
            <w14:solidFill>
              <w14:schemeClr w14:val="tx1"/>
            </w14:solidFill>
          </w14:textFill>
        </w:rPr>
        <w:t>三、估价结果和估价报告的使用</w:t>
      </w:r>
    </w:p>
    <w:p w14:paraId="06B947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（一）估价的前提条件和假设条件</w:t>
      </w:r>
    </w:p>
    <w:p w14:paraId="3D4A52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1.本次估价中估价对象的土地权属、土地用途、使用权类型、土地面积、土地利用条件等以《关于国有建设用地的规划条件的函》（2025年9月11日）、{{ basis_docs_rendered }}、《{{ county_name }}{{ land_plot_number }}号地块建设用地规划红线图》等有关资料为重要依据，并以以上资料合法、真实、有效为前提条件；</w:t>
      </w:r>
      <w:r>
        <w:rPr>
          <w:rFonts w:ascii="仿宋_GB2312" w:hAnsi="仿宋_GB2312" w:eastAsia="仿宋_GB2312" w:cs="仿宋_GB2312"/>
          <w:sz w:val="28"/>
        </w:rPr>
      </w:r>
    </w:p>
    <w:p w14:paraId="403084A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2.估价对象所处区域的不动产市场在估价期日及之后可预期的一定时期内为公开、平等、自愿、平稳持续发展的客观交易市场；</w:t>
      </w:r>
    </w:p>
    <w:p w14:paraId="3D3A7A2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3.本次评估地价内涵为估价对象在满足地价定义及本次估价的前提和假设条件下，不包括红线范围内其他土地附着物、动产、债权债务、特许经营权等其他财产或权益在内的土地使用权客观市场价格；</w:t>
      </w:r>
    </w:p>
    <w:p w14:paraId="12E99D7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4.估价对象按照《关于国有建设用地的规划条件的函》（2025年9月11日）确定的规划指标开发利用，并能持续产生土地收益；</w:t>
      </w:r>
    </w:p>
    <w:p w14:paraId="06A56B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5.本次评估的价格是指估价对象在公开市场条件下，于估价期日{{ valuation_date }}，评估设定开发程度为宗地红线外围“五通”（即通路、通电、通讯、供水、排水）红线内场地平整，按规划条件设定用途为工业用地，容积率设定为1.5，设定土地使用年期为30年的国有建设用地使用权市场价格。本报告及估价结果基于以上“地价定义”,如果以上“地价定义”中的参数发生变化，则地价有可能改变；</w:t>
      </w:r>
    </w:p>
    <w:p w14:paraId="62FE45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6.任何有关估价对象的运作方式及程序符合国家、湖南省、永州市和道县于估价期日{{ valuation_date }}的有关法律法规规章和技术性规范。</w:t>
      </w:r>
    </w:p>
    <w:p w14:paraId="735B21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（二）估价结果与估价报告的使用</w:t>
      </w:r>
    </w:p>
    <w:p w14:paraId="4C2A99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1.本估价报告和估价结果依据《中华人民共和国土地管理法》《中华人民共和国城市房地产管理法》、自然资源部《城镇土地估价规程》等法律、法规的规定发生法律效力；</w:t>
      </w:r>
    </w:p>
    <w:p w14:paraId="1ABAC3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估价报告为委托估价方通过集体决策确定估价对象挂牌出让底价提供国有出让建设用地使用权市场价格参考依据，不能用于除此以外的其他任何经济活动。违背规定或超越本报告特定目的及限制条件使用本估价报告和估价结果而产生的法律责任及经济损失，本估价机构概不负责；</w:t>
      </w:r>
    </w:p>
    <w:p w14:paraId="71D72A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color w:val="000000"/>
          <w:sz w:val="28"/>
        </w:rPr>
        <w:t>3.本估价报告和估价结果的有效使用期为一年，即{{ report_date }}至{{ report_valid_until }}；</w:t>
      </w:r>
    </w:p>
    <w:p w14:paraId="4EF999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4.本估价报告和估价结果的使用权归委托估价方所有，{{ appraisal_org }}对估价报告及估价结果拥有解释权。未经本公司书面同意，本估价报告书的全部或部分不得使用于公开的文件、通告或报告中，也不得以任何方式向第三者提供报告全文或其中内容；</w:t>
      </w:r>
    </w:p>
    <w:p w14:paraId="383752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本报告估价结果，需经两名以上（含两名）土地估价师签名、土地估价机构盖章后方能生效。本报告必须完整使用（尤其是价格）方为有效，对仅使用本报告中的部分内容所导致的可能发生的损失，受托估价机构不承担任何责任。</w:t>
      </w:r>
    </w:p>
    <w:p w14:paraId="2056B6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本报告及估价结果仅为本报告设定的估价目的服务，当用于其它目的，本报告估价结果无效。本报告必须完整使用，对仅使用报告中的部分内容所导致的有关损失，受托估价机构不承担责任。估价机构不承担违规使用本估价报告和估价结果的法律责任。</w:t>
      </w:r>
    </w:p>
    <w:p w14:paraId="46D825C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（三）需要特殊说明的事项</w:t>
      </w:r>
    </w:p>
    <w:p w14:paraId="69D84F5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1.评估依据资料来源情况说明</w:t>
      </w:r>
    </w:p>
    <w:p w14:paraId="54DD6D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212713E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4CF6803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3DCBB9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2892C5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92E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2.对估价结果和估价工作可能影响的变化事项</w:t>
      </w:r>
    </w:p>
    <w:p w14:paraId="52B9CD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0FE626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FAC5E8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5222C71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3.估价对象的特殊性、估价中未考虑的因素及采取的特殊处理</w:t>
      </w:r>
    </w:p>
    <w:p w14:paraId="27A9B3F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54C8DAF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7E3CCC8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6045C6C">
      <w:pPr>
        <w:spacing w:line="460" w:lineRule="exact"/>
        <w:jc w:val="center"/>
        <w:outlineLvl w:val="9"/>
        <w:rPr>
          <w:rFonts w:ascii="宋体" w:hAnsi="宋体" w:cs="仿宋_GB2312"/>
          <w:b/>
          <w:color w:val="000000" w:themeColor="text1"/>
          <w:sz w:val="32"/>
          <w:szCs w:val="32"/>
          <w:highlight w:val="none"/>
          <w14:textFill>
            <w14:solidFill>
              <w14:schemeClr w14:val="tx1"/>
            </w14:solidFill>
          </w14:textFill>
        </w:rPr>
      </w:pPr>
      <w:r>
        <w:rPr>
          <w:rFonts w:hint="eastAsia" w:ascii="仿宋_GB2312" w:eastAsia="仿宋_GB2312"/>
          <w:bCs/>
          <w:color w:val="000000" w:themeColor="text1"/>
          <w:sz w:val="28"/>
          <w:szCs w:val="28"/>
          <w:highlight w:val="none"/>
          <w14:textFill>
            <w14:solidFill>
              <w14:schemeClr w14:val="tx1"/>
            </w14:solidFill>
          </w14:textFill>
        </w:rPr>
        <w:br w:type="page"/>
      </w:r>
    </w:p>
    <w:p w14:paraId="2B74101E">
      <w:pPr>
        <w:pageBreakBefore/>
        <w:tabs>
          <w:tab w:val="left" w:pos="-105"/>
          <w:tab w:val="left" w:pos="735"/>
          <w:tab w:val="left" w:pos="1785"/>
        </w:tabs>
        <w:adjustRightInd w:val="0"/>
        <w:snapToGrid w:val="0"/>
        <w:spacing w:line="400" w:lineRule="exact" w:before="0" w:after="24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033B851C">
      <w:pPr>
        <w:tabs>
          <w:tab w:val="left" w:pos="-105"/>
          <w:tab w:val="left" w:pos="735"/>
          <w:tab w:val="left" w:pos="1785"/>
        </w:tabs>
        <w:adjustRightInd w:val="0"/>
        <w:snapToGrid w:val="0"/>
        <w:spacing w:line="400" w:lineRule="exact"/>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156F5CA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61A8B9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2322AFC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50694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0AFEE75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 county_name }}{{ land_plot_number }}号地块建设用地规划红线图》；</w:t>
      </w:r>
      <w:r>
        <w:rPr>
          <w:rFonts w:ascii="仿宋_GB2312" w:hAnsi="仿宋_GB2312" w:eastAsia="仿宋_GB2312" w:cs="仿宋_GB2312"/>
          <w:color w:val="000000"/>
          <w:sz w:val="28"/>
        </w:rPr>
      </w:r>
    </w:p>
    <w:p w14:paraId="529FDBD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6FD37B7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2136C5E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4BB9C2F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1A4502A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4FDC97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2AD428B8">
      <w:pPr>
        <w:pStyle w:val="2"/>
        <w:ind w:left="0" w:leftChars="0" w:firstLine="5320" w:firstLineChars="1900"/>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2219999">
      <w:pPr>
        <w:spacing w:line="520" w:lineRule="exact"/>
        <w:jc w:val="center"/>
        <w:outlineLvl w:val="9"/>
        <w:rPr>
          <w:rFonts w:hint="eastAsia" w:ascii="宋体" w:hAnsi="宋体"/>
          <w:b/>
          <w:color w:val="000000" w:themeColor="text1"/>
          <w:sz w:val="44"/>
          <w:szCs w:val="44"/>
          <w:highlight w:val="none"/>
          <w14:textFill>
            <w14:solidFill>
              <w14:schemeClr w14:val="tx1"/>
            </w14:solidFill>
          </w14:textFill>
        </w:rPr>
        <w:sectPr>
          <w:headerReference r:id="rId17" w:type="default"/>
          <w:footerReference r:id="rId18" w:type="default"/>
          <w:endnotePr>
            <w:numFmt w:val="decimal"/>
          </w:endnotePr>
          <w:pgSz w:w="11906" w:h="16838"/>
          <w:pgMar w:top="1440" w:right="1803" w:bottom="1440" w:left="1803" w:header="851" w:footer="992" w:gutter="0"/>
          <w:pgNumType w:fmt="decimal"/>
          <w:cols w:space="720" w:num="1"/>
          <w:docGrid w:linePitch="312" w:charSpace="0"/>
        </w:sectPr>
      </w:pPr>
    </w:p>
    <w:p w14:paraId="06EECCE1">
      <w:pPr>
        <w:pStyle w:val="2"/>
        <w:rPr>
          <w:rFonts w:hint="eastAsia"/>
          <w:color w:val="000000" w:themeColor="text1"/>
          <w:highlight w:val="none"/>
          <w14:textFill>
            <w14:solidFill>
              <w14:schemeClr w14:val="tx1"/>
            </w14:solidFill>
          </w14:textFill>
        </w:rPr>
      </w:pPr>
    </w:p>
    <w:p w14:paraId="4972A347">
      <w:pPr>
        <w:spacing w:line="520" w:lineRule="exact"/>
        <w:jc w:val="center"/>
        <w:rPr>
          <w:rFonts w:ascii="宋体" w:hAnsi="宋体"/>
          <w:b/>
          <w:color w:val="000000" w:themeColor="text1"/>
          <w:sz w:val="44"/>
          <w:szCs w:val="44"/>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土地估价技术报告</w:t>
      </w:r>
    </w:p>
    <w:p w14:paraId="11F8E308">
      <w:pPr>
        <w:spacing w:line="520" w:lineRule="exact"/>
        <w:jc w:val="center"/>
        <w:rPr>
          <w:rFonts w:ascii="仿宋_GB2312" w:eastAsia="仿宋_GB2312"/>
          <w:color w:val="000000" w:themeColor="text1"/>
          <w:sz w:val="32"/>
          <w:highlight w:val="none"/>
          <w14:textFill>
            <w14:solidFill>
              <w14:schemeClr w14:val="tx1"/>
            </w14:solidFill>
          </w14:textFill>
        </w:rPr>
      </w:pPr>
      <w:r>
        <w:rPr>
          <w:rFonts w:hint="eastAsia" w:ascii="宋体" w:hAnsi="宋体"/>
          <w:b/>
          <w:color w:val="000000" w:themeColor="text1"/>
          <w:sz w:val="44"/>
          <w:szCs w:val="44"/>
          <w:highlight w:val="none"/>
          <w14:textFill>
            <w14:solidFill>
              <w14:schemeClr w14:val="tx1"/>
            </w14:solidFill>
          </w14:textFill>
        </w:rPr>
        <w:t>（评估工作底稿）</w:t>
      </w:r>
    </w:p>
    <w:tbl>
      <w:tblPr>
        <w:tblStyle w:val="9"/>
        <w:tblW w:w="0" w:type="auto"/>
        <w:jc w:val="center"/>
        <w:tblLayout w:type="fixed"/>
        <w:tblCellMar>
          <w:top w:w="0" w:type="dxa"/>
          <w:left w:w="108" w:type="dxa"/>
          <w:bottom w:w="0" w:type="dxa"/>
          <w:right w:w="108" w:type="dxa"/>
        </w:tblCellMar>
      </w:tblPr>
      <w:tblGrid>
        <w:gridCol w:w="3686"/>
        <w:gridCol w:w="5729"/>
      </w:tblGrid>
      <w:tr w14:paraId="0EDE72EF">
        <w:tblPrEx>
          <w:tblCellMar>
            <w:top w:w="0" w:type="dxa"/>
            <w:left w:w="108" w:type="dxa"/>
            <w:bottom w:w="0" w:type="dxa"/>
            <w:right w:w="108" w:type="dxa"/>
          </w:tblCellMar>
        </w:tblPrEx>
        <w:trPr>
          <w:trHeight w:val="1134" w:hRule="atLeast"/>
          <w:jc w:val="center"/>
        </w:trPr>
        <w:tc>
          <w:tcPr>
            <w:tcW w:w="3686" w:type="dxa"/>
            <w:vAlign w:val="center"/>
          </w:tcPr>
          <w:p w14:paraId="7A890EB2">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项</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目</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名</w:t>
            </w:r>
            <w:r>
              <w:rPr>
                <w:rFonts w:hint="eastAsia" w:ascii="楷体" w:hAnsi="楷体" w:eastAsia="楷体"/>
                <w:b/>
                <w:bCs/>
                <w:color w:val="000000" w:themeColor="text1"/>
                <w:spacing w:val="14"/>
                <w:sz w:val="32"/>
                <w:szCs w:val="32"/>
                <w:highlight w:val="none"/>
                <w14:textFill>
                  <w14:solidFill>
                    <w14:schemeClr w14:val="tx1"/>
                  </w14:solidFill>
                </w14:textFill>
              </w:rPr>
              <w:t xml:space="preserve">   </w:t>
            </w:r>
            <w:r>
              <w:rPr>
                <w:rFonts w:ascii="楷体" w:hAnsi="楷体" w:eastAsia="楷体"/>
                <w:b/>
                <w:bCs/>
                <w:color w:val="000000" w:themeColor="text1"/>
                <w:spacing w:val="14"/>
                <w:sz w:val="32"/>
                <w:szCs w:val="32"/>
                <w:highlight w:val="none"/>
                <w14:textFill>
                  <w14:solidFill>
                    <w14:schemeClr w14:val="tx1"/>
                  </w14:solidFill>
                </w14:textFill>
              </w:rPr>
              <w:t>称：</w:t>
            </w:r>
          </w:p>
        </w:tc>
        <w:tc>
          <w:tcPr>
            <w:tcW w:w="5729" w:type="dxa"/>
            <w:vAlign w:val="center"/>
          </w:tcPr>
          <w:p w14:paraId="2B726D3A">
            <w:pPr>
              <w:pStyle w:val="6"/>
              <w:keepNext w:val="0"/>
              <w:keepLines w:val="0"/>
              <w:suppressLineNumbers w:val="0"/>
              <w:tabs>
                <w:tab w:val="left" w:pos="0"/>
                <w:tab w:val="left" w:pos="2340"/>
                <w:tab w:val="left" w:pos="3360"/>
              </w:tabs>
              <w:adjustRightInd w:val="0"/>
              <w:snapToGrid w:val="0"/>
              <w:spacing w:before="0" w:beforeAutospacing="0" w:after="0" w:afterAutospacing="0" w:line="0" w:lineRule="atLeast"/>
              <w:ind w:left="2" w:right="0" w:hanging="2"/>
              <w:rPr>
                <w:rFonts w:ascii="楷体" w:hAnsi="楷体" w:eastAsia="楷体"/>
                <w:color w:val="000000" w:themeColor="text1"/>
                <w:spacing w:val="14"/>
                <w:sz w:val="32"/>
                <w:szCs w:val="32"/>
                <w:highlight w:val="none"/>
                <w14:textFill>
                  <w14:solidFill>
                    <w14:schemeClr w14:val="tx1"/>
                  </w14:solidFill>
                </w14:textFill>
              </w:rPr>
            </w:pPr>
            <w:r>
              <w:rPr>
                <w:rFonts w:ascii="仿宋_GB2312" w:hAnsi="仿宋_GB2312" w:eastAsia="仿宋_GB2312" w:cs="仿宋_GB2312"/>
              </w:rPr>
              <w:t>{{ project_name }}（{{ county_name }}）</w:t>
            </w:r>
          </w:p>
        </w:tc>
      </w:tr>
      <w:tr w14:paraId="00AF4FCE">
        <w:tblPrEx>
          <w:tblCellMar>
            <w:top w:w="0" w:type="dxa"/>
            <w:left w:w="108" w:type="dxa"/>
            <w:bottom w:w="0" w:type="dxa"/>
            <w:right w:w="108" w:type="dxa"/>
          </w:tblCellMar>
        </w:tblPrEx>
        <w:trPr>
          <w:trHeight w:val="1134" w:hRule="atLeast"/>
          <w:jc w:val="center"/>
        </w:trPr>
        <w:tc>
          <w:tcPr>
            <w:tcW w:w="3686" w:type="dxa"/>
            <w:vAlign w:val="center"/>
          </w:tcPr>
          <w:p w14:paraId="23D5F873">
            <w:pPr>
              <w:pStyle w:val="6"/>
              <w:keepNext w:val="0"/>
              <w:keepLines w:val="0"/>
              <w:suppressLineNumbers w:val="0"/>
              <w:tabs>
                <w:tab w:val="left" w:pos="468"/>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受托估价单位：</w:t>
            </w:r>
          </w:p>
        </w:tc>
        <w:tc>
          <w:tcPr>
            <w:tcW w:w="5729" w:type="dxa"/>
            <w:vAlign w:val="center"/>
          </w:tcPr>
          <w:p w14:paraId="6BC75290">
            <w:pPr>
              <w:pStyle w:val="6"/>
              <w:keepNext w:val="0"/>
              <w:keepLines w:val="0"/>
              <w:suppressLineNumbers w:val="0"/>
              <w:tabs>
                <w:tab w:val="left" w:pos="0"/>
                <w:tab w:val="left" w:pos="2340"/>
              </w:tabs>
              <w:adjustRightInd w:val="0"/>
              <w:snapToGrid w:val="0"/>
              <w:spacing w:before="0" w:beforeAutospacing="0" w:after="0" w:afterAutospacing="0" w:line="0" w:lineRule="atLeast"/>
              <w:ind w:left="-10" w:leftChars="-5" w:right="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459EF903">
        <w:tblPrEx>
          <w:tblCellMar>
            <w:top w:w="0" w:type="dxa"/>
            <w:left w:w="108" w:type="dxa"/>
            <w:bottom w:w="0" w:type="dxa"/>
            <w:right w:w="108" w:type="dxa"/>
          </w:tblCellMar>
        </w:tblPrEx>
        <w:trPr>
          <w:trHeight w:val="1134" w:hRule="atLeast"/>
          <w:jc w:val="center"/>
        </w:trPr>
        <w:tc>
          <w:tcPr>
            <w:tcW w:w="3686" w:type="dxa"/>
            <w:vAlign w:val="center"/>
          </w:tcPr>
          <w:p w14:paraId="443674ED">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土地估价报告编号：</w:t>
            </w:r>
          </w:p>
        </w:tc>
        <w:tc>
          <w:tcPr>
            <w:tcW w:w="5729" w:type="dxa"/>
            <w:vAlign w:val="center"/>
          </w:tcPr>
          <w:p w14:paraId="093BD832">
            <w:pPr>
              <w:pStyle w:val="6"/>
              <w:keepNext w:val="0"/>
              <w:keepLines w:val="0"/>
              <w:suppressLineNumbers w:val="0"/>
              <w:tabs>
                <w:tab w:val="left" w:pos="0"/>
                <w:tab w:val="left" w:pos="2340"/>
              </w:tabs>
              <w:adjustRightInd w:val="0"/>
              <w:snapToGrid w:val="0"/>
              <w:spacing w:before="0" w:beforeAutospacing="0" w:after="0" w:afterAutospacing="0" w:line="0" w:lineRule="atLeast"/>
              <w:ind w:left="0" w:leftChars="0" w:right="0" w:firstLine="0" w:firstLineChars="0"/>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report_no }}</w:t>
            </w:r>
          </w:p>
        </w:tc>
      </w:tr>
      <w:tr w14:paraId="6493152D">
        <w:tblPrEx>
          <w:tblCellMar>
            <w:top w:w="0" w:type="dxa"/>
            <w:left w:w="108" w:type="dxa"/>
            <w:bottom w:w="0" w:type="dxa"/>
            <w:right w:w="108" w:type="dxa"/>
          </w:tblCellMar>
        </w:tblPrEx>
        <w:trPr>
          <w:trHeight w:val="1303" w:hRule="atLeast"/>
          <w:jc w:val="center"/>
        </w:trPr>
        <w:tc>
          <w:tcPr>
            <w:tcW w:w="3686" w:type="dxa"/>
            <w:vAlign w:val="center"/>
          </w:tcPr>
          <w:p w14:paraId="41C71B30">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土地</w:t>
            </w:r>
            <w:r>
              <w:rPr>
                <w:rFonts w:ascii="楷体" w:hAnsi="楷体" w:eastAsia="楷体"/>
                <w:b/>
                <w:bCs/>
                <w:color w:val="000000" w:themeColor="text1"/>
                <w:spacing w:val="14"/>
                <w:sz w:val="32"/>
                <w:szCs w:val="32"/>
                <w:highlight w:val="none"/>
                <w14:textFill>
                  <w14:solidFill>
                    <w14:schemeClr w14:val="tx1"/>
                  </w14:solidFill>
                </w14:textFill>
              </w:rPr>
              <w:t>估价技术报告</w:t>
            </w:r>
          </w:p>
          <w:p w14:paraId="02A01E41">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distribute"/>
              <w:rPr>
                <w:rFonts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（评估工作</w:t>
            </w:r>
            <w:r>
              <w:rPr>
                <w:rFonts w:ascii="楷体" w:hAnsi="楷体" w:eastAsia="楷体"/>
                <w:b/>
                <w:bCs/>
                <w:color w:val="000000" w:themeColor="text1"/>
                <w:spacing w:val="14"/>
                <w:sz w:val="32"/>
                <w:szCs w:val="32"/>
                <w:highlight w:val="none"/>
                <w14:textFill>
                  <w14:solidFill>
                    <w14:schemeClr w14:val="tx1"/>
                  </w14:solidFill>
                </w14:textFill>
              </w:rPr>
              <w:t>底稿）编号：</w:t>
            </w:r>
          </w:p>
        </w:tc>
        <w:tc>
          <w:tcPr>
            <w:tcW w:w="5729" w:type="dxa"/>
            <w:vAlign w:val="center"/>
          </w:tcPr>
          <w:p w14:paraId="7443F6D1">
            <w:pPr>
              <w:pStyle w:val="6"/>
              <w:keepNext w:val="0"/>
              <w:keepLines w:val="0"/>
              <w:suppressLineNumbers w:val="0"/>
              <w:tabs>
                <w:tab w:val="left" w:pos="0"/>
                <w:tab w:val="left" w:pos="2235"/>
                <w:tab w:val="left" w:pos="2340"/>
              </w:tabs>
              <w:adjustRightInd w:val="0"/>
              <w:snapToGrid w:val="0"/>
              <w:spacing w:before="0" w:beforeAutospacing="0" w:after="0" w:afterAutospacing="0" w:line="0" w:lineRule="atLeast"/>
              <w:ind w:left="0" w:right="-78" w:rightChars="-37"/>
              <w:jc w:val="both"/>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rPr>
              <w:t>{{ technical_report_no }}</w:t>
            </w:r>
          </w:p>
        </w:tc>
      </w:tr>
      <w:tr w14:paraId="273DE4B2">
        <w:tblPrEx>
          <w:tblCellMar>
            <w:top w:w="0" w:type="dxa"/>
            <w:left w:w="108" w:type="dxa"/>
            <w:bottom w:w="0" w:type="dxa"/>
            <w:right w:w="108" w:type="dxa"/>
          </w:tblCellMar>
        </w:tblPrEx>
        <w:trPr>
          <w:trHeight w:val="1303" w:hRule="atLeast"/>
          <w:jc w:val="center"/>
        </w:trPr>
        <w:tc>
          <w:tcPr>
            <w:tcW w:w="3686" w:type="dxa"/>
            <w:vAlign w:val="center"/>
          </w:tcPr>
          <w:p w14:paraId="417DE6E6">
            <w:pPr>
              <w:pStyle w:val="6"/>
              <w:keepNext w:val="0"/>
              <w:keepLines w:val="0"/>
              <w:suppressLineNumbers w:val="0"/>
              <w:tabs>
                <w:tab w:val="left" w:pos="2235"/>
                <w:tab w:val="left" w:pos="2340"/>
              </w:tabs>
              <w:adjustRightInd w:val="0"/>
              <w:snapToGrid w:val="0"/>
              <w:spacing w:before="0" w:beforeAutospacing="0" w:after="0" w:afterAutospacing="0" w:line="0" w:lineRule="atLeast"/>
              <w:ind w:left="0" w:right="-78" w:rightChars="-37"/>
              <w:jc w:val="left"/>
              <w:rPr>
                <w:rFonts w:hint="eastAsia" w:ascii="楷体" w:hAnsi="楷体" w:eastAsia="楷体"/>
                <w:b/>
                <w:bCs/>
                <w:color w:val="000000" w:themeColor="text1"/>
                <w:spacing w:val="14"/>
                <w:sz w:val="32"/>
                <w:szCs w:val="32"/>
                <w:highlight w:val="none"/>
                <w14:textFill>
                  <w14:solidFill>
                    <w14:schemeClr w14:val="tx1"/>
                  </w14:solidFill>
                </w14:textFill>
              </w:rPr>
            </w:pPr>
            <w:r>
              <w:rPr>
                <w:rFonts w:hint="eastAsia" w:ascii="楷体" w:hAnsi="楷体" w:eastAsia="楷体"/>
                <w:b/>
                <w:bCs/>
                <w:color w:val="000000" w:themeColor="text1"/>
                <w:spacing w:val="14"/>
                <w:sz w:val="32"/>
                <w:szCs w:val="32"/>
                <w:highlight w:val="none"/>
                <w14:textFill>
                  <w14:solidFill>
                    <w14:schemeClr w14:val="tx1"/>
                  </w14:solidFill>
                </w14:textFill>
              </w:rPr>
              <w:t>电 子 备 案 编 号：</w:t>
            </w:r>
          </w:p>
        </w:tc>
        <w:tc>
          <w:tcPr>
            <w:tcW w:w="5729" w:type="dxa"/>
            <w:vAlign w:val="center"/>
          </w:tcPr>
          <w:p w14:paraId="2568F5A9">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default" w:ascii="楷体" w:hAnsi="楷体" w:eastAsia="楷体"/>
                <w:color w:val="000000" w:themeColor="text1"/>
                <w:spacing w:val="-11"/>
                <w:sz w:val="32"/>
                <w:szCs w:val="32"/>
                <w:highlight w:val="none"/>
                <w:lang w:val="en-US" w:eastAsia="zh-CN"/>
                <w14:textFill>
                  <w14:solidFill>
                    <w14:schemeClr w14:val="tx1"/>
                  </w14:solidFill>
                </w14:textFill>
              </w:rPr>
            </w:pPr>
            <w:r>
              <w:rPr>
                <w:rFonts w:hint="eastAsia" w:ascii="楷体" w:hAnsi="楷体" w:eastAsia="楷体"/>
                <w:color w:val="000000" w:themeColor="text1"/>
                <w:spacing w:val="-11"/>
                <w:sz w:val="32"/>
                <w:szCs w:val="32"/>
                <w:highlight w:val="none"/>
                <w:lang w:val="en-US" w:eastAsia="zh-CN"/>
                <w14:textFill>
                  <w14:solidFill>
                    <w14:schemeClr w14:val="tx1"/>
                  </w14:solidFill>
                </w14:textFill>
              </w:rPr>
              <w:t>详见备案页</w:t>
            </w:r>
          </w:p>
        </w:tc>
      </w:tr>
      <w:tr w14:paraId="631CAA27">
        <w:tblPrEx>
          <w:tblCellMar>
            <w:top w:w="0" w:type="dxa"/>
            <w:left w:w="108" w:type="dxa"/>
            <w:bottom w:w="0" w:type="dxa"/>
            <w:right w:w="108" w:type="dxa"/>
          </w:tblCellMar>
        </w:tblPrEx>
        <w:trPr>
          <w:trHeight w:val="1134" w:hRule="atLeast"/>
          <w:jc w:val="center"/>
        </w:trPr>
        <w:tc>
          <w:tcPr>
            <w:tcW w:w="3686" w:type="dxa"/>
            <w:vAlign w:val="center"/>
          </w:tcPr>
          <w:p w14:paraId="2606B662">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r>
              <w:rPr>
                <w:rFonts w:ascii="楷体" w:hAnsi="楷体" w:eastAsia="楷体"/>
                <w:b/>
                <w:bCs/>
                <w:color w:val="000000" w:themeColor="text1"/>
                <w:spacing w:val="14"/>
                <w:sz w:val="32"/>
                <w:szCs w:val="32"/>
                <w:highlight w:val="none"/>
                <w14:textFill>
                  <w14:solidFill>
                    <w14:schemeClr w14:val="tx1"/>
                  </w14:solidFill>
                </w14:textFill>
              </w:rPr>
              <w:t>提交估价报告日期：</w:t>
            </w:r>
          </w:p>
        </w:tc>
        <w:tc>
          <w:tcPr>
            <w:tcW w:w="5729" w:type="dxa"/>
            <w:vAlign w:val="center"/>
          </w:tcPr>
          <w:p w14:paraId="0ECF64B3">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report_date }}</w:t>
            </w:r>
          </w:p>
        </w:tc>
      </w:tr>
      <w:tr w14:paraId="322DFC10">
        <w:tblPrEx>
          <w:tblCellMar>
            <w:top w:w="0" w:type="dxa"/>
            <w:left w:w="108" w:type="dxa"/>
            <w:bottom w:w="0" w:type="dxa"/>
            <w:right w:w="108" w:type="dxa"/>
          </w:tblCellMar>
        </w:tblPrEx>
        <w:trPr>
          <w:trHeight w:val="609" w:hRule="atLeast"/>
          <w:jc w:val="center"/>
        </w:trPr>
        <w:tc>
          <w:tcPr>
            <w:tcW w:w="3686" w:type="dxa"/>
            <w:vAlign w:val="center"/>
          </w:tcPr>
          <w:p w14:paraId="0A37E88A">
            <w:pPr>
              <w:pStyle w:val="6"/>
              <w:keepNext w:val="0"/>
              <w:keepLines w:val="0"/>
              <w:suppressLineNumbers w:val="0"/>
              <w:tabs>
                <w:tab w:val="left" w:pos="2235"/>
                <w:tab w:val="left" w:pos="2340"/>
              </w:tabs>
              <w:adjustRightInd w:val="0"/>
              <w:snapToGrid w:val="0"/>
              <w:spacing w:before="0" w:beforeAutospacing="0" w:after="0" w:afterAutospacing="0" w:line="0" w:lineRule="atLeast"/>
              <w:ind w:left="1733" w:right="-78" w:rightChars="-37" w:hanging="1739" w:hangingChars="498"/>
              <w:jc w:val="distribute"/>
              <w:rPr>
                <w:rFonts w:ascii="楷体" w:hAnsi="楷体" w:eastAsia="楷体"/>
                <w:b/>
                <w:bCs/>
                <w:color w:val="000000" w:themeColor="text1"/>
                <w:spacing w:val="14"/>
                <w:sz w:val="32"/>
                <w:szCs w:val="32"/>
                <w:highlight w:val="none"/>
                <w14:textFill>
                  <w14:solidFill>
                    <w14:schemeClr w14:val="tx1"/>
                  </w14:solidFill>
                </w14:textFill>
              </w:rPr>
            </w:pPr>
          </w:p>
        </w:tc>
        <w:tc>
          <w:tcPr>
            <w:tcW w:w="5729" w:type="dxa"/>
            <w:vAlign w:val="center"/>
          </w:tcPr>
          <w:p w14:paraId="633DAF45">
            <w:pPr>
              <w:pStyle w:val="6"/>
              <w:keepNext w:val="0"/>
              <w:keepLines w:val="0"/>
              <w:suppressLineNumbers w:val="0"/>
              <w:tabs>
                <w:tab w:val="left" w:pos="0"/>
                <w:tab w:val="left" w:pos="2340"/>
                <w:tab w:val="left" w:pos="2745"/>
                <w:tab w:val="left" w:pos="3030"/>
                <w:tab w:val="left" w:pos="3180"/>
              </w:tabs>
              <w:adjustRightInd w:val="0"/>
              <w:snapToGrid w:val="0"/>
              <w:spacing w:before="0" w:beforeAutospacing="0" w:after="0" w:afterAutospacing="0" w:line="0" w:lineRule="atLeast"/>
              <w:ind w:left="0" w:right="0"/>
              <w:jc w:val="left"/>
              <w:rPr>
                <w:rFonts w:hint="eastAsia" w:ascii="楷体" w:hAnsi="楷体" w:eastAsia="楷体" w:cs="楷体"/>
                <w:color w:val="000000" w:themeColor="text1"/>
                <w:spacing w:val="-20"/>
                <w:sz w:val="32"/>
                <w:szCs w:val="32"/>
                <w:highlight w:val="none"/>
                <w:lang w:eastAsia="zh-CN"/>
                <w14:textFill>
                  <w14:solidFill>
                    <w14:schemeClr w14:val="tx1"/>
                  </w14:solidFill>
                </w14:textFill>
              </w:rPr>
            </w:pPr>
          </w:p>
        </w:tc>
      </w:tr>
    </w:tbl>
    <w:tbl>
      <w:tblPr>
        <w:tblStyle w:val="10"/>
        <w:tblpPr w:leftFromText="180" w:rightFromText="180" w:vertAnchor="text" w:horzAnchor="page" w:tblpX="1355" w:tblpY="831"/>
        <w:tblOverlap w:val="never"/>
        <w:tblW w:w="94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92"/>
        <w:gridCol w:w="7523"/>
      </w:tblGrid>
      <w:tr w14:paraId="3CF05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8" w:hRule="atLeast"/>
        </w:trPr>
        <w:tc>
          <w:tcPr>
            <w:tcW w:w="1892" w:type="dxa"/>
            <w:vAlign w:val="center"/>
          </w:tcPr>
          <w:p w14:paraId="54F89A7C">
            <w:pPr>
              <w:keepNext w:val="0"/>
              <w:keepLines w:val="0"/>
              <w:suppressLineNumbers w:val="0"/>
              <w:spacing w:before="0" w:beforeAutospacing="0" w:after="0" w:afterAutospacing="0" w:line="360" w:lineRule="auto"/>
              <w:ind w:left="0" w:right="0"/>
              <w:jc w:val="distribute"/>
              <w:rPr>
                <w:rFonts w:ascii="楷体" w:hAnsi="楷体" w:eastAsia="楷体"/>
                <w:b/>
                <w:color w:val="000000" w:themeColor="text1"/>
                <w:spacing w:val="14"/>
                <w:sz w:val="32"/>
                <w:szCs w:val="32"/>
                <w:highlight w:val="none"/>
                <w14:textFill>
                  <w14:solidFill>
                    <w14:schemeClr w14:val="tx1"/>
                  </w14:solidFill>
                </w14:textFill>
              </w:rPr>
            </w:pPr>
            <w:r>
              <w:rPr>
                <w:rFonts w:hint="eastAsia" w:ascii="楷体" w:hAnsi="楷体" w:eastAsia="楷体"/>
                <w:color w:val="000000" w:themeColor="text1"/>
                <w:spacing w:val="14"/>
                <w:sz w:val="32"/>
                <w:szCs w:val="32"/>
                <w:highlight w:val="none"/>
                <w14:textFill>
                  <w14:solidFill>
                    <w14:schemeClr w14:val="tx1"/>
                  </w14:solidFill>
                </w14:textFill>
              </w:rPr>
              <w:t>关键词：</w:t>
            </w:r>
          </w:p>
        </w:tc>
        <w:tc>
          <w:tcPr>
            <w:tcW w:w="7523" w:type="dxa"/>
            <w:vAlign w:val="center"/>
          </w:tcPr>
          <w:p w14:paraId="2E8B3852">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hint="eastAsia" w:ascii="楷体" w:hAnsi="楷体" w:eastAsia="楷体"/>
                <w:color w:val="000000" w:themeColor="text1"/>
                <w:sz w:val="32"/>
                <w:szCs w:val="32"/>
                <w:highlight w:val="none"/>
                <w:lang w:val="en-US" w:eastAsia="zh-CN"/>
                <w14:textFill>
                  <w14:solidFill>
                    <w14:schemeClr w14:val="tx1"/>
                  </w14:solidFill>
                </w14:textFill>
              </w:rPr>
              <w:t>{{ county_name }}</w:t>
            </w:r>
            <w:r>
              <w:rPr>
                <w:rFonts w:hint="eastAsia" w:ascii="楷体" w:hAnsi="楷体" w:eastAsia="楷体"/>
                <w:color w:val="000000" w:themeColor="text1"/>
                <w:sz w:val="32"/>
                <w:szCs w:val="32"/>
                <w:highlight w:val="none"/>
                <w14:textFill>
                  <w14:solidFill>
                    <w14:schemeClr w14:val="tx1"/>
                  </w14:solidFill>
                </w14:textFill>
              </w:rPr>
            </w:r>
            <w:r>
              <w:rPr>
                <w:rFonts w:hint="eastAsia" w:ascii="楷体" w:hAnsi="楷体" w:eastAsia="楷体"/>
                <w:color w:val="000000" w:themeColor="text1"/>
                <w:sz w:val="32"/>
                <w:szCs w:val="32"/>
                <w:highlight w:val="none"/>
                <w:lang w:val="en-US" w:eastAsia="zh-CN"/>
                <w14:textFill>
                  <w14:solidFill>
                    <w14:schemeClr w14:val="tx1"/>
                  </w14:solidFill>
                </w14:textFill>
              </w:rPr>
            </w:r>
          </w:p>
        </w:tc>
      </w:tr>
      <w:tr w14:paraId="427288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6" w:hRule="atLeast"/>
        </w:trPr>
        <w:tc>
          <w:tcPr>
            <w:tcW w:w="1892" w:type="dxa"/>
            <w:vAlign w:val="center"/>
          </w:tcPr>
          <w:p w14:paraId="7585336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7AC77F87">
            <w:pPr>
              <w:keepNext w:val="0"/>
              <w:keepLines w:val="0"/>
              <w:suppressLineNumbers w:val="0"/>
              <w:spacing w:before="0" w:beforeAutospacing="0" w:after="0" w:afterAutospacing="0" w:line="360" w:lineRule="auto"/>
              <w:ind w:left="0" w:right="0"/>
              <w:rPr>
                <w:rFonts w:hint="default" w:ascii="楷体" w:hAnsi="楷体" w:eastAsia="楷体"/>
                <w:b/>
                <w:color w:val="000000" w:themeColor="text1"/>
                <w:spacing w:val="14"/>
                <w:sz w:val="32"/>
                <w:szCs w:val="32"/>
                <w:highlight w:val="none"/>
                <w:lang w:val="en-US" w:eastAsia="zh-CN"/>
                <w14:textFill>
                  <w14:solidFill>
                    <w14:schemeClr w14:val="tx1"/>
                  </w14:solidFill>
                </w14:textFill>
              </w:rPr>
            </w:pPr>
            <w:r>
              <w:rPr>
                <w:rFonts w:hint="eastAsia" w:ascii="楷体" w:hAnsi="楷体" w:eastAsia="楷体"/>
                <w:b w:val="0"/>
                <w:bCs/>
                <w:color w:val="000000" w:themeColor="text1"/>
                <w:spacing w:val="14"/>
                <w:sz w:val="32"/>
                <w:szCs w:val="32"/>
                <w:highlight w:val="none"/>
                <w:lang w:val="en-US" w:eastAsia="zh-CN"/>
                <w14:textFill>
                  <w14:solidFill>
                    <w14:schemeClr w14:val="tx1"/>
                  </w14:solidFill>
                </w14:textFill>
              </w:rPr>
              <w:t>出让</w:t>
            </w:r>
          </w:p>
        </w:tc>
      </w:tr>
      <w:tr w14:paraId="76917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31" w:hRule="atLeast"/>
        </w:trPr>
        <w:tc>
          <w:tcPr>
            <w:tcW w:w="1892" w:type="dxa"/>
            <w:vAlign w:val="center"/>
          </w:tcPr>
          <w:p w14:paraId="51DB07B7">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53899026">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
              <w:rPr>
                <w:rFonts w:ascii="仿宋_GB2312" w:hAnsi="仿宋_GB2312" w:eastAsia="仿宋_GB2312" w:cs="仿宋_GB2312"/>
                <w:color w:val="000000"/>
                <w:sz w:val="32"/>
              </w:rPr>
              <w:t>{{ appraisal_org }}</w:t>
            </w:r>
          </w:p>
        </w:tc>
      </w:tr>
      <w:tr w14:paraId="63D08A6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6" w:hRule="atLeast"/>
        </w:trPr>
        <w:tc>
          <w:tcPr>
            <w:tcW w:w="1892" w:type="dxa"/>
            <w:vAlign w:val="center"/>
          </w:tcPr>
          <w:p w14:paraId="05B3D7B4">
            <w:pPr>
              <w:keepNext w:val="0"/>
              <w:keepLines w:val="0"/>
              <w:suppressLineNumbers w:val="0"/>
              <w:spacing w:before="0" w:beforeAutospacing="0" w:after="0" w:afterAutospacing="0" w:line="360" w:lineRule="auto"/>
              <w:ind w:left="0" w:right="0"/>
              <w:rPr>
                <w:rFonts w:ascii="楷体" w:hAnsi="楷体" w:eastAsia="楷体"/>
                <w:b/>
                <w:color w:val="000000" w:themeColor="text1"/>
                <w:spacing w:val="14"/>
                <w:sz w:val="32"/>
                <w:szCs w:val="32"/>
                <w:highlight w:val="none"/>
                <w14:textFill>
                  <w14:solidFill>
                    <w14:schemeClr w14:val="tx1"/>
                  </w14:solidFill>
                </w14:textFill>
              </w:rPr>
            </w:pPr>
          </w:p>
        </w:tc>
        <w:tc>
          <w:tcPr>
            <w:tcW w:w="7523" w:type="dxa"/>
            <w:vAlign w:val="center"/>
          </w:tcPr>
          <w:p w14:paraId="1D85D4CF">
            <w:pPr>
              <w:keepNext w:val="0"/>
              <w:keepLines w:val="0"/>
              <w:suppressLineNumbers w:val="0"/>
              <w:spacing w:before="0" w:beforeAutospacing="0" w:after="0" w:afterAutospacing="0" w:line="360" w:lineRule="auto"/>
              <w:ind w:left="0" w:right="0"/>
              <w:rPr>
                <w:rFonts w:hint="eastAsia" w:ascii="楷体" w:hAnsi="楷体" w:eastAsia="楷体"/>
                <w:b/>
                <w:color w:val="000000" w:themeColor="text1"/>
                <w:spacing w:val="14"/>
                <w:sz w:val="32"/>
                <w:szCs w:val="32"/>
                <w:highlight w:val="none"/>
                <w:lang w:eastAsia="zh-CN"/>
                <w14:textFill>
                  <w14:solidFill>
                    <w14:schemeClr w14:val="tx1"/>
                  </w14:solidFill>
                </w14:textFill>
              </w:rPr>
            </w:pPr>
            <w:r>
              <w:rPr>
                <w:rFonts w:ascii="仿宋_GB2312" w:hAnsi="仿宋_GB2312" w:eastAsia="仿宋_GB2312" w:cs="仿宋_GB2312"/>
                <w:color w:val="000000"/>
                <w:sz w:val="32"/>
              </w:rPr>
              <w:t>{{ report_year_text }}</w:t>
            </w:r>
          </w:p>
        </w:tc>
      </w:tr>
    </w:tbl>
    <w:p w14:paraId="18F7A8E1">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pPr>
    </w:p>
    <w:p w14:paraId="78F28FD3">
      <w:pPr>
        <w:spacing w:line="360" w:lineRule="auto"/>
        <w:ind w:left="643" w:firstLine="688" w:firstLineChars="197"/>
        <w:rPr>
          <w:rFonts w:ascii="楷体" w:hAnsi="楷体" w:eastAsia="楷体"/>
          <w:b/>
          <w:color w:val="000000" w:themeColor="text1"/>
          <w:spacing w:val="14"/>
          <w:sz w:val="32"/>
          <w:szCs w:val="32"/>
          <w:highlight w:val="none"/>
          <w14:textFill>
            <w14:solidFill>
              <w14:schemeClr w14:val="tx1"/>
            </w14:solidFill>
          </w14:textFill>
        </w:rPr>
        <w:sectPr>
          <w:headerReference r:id="rId19" w:type="default"/>
          <w:footerReference r:id="rId20" w:type="default"/>
          <w:endnotePr>
            <w:numFmt w:val="decimal"/>
          </w:endnotePr>
          <w:pgSz w:w="11906" w:h="16838"/>
          <w:pgMar w:top="1440" w:right="1803" w:bottom="1440" w:left="1803" w:header="851" w:footer="850" w:gutter="0"/>
          <w:pgNumType w:fmt="decimal"/>
          <w:cols w:space="720" w:num="1"/>
          <w:docGrid w:linePitch="312" w:charSpace="0"/>
        </w:sectPr>
      </w:pPr>
    </w:p>
    <w:p w14:paraId="5B1DDF0A">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2"/>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土地估价技术报告（评估工作底稿）</w:t>
      </w:r>
    </w:p>
    <w:p w14:paraId="4B26D5AC">
      <w:pPr>
        <w:pStyle w:val="13"/>
        <w:keepNext w:val="0"/>
        <w:keepLines w:val="0"/>
        <w:pageBreakBefore w:val="0"/>
        <w:widowControl w:val="0"/>
        <w:kinsoku/>
        <w:wordWrap/>
        <w:overflowPunct/>
        <w:topLinePunct w:val="0"/>
        <w:autoSpaceDE/>
        <w:autoSpaceDN/>
        <w:bidi w:val="0"/>
        <w:adjustRightInd w:val="0"/>
        <w:snapToGrid w:val="0"/>
        <w:spacing w:before="120" w:beforeLines="50" w:after="240" w:afterLines="100" w:line="440" w:lineRule="exact"/>
        <w:ind w:firstLine="643"/>
        <w:jc w:val="center"/>
        <w:textAlignment w:val="auto"/>
        <w:outlineLvl w:val="1"/>
        <w:rPr>
          <w:rFonts w:ascii="宋体" w:hAnsi="宋体" w:eastAsia="宋体" w:cs="仿宋_GB2312"/>
          <w:b/>
          <w:color w:val="000000" w:themeColor="text1"/>
          <w:sz w:val="32"/>
          <w:szCs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第一部分  总  述</w:t>
      </w:r>
    </w:p>
    <w:p w14:paraId="72376AF3">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一、估价项目名称</w:t>
      </w:r>
    </w:p>
    <w:p w14:paraId="01DE218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rPr>
        <w:t>{{ project_name }}（{{ county_name }}）</w:t>
      </w:r>
    </w:p>
    <w:p w14:paraId="5CC112C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二、委托估价方</w:t>
      </w:r>
    </w:p>
    <w:p w14:paraId="54EFEF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 xml:space="preserve">委托估价方：{{ client_name }} </w:t>
      </w:r>
    </w:p>
    <w:p w14:paraId="5A32024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社会统一信用代码：{{ client_org_code }}</w:t>
      </w:r>
    </w:p>
    <w:p w14:paraId="37FE95B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负责人：{{ client_principal }}</w:t>
      </w:r>
    </w:p>
    <w:p w14:paraId="061C797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机构性质：{{ client_org_type }}</w:t>
      </w:r>
    </w:p>
    <w:p w14:paraId="257F81F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机构地址：{{ client_address }}</w:t>
      </w:r>
    </w:p>
    <w:p w14:paraId="1F8602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联 系 人：{{ client_contact }}</w:t>
      </w:r>
      <w:r>
        <w:rPr>
          <w:rFonts w:hint="eastAsia" w:ascii="仿宋_GB2312" w:eastAsia="仿宋_GB2312"/>
          <w:color w:val="000000" w:themeColor="text1"/>
          <w:sz w:val="28"/>
          <w:szCs w:val="30"/>
          <w:highlight w:val="none"/>
          <w:lang w:val="en-US" w:eastAsia="zh-CN"/>
          <w14:textFill>
            <w14:solidFill>
              <w14:schemeClr w14:val="tx1"/>
            </w14:solidFill>
          </w14:textFill>
        </w:rPr>
      </w:r>
      <w:r>
        <w:rPr>
          <w:rFonts w:hint="eastAsia" w:ascii="仿宋_GB2312" w:eastAsia="仿宋_GB2312"/>
          <w:color w:val="000000" w:themeColor="text1"/>
          <w:sz w:val="28"/>
          <w:szCs w:val="30"/>
          <w:highlight w:val="none"/>
          <w14:textFill>
            <w14:solidFill>
              <w14:schemeClr w14:val="tx1"/>
            </w14:solidFill>
          </w14:textFill>
        </w:rPr>
      </w:r>
    </w:p>
    <w:p w14:paraId="175360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联系电话：{{ client_phone }}</w:t>
      </w:r>
    </w:p>
    <w:p w14:paraId="24D255A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邮    编：{{ client_postcode }}</w:t>
      </w:r>
    </w:p>
    <w:p w14:paraId="0ACFDDA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与估价对象土地使用者之间的关系：委托方为本次估价委托方，土地使用者为{{ land_user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p>
    <w:p w14:paraId="030F9BDE">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三、受托估价方</w:t>
      </w:r>
    </w:p>
    <w:p w14:paraId="28EC2EC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
        <w:rPr>
          <w:rFonts w:ascii="仿宋_GB2312" w:hAnsi="仿宋_GB2312" w:eastAsia="仿宋_GB2312" w:cs="仿宋_GB2312"/>
          <w:color w:val="000000"/>
          <w:sz w:val="28"/>
        </w:rPr>
        <w:t>名    称：{{ appraisal_org }}</w:t>
      </w:r>
    </w:p>
    <w:p w14:paraId="5C5120B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类    型：有限责任公司（自然人投资或控股）</w:t>
      </w:r>
    </w:p>
    <w:p w14:paraId="4047D00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住所：湖南省长沙市芙蓉区荷花园街道远大一路348号东方摩卡二楼201房-584号</w:t>
      </w:r>
    </w:p>
    <w:p w14:paraId="2DB71AA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法定代表人：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066E5E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注册资本：贰佰万元整</w:t>
      </w:r>
    </w:p>
    <w:p w14:paraId="2ADB809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成立日期：20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w:t>
      </w:r>
    </w:p>
    <w:p w14:paraId="66536C0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经营范围：经营范围包括许可项目：国土空间规划编制；测绘服务（依法须经批准的项目，经相关部门批准后方可开展经营活动，具体经营项目以相关部门批准文件或许可证件为准）一般项目：土地调查评估服务；土地整治服务；不动产登记代理服务；土地使用权租赁；农业专业及辅助性活动；规划设计管理；环保咨询服务；数据处理和存储支持服务；工程技术服务（规划管理、勘察、设计、监理除外）；信息技术咨询服务；卫星遥感应用系统集成；工业设计服务；水土流失防治服务；工程造价咨询业务；水利相关咨询服务；信息咨询服务（不含许可类信息咨询服务）；房地产评估；房地产咨询；地理遥感信息服务；社会稳定风险评估；基础地质勘查；地质勘查技术服务；资产评估；矿产资源储量估算和报告编制服务（须在中国矿业权评估师协会完成登记备案后方可从事经营活动）；矿业权评估服务；矿产资源储量评估服务（须在中国矿业权评估师协会完成登记备案后方可从事经营活动）（除依法须经批准的项目外，凭营业执照依法自主开展经营活动）。</w:t>
      </w:r>
    </w:p>
    <w:p w14:paraId="3C2664D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机构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备案编号</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2022430010</w:t>
      </w:r>
    </w:p>
    <w:p w14:paraId="6235E5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 系 人：</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彭翀</w:t>
      </w:r>
    </w:p>
    <w:p w14:paraId="523DD7C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联系电话：</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15388005188</w:t>
      </w:r>
    </w:p>
    <w:p w14:paraId="270CB9A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邮    编：4100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00</w:t>
      </w:r>
    </w:p>
    <w:p w14:paraId="28F87BE8">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四、估价目的</w:t>
      </w:r>
    </w:p>
    <w:p w14:paraId="44A7FAC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t>{{ client_name }}拟按《关于国有建设用地的规划条件的函》（2025年9月11日）确定的规划条件，对位于{{ land_location_full }}的{{ parcel_count }}{{ land_usage }}国有建设用地使用权开展{{ transfer_purpose }}相关工作。</w:t>
      </w:r>
      <w:r>
        <w:rPr>
          <w:rFonts w:ascii="仿宋_GB2312" w:hAnsi="仿宋_GB2312" w:eastAsia="仿宋_GB2312" w:cs="仿宋_GB2312"/>
          <w:color w:val="000000"/>
          <w:sz w:val="28"/>
        </w:rPr>
      </w:r>
    </w:p>
    <w:p w14:paraId="71359E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t>根据《中华人民共和国资产评估法》《中华人民共和国土地管理法》《中华人民共和国民法典》和《招标拍卖挂牌出让国有建设用地使用权规定》（自然资源部第39号令，2007年9月28日）、《招标拍卖挂牌出让国有土地使用权规范》（试行）（国土资发[2006]114号，2006年5月31日）、《关于印发&lt;国有建设用地使用权出让地价评估技术规范&gt;的通知》（国土资厅发（2018）4号，2018年3月9日）等有关规定及委托方提供的《评估委托书》，本次评估受{{ client_name }}委托，为委托方办理{{ transfer_purpose }}相关事项提供设定条件下国有建设用地使用权正常市场价格参考依据。</w:t>
      </w:r>
      <w:r>
        <w:rPr>
          <w:rFonts w:ascii="仿宋_GB2312" w:hAnsi="仿宋_GB2312" w:eastAsia="仿宋_GB2312" w:cs="仿宋_GB2312"/>
          <w:color w:val="000000"/>
          <w:sz w:val="28"/>
        </w:rPr>
      </w:r>
    </w:p>
    <w:p w14:paraId="26074F7F">
      <w:pPr>
        <w:keepNext w:val="0"/>
        <w:keepLines w:val="0"/>
        <w:pageBreakBefore w:val="0"/>
        <w:widowControl w:val="0"/>
        <w:kinsoku/>
        <w:wordWrap/>
        <w:topLinePunct w:val="0"/>
        <w:bidi w:val="0"/>
        <w:spacing w:line="460" w:lineRule="exact"/>
        <w:ind w:firstLine="562" w:firstLineChars="200"/>
        <w:textAlignment w:val="auto"/>
        <w:outlineLvl w:val="2"/>
        <w:rPr>
          <w:rFonts w:hint="default"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五、估价依据</w:t>
      </w:r>
    </w:p>
    <w:p w14:paraId="5E2DAC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（一）国家相关法律、法规及行政规章</w:t>
      </w:r>
    </w:p>
    <w:p w14:paraId="18140F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1.《中华人民共和国资产评估法》（中华人民共和国主席令第46号，2016年12月1日起实施）；</w:t>
      </w:r>
    </w:p>
    <w:p w14:paraId="340EE58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2.《中华人民共和国民法典》（2020年5月28日中华人民共和国主席令第45号公布，自2021年1月1日起施行）；</w:t>
      </w:r>
    </w:p>
    <w:p w14:paraId="3210C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土地管理法》（中华人民共和国主席令第28号，自1999年1月1日起施行，根据2019年8月26日第十三届全国人民代表大会常务委员会第十二次会议《关于修改〈中华人民共和国土地管理法〉〈中华人民共和国城市房地产管理法〉的决定》第三次修正，2020年1月1日起施行）；</w:t>
      </w:r>
    </w:p>
    <w:p w14:paraId="46301B3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城市房地产管理法》（中华人民共和国主席令第72号，自1995年1月1日起施行，根据2019年8月26日第十三届全国人民代表大会常务委员会第十二次会议《关于修改〈中华人民共和国土地管理法〉、〈中华人民共和国城市房地产管理法〉的决定》第三次修正）；</w:t>
      </w:r>
    </w:p>
    <w:p w14:paraId="06D3F9A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城乡规划法》（2007年10月28日，第十届全国人民代表大会常务委员会第三十次会通过，自2008年1月1日起施行。根据2019年4月23日第十三届全国人民代表大会常务委员会第十次会议《关于修改〈中华人民共和国建筑法〉等八部法律的决定》第二次修正）；</w:t>
      </w:r>
    </w:p>
    <w:p w14:paraId="32306CD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6.《中华人民共和国土地管理法实施条例》（1998年12月27日中华人民共和国国务院令第256号发布，根据2021年7月2日中华人民共和国国务院令第743号第三次修订）；</w:t>
      </w:r>
    </w:p>
    <w:p w14:paraId="42EE733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7.《中华人民共和国城镇国有土地使用权出让和转让暂行条例》（1990年5月19日国务院令第55号发布，根据2020年11月29日《国务院关于修改和废止部分行政法规的决定》修订,自发布之日起施行）；</w:t>
      </w:r>
    </w:p>
    <w:p w14:paraId="7DC546E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8.国土资源部办公厅《国有土地使用权出让地价评估技术规范》（国土资厅发〔2018〕4号，2018年3月9日）；</w:t>
      </w:r>
    </w:p>
    <w:p w14:paraId="01713F0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9.国土资源部《招标拍卖挂牌出让国有建设用地使用权规定》（国土资源部部令第 39 号，2007年9月28日）；</w:t>
      </w:r>
    </w:p>
    <w:p w14:paraId="248868F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10.《国土资源部办公厅关于实施《城镇土地分等定级规程》和《城镇土地估价规程》有关问题的通知》（国土资厅发〔2015〕12号，2015年3月18日）；</w:t>
      </w:r>
    </w:p>
    <w:p w14:paraId="6DF3CDE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11.《国务院关于深化改革严格土地管理的决定》（国发[2004]28号，2004年10月21日）；</w:t>
      </w:r>
    </w:p>
    <w:p w14:paraId="508235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12.《国务院关于加强国有土地资产管理的通知》（国发[2001]15号，2001年4月30日）；</w:t>
      </w:r>
    </w:p>
    <w:p w14:paraId="4139C23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13.《国务院关于加强土地调控有关问题的通知》（国发[2006]31号，2006年8月31日）；</w:t>
      </w:r>
    </w:p>
    <w:p w14:paraId="737EAA8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14.《节约集约利用土地规定》（2014年5月22日国土资源部令第61号公布，根据2019年7月16日自然资源部第2次部务会议《自然资源部关于第一批废止和修改的部门规章的决定》修正）；</w:t>
      </w:r>
    </w:p>
    <w:p w14:paraId="165F4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15.《国土资源部办公厅关于实行电子化备案完善土地估价报告备案制度的通知》（国土资厅发[2012]35号，2012年6月24日）；</w:t>
      </w:r>
    </w:p>
    <w:p w14:paraId="700CFD5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16.《国土资源部关于进一步加强城市地价动态监测工作的通知》（国土资发[2008]51号）；</w:t>
      </w:r>
    </w:p>
    <w:p w14:paraId="59DADC8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17.《国土资源部关于贯彻实施&lt;中华人民共和国资产评估法&gt;的通知》（国土资发〔2016〕181号，2016年11月25日）；</w:t>
      </w:r>
    </w:p>
    <w:p w14:paraId="4AE259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中华人民共和国增值税暂行条例》（1993年12月13日中华人民共和国国务院令第134号公布，根据2017年11月19日《国务院关于废止〈中华人民共和国营业税暂行条例〉和修改〈中华人民共和国增值税暂行条例〉的决定》第二次修订）；</w:t>
      </w:r>
    </w:p>
    <w:p w14:paraId="56AF31C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19.《营业税改征增值税试点实施办法》（财税〔2016〕36号，2016年3月24日）；</w:t>
      </w:r>
    </w:p>
    <w:p w14:paraId="11F1BC4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20.财政部、国家税务总局《关于调整增值税税率的通知》（财税[2018]32号，2018年4月4日）；</w:t>
      </w:r>
    </w:p>
    <w:p w14:paraId="30688E5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21.《关于深化增值税改革有关政策的公告》（财政部、税务总局、海关总署公告2019年第39号，2019年3月20日）；</w:t>
      </w:r>
    </w:p>
    <w:p w14:paraId="1CEACAA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22.《中华人民共和国契税法》（中华人民共和国第十三届全国人民代表大会常务委员会第二十一次会议于2020年8月11日通过，自2021年9月1日起施行）；</w:t>
      </w:r>
    </w:p>
    <w:p w14:paraId="70C7589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23.《中华人民共和国城市维护建设税法》（中华人民共和国主席令（第五十一号），中华人民共和国第十三届全国人民代表大会常务委员会第二十一次会议于2020年8月11日通过，自2021年9月1日起施行）；</w:t>
      </w:r>
    </w:p>
    <w:p w14:paraId="5670CE9A">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24.《国务院关于统一内外资企业和个人城市维护建设税和教育费附加制度的通知》（国发[2010]35号，2010年12月1日）；</w:t>
      </w:r>
    </w:p>
    <w:p w14:paraId="382CAC6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25.《关于贯彻落实&lt;自然资源部办公厅关于做好2021年度自然资源评价评估有关工作的通知&gt;加强业务能力建设规范执业行为的通知》（中估协发〔2021〕16号，2021年5月15日）；</w:t>
      </w:r>
    </w:p>
    <w:p w14:paraId="49445EE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26.其他有关的国家相关法律、法规及行政规章。</w:t>
      </w:r>
    </w:p>
    <w:p w14:paraId="70C8A83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（二）地方政府及有关部门颁发的法规规章及相关文件</w:t>
      </w:r>
    </w:p>
    <w:p w14:paraId="581F7FA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1.湖南省实施《中华人民共和国土地管理法》办法（湖南省第十三届人民代表大会常务委员会第五次会议通过，2022年3月1日施行）；</w:t>
      </w:r>
    </w:p>
    <w:p w14:paraId="1A32E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2.《湖南省城镇国有土地使用权出让和转让实施办法》(1994年11月19日湖南省人民政府令第38号公布，2002年3月7日湖南省人民政府令152号第二次修改，自1994年11月19日起施行)；</w:t>
      </w:r>
    </w:p>
    <w:p w14:paraId="4F9AE6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3.湖南省人民政府《湖南省土地市场管理办法》（2005年1月20日湖南省人民政府令第195号公布，2011年1月30日湖南省人民政府令第251号修改，自2005年3月1日起施行）；</w:t>
      </w:r>
    </w:p>
    <w:p w14:paraId="0EECA29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4.湖南省人民政府办公厅关于印发《湖南省国有土地使用权出让收支管理办法》的通知（湘政办发[2015]1号，2015年3月12日）；</w:t>
      </w:r>
    </w:p>
    <w:p w14:paraId="1A69C74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5.湖南省人民政府《湖南省教育费附加和地方教育附加征收管理办法》（2007年12月31日湖南省人民政府令第218号公布，2022年10月8日湖南省人民政府令第310号修改，自2008年1月1日起施行）；</w:t>
      </w:r>
    </w:p>
    <w:p w14:paraId="183652C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6.湖南省财政厅、湖南省地方税务局《关于调整地方教育附加征收标准的通知》（湘财综〔2018〕35号，2018年10月 24日）；</w:t>
      </w:r>
    </w:p>
    <w:p w14:paraId="7CE384D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7.《湖南省人民代表大会常务委员会关于契税具体适用税率等事项的决定》（2021年5月27日湖南省第十三届人民代表大会常务委员会第二十四次会议通过，自2021年9月1日起施行）；</w:t>
      </w:r>
    </w:p>
    <w:p w14:paraId="187269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8.湖南省发改委、省财政厅《关于我省公共资源交易服务费有关问题的通知》（湘发改价服〔2016〕147号，2016年3月9日）；</w:t>
      </w:r>
    </w:p>
    <w:p w14:paraId="19CCC1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9.湖南省地方税务局《关于加强土地增值税管理的公告》（湖南省地方税务局公告2015年第4号，2015年6月18日）；</w:t>
      </w:r>
    </w:p>
    <w:p w14:paraId="678B79B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湖南省人民政府关于调整湖南省征地补偿标准的通知</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》（湘政发〔2024〕1号，2024年1月31日）；</w:t>
      </w:r>
    </w:p>
    <w:p w14:paraId="404D3DF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eastAsia="仿宋_GB2312"/>
          <w:color w:val="000000" w:themeColor="text1"/>
          <w:sz w:val="28"/>
          <w:szCs w:val="28"/>
          <w:highlight w:val="none"/>
          <w:lang w:eastAsia="zh-CN"/>
          <w14:textFill>
            <w14:solidFill>
              <w14:schemeClr w14:val="tx1"/>
            </w14:solidFill>
          </w14:textFill>
        </w:rPr>
        <w:t>《湖南省自然资源厅关于调整征收农用地补偿区片空间范围的通知》（湘自资发〔2024〕7号，</w:t>
      </w:r>
      <w:r>
        <w:rPr>
          <w:rFonts w:hint="eastAsia" w:eastAsia="仿宋_GB2312"/>
          <w:color w:val="000000" w:themeColor="text1"/>
          <w:sz w:val="28"/>
          <w:szCs w:val="28"/>
          <w:highlight w:val="none"/>
          <w:lang w:val="en-US" w:eastAsia="zh-CN"/>
          <w14:textFill>
            <w14:solidFill>
              <w14:schemeClr w14:val="tx1"/>
            </w14:solidFill>
          </w14:textFill>
        </w:rPr>
        <w:t>2024年2月1日</w:t>
      </w:r>
      <w:r>
        <w:rPr>
          <w:rFonts w:hint="eastAsia" w:eastAsia="仿宋_GB2312"/>
          <w:color w:val="000000" w:themeColor="text1"/>
          <w:sz w:val="28"/>
          <w:szCs w:val="28"/>
          <w:highlight w:val="none"/>
          <w:lang w:eastAsia="zh-CN"/>
          <w14:textFill>
            <w14:solidFill>
              <w14:schemeClr w14:val="tx1"/>
            </w14:solidFill>
          </w14:textFill>
        </w:rPr>
        <w:t>）；</w:t>
      </w:r>
    </w:p>
    <w:p w14:paraId="6DB786C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12.</w:t>
      </w:r>
      <w:r>
        <w:rPr>
          <w:rFonts w:hint="eastAsia" w:ascii="仿宋_GB2312" w:hAnsi="仿宋_GB2312" w:eastAsia="仿宋_GB2312" w:cs="仿宋_GB2312"/>
          <w:color w:val="000000" w:themeColor="text1"/>
          <w:sz w:val="28"/>
          <w:szCs w:val="28"/>
          <w:highlight w:val="none"/>
          <w14:textFill>
            <w14:solidFill>
              <w14:schemeClr w14:val="tx1"/>
            </w14:solidFill>
          </w14:textFill>
        </w:rPr>
        <w:t>湖南省人民政府关于印发《湖南省水利建设基金筹集和使用管理办法》的通知（湘政发[2011]27号）</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p>
    <w:p w14:paraId="72F6DB2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13.</w:t>
      </w:r>
      <w:r>
        <w:rPr>
          <w:rFonts w:hint="eastAsia" w:ascii="仿宋_GB2312" w:hAnsi="仿宋_GB2312" w:eastAsia="仿宋_GB2312" w:cs="仿宋_GB2312"/>
          <w:color w:val="000000" w:themeColor="text1"/>
          <w:sz w:val="28"/>
          <w:highlight w:val="none"/>
          <w14:textFill>
            <w14:solidFill>
              <w14:schemeClr w14:val="tx1"/>
            </w14:solidFill>
          </w14:textFill>
        </w:rPr>
        <w:t>《湖南省人民政府办公厅&lt;湖南省耕地开垦费征收使用管理办法&gt;的通知》（湘政办〔2019〕38号）</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5689C6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14.</w:t>
      </w:r>
      <w:r>
        <w:rPr>
          <w:rFonts w:hint="eastAsia" w:ascii="仿宋_GB2312" w:hAnsi="仿宋_GB2312" w:eastAsia="仿宋_GB2312" w:cs="仿宋_GB2312"/>
          <w:color w:val="000000" w:themeColor="text1"/>
          <w:sz w:val="28"/>
          <w:highlight w:val="none"/>
          <w14:textFill>
            <w14:solidFill>
              <w14:schemeClr w14:val="tx1"/>
            </w14:solidFill>
          </w14:textFill>
        </w:rPr>
        <w:t>湖南省人力资源社会保障厅《关于进一步做好被征地农民社会保障工作的通知》（湘人社规〔2023〕1号，2023年4月28日）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13FAAD0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15.《湖南省财政厅 国家税务总局湖南省税务局 湖南省林业局 中国人民银行湖南省分行关于印发&lt;湖南省森林植被恢复费征收使用管理实施办法&gt;的通知》（湘财税〔2024〕10号）；</w:t>
      </w:r>
    </w:p>
    <w:p w14:paraId="57F9CE0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16.</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《道县国土空间总体规划（2021-2035年）》；</w:t>
      </w:r>
    </w:p>
    <w:p w14:paraId="2BD5F20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17.《道县2024年国民经济和社会发展统计公报》；</w:t>
      </w:r>
    </w:p>
    <w:p w14:paraId="4B289DD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color w:val="000000" w:themeColor="text1"/>
          <w:sz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18.</w:t>
      </w:r>
      <w:r>
        <w:rPr>
          <w:rFonts w:hint="eastAsia" w:ascii="仿宋_GB2312" w:hAnsi="仿宋_GB2312" w:eastAsia="仿宋_GB2312" w:cs="仿宋_GB2312"/>
          <w:color w:val="000000" w:themeColor="text1"/>
          <w:sz w:val="28"/>
          <w:highlight w:val="none"/>
          <w14:textFill>
            <w14:solidFill>
              <w14:schemeClr w14:val="tx1"/>
            </w14:solidFill>
          </w14:textFill>
        </w:rPr>
        <w:t>《永州市集体土地与房屋征收补偿安置办法》的通知（永政发〔2024〕4号，2024年5月11日）</w:t>
      </w:r>
      <w:r>
        <w:rPr>
          <w:rFonts w:hint="eastAsia" w:ascii="仿宋_GB2312" w:hAnsi="仿宋_GB2312" w:eastAsia="仿宋_GB2312" w:cs="仿宋_GB2312"/>
          <w:color w:val="000000" w:themeColor="text1"/>
          <w:sz w:val="28"/>
          <w:highlight w:val="none"/>
          <w:lang w:eastAsia="zh-CN"/>
          <w14:textFill>
            <w14:solidFill>
              <w14:schemeClr w14:val="tx1"/>
            </w14:solidFill>
          </w14:textFill>
        </w:rPr>
        <w:t>；</w:t>
      </w:r>
    </w:p>
    <w:p w14:paraId="3E7A514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19.湖南省人民政府、永州市人民政府、{{ base_price_doc_authority }}及有关部门颁布的其他有关政策、规定、实施办法、通知等法规文件。</w:t>
      </w:r>
    </w:p>
    <w:p w14:paraId="1A7026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（三）采用的技术规程及标准</w:t>
      </w:r>
    </w:p>
    <w:p w14:paraId="10DF808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1.中华人民共和国国家标准《城镇土地估价规程》（GB/T18508-2014）；</w:t>
      </w:r>
    </w:p>
    <w:p w14:paraId="3F70022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2.中华人民共和国国家标准《城镇土地分等定级规程》（GB/T18507-2014）；</w:t>
      </w:r>
    </w:p>
    <w:p w14:paraId="48CF03F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3.中华人民共和国国家标准《土地利用现状分类》（GB/T21010-2017）；</w:t>
      </w:r>
    </w:p>
    <w:p w14:paraId="1B26097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4.中华人民共和国国家标准《城市用地分类与规划建设用地标准》（GB50136.73-2011）；</w:t>
      </w:r>
    </w:p>
    <w:p w14:paraId="06AC2D3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5.中华人民共和国土地管理行业标准《城市地价动态监测技术规范》（TD/T1009-2007）；</w:t>
      </w:r>
    </w:p>
    <w:p w14:paraId="6EE8931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6.中华人民共和国自然资源管理行业标准《自然资源分等定级通则》（TD/T1060-2021）；</w:t>
      </w:r>
    </w:p>
    <w:p w14:paraId="4C67D83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7.中华人民共和国自然资源管理行业标准《自然资源价格评估通则》（TD/T1061-2021）;</w:t>
      </w:r>
    </w:p>
    <w:p w14:paraId="616631D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8.《国有建设用地使用权出让地价评估技术规范》；</w:t>
      </w:r>
    </w:p>
    <w:p w14:paraId="14EAC42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9.中国地价信息服务平台地价动态监测网数据。</w:t>
      </w:r>
    </w:p>
    <w:p w14:paraId="2001F8C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（四）委托估价方提供的资料</w:t>
      </w:r>
    </w:p>
    <w:p w14:paraId="7FAE25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4120CE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6385A10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3.《关于国有建设用地的规划条件的函》（2025年9月11日）；</w:t>
      </w:r>
    </w:p>
    <w:p w14:paraId="0A09C35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4.《{{ county_name }}{{ land_plot_number }}号地块建设用地规划红线图》；</w:t>
      </w:r>
      <w:r>
        <w:rPr>
          <w:rFonts w:ascii="仿宋_GB2312" w:hAnsi="仿宋_GB2312" w:eastAsia="仿宋_GB2312" w:cs="仿宋_GB2312"/>
          <w:color w:val="000000"/>
          <w:sz w:val="28"/>
        </w:rPr>
      </w:r>
    </w:p>
    <w:p w14:paraId="442BA5B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5、{{ basis_docs_rendered }}；</w:t>
      </w:r>
    </w:p>
    <w:p w14:paraId="1F366D0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6.委托估价方提供的其它与土地估价相关的资料。</w:t>
      </w:r>
    </w:p>
    <w:p w14:paraId="09283F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（五）受托估价方掌握的有关资料及土地估价师实地勘查、调查所获取的资料。</w:t>
      </w:r>
    </w:p>
    <w:p w14:paraId="4E0ABC4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1.估价对象宗地现场查勘表;</w:t>
      </w:r>
    </w:p>
    <w:p w14:paraId="14ABC0D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2.估价对象现状利用资料（宗地照片、位置示意图）;</w:t>
      </w:r>
    </w:p>
    <w:p w14:paraId="2D9141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3.宗地内外基础设施调查收集的资料;</w:t>
      </w:r>
    </w:p>
    <w:p w14:paraId="7F70FD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4.市场比较法比较实例所处位置、照片等资料；</w:t>
      </w:r>
    </w:p>
    <w:p w14:paraId="3003321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5.宗地所在区域土地利用现状、基础设施、环境状况等资料;</w:t>
      </w:r>
    </w:p>
    <w:p w14:paraId="4437674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6.宗地所在区域房地产市场情况；</w:t>
      </w:r>
    </w:p>
    <w:p w14:paraId="1A6FE54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7.宗地所在区域土地市场交易情况；</w:t>
      </w:r>
    </w:p>
    <w:p w14:paraId="7D9DA36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8.估价人员现场调查收集的其它相关资料。</w:t>
      </w:r>
    </w:p>
    <w:p w14:paraId="7DDABD0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六、估价期日</w:t>
      </w:r>
    </w:p>
    <w:p w14:paraId="123C69C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}}，结合本次估价目的和委托估价方提供的《评估委托书》，本次估价设定估价期日为{{ valuation_date }}。</w:t>
      </w:r>
    </w:p>
    <w:p w14:paraId="74BE4A5E">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1"/>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七</w:t>
      </w:r>
      <w:r>
        <w:rPr>
          <w:rFonts w:hint="eastAsia" w:ascii="仿宋_GB2312" w:eastAsia="仿宋_GB2312"/>
          <w:b/>
          <w:color w:val="000000" w:themeColor="text1"/>
          <w:sz w:val="28"/>
          <w:szCs w:val="28"/>
          <w:highlight w:val="none"/>
          <w14:textFill>
            <w14:solidFill>
              <w14:schemeClr w14:val="tx1"/>
            </w14:solidFill>
          </w14:textFill>
        </w:rPr>
        <w:t>、估价日期</w:t>
      </w:r>
    </w:p>
    <w:p w14:paraId="08CFC2B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ascii="仿宋_GB2312" w:eastAsia="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sz w:val="28"/>
        </w:rPr>
        <w:t>{{ valuation_work_date }}。</w:t>
      </w:r>
    </w:p>
    <w:p w14:paraId="6A96C30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八、</w:t>
      </w:r>
      <w:r>
        <w:rPr>
          <w:rFonts w:hint="eastAsia" w:ascii="仿宋_GB2312" w:eastAsia="仿宋_GB2312"/>
          <w:b/>
          <w:color w:val="000000" w:themeColor="text1"/>
          <w:sz w:val="28"/>
          <w:szCs w:val="28"/>
          <w:highlight w:val="none"/>
          <w14:textFill>
            <w14:solidFill>
              <w14:schemeClr w14:val="tx1"/>
            </w14:solidFill>
          </w14:textFill>
        </w:rPr>
        <w:t>地价定义</w:t>
      </w:r>
    </w:p>
    <w:p w14:paraId="4B8FF7C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t>根据委托方出具的《关于国有建设用地的规划条件的函》（2025年9月11日）及现场勘查状况，估价对象总土地面积为{{ land_area }}平方米，估价对象规划用途为{{ land_usage }}，至估价期日，估价对象实际土地开发程度为{{ land_development_actual }}。</w:t>
      </w:r>
      <w:r>
        <w:rPr>
          <w:rFonts w:ascii="仿宋_GB2312" w:hAnsi="仿宋_GB2312" w:eastAsia="仿宋_GB2312" w:cs="仿宋_GB2312"/>
          <w:color w:val="000000"/>
          <w:sz w:val="28"/>
        </w:rPr>
      </w:r>
    </w:p>
    <w:p w14:paraId="0DE086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根据《城镇土地估价规程》（GB/T18508—2014）及</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此项目估价目的、土地的权属性质和用途特点，对</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地价定义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中有关事项作以下设定</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p>
    <w:p w14:paraId="5D07852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1.估价期日的设定</w:t>
      </w:r>
    </w:p>
    <w:p w14:paraId="5840598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本次土地估价师现场勘查日期为{{ valuation_date }}，本次估价设定估价期日为{{ valuation_date }}。</w:t>
      </w:r>
    </w:p>
    <w:p w14:paraId="5CCE34A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2.土地用途的设定</w:t>
      </w:r>
    </w:p>
    <w:p w14:paraId="45D0486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根据土地估价师现场勘查及委托方提供资料，估价对象现状用途及规划用途以委托方资料为准。根据《关于国有建设用地的规划条件的函》（2025年9月11日），估价对象规划用途为{{ land_usage }}，根据《土地利用现状分类》(GB/T21010-2017，2017年11月01日)和估价目的，本次评估设定土地用途为{{ land_usage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2DAAE98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3.土地使用权类型</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设定</w:t>
      </w:r>
    </w:p>
    <w:p w14:paraId="4FBADCF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至估价期日止，估价对象原登记或现状权利类型为{{ registered_right_type }}，结合本次估价目的，本次评估设定土地使用权类型为{{ right_type }}。</w:t>
      </w:r>
    </w:p>
    <w:p w14:paraId="5291152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4.土地使用年期的设定</w:t>
      </w:r>
    </w:p>
    <w:p w14:paraId="7E4026D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根据《中华人民共和国城镇国有土地使用权出让和转让暂行条例》（1990年5月19日国务院令第55号）规定，并结合《评估委托书》约定和估价目的，估价对象土地使用权出让年限为{{ land_use_term }}，此次评估设定土地使用权年限为{{ land_use_term }}。</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7CF62B3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5.土地开发程度的设定</w:t>
      </w:r>
    </w:p>
    <w:p w14:paraId="3E39277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color w:val="000000"/>
          <w:sz w:val="28"/>
        </w:rPr>
        <w:t>根据土地估价师实地勘查，估价对象于估价期日{{ valuation_date }}实际开发程度为{{ land_development_actual }}。结合估价目的及实际情况，本次评估设定土地开发程度为{{ land_development_set }}。</w:t>
      </w:r>
    </w:p>
    <w:p w14:paraId="744985D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6.用地利用条件的设定</w:t>
      </w:r>
    </w:p>
    <w:p w14:paraId="5C69489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根据实地勘查和《关于国有建设用地的规划条件的函》（2025年9月11日），估价对象规划建筑密度{{ building_density_min }}-{{ building_density_max }}，容积率{{ plot_ratio_display }}，绿地率{{ greening_rate }}，建筑限高{{ building_height_limit }}。根据土地最有效利用原则，本次评估设定容积率为{{ plot_ratio }}。</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409DBE5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7.价格类型的设定</w:t>
      </w:r>
    </w:p>
    <w:p w14:paraId="7D0A0D3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委托方提供的资料及估价人员调查所获取的资料，估价对象为拟出让国有建设用地使用权，未设立抵押权、租赁权、地役权、地上权等附加权利。本次评估设定估价对象为未设立抵押权、租赁权、地役权、地上权等附加权利下的国有建设用地使用权。</w:t>
      </w:r>
    </w:p>
    <w:p w14:paraId="03436F6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ascii="仿宋_GB2312" w:hAnsi="仿宋_GB2312" w:eastAsia="仿宋_GB2312" w:cs="仿宋_GB2312"/>
        </w:rPr>
        <w:t>综上所述，此次评估的地价内涵是指：估价对象在公开市场条件下，于估价期日{{ valuation_date }}，土地使用权面积{{ land_area }}平方米，土地用途设定为{{ land_usage }}，容积率设定为{{ plot_ratio }}，土地使用权类型设定为{{ right_type }}，出让年期为{{ land_use_term }}，土地开发程度设定为{{ land_development_set }}条件下的土地使用权市场价格。</w:t>
      </w:r>
    </w:p>
    <w:p w14:paraId="2075FDA7">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 xml:space="preserve">九、估价结果 </w:t>
      </w:r>
    </w:p>
    <w:p w14:paraId="31924DA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估价结论</w:t>
      </w:r>
    </w:p>
    <w:p>
      <w:pPr>
        <w:spacing w:before="0" w:after="120" w:line="460" w:lineRule="exact"/>
        <w:ind w:left="561" w:firstLine="0"/>
      </w:pPr>
      <w:r>
        <w:rPr>
          <w:rFonts w:ascii="仿宋_GB2312" w:hAnsi="仿宋_GB2312" w:eastAsia="仿宋_GB2312" w:cs="仿宋_GB2312"/>
          <w:sz w:val="28"/>
        </w:rPr>
        <w:t>{{ valuation_result_statement }}</w:t>
      </w:r>
    </w:p>
    <w:p w14:paraId="52CF380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（二）出让底价建议</w:t>
      </w:r>
    </w:p>
    <w:p w14:paraId="4B4D1AE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根据{{ county_name }}土地市场情况及有关法律法规和政策规定，该地区土地出让底价由选定的估价机构的估价结果及具体宗地的实际情况综合确定。建议估价对象出让底价与本次估价结果相一致，具体由出让方根据出让土地的实际情况综合确定。</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1C791D2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建议出让地价的理由：1.评估操作过程技术合理，本次评估技术操作方面严格参照《城镇土地估价规程》(GB／T18508-2014)及《关于印发&lt;国有建设用地使用权出让地价评估技术规范&gt;的通知》（国土资厅发〔2018〕4号，2018年3月9日）要求，采用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市场比较法分别进行测算，取</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成本逼近法和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0B358532">
      <w:pPr>
        <w:keepNext w:val="0"/>
        <w:keepLines w:val="0"/>
        <w:pageBreakBefore w:val="0"/>
        <w:widowControl w:val="0"/>
        <w:kinsoku/>
        <w:wordWrap/>
        <w:overflowPunct/>
        <w:topLinePunct w:val="0"/>
        <w:autoSpaceDE/>
        <w:autoSpaceDN/>
        <w:bidi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highlight w:val="none"/>
          <w:lang w:val="en-US" w:eastAsia="zh-CN"/>
          <w14:textFill>
            <w14:solidFill>
              <w14:schemeClr w14:val="tx1"/>
            </w14:solidFill>
          </w14:textFill>
        </w:rPr>
        <w:t>1.评估操作过程技术合理，本次评估技术操作方面严格参照《城镇土地估价规程》(GB／T18508-2014)及《关于印发&lt;国有建设用地使用权出让地价评估技术规范&gt;的通知》（国土资厅发〔2018〕4号，2018年3月9日）要求，本次评估采用成本逼近法和市场比较法分别进行测算，</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取成本逼近法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和</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市场比较法估价结果</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的简单算数平均数作</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为最终结果。</w:t>
      </w:r>
    </w:p>
    <w:p w14:paraId="55B93C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US" w:eastAsia="zh-CN"/>
          <w14:textFill>
            <w14:solidFill>
              <w14:schemeClr w14:val="tx1"/>
            </w14:solidFill>
          </w14:textFill>
        </w:rPr>
        <w:t>2.通过湖南省国土资源网上交易系统、中国土地交易市场网查询，{{ county_name }}近期通过“招拍挂”途径出让的估价对象周边土地单位面积地价与估价结果较为接近，估价结果符合该区域规划发展的趋势。</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r>
    </w:p>
    <w:p w14:paraId="6F12FB1F">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eastAsia="zh-CN"/>
          <w14:textFill>
            <w14:solidFill>
              <w14:schemeClr w14:val="tx1"/>
            </w14:solidFill>
          </w14:textFill>
        </w:rPr>
        <w:t>依据财政部、自然资源部、中国人民银行《关于加强土地成交价款管理规范资金缴库行为的通知》（财综[2009]89号，2009年12月31日），与土地出让有关的评估费、交易服务费等经营服务性成本费用应纳入土地出让底价。前述建议底价未包含契税、评估费及交易服务费等价外税费及经营服务性费用。</w:t>
      </w:r>
    </w:p>
    <w:p w14:paraId="31F1C200">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b/>
          <w:color w:val="000000" w:themeColor="text1"/>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十、需要特殊说明的事项</w:t>
      </w:r>
    </w:p>
    <w:p w14:paraId="1C659CC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(一)评估依据资料来源情况说明</w:t>
      </w:r>
    </w:p>
    <w:p w14:paraId="13FBE7FE">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1.本估价报告所依据的土地权属、土地用途、使用权类型、土地面积、土地利用条件成果等资料由委托估价双方提供。</w:t>
      </w:r>
    </w:p>
    <w:p w14:paraId="384BE3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2.土地区位条件、地产市场交易资料、土地利用现状照片等相关资料由估价师实地调查取得。</w:t>
      </w:r>
    </w:p>
    <w:p w14:paraId="02045F7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3.区域经济发展状况、统计数据、城市规划资料、基准地价资料、估价中的相关参数资料等由{{ appraisal_org }}土地估价师通过查阅政府部门相关文件及公开媒体资讯等途径获取。</w:t>
      </w:r>
    </w:p>
    <w:p w14:paraId="0B9D473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4.{{ appraisal_org }}土地估价师结合执业经验，对上述相关评估资料的真实性、合法性、有效性、适用性进行了尽职核实和专业判断。</w:t>
      </w:r>
    </w:p>
    <w:p w14:paraId="413C68F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5.委托方对所提供资料的真实性负责，估价机构对所收集资料的真实性、准确性负责。</w:t>
      </w:r>
    </w:p>
    <w:p w14:paraId="10511C7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（二）对估价结果和估价工作可能影响的变化事项</w:t>
      </w:r>
    </w:p>
    <w:p w14:paraId="7FE3879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1.本次估价所引用的地价指数是根据当地土地管理部门公布的信息和估价对象所在区域土地市场的变化状况编制的；</w:t>
      </w:r>
    </w:p>
    <w:p w14:paraId="3903F42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结果是在满足地价定义所设定条件下的国有土地使用权价格，所在估价报告有效期内，估价对象的土地利用方式、估价期日、土地开发程度、土地使用年限、土地面积等影响地价的因素发生变化，该估价结果应作相应调整；</w:t>
      </w:r>
    </w:p>
    <w:p w14:paraId="77F44C0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3.本估价报告中的项目开发方式是在满足最有效利用原则下，参照行业通行的做法及结合估价师自身的估价经验确定的，如与以后批准的建筑设计指标有出入而引起地价的变化，土地价格需重新评估。</w:t>
      </w:r>
    </w:p>
    <w:p w14:paraId="44AACDD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（三）估价对象的特殊性、估价中未考虑的因素及采取的特殊处理</w:t>
      </w:r>
    </w:p>
    <w:p w14:paraId="39BB669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1.我们此次评估以估价对象已完成安置补偿为前提；</w:t>
      </w:r>
    </w:p>
    <w:p w14:paraId="2B6BA92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本报告中数据全部采用计算机连续运算得出，由于在技术报告中的计算方式数据均按四舍五入保留两位小数或取整，因此可能出现个别等式左右两边不完全相等的情况。此为正常情况，不影响计算结果及最终评估结论的准确性；</w:t>
      </w:r>
    </w:p>
    <w:p w14:paraId="6839BD7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3.本报告所示货币种类为人民币。</w:t>
      </w:r>
    </w:p>
    <w:p w14:paraId="6C3FF39D">
      <w:pPr>
        <w:rPr>
          <w:rFonts w:hint="eastAsia"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br w:type="page"/>
      </w:r>
    </w:p>
    <w:p w14:paraId="36168FE4">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十一、土地估价师签字</w:t>
      </w:r>
    </w:p>
    <w:tbl>
      <w:tblPr>
        <w:tblStyle w:val="10"/>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98"/>
        <w:gridCol w:w="2925"/>
        <w:gridCol w:w="2799"/>
      </w:tblGrid>
      <w:tr w14:paraId="57F8935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17" w:hRule="atLeast"/>
        </w:trPr>
        <w:tc>
          <w:tcPr>
            <w:tcW w:w="3093" w:type="dxa"/>
            <w:tcBorders>
              <w:tl2br w:val="nil"/>
              <w:tr2bl w:val="nil"/>
            </w:tcBorders>
            <w:vAlign w:val="center"/>
          </w:tcPr>
          <w:p w14:paraId="4C1055E2">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估价师姓名</w:t>
            </w:r>
          </w:p>
        </w:tc>
        <w:tc>
          <w:tcPr>
            <w:tcW w:w="3093" w:type="dxa"/>
            <w:tcBorders>
              <w:tl2br w:val="nil"/>
              <w:tr2bl w:val="nil"/>
            </w:tcBorders>
            <w:vAlign w:val="center"/>
          </w:tcPr>
          <w:p w14:paraId="27853007">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土地估价师资格证号</w:t>
            </w:r>
          </w:p>
        </w:tc>
        <w:tc>
          <w:tcPr>
            <w:tcW w:w="3093" w:type="dxa"/>
            <w:tcBorders>
              <w:tl2br w:val="nil"/>
              <w:tr2bl w:val="nil"/>
            </w:tcBorders>
            <w:vAlign w:val="center"/>
          </w:tcPr>
          <w:p w14:paraId="3EA5FC2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r>
              <w:rPr>
                <w:rFonts w:hint="eastAsia" w:ascii="仿宋_GB2312" w:hAnsi="仿宋_GB2312" w:eastAsia="仿宋_GB2312" w:cs="仿宋_GB2312"/>
                <w:color w:val="000000" w:themeColor="text1"/>
                <w:sz w:val="28"/>
                <w:szCs w:val="18"/>
                <w:highlight w:val="none"/>
                <w14:textFill>
                  <w14:solidFill>
                    <w14:schemeClr w14:val="tx1"/>
                  </w14:solidFill>
                </w14:textFill>
              </w:rPr>
              <w:t>签    字</w:t>
            </w:r>
          </w:p>
        </w:tc>
      </w:tr>
      <w:tr w14:paraId="698057B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820" w:hRule="atLeast"/>
        </w:trPr>
        <w:tc>
          <w:tcPr>
            <w:tcW w:w="3093" w:type="dxa"/>
            <w:tcBorders>
              <w:tl2br w:val="nil"/>
              <w:tr2bl w:val="nil"/>
            </w:tcBorders>
            <w:vAlign w:val="center"/>
          </w:tcPr>
          <w:p w14:paraId="1D448017">
            <w:pPr>
              <w:keepNext w:val="0"/>
              <w:keepLines w:val="0"/>
              <w:suppressLineNumbers w:val="0"/>
              <w:spacing w:before="120" w:beforeLines="50" w:beforeAutospacing="0" w:after="240" w:afterLines="100" w:afterAutospacing="0" w:line="440" w:lineRule="exact"/>
              <w:ind w:left="0" w:leftChars="0" w:right="0" w:rightChars="0"/>
              <w:jc w:val="cente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谢良元</w:t>
            </w:r>
          </w:p>
        </w:tc>
        <w:tc>
          <w:tcPr>
            <w:tcW w:w="3093" w:type="dxa"/>
            <w:tcBorders>
              <w:tl2br w:val="nil"/>
              <w:tr2bl w:val="nil"/>
            </w:tcBorders>
            <w:vAlign w:val="center"/>
          </w:tcPr>
          <w:p w14:paraId="65796B58">
            <w:pPr>
              <w:keepNext w:val="0"/>
              <w:keepLines w:val="0"/>
              <w:suppressLineNumbers w:val="0"/>
              <w:spacing w:before="0" w:beforeAutospacing="0" w:after="0" w:afterAutospacing="0" w:line="46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2019430003</w:t>
            </w:r>
          </w:p>
        </w:tc>
        <w:tc>
          <w:tcPr>
            <w:tcW w:w="3093" w:type="dxa"/>
            <w:tcBorders>
              <w:tl2br w:val="nil"/>
              <w:tr2bl w:val="nil"/>
            </w:tcBorders>
          </w:tcPr>
          <w:p w14:paraId="1DC309EB">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r w14:paraId="0B53B24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166" w:hRule="atLeast"/>
        </w:trPr>
        <w:tc>
          <w:tcPr>
            <w:tcW w:w="3093" w:type="dxa"/>
            <w:tcBorders>
              <w:tl2br w:val="nil"/>
              <w:tr2bl w:val="nil"/>
            </w:tcBorders>
            <w:vAlign w:val="center"/>
          </w:tcPr>
          <w:p w14:paraId="1C17DE07">
            <w:pPr>
              <w:keepNext w:val="0"/>
              <w:keepLines w:val="0"/>
              <w:suppressLineNumbers w:val="0"/>
              <w:spacing w:before="120" w:beforeLines="50" w:beforeAutospacing="0" w:after="240" w:afterLines="100" w:afterAutospacing="0" w:line="440" w:lineRule="exact"/>
              <w:ind w:left="0" w:leftChars="0" w:right="0" w:rightChars="0"/>
              <w:jc w:val="center"/>
              <w:rPr>
                <w:rFonts w:hint="default" w:ascii="仿宋_GB2312" w:hAnsi="仿宋_GB2312" w:eastAsia="仿宋_GB2312" w:cs="仿宋_GB2312"/>
                <w:color w:val="000000" w:themeColor="text1"/>
                <w:sz w:val="28"/>
                <w:szCs w:val="1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彭翀</w:t>
            </w:r>
          </w:p>
        </w:tc>
        <w:tc>
          <w:tcPr>
            <w:tcW w:w="3093" w:type="dxa"/>
            <w:tcBorders>
              <w:tl2br w:val="nil"/>
              <w:tr2bl w:val="nil"/>
            </w:tcBorders>
            <w:vAlign w:val="center"/>
          </w:tcPr>
          <w:p w14:paraId="3CD3FA03">
            <w:pPr>
              <w:keepNext w:val="0"/>
              <w:keepLines w:val="0"/>
              <w:suppressLineNumbers w:val="0"/>
              <w:spacing w:before="0" w:beforeAutospacing="0" w:after="0" w:afterAutospacing="0" w:line="480" w:lineRule="exact"/>
              <w:ind w:left="0" w:leftChars="0" w:right="0" w:rightChars="0" w:firstLine="0" w:firstLineChars="0"/>
              <w:jc w:val="center"/>
              <w:rPr>
                <w:rFonts w:hint="eastAsia" w:ascii="仿宋_GB2312" w:hAnsi="仿宋_GB2312" w:eastAsia="仿宋_GB2312" w:cs="仿宋_GB2312"/>
                <w:color w:val="000000" w:themeColor="text1"/>
                <w:sz w:val="28"/>
                <w:szCs w:val="1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18"/>
                <w:highlight w:val="none"/>
                <w:lang w:val="en-US" w:eastAsia="zh-CN"/>
                <w14:textFill>
                  <w14:solidFill>
                    <w14:schemeClr w14:val="tx1"/>
                  </w14:solidFill>
                </w14:textFill>
              </w:rPr>
              <w:t>2004450008</w:t>
            </w:r>
          </w:p>
        </w:tc>
        <w:tc>
          <w:tcPr>
            <w:tcW w:w="3093" w:type="dxa"/>
            <w:tcBorders>
              <w:tl2br w:val="nil"/>
              <w:tr2bl w:val="nil"/>
            </w:tcBorders>
          </w:tcPr>
          <w:p w14:paraId="12382CDA">
            <w:pPr>
              <w:keepNext w:val="0"/>
              <w:keepLines w:val="0"/>
              <w:suppressLineNumbers w:val="0"/>
              <w:spacing w:before="120" w:beforeLines="50" w:beforeAutospacing="0" w:after="240" w:afterLines="100" w:afterAutospacing="0" w:line="440" w:lineRule="exact"/>
              <w:ind w:left="0" w:right="0"/>
              <w:jc w:val="center"/>
              <w:rPr>
                <w:rFonts w:ascii="仿宋_GB2312" w:hAnsi="仿宋_GB2312" w:eastAsia="仿宋_GB2312" w:cs="仿宋_GB2312"/>
                <w:color w:val="000000" w:themeColor="text1"/>
                <w:sz w:val="28"/>
                <w:szCs w:val="18"/>
                <w:highlight w:val="none"/>
                <w14:textFill>
                  <w14:solidFill>
                    <w14:schemeClr w14:val="tx1"/>
                  </w14:solidFill>
                </w14:textFill>
              </w:rPr>
            </w:pPr>
          </w:p>
        </w:tc>
      </w:tr>
    </w:tbl>
    <w:p w14:paraId="1541E1CE">
      <w:pPr>
        <w:spacing w:line="440" w:lineRule="exact"/>
        <w:ind w:firstLine="562" w:firstLineChars="200"/>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lang w:val="en-US" w:eastAsia="zh-CN"/>
          <w14:textFill>
            <w14:solidFill>
              <w14:schemeClr w14:val="tx1"/>
            </w14:solidFill>
          </w14:textFill>
        </w:rPr>
        <w:t>十二</w:t>
      </w:r>
      <w:r>
        <w:rPr>
          <w:rFonts w:hint="eastAsia" w:ascii="仿宋_GB2312" w:eastAsia="仿宋_GB2312"/>
          <w:b/>
          <w:color w:val="000000" w:themeColor="text1"/>
          <w:sz w:val="28"/>
          <w:szCs w:val="28"/>
          <w:highlight w:val="none"/>
          <w14:textFill>
            <w14:solidFill>
              <w14:schemeClr w14:val="tx1"/>
            </w14:solidFill>
          </w14:textFill>
        </w:rPr>
        <w:t>、土地估价机构</w:t>
      </w:r>
    </w:p>
    <w:p w14:paraId="29C8241E">
      <w:pPr>
        <w:tabs>
          <w:tab w:val="left" w:pos="3780"/>
        </w:tabs>
        <w:spacing w:before="240" w:beforeLines="100" w:line="440" w:lineRule="exact"/>
        <w:jc w:val="left"/>
        <w:rPr>
          <w:rFonts w:hint="eastAsia" w:ascii="仿宋_GB2312" w:eastAsia="仿宋_GB2312"/>
          <w:color w:val="000000" w:themeColor="text1"/>
          <w:sz w:val="28"/>
          <w:highlight w:val="none"/>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估价机构法定代表人签字：</w:t>
      </w:r>
    </w:p>
    <w:p w14:paraId="26F7102B">
      <w:pPr>
        <w:pStyle w:val="2"/>
        <w:rPr>
          <w:color w:val="000000" w:themeColor="text1"/>
          <w:highlight w:val="none"/>
          <w14:textFill>
            <w14:solidFill>
              <w14:schemeClr w14:val="tx1"/>
            </w14:solidFill>
          </w14:textFill>
        </w:rPr>
      </w:pPr>
    </w:p>
    <w:p w14:paraId="74287A11">
      <w:pPr>
        <w:keepNext w:val="0"/>
        <w:keepLines w:val="0"/>
        <w:pageBreakBefore w:val="0"/>
        <w:widowControl w:val="0"/>
        <w:kinsoku/>
        <w:wordWrap/>
        <w:overflowPunct/>
        <w:topLinePunct w:val="0"/>
        <w:autoSpaceDE/>
        <w:autoSpaceDN/>
        <w:bidi w:val="0"/>
        <w:spacing w:line="480" w:lineRule="exact"/>
        <w:ind w:right="140"/>
        <w:jc w:val="right"/>
        <w:textAlignment w:val="auto"/>
        <w:rPr>
          <w:rFonts w:ascii="仿宋_GB2312" w:eastAsia="仿宋_GB2312"/>
          <w:color w:val="000000" w:themeColor="text1"/>
          <w:sz w:val="28"/>
          <w:highlight w:val="none"/>
          <w14:textFill>
            <w14:solidFill>
              <w14:schemeClr w14:val="tx1"/>
            </w14:solidFill>
          </w14:textFill>
        </w:rPr>
      </w:pPr>
    </w:p>
    <w:p w14:paraId="3253D565">
      <w:pPr>
        <w:keepNext w:val="0"/>
        <w:keepLines w:val="0"/>
        <w:pageBreakBefore w:val="0"/>
        <w:widowControl w:val="0"/>
        <w:kinsoku/>
        <w:wordWrap/>
        <w:overflowPunct/>
        <w:topLinePunct w:val="0"/>
        <w:autoSpaceDE/>
        <w:autoSpaceDN/>
        <w:bidi w:val="0"/>
        <w:spacing w:line="480" w:lineRule="exact"/>
        <w:ind w:right="140"/>
        <w:jc w:val="right"/>
        <w:textAlignment w:val="auto"/>
        <w:outlineLvl w:val="9"/>
        <w:rPr>
          <w:rFonts w:ascii="仿宋_GB2312" w:eastAsia="仿宋_GB2312"/>
          <w:color w:val="000000" w:themeColor="text1"/>
          <w:sz w:val="28"/>
          <w:highlight w:val="none"/>
          <w14:textFill>
            <w14:solidFill>
              <w14:schemeClr w14:val="tx1"/>
            </w14:solidFill>
          </w14:textFill>
        </w:rPr>
      </w:pPr>
      <w:r/>
      <w:r>
        <w:rPr>
          <w:rFonts w:ascii="仿宋_GB2312" w:hAnsi="仿宋_GB2312" w:eastAsia="仿宋_GB2312" w:cs="仿宋_GB2312"/>
          <w:color w:val="000000"/>
          <w:sz w:val="28"/>
        </w:rPr>
        <w:t>{{ appraisal_org }}</w:t>
      </w:r>
    </w:p>
    <w:p w14:paraId="49E3943B">
      <w:pPr>
        <w:pStyle w:val="13"/>
        <w:keepNext w:val="0"/>
        <w:keepLines w:val="0"/>
        <w:pageBreakBefore w:val="0"/>
        <w:widowControl w:val="0"/>
        <w:kinsoku/>
        <w:wordWrap/>
        <w:overflowPunct/>
        <w:topLinePunct w:val="0"/>
        <w:autoSpaceDE/>
        <w:autoSpaceDN/>
        <w:bidi w:val="0"/>
        <w:adjustRightInd/>
        <w:snapToGrid/>
        <w:spacing w:line="480" w:lineRule="exact"/>
        <w:ind w:firstLine="560"/>
        <w:textAlignment w:val="auto"/>
        <w:rPr>
          <w:rFonts w:hint="eastAsia" w:eastAsia="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rPr>
        <w:t xml:space="preserve">                                  {{ report_date }}</w:t>
      </w:r>
    </w:p>
    <w:p w14:paraId="4400C43F">
      <w:pPr>
        <w:keepNext w:val="0"/>
        <w:keepLines w:val="0"/>
        <w:pageBreakBefore w:val="0"/>
        <w:widowControl w:val="0"/>
        <w:kinsoku/>
        <w:wordWrap/>
        <w:overflowPunct/>
        <w:topLinePunct w:val="0"/>
        <w:autoSpaceDE/>
        <w:autoSpaceDN/>
        <w:bidi w:val="0"/>
        <w:adjustRightInd/>
        <w:snapToGrid/>
        <w:spacing w:line="480" w:lineRule="exact"/>
        <w:textAlignment w:val="auto"/>
        <w:rPr>
          <w:rFonts w:ascii="仿宋_GB2312" w:eastAsia="仿宋_GB2312"/>
          <w:color w:val="000000" w:themeColor="text1"/>
          <w:sz w:val="28"/>
          <w:highlight w:val="none"/>
          <w14:textFill>
            <w14:solidFill>
              <w14:schemeClr w14:val="tx1"/>
            </w14:solidFill>
          </w14:textFill>
        </w:rPr>
        <w:sectPr>
          <w:footerReference r:id="rId21" w:type="default"/>
          <w:endnotePr>
            <w:numFmt w:val="decimal"/>
          </w:endnotePr>
          <w:pgSz w:w="11906" w:h="16838"/>
          <w:pgMar w:top="1440" w:right="1800" w:bottom="1440" w:left="1800" w:header="851" w:footer="850" w:gutter="0"/>
          <w:pgNumType w:fmt="decimal"/>
          <w:cols w:space="720" w:num="1"/>
          <w:docGrid w:linePitch="312" w:charSpace="0"/>
        </w:sectPr>
      </w:pPr>
    </w:p>
    <w:p w14:paraId="0AC74737">
      <w:pPr>
        <w:spacing w:line="520" w:lineRule="exact"/>
        <w:ind w:left="538" w:hanging="537" w:hangingChars="192"/>
        <w:jc w:val="center"/>
        <w:outlineLvl w:val="3"/>
        <w:rPr>
          <w:rFonts w:hint="eastAsia" w:ascii="仿宋_GB2312" w:eastAsia="仿宋_GB2312"/>
          <w:b/>
          <w:bCs/>
          <w:color w:val="000000" w:themeColor="text1"/>
          <w:sz w:val="28"/>
          <w:highlight w:val="none"/>
          <w:lang w:val="en-US" w:eastAsia="zh-CN"/>
          <w14:textFill>
            <w14:solidFill>
              <w14:schemeClr w14:val="tx1"/>
            </w14:solidFill>
          </w14:textFill>
        </w:rPr>
      </w:pPr>
      <w:r>
        <w:rPr>
          <w:rFonts w:hint="eastAsia" w:ascii="仿宋_GB2312" w:eastAsia="仿宋_GB2312"/>
          <w:color w:val="000000" w:themeColor="text1"/>
          <w:sz w:val="28"/>
          <w:highlight w:val="none"/>
          <w14:textFill>
            <w14:solidFill>
              <w14:schemeClr w14:val="tx1"/>
            </w14:solidFill>
          </w14:textFill>
        </w:rPr>
        <w:t xml:space="preserve"> </w:t>
      </w:r>
      <w:r>
        <w:rPr>
          <w:rFonts w:hint="eastAsia" w:ascii="仿宋_GB2312" w:eastAsia="仿宋_GB2312"/>
          <w:b/>
          <w:bCs/>
          <w:color w:val="000000" w:themeColor="text1"/>
          <w:sz w:val="28"/>
          <w:highlight w:val="none"/>
          <w14:textFill>
            <w14:solidFill>
              <w14:schemeClr w14:val="tx1"/>
            </w14:solidFill>
          </w14:textFill>
        </w:rPr>
        <w:t xml:space="preserve">  土地估价结果一览表</w:t>
      </w:r>
      <w:r>
        <w:rPr>
          <w:rFonts w:hint="eastAsia" w:ascii="仿宋_GB2312" w:eastAsia="仿宋_GB2312"/>
          <w:b/>
          <w:bCs/>
          <w:color w:val="000000" w:themeColor="text1"/>
          <w:sz w:val="28"/>
          <w:highlight w:val="none"/>
          <w:lang w:val="en-US" w:eastAsia="zh-CN"/>
          <w14:textFill>
            <w14:solidFill>
              <w14:schemeClr w14:val="tx1"/>
            </w14:solidFill>
          </w14:textFill>
        </w:rPr>
        <w:t xml:space="preserve"> </w:t>
      </w:r>
    </w:p>
    <w:p w14:paraId="2D9E7F20">
      <w:pPr>
        <w:spacing w:line="240" w:lineRule="exact"/>
        <w:ind w:left="-2478" w:leftChars="-1180" w:right="-227" w:firstLine="2625" w:firstLineChars="125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ascii="仿宋_GB2312" w:hAnsi="仿宋_GB2312" w:eastAsia="仿宋_GB2312" w:cs="仿宋_GB2312"/>
        </w:rPr>
        <w:t>估价机构：{{ appraisal_org }}                                                                                估价期日：{{ valuation_date }}</w:t>
      </w:r>
    </w:p>
    <w:p w14:paraId="3F6401EE">
      <w:pPr>
        <w:spacing w:line="240" w:lineRule="exact"/>
        <w:ind w:right="-227" w:firstLine="105" w:firstLineChars="50"/>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rPr>
        <w:t>估价报告编号：{{ technical_report_no }}                      估价目的：出让                       估价期日的土地使用权性质：拟出让</w:t>
      </w:r>
    </w:p>
    <w:tbl>
      <w:tblPr>
        <w:tblStyle w:val="9"/>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98"/>
        <w:gridCol w:w="975"/>
        <w:gridCol w:w="1126"/>
        <w:gridCol w:w="824"/>
        <w:gridCol w:w="809"/>
        <w:gridCol w:w="551"/>
        <w:gridCol w:w="611"/>
        <w:gridCol w:w="811"/>
        <w:gridCol w:w="463"/>
        <w:gridCol w:w="950"/>
        <w:gridCol w:w="1356"/>
        <w:gridCol w:w="1614"/>
        <w:gridCol w:w="840"/>
        <w:gridCol w:w="1007"/>
        <w:gridCol w:w="689"/>
        <w:gridCol w:w="721"/>
        <w:gridCol w:w="891"/>
        <w:gridCol w:w="683"/>
      </w:tblGrid>
      <w:tr w14:paraId="020E2C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0" w:hRule="atLeast"/>
          <w:tblHeader/>
          <w:jc w:val="center"/>
        </w:trPr>
        <w:tc>
          <w:tcPr>
            <w:tcW w:w="254" w:type="pct"/>
            <w:vMerge w:val="restart"/>
            <w:vAlign w:val="center"/>
            <w:tcMar>
              <w:top w:w="35" w:type="dxa"/>
              <w:left w:w="35" w:type="dxa"/>
              <w:bottom w:w="35" w:type="dxa"/>
              <w:right w:w="35" w:type="dxa"/>
            </w:tcMar>
          </w:tcPr>
          <w:p w14:paraId="2E45760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估价期日土地使用者</w:t>
            </w:r>
          </w:p>
        </w:tc>
        <w:tc>
          <w:tcPr>
            <w:tcW w:w="310" w:type="pct"/>
            <w:vMerge w:val="restart"/>
            <w:vAlign w:val="center"/>
            <w:tcMar>
              <w:top w:w="35" w:type="dxa"/>
              <w:left w:w="35" w:type="dxa"/>
              <w:bottom w:w="35" w:type="dxa"/>
              <w:right w:w="35" w:type="dxa"/>
            </w:tcMar>
          </w:tcPr>
          <w:p w14:paraId="3F14AF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w:t>
            </w:r>
          </w:p>
          <w:p w14:paraId="0C83D99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编号</w:t>
            </w:r>
          </w:p>
        </w:tc>
        <w:tc>
          <w:tcPr>
            <w:tcW w:w="358" w:type="pct"/>
            <w:vMerge w:val="restart"/>
            <w:vAlign w:val="center"/>
            <w:tcMar>
              <w:top w:w="35" w:type="dxa"/>
              <w:left w:w="35" w:type="dxa"/>
              <w:bottom w:w="35" w:type="dxa"/>
              <w:right w:w="35" w:type="dxa"/>
            </w:tcMar>
          </w:tcPr>
          <w:p w14:paraId="4AE433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宗地名称</w:t>
            </w:r>
          </w:p>
        </w:tc>
        <w:tc>
          <w:tcPr>
            <w:tcW w:w="262" w:type="pct"/>
            <w:vMerge w:val="restart"/>
            <w:vAlign w:val="center"/>
            <w:tcMar>
              <w:top w:w="35" w:type="dxa"/>
              <w:left w:w="35" w:type="dxa"/>
              <w:bottom w:w="35" w:type="dxa"/>
              <w:right w:w="35" w:type="dxa"/>
            </w:tcMar>
          </w:tcPr>
          <w:p w14:paraId="59B9192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土地使用证编号</w:t>
            </w:r>
          </w:p>
        </w:tc>
        <w:tc>
          <w:tcPr>
            <w:tcW w:w="626" w:type="pct"/>
            <w:gridSpan w:val="3"/>
            <w:vAlign w:val="center"/>
            <w:tcMar>
              <w:top w:w="35" w:type="dxa"/>
              <w:left w:w="35" w:type="dxa"/>
              <w:bottom w:w="35" w:type="dxa"/>
              <w:right w:w="35" w:type="dxa"/>
            </w:tcMar>
          </w:tcPr>
          <w:p w14:paraId="1BF04A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估价期日的用途</w:t>
            </w:r>
          </w:p>
        </w:tc>
        <w:tc>
          <w:tcPr>
            <w:tcW w:w="706" w:type="pct"/>
            <w:gridSpan w:val="3"/>
            <w:vAlign w:val="center"/>
            <w:tcMar>
              <w:top w:w="35" w:type="dxa"/>
              <w:left w:w="35" w:type="dxa"/>
              <w:bottom w:w="35" w:type="dxa"/>
              <w:right w:w="35" w:type="dxa"/>
            </w:tcMar>
          </w:tcPr>
          <w:p w14:paraId="3E1472C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容积率</w:t>
            </w:r>
          </w:p>
        </w:tc>
        <w:tc>
          <w:tcPr>
            <w:tcW w:w="431" w:type="pct"/>
            <w:vMerge w:val="restart"/>
            <w:vAlign w:val="center"/>
            <w:tcMar>
              <w:top w:w="35" w:type="dxa"/>
              <w:left w:w="35" w:type="dxa"/>
              <w:bottom w:w="35" w:type="dxa"/>
              <w:right w:w="35" w:type="dxa"/>
            </w:tcMar>
          </w:tcPr>
          <w:p w14:paraId="2C34BB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估价期日实际土地开发程度</w:t>
            </w:r>
          </w:p>
        </w:tc>
        <w:tc>
          <w:tcPr>
            <w:tcW w:w="513" w:type="pct"/>
            <w:vMerge w:val="restart"/>
            <w:vAlign w:val="center"/>
            <w:tcMar>
              <w:top w:w="35" w:type="dxa"/>
              <w:left w:w="35" w:type="dxa"/>
              <w:bottom w:w="35" w:type="dxa"/>
              <w:right w:w="35" w:type="dxa"/>
            </w:tcMar>
          </w:tcPr>
          <w:p w14:paraId="68D4D39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估价设定土地开发程度</w:t>
            </w:r>
          </w:p>
        </w:tc>
        <w:tc>
          <w:tcPr>
            <w:tcW w:w="267" w:type="pct"/>
            <w:vMerge w:val="restart"/>
            <w:vAlign w:val="center"/>
            <w:tcMar>
              <w:top w:w="35" w:type="dxa"/>
              <w:left w:w="35" w:type="dxa"/>
              <w:bottom w:w="35" w:type="dxa"/>
              <w:right w:w="35" w:type="dxa"/>
            </w:tcMar>
          </w:tcPr>
          <w:p w14:paraId="69605D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剩余土地使用权年期（年）</w:t>
            </w:r>
          </w:p>
        </w:tc>
        <w:tc>
          <w:tcPr>
            <w:tcW w:w="320" w:type="pct"/>
            <w:vMerge w:val="restart"/>
            <w:vAlign w:val="center"/>
            <w:tcMar>
              <w:top w:w="35" w:type="dxa"/>
              <w:left w:w="35" w:type="dxa"/>
              <w:bottom w:w="35" w:type="dxa"/>
              <w:right w:w="35" w:type="dxa"/>
            </w:tcMar>
          </w:tcPr>
          <w:p w14:paraId="5789F92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面积(㎡)</w:t>
            </w:r>
          </w:p>
        </w:tc>
        <w:tc>
          <w:tcPr>
            <w:tcW w:w="219" w:type="pct"/>
            <w:vMerge w:val="restart"/>
            <w:vAlign w:val="center"/>
            <w:tcMar>
              <w:top w:w="35" w:type="dxa"/>
              <w:left w:w="35" w:type="dxa"/>
              <w:bottom w:w="35" w:type="dxa"/>
              <w:right w:w="35" w:type="dxa"/>
            </w:tcMar>
          </w:tcPr>
          <w:p w14:paraId="771137E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地面地价(元/㎡)</w:t>
            </w:r>
          </w:p>
        </w:tc>
        <w:tc>
          <w:tcPr>
            <w:tcW w:w="229" w:type="pct"/>
            <w:vMerge w:val="restart"/>
            <w:vAlign w:val="center"/>
            <w:tcMar>
              <w:top w:w="35" w:type="dxa"/>
              <w:left w:w="35" w:type="dxa"/>
              <w:bottom w:w="35" w:type="dxa"/>
              <w:right w:w="35" w:type="dxa"/>
            </w:tcMar>
          </w:tcPr>
          <w:p w14:paraId="7A2444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楼面地价(元/㎡)</w:t>
            </w:r>
          </w:p>
        </w:tc>
        <w:tc>
          <w:tcPr>
            <w:tcW w:w="283" w:type="pct"/>
            <w:vMerge w:val="restart"/>
            <w:vAlign w:val="center"/>
            <w:tcMar>
              <w:top w:w="35" w:type="dxa"/>
              <w:left w:w="35" w:type="dxa"/>
              <w:bottom w:w="35" w:type="dxa"/>
              <w:right w:w="35" w:type="dxa"/>
            </w:tcMar>
          </w:tcPr>
          <w:p w14:paraId="24CBC0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总价</w:t>
            </w:r>
          </w:p>
          <w:p w14:paraId="5527E3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(万元)</w:t>
            </w:r>
          </w:p>
        </w:tc>
        <w:tc>
          <w:tcPr>
            <w:tcW w:w="217" w:type="pct"/>
            <w:vMerge w:val="restart"/>
            <w:vAlign w:val="center"/>
            <w:tcMar>
              <w:top w:w="35" w:type="dxa"/>
              <w:left w:w="35" w:type="dxa"/>
              <w:bottom w:w="35" w:type="dxa"/>
              <w:right w:w="35" w:type="dxa"/>
            </w:tcMar>
          </w:tcPr>
          <w:p w14:paraId="5447EB2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备注</w:t>
            </w:r>
          </w:p>
        </w:tc>
      </w:tr>
      <w:tr w14:paraId="60C09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50" w:hRule="atLeast"/>
          <w:tblHeader/>
          <w:jc w:val="center"/>
        </w:trPr>
        <w:tc>
          <w:tcPr>
            <w:tcW w:w="254" w:type="pct"/>
            <w:vMerge w:val="continue"/>
            <w:vAlign w:val="center"/>
          </w:tcPr>
          <w:p w14:paraId="2405710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10" w:type="pct"/>
            <w:vMerge w:val="continue"/>
            <w:vAlign w:val="center"/>
          </w:tcPr>
          <w:p w14:paraId="56CE40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58" w:type="pct"/>
            <w:vMerge w:val="continue"/>
            <w:vAlign w:val="center"/>
          </w:tcPr>
          <w:p w14:paraId="3E0A7C0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2" w:type="pct"/>
            <w:vMerge w:val="continue"/>
            <w:vAlign w:val="center"/>
          </w:tcPr>
          <w:p w14:paraId="71F2FAA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57" w:type="pct"/>
            <w:vAlign w:val="center"/>
            <w:tcMar>
              <w:top w:w="35" w:type="dxa"/>
              <w:left w:w="35" w:type="dxa"/>
              <w:bottom w:w="35" w:type="dxa"/>
              <w:right w:w="35" w:type="dxa"/>
            </w:tcMar>
          </w:tcPr>
          <w:p w14:paraId="2D357C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证载（或批准）</w:t>
            </w:r>
          </w:p>
        </w:tc>
        <w:tc>
          <w:tcPr>
            <w:tcW w:w="175" w:type="pct"/>
            <w:vAlign w:val="center"/>
            <w:tcMar>
              <w:top w:w="35" w:type="dxa"/>
              <w:left w:w="35" w:type="dxa"/>
              <w:bottom w:w="35" w:type="dxa"/>
              <w:right w:w="35" w:type="dxa"/>
            </w:tcMar>
          </w:tcPr>
          <w:p w14:paraId="0517EBD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194" w:type="pct"/>
            <w:vAlign w:val="center"/>
            <w:tcMar>
              <w:top w:w="35" w:type="dxa"/>
              <w:left w:w="35" w:type="dxa"/>
              <w:bottom w:w="35" w:type="dxa"/>
              <w:right w:w="35" w:type="dxa"/>
            </w:tcMar>
          </w:tcPr>
          <w:p w14:paraId="1EF5DD4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257" w:type="pct"/>
            <w:vAlign w:val="center"/>
            <w:tcMar>
              <w:top w:w="35" w:type="dxa"/>
              <w:left w:w="35" w:type="dxa"/>
              <w:bottom w:w="35" w:type="dxa"/>
              <w:right w:w="35" w:type="dxa"/>
            </w:tcMar>
          </w:tcPr>
          <w:p w14:paraId="5E90F40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规划</w:t>
            </w:r>
          </w:p>
        </w:tc>
        <w:tc>
          <w:tcPr>
            <w:tcW w:w="147" w:type="pct"/>
            <w:vAlign w:val="center"/>
            <w:tcMar>
              <w:top w:w="35" w:type="dxa"/>
              <w:left w:w="35" w:type="dxa"/>
              <w:bottom w:w="35" w:type="dxa"/>
              <w:right w:w="35" w:type="dxa"/>
            </w:tcMar>
          </w:tcPr>
          <w:p w14:paraId="1D6701F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实际</w:t>
            </w:r>
          </w:p>
        </w:tc>
        <w:tc>
          <w:tcPr>
            <w:tcW w:w="300" w:type="pct"/>
            <w:vAlign w:val="center"/>
            <w:tcMar>
              <w:top w:w="35" w:type="dxa"/>
              <w:left w:w="35" w:type="dxa"/>
              <w:bottom w:w="35" w:type="dxa"/>
              <w:right w:w="35" w:type="dxa"/>
            </w:tcMar>
          </w:tcPr>
          <w:p w14:paraId="7940331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b/>
                <w:bCs/>
                <w:color w:val="000000" w:themeColor="text1"/>
                <w:spacing w:val="-10"/>
                <w:szCs w:val="21"/>
                <w:highlight w:val="none"/>
                <w14:textFill>
                  <w14:solidFill>
                    <w14:schemeClr w14:val="tx1"/>
                  </w14:solidFill>
                </w14:textFill>
              </w:rPr>
            </w:pPr>
            <w:r>
              <w:rPr>
                <w:rFonts w:hint="eastAsia" w:ascii="宋体" w:hAnsi="宋体" w:eastAsia="宋体" w:cs="宋体"/>
                <w:b/>
                <w:bCs/>
                <w:color w:val="000000" w:themeColor="text1"/>
                <w:spacing w:val="-10"/>
                <w:sz w:val="16"/>
                <w:szCs w:val="21"/>
                <w:highlight w:val="none"/>
                <w14:textFill>
                  <w14:solidFill>
                    <w14:schemeClr w14:val="tx1"/>
                  </w14:solidFill>
                </w14:textFill>
              </w:rPr>
              <w:t>设定</w:t>
            </w:r>
          </w:p>
        </w:tc>
        <w:tc>
          <w:tcPr>
            <w:tcW w:w="431" w:type="pct"/>
            <w:vMerge w:val="continue"/>
            <w:vAlign w:val="center"/>
          </w:tcPr>
          <w:p w14:paraId="2F7C8B0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513" w:type="pct"/>
            <w:vMerge w:val="continue"/>
            <w:vAlign w:val="center"/>
          </w:tcPr>
          <w:p w14:paraId="2A8B7E0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67" w:type="pct"/>
            <w:vMerge w:val="continue"/>
            <w:vAlign w:val="center"/>
          </w:tcPr>
          <w:p w14:paraId="02C5C48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320" w:type="pct"/>
            <w:vMerge w:val="continue"/>
            <w:vAlign w:val="center"/>
          </w:tcPr>
          <w:p w14:paraId="642B48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9" w:type="pct"/>
            <w:vMerge w:val="continue"/>
            <w:vAlign w:val="center"/>
          </w:tcPr>
          <w:p w14:paraId="1F8372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29" w:type="pct"/>
            <w:vMerge w:val="continue"/>
            <w:vAlign w:val="center"/>
          </w:tcPr>
          <w:p w14:paraId="4A4E5E4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83" w:type="pct"/>
            <w:vMerge w:val="continue"/>
            <w:vAlign w:val="center"/>
          </w:tcPr>
          <w:p w14:paraId="0B303F7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c>
          <w:tcPr>
            <w:tcW w:w="217" w:type="pct"/>
            <w:vMerge w:val="continue"/>
            <w:vAlign w:val="center"/>
          </w:tcPr>
          <w:p w14:paraId="717D6F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rPr>
                <w:rFonts w:hint="eastAsia" w:ascii="仿宋_GB2312" w:hAnsi="仿宋_GB2312" w:eastAsia="仿宋_GB2312" w:cs="仿宋_GB2312"/>
                <w:color w:val="000000" w:themeColor="text1"/>
                <w:spacing w:val="-10"/>
                <w:szCs w:val="21"/>
                <w:highlight w:val="none"/>
                <w14:textFill>
                  <w14:solidFill>
                    <w14:schemeClr w14:val="tx1"/>
                  </w14:solidFill>
                </w14:textFill>
              </w:rPr>
            </w:pPr>
          </w:p>
        </w:tc>
      </w:tr>
      <w:tr w14:paraId="320F0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55" w:hRule="atLeast"/>
          <w:jc w:val="center"/>
        </w:trPr>
        <w:tc>
          <w:tcPr>
            <w:tcW w:w="254" w:type="pct"/>
            <w:vAlign w:val="center"/>
            <w:tcMar>
              <w:top w:w="35" w:type="dxa"/>
              <w:left w:w="35" w:type="dxa"/>
              <w:bottom w:w="35" w:type="dxa"/>
              <w:right w:w="35" w:type="dxa"/>
            </w:tcMar>
          </w:tcPr>
          <w:p w14:paraId="1A427A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land_user }}</w:t>
            </w:r>
          </w:p>
        </w:tc>
        <w:tc>
          <w:tcPr>
            <w:tcW w:w="310" w:type="pct"/>
            <w:vAlign w:val="center"/>
            <w:tcMar>
              <w:top w:w="35" w:type="dxa"/>
              <w:left w:w="35" w:type="dxa"/>
              <w:bottom w:w="35" w:type="dxa"/>
              <w:right w:w="35" w:type="dxa"/>
            </w:tcMar>
          </w:tcPr>
          <w:p w14:paraId="38125FC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land_plot_number }}</w:t>
            </w:r>
          </w:p>
        </w:tc>
        <w:tc>
          <w:tcPr>
            <w:tcW w:w="358" w:type="pct"/>
            <w:vAlign w:val="center"/>
            <w:tcMar>
              <w:top w:w="35" w:type="dxa"/>
              <w:left w:w="35" w:type="dxa"/>
              <w:bottom w:w="35" w:type="dxa"/>
              <w:right w:w="35" w:type="dxa"/>
            </w:tcMar>
          </w:tcPr>
          <w:p w14:paraId="565E584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land_location }}{{ land_plot_number }}</w:t>
            </w:r>
          </w:p>
        </w:tc>
        <w:tc>
          <w:tcPr>
            <w:tcW w:w="262" w:type="pct"/>
            <w:vAlign w:val="center"/>
            <w:tcMar>
              <w:top w:w="35" w:type="dxa"/>
              <w:left w:w="35" w:type="dxa"/>
              <w:bottom w:w="35" w:type="dxa"/>
              <w:right w:w="35" w:type="dxa"/>
            </w:tcMar>
          </w:tcPr>
          <w:p w14:paraId="05E391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待办</w:t>
            </w:r>
          </w:p>
        </w:tc>
        <w:tc>
          <w:tcPr>
            <w:tcW w:w="257" w:type="pct"/>
            <w:vAlign w:val="center"/>
            <w:tcMar>
              <w:top w:w="35" w:type="dxa"/>
              <w:left w:w="35" w:type="dxa"/>
              <w:bottom w:w="35" w:type="dxa"/>
              <w:right w:w="35" w:type="dxa"/>
            </w:tcMar>
          </w:tcPr>
          <w:p w14:paraId="61EE4C0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175" w:type="pct"/>
            <w:vAlign w:val="center"/>
            <w:tcMar>
              <w:top w:w="35" w:type="dxa"/>
              <w:left w:w="35" w:type="dxa"/>
              <w:bottom w:w="35" w:type="dxa"/>
              <w:right w:w="35" w:type="dxa"/>
            </w:tcMar>
          </w:tcPr>
          <w:p w14:paraId="4AEB17C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194" w:type="pct"/>
            <w:vAlign w:val="center"/>
            <w:tcMar>
              <w:top w:w="35" w:type="dxa"/>
              <w:left w:w="35" w:type="dxa"/>
              <w:bottom w:w="35" w:type="dxa"/>
              <w:right w:w="35" w:type="dxa"/>
            </w:tcMar>
          </w:tcPr>
          <w:p w14:paraId="159C3BA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land_usage_short }}</w:t>
            </w:r>
          </w:p>
        </w:tc>
        <w:tc>
          <w:tcPr>
            <w:tcW w:w="257" w:type="pct"/>
            <w:vAlign w:val="center"/>
            <w:tcMar>
              <w:top w:w="35" w:type="dxa"/>
              <w:left w:w="35" w:type="dxa"/>
              <w:bottom w:w="35" w:type="dxa"/>
              <w:right w:w="35" w:type="dxa"/>
            </w:tcMar>
          </w:tcPr>
          <w:p w14:paraId="152F36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plot_ratio_display }}</w:t>
            </w:r>
          </w:p>
        </w:tc>
        <w:tc>
          <w:tcPr>
            <w:tcW w:w="147" w:type="pct"/>
            <w:vAlign w:val="center"/>
            <w:tcMar>
              <w:top w:w="35" w:type="dxa"/>
              <w:left w:w="35" w:type="dxa"/>
              <w:bottom w:w="35" w:type="dxa"/>
              <w:right w:w="35" w:type="dxa"/>
            </w:tcMar>
          </w:tcPr>
          <w:p w14:paraId="5EB5BF3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w:t>
            </w:r>
          </w:p>
        </w:tc>
        <w:tc>
          <w:tcPr>
            <w:tcW w:w="300" w:type="pct"/>
            <w:vAlign w:val="center"/>
            <w:tcMar>
              <w:top w:w="35" w:type="dxa"/>
              <w:left w:w="35" w:type="dxa"/>
              <w:bottom w:w="35" w:type="dxa"/>
              <w:right w:w="35" w:type="dxa"/>
            </w:tcMar>
          </w:tcPr>
          <w:p w14:paraId="6EABBF8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plot_ratio }}</w:t>
            </w:r>
          </w:p>
        </w:tc>
        <w:tc>
          <w:tcPr>
            <w:tcW w:w="431" w:type="pct"/>
            <w:vAlign w:val="center"/>
            <w:tcMar>
              <w:top w:w="35" w:type="dxa"/>
              <w:left w:w="35" w:type="dxa"/>
              <w:bottom w:w="35" w:type="dxa"/>
              <w:right w:w="35" w:type="dxa"/>
            </w:tcMar>
          </w:tcPr>
          <w:p w14:paraId="5182F01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land_development_actual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513" w:type="pct"/>
            <w:vAlign w:val="center"/>
            <w:tcMar>
              <w:top w:w="35" w:type="dxa"/>
              <w:left w:w="35" w:type="dxa"/>
              <w:bottom w:w="35" w:type="dxa"/>
              <w:right w:w="35" w:type="dxa"/>
            </w:tcMar>
          </w:tcPr>
          <w:p w14:paraId="22DBE5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eastAsia="zh-CN"/>
                <w14:textFill>
                  <w14:solidFill>
                    <w14:schemeClr w14:val="tx1"/>
                  </w14:solidFill>
                </w14:textFill>
              </w:rPr>
              <w:t>{{ land_development_set }}</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r>
            <w:r>
              <w:rPr>
                <w:rFonts w:hint="eastAsia" w:ascii="宋体" w:hAnsi="宋体" w:eastAsia="宋体" w:cs="宋体"/>
                <w:color w:val="000000" w:themeColor="text1"/>
                <w:spacing w:val="-20"/>
                <w:sz w:val="16"/>
                <w:szCs w:val="21"/>
                <w:highlight w:val="none"/>
                <w:lang w:eastAsia="zh-CN"/>
                <w14:textFill>
                  <w14:solidFill>
                    <w14:schemeClr w14:val="tx1"/>
                  </w14:solidFill>
                </w14:textFill>
              </w:rPr>
            </w:r>
          </w:p>
        </w:tc>
        <w:tc>
          <w:tcPr>
            <w:tcW w:w="267" w:type="pct"/>
            <w:vAlign w:val="center"/>
            <w:tcMar>
              <w:top w:w="35" w:type="dxa"/>
              <w:left w:w="35" w:type="dxa"/>
              <w:bottom w:w="35" w:type="dxa"/>
              <w:right w:w="35" w:type="dxa"/>
            </w:tcMar>
          </w:tcPr>
          <w:p w14:paraId="3C2919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 land_use_term_years }}</w:t>
            </w:r>
          </w:p>
        </w:tc>
        <w:tc>
          <w:tcPr>
            <w:tcW w:w="320" w:type="pct"/>
            <w:vAlign w:val="center"/>
            <w:tcMar>
              <w:top w:w="35" w:type="dxa"/>
              <w:left w:w="35" w:type="dxa"/>
              <w:bottom w:w="35" w:type="dxa"/>
              <w:right w:w="35" w:type="dxa"/>
            </w:tcMar>
          </w:tcPr>
          <w:p w14:paraId="1F7F662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
              <w:rPr>
                <w:rFonts w:ascii="仿宋_GB2312" w:hAnsi="仿宋_GB2312" w:eastAsia="仿宋_GB2312" w:cs="仿宋_GB2312"/>
                <w:color w:val="000000"/>
                <w:sz w:val="16"/>
              </w:rPr>
              <w:t>{{ land_area }}</w:t>
            </w:r>
          </w:p>
        </w:tc>
        <w:tc>
          <w:tcPr>
            <w:tcW w:w="219" w:type="pct"/>
            <w:vAlign w:val="center"/>
            <w:tcMar>
              <w:top w:w="35" w:type="dxa"/>
              <w:left w:w="35" w:type="dxa"/>
              <w:bottom w:w="35" w:type="dxa"/>
              <w:right w:w="35" w:type="dxa"/>
            </w:tcMar>
          </w:tcPr>
          <w:p w14:paraId="0FFD06A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ascii="仿宋_GB2312" w:hAnsi="仿宋_GB2312" w:eastAsia="仿宋_GB2312" w:cs="仿宋_GB2312"/>
                <w:color w:val="000000"/>
                <w:sz w:val="16"/>
              </w:rPr>
              <w:t>{{ final_unit_price }}</w:t>
            </w:r>
          </w:p>
        </w:tc>
        <w:tc>
          <w:tcPr>
            <w:tcW w:w="229" w:type="pct"/>
            <w:vAlign w:val="center"/>
            <w:tcMar>
              <w:top w:w="35" w:type="dxa"/>
              <w:left w:w="35" w:type="dxa"/>
              <w:bottom w:w="35" w:type="dxa"/>
              <w:right w:w="35" w:type="dxa"/>
            </w:tcMar>
          </w:tcPr>
          <w:p w14:paraId="46A3BE6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w:t>
            </w:r>
          </w:p>
        </w:tc>
        <w:tc>
          <w:tcPr>
            <w:tcW w:w="283" w:type="pct"/>
            <w:shd w:val="clear" w:color="auto" w:fill="auto"/>
            <w:vAlign w:val="center"/>
            <w:tcMar>
              <w:top w:w="35" w:type="dxa"/>
              <w:left w:w="35" w:type="dxa"/>
              <w:bottom w:w="35" w:type="dxa"/>
              <w:right w:w="35" w:type="dxa"/>
            </w:tcMar>
          </w:tcPr>
          <w:p w14:paraId="113C291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default" w:ascii="等线" w:hAnsi="等线" w:eastAsia="等线" w:cs="等线"/>
                <w:i w:val="0"/>
                <w:iCs w:val="0"/>
                <w:color w:val="000000" w:themeColor="text1"/>
                <w:kern w:val="2"/>
                <w:sz w:val="22"/>
                <w:szCs w:val="22"/>
                <w:highlight w:val="none"/>
                <w:u w:val="none"/>
                <w:lang w:val="en-US" w:eastAsia="zh-CN" w:bidi="ar-SA"/>
                <w14:textFill>
                  <w14:solidFill>
                    <w14:schemeClr w14:val="tx1"/>
                  </w14:solidFill>
                </w14:textFill>
              </w:rPr>
            </w:pPr>
            <w:r>
              <w:rPr>
                <w:rFonts w:ascii="仿宋_GB2312" w:hAnsi="仿宋_GB2312" w:eastAsia="仿宋_GB2312" w:cs="仿宋_GB2312"/>
                <w:color w:val="000000"/>
                <w:sz w:val="16"/>
              </w:rPr>
              <w:t>{{ final_total_price }}</w:t>
            </w:r>
          </w:p>
        </w:tc>
        <w:tc>
          <w:tcPr>
            <w:tcW w:w="217" w:type="pct"/>
            <w:vAlign w:val="center"/>
            <w:tcMar>
              <w:top w:w="35" w:type="dxa"/>
              <w:left w:w="35" w:type="dxa"/>
              <w:bottom w:w="35" w:type="dxa"/>
              <w:right w:w="35" w:type="dxa"/>
            </w:tcMar>
          </w:tcPr>
          <w:p w14:paraId="564A63F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210" w:lineRule="exact"/>
              <w:ind w:left="0" w:right="0" w:firstLine="0"/>
              <w:jc w:val="center"/>
              <w:textAlignment w:val="auto"/>
              <w:rPr>
                <w:rFonts w:hint="eastAsia" w:ascii="仿宋_GB2312" w:hAnsi="仿宋_GB2312" w:eastAsia="仿宋_GB2312" w:cs="仿宋_GB2312"/>
                <w:color w:val="000000" w:themeColor="text1"/>
                <w:spacing w:val="-20"/>
                <w:szCs w:val="21"/>
                <w:highlight w:val="none"/>
                <w:lang w:eastAsia="zh-CN"/>
                <w14:textFill>
                  <w14:solidFill>
                    <w14:schemeClr w14:val="tx1"/>
                  </w14:solidFill>
                </w14:textFill>
              </w:rPr>
            </w:pP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合</w:t>
            </w:r>
            <w:r>
              <w:rPr>
                <w:rFonts w:hint="eastAsia" w:ascii="宋体" w:hAnsi="宋体" w:eastAsia="宋体" w:cs="宋体"/>
                <w:color w:val="000000" w:themeColor="text1"/>
                <w:spacing w:val="0"/>
                <w:sz w:val="16"/>
                <w:szCs w:val="21"/>
                <w:highlight w:val="none"/>
                <w:lang w:val="en-US" w:eastAsia="zh-CN"/>
                <w14:textFill>
                  <w14:solidFill>
                    <w14:schemeClr w14:val="tx1"/>
                  </w14:solidFill>
                </w14:textFill>
              </w:rPr>
              <w:t>10.7</w:t>
            </w:r>
            <w:r>
              <w:rPr>
                <w:rFonts w:hint="eastAsia" w:ascii="宋体" w:hAnsi="宋体" w:eastAsia="宋体" w:cs="宋体"/>
                <w:color w:val="000000" w:themeColor="text1"/>
                <w:spacing w:val="-20"/>
                <w:sz w:val="16"/>
                <w:szCs w:val="21"/>
                <w:highlight w:val="none"/>
                <w:lang w:val="en-US" w:eastAsia="zh-CN"/>
                <w14:textFill>
                  <w14:solidFill>
                    <w14:schemeClr w14:val="tx1"/>
                  </w14:solidFill>
                </w14:textFill>
              </w:rPr>
              <w:t>万元/亩</w:t>
            </w:r>
          </w:p>
        </w:tc>
      </w:tr>
    </w:tbl>
    <w:p w14:paraId="5EA0BA2B">
      <w:pPr>
        <w:keepNext w:val="0"/>
        <w:keepLines w:val="0"/>
        <w:pageBreakBefore w:val="0"/>
        <w:widowControl w:val="0"/>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注：上表中“</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五通</w:t>
      </w:r>
      <w:r>
        <w:rPr>
          <w:rFonts w:hint="eastAsia" w:ascii="仿宋_GB2312" w:hAnsi="仿宋_GB2312" w:eastAsia="仿宋_GB2312" w:cs="仿宋_GB2312"/>
          <w:color w:val="000000" w:themeColor="text1"/>
          <w:szCs w:val="21"/>
          <w:highlight w:val="none"/>
          <w14:textFill>
            <w14:solidFill>
              <w14:schemeClr w14:val="tx1"/>
            </w14:solidFill>
          </w14:textFill>
        </w:rPr>
        <w:t>”指宗地红外围通路、通电、通讯</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t>、</w:t>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供水、排水</w:t>
      </w:r>
      <w:r>
        <w:rPr>
          <w:rFonts w:hint="eastAsia" w:ascii="仿宋_GB2312" w:hAnsi="仿宋_GB2312" w:eastAsia="仿宋_GB2312" w:cs="仿宋_GB2312"/>
          <w:color w:val="000000" w:themeColor="text1"/>
          <w:szCs w:val="21"/>
          <w:highlight w:val="none"/>
          <w14:textFill>
            <w14:solidFill>
              <w14:schemeClr w14:val="tx1"/>
            </w14:solidFill>
          </w14:textFill>
        </w:rPr>
        <w:t>。</w:t>
      </w:r>
    </w:p>
    <w:p w14:paraId="70A56C7C">
      <w:pPr>
        <w:keepNext w:val="0"/>
        <w:keepLines w:val="0"/>
        <w:pageBreakBefore w:val="0"/>
        <w:widowControl w:val="0"/>
        <w:tabs>
          <w:tab w:val="left" w:pos="560"/>
        </w:tabs>
        <w:kinsoku/>
        <w:wordWrap/>
        <w:overflowPunct/>
        <w:topLinePunct w:val="0"/>
        <w:autoSpaceDE/>
        <w:autoSpaceDN/>
        <w:bidi w:val="0"/>
        <w:adjustRightInd/>
        <w:snapToGrid/>
        <w:spacing w:line="22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一、上述土地估价结果的限定条件</w:t>
      </w:r>
    </w:p>
    <w:p w14:paraId="11A3E73B">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1.根据《关于国有建设用地的规划条件的函》（2025年9月11日），估价对象位于{{ land_location_full }}，估价对象土地所有权为国有，本次评估设定土地使用权性质为{{ right_type }}，土地使用者为{{ land_user }}。根据委托方提供相关资料和估价人员调查结果，截至估价期日估价对象未有抵押权、地役权、租赁权等他项权利登记，本次评估设定估价对象地上无抵押权、地役权、租赁权等他项权利登记；</w:t>
      </w:r>
      <w:r>
        <w:rPr>
          <w:rFonts w:ascii="仿宋_GB2312" w:hAnsi="仿宋_GB2312" w:eastAsia="仿宋_GB2312" w:cs="仿宋_GB2312"/>
          <w:color w:val="000000"/>
        </w:rPr>
      </w:r>
    </w:p>
    <w:p w14:paraId="764C00F5">
      <w:pPr>
        <w:keepNext w:val="0"/>
        <w:keepLines w:val="0"/>
        <w:pageBreakBefore w:val="0"/>
        <w:widowControl w:val="0"/>
        <w:tabs>
          <w:tab w:val="left" w:pos="560"/>
        </w:tabs>
        <w:kinsoku/>
        <w:wordWrap/>
        <w:overflowPunct/>
        <w:topLinePunct w:val="0"/>
        <w:autoSpaceDE/>
        <w:autoSpaceDN/>
        <w:bidi w:val="0"/>
        <w:adjustRightInd/>
        <w:snapToGrid/>
        <w:spacing w:line="220" w:lineRule="exact"/>
        <w:ind w:left="-283" w:leftChars="-135" w:firstLine="707" w:firstLineChars="337"/>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2.基础设施条件：估价对象土地实际开发程度为{{ land_development_actual }}，详见下表。</w:t>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r>
      <w:r>
        <w:rPr>
          <w:rFonts w:hint="eastAsia" w:ascii="仿宋_GB2312" w:hAnsi="仿宋_GB2312" w:eastAsia="仿宋_GB2312" w:cs="仿宋_GB2312"/>
          <w:color w:val="000000" w:themeColor="text1"/>
          <w:szCs w:val="21"/>
          <w:highlight w:val="none"/>
          <w:lang w:eastAsia="zh-CN"/>
          <w14:textFill>
            <w14:solidFill>
              <w14:schemeClr w14:val="tx1"/>
            </w14:solidFill>
          </w14:textFill>
        </w:rPr>
      </w:r>
      <w:r>
        <w:rPr>
          <w:rFonts w:hint="eastAsia" w:ascii="仿宋_GB2312" w:hAnsi="仿宋_GB2312" w:eastAsia="仿宋_GB2312" w:cs="仿宋_GB2312"/>
          <w:color w:val="000000" w:themeColor="text1"/>
          <w:szCs w:val="21"/>
          <w:highlight w:val="none"/>
          <w14:textFill>
            <w14:solidFill>
              <w14:schemeClr w14:val="tx1"/>
            </w14:solidFill>
          </w14:textFill>
        </w:rPr>
      </w:r>
    </w:p>
    <w:tbl>
      <w:tblPr>
        <w:tblStyle w:val="9"/>
        <w:tblW w:w="4999"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6"/>
        <w:gridCol w:w="2322"/>
        <w:gridCol w:w="3011"/>
        <w:gridCol w:w="2672"/>
        <w:gridCol w:w="2672"/>
        <w:gridCol w:w="3342"/>
      </w:tblGrid>
      <w:tr w14:paraId="050C40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93" w:hRule="atLeast"/>
          <w:jc w:val="center"/>
        </w:trPr>
        <w:tc>
          <w:tcPr>
            <w:tcW w:w="542" w:type="pct"/>
            <w:noWrap w:val="0"/>
            <w:vAlign w:val="center"/>
          </w:tcPr>
          <w:p w14:paraId="21D2CBE9">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 w:hAnsi="仿宋" w:eastAsia="仿宋" w:cs="仿宋"/>
                <w:b/>
                <w:snapToGrid w:val="0"/>
                <w:color w:val="auto"/>
                <w:sz w:val="18"/>
                <w:szCs w:val="18"/>
                <w:highlight w:val="none"/>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地面平整状况</w:t>
            </w:r>
          </w:p>
        </w:tc>
        <w:tc>
          <w:tcPr>
            <w:tcW w:w="738" w:type="pct"/>
            <w:noWrap w:val="0"/>
            <w:vAlign w:val="center"/>
          </w:tcPr>
          <w:p w14:paraId="15142228">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周围道路状况</w:t>
            </w:r>
          </w:p>
        </w:tc>
        <w:tc>
          <w:tcPr>
            <w:tcW w:w="957" w:type="pct"/>
            <w:noWrap w:val="0"/>
            <w:vAlign w:val="center"/>
          </w:tcPr>
          <w:p w14:paraId="619A401E">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供电状况</w:t>
            </w:r>
          </w:p>
        </w:tc>
        <w:tc>
          <w:tcPr>
            <w:tcW w:w="849" w:type="pct"/>
            <w:noWrap w:val="0"/>
            <w:vAlign w:val="center"/>
          </w:tcPr>
          <w:p w14:paraId="7754268C">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供水状况</w:t>
            </w:r>
          </w:p>
        </w:tc>
        <w:tc>
          <w:tcPr>
            <w:tcW w:w="849" w:type="pct"/>
            <w:noWrap w:val="0"/>
            <w:vAlign w:val="center"/>
          </w:tcPr>
          <w:p w14:paraId="011F2463">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排水状况</w:t>
            </w:r>
          </w:p>
        </w:tc>
        <w:tc>
          <w:tcPr>
            <w:tcW w:w="1062" w:type="pct"/>
            <w:noWrap w:val="0"/>
            <w:vAlign w:val="center"/>
          </w:tcPr>
          <w:p w14:paraId="0A181C40">
            <w:pPr>
              <w:keepNext w:val="0"/>
              <w:keepLines w:val="0"/>
              <w:pageBreakBefore w:val="0"/>
              <w:suppressLineNumbers w:val="0"/>
              <w:kinsoku/>
              <w:wordWrap/>
              <w:overflowPunct/>
              <w:topLinePunct w:val="0"/>
              <w:autoSpaceDE/>
              <w:autoSpaceDN/>
              <w:bidi w:val="0"/>
              <w:adjustRightInd/>
              <w:snapToGrid/>
              <w:spacing w:before="0" w:beforeAutospacing="0" w:after="0" w:afterAutospacing="0" w:line="220" w:lineRule="exact"/>
              <w:ind w:left="0" w:right="0"/>
              <w:jc w:val="center"/>
              <w:textAlignment w:val="auto"/>
              <w:outlineLvl w:val="9"/>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pP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通</w:t>
            </w:r>
            <w:r>
              <w:rPr>
                <w:rFonts w:hint="eastAsia" w:ascii="仿宋_GB2312" w:hAnsi="仿宋_GB2312" w:eastAsia="仿宋_GB2312" w:cs="仿宋_GB2312"/>
                <w:b/>
                <w:bCs/>
                <w:snapToGrid/>
                <w:color w:val="000000" w:themeColor="text1"/>
                <w:spacing w:val="-10"/>
                <w:sz w:val="21"/>
                <w:szCs w:val="21"/>
                <w:highlight w:val="none"/>
                <w:lang w:eastAsia="zh-CN"/>
                <w14:textFill>
                  <w14:solidFill>
                    <w14:schemeClr w14:val="tx1"/>
                  </w14:solidFill>
                </w14:textFill>
              </w:rPr>
              <w:t>讯</w:t>
            </w:r>
            <w:r>
              <w:rPr>
                <w:rFonts w:hint="eastAsia" w:ascii="仿宋_GB2312" w:hAnsi="仿宋_GB2312" w:eastAsia="仿宋_GB2312" w:cs="仿宋_GB2312"/>
                <w:b/>
                <w:bCs/>
                <w:snapToGrid/>
                <w:color w:val="000000" w:themeColor="text1"/>
                <w:spacing w:val="-10"/>
                <w:sz w:val="21"/>
                <w:szCs w:val="21"/>
                <w:highlight w:val="none"/>
                <w14:textFill>
                  <w14:solidFill>
                    <w14:schemeClr w14:val="tx1"/>
                  </w14:solidFill>
                </w14:textFill>
              </w:rPr>
              <w:t>状况</w:t>
            </w:r>
          </w:p>
        </w:tc>
      </w:tr>
      <w:tr w14:paraId="0F845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933" w:hRule="atLeast"/>
          <w:jc w:val="center"/>
        </w:trPr>
        <w:tc>
          <w:tcPr>
            <w:tcW w:w="542" w:type="pct"/>
            <w:noWrap w:val="0"/>
            <w:vAlign w:val="center"/>
          </w:tcPr>
          <w:p w14:paraId="14E7BCF4">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 w:hAnsi="仿宋" w:eastAsia="仿宋" w:cs="仿宋"/>
                <w:snapToGrid w:val="0"/>
                <w:color w:val="auto"/>
                <w:sz w:val="18"/>
                <w:szCs w:val="18"/>
                <w:highlight w:val="none"/>
                <w:lang w:val="en-US" w:eastAsia="zh-CN"/>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宗地红线外“五通”宗地红线内场地平整</w:t>
            </w:r>
          </w:p>
        </w:tc>
        <w:tc>
          <w:tcPr>
            <w:tcW w:w="738" w:type="pct"/>
            <w:noWrap w:val="0"/>
            <w:vAlign w:val="center"/>
          </w:tcPr>
          <w:p w14:paraId="0D257ED3">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场内道路为山皮石路面，路面宽4.5m</w:t>
            </w:r>
          </w:p>
          <w:p w14:paraId="14914478">
            <w:pPr>
              <w:spacing w:line="220" w:lineRule="exact"/>
              <w:jc w:val="center"/>
              <w:outlineLvl w:val="9"/>
              <w:rPr>
                <w:rFonts w:hint="eastAsia" w:ascii="仿宋_GB2312" w:hAnsi="仿宋_GB2312" w:eastAsia="仿宋_GB2312" w:cs="仿宋_GB2312"/>
                <w:color w:val="000000" w:themeColor="text1"/>
                <w:spacing w:val="-20"/>
                <w:szCs w:val="21"/>
                <w:highlight w:val="none"/>
                <w:lang w:val="en-US" w:eastAsia="zh-CN"/>
                <w14:textFill>
                  <w14:solidFill>
                    <w14:schemeClr w14:val="tx1"/>
                  </w14:solidFill>
                </w14:textFill>
              </w:rPr>
            </w:pPr>
          </w:p>
        </w:tc>
        <w:tc>
          <w:tcPr>
            <w:tcW w:w="957" w:type="pct"/>
            <w:noWrap w:val="0"/>
            <w:vAlign w:val="center"/>
          </w:tcPr>
          <w:p w14:paraId="3268153C">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区域内接市政双回路110KV供电管网，供电保证率一般</w:t>
            </w:r>
          </w:p>
        </w:tc>
        <w:tc>
          <w:tcPr>
            <w:tcW w:w="849" w:type="pct"/>
            <w:noWrap w:val="0"/>
            <w:vAlign w:val="center"/>
          </w:tcPr>
          <w:p w14:paraId="6BBADA87">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区域内供水主要来自区内的市政供水</w:t>
            </w:r>
          </w:p>
        </w:tc>
        <w:tc>
          <w:tcPr>
            <w:tcW w:w="849" w:type="pct"/>
            <w:noWrap w:val="0"/>
            <w:vAlign w:val="center"/>
          </w:tcPr>
          <w:p w14:paraId="4F3EE01A">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宗地外接排水设施，在雨水大的情况下无洪涝和积水</w:t>
            </w:r>
          </w:p>
        </w:tc>
        <w:tc>
          <w:tcPr>
            <w:tcW w:w="1062" w:type="pct"/>
            <w:noWrap w:val="0"/>
            <w:vAlign w:val="center"/>
          </w:tcPr>
          <w:p w14:paraId="65083410">
            <w:pPr>
              <w:keepNext w:val="0"/>
              <w:keepLines w:val="0"/>
              <w:pageBreakBefore w:val="0"/>
              <w:widowControl w:val="0"/>
              <w:suppressLineNumbers w:val="0"/>
              <w:kinsoku/>
              <w:wordWrap/>
              <w:overflowPunct/>
              <w:topLinePunct w:val="0"/>
              <w:autoSpaceDE/>
              <w:autoSpaceDN/>
              <w:bidi w:val="0"/>
              <w:spacing w:before="0" w:beforeAutospacing="0" w:after="0" w:afterAutospacing="0" w:line="220" w:lineRule="exact"/>
              <w:ind w:left="0" w:leftChars="0" w:right="0" w:rightChars="0"/>
              <w:jc w:val="center"/>
              <w:textAlignment w:val="auto"/>
              <w:outlineLvl w:val="9"/>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pPr>
            <w:r>
              <w:rPr>
                <w:rFonts w:hint="eastAsia" w:ascii="仿宋_GB2312" w:hAnsi="仿宋_GB2312" w:eastAsia="仿宋_GB2312" w:cs="仿宋_GB2312"/>
                <w:snapToGrid/>
                <w:color w:val="000000" w:themeColor="text1"/>
                <w:spacing w:val="-20"/>
                <w:sz w:val="21"/>
                <w:szCs w:val="21"/>
                <w:highlight w:val="none"/>
                <w:lang w:val="en-US" w:eastAsia="zh-CN"/>
                <w14:textFill>
                  <w14:solidFill>
                    <w14:schemeClr w14:val="tx1"/>
                  </w14:solidFill>
                </w14:textFill>
              </w:rPr>
              <w:t>宗地接市政通讯设施，有中国电信光缆、移动、联通综合网络覆盖该区域，区域通讯直接与市政通信网络相联，线路畅通，现有通讯能力保障率为100%。</w:t>
            </w:r>
          </w:p>
        </w:tc>
      </w:tr>
    </w:tbl>
    <w:p w14:paraId="694D251B">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3.规划限制条件：根据《关于国有建设用地的规划条件的函》（2025年9月11日），估价对象位于{{ land_location_full }}，用地面积{{ land_area }}平方米。</w:t>
      </w:r>
      <w:r>
        <w:rPr>
          <w:rFonts w:ascii="仿宋_GB2312" w:hAnsi="仿宋_GB2312" w:eastAsia="仿宋_GB2312" w:cs="仿宋_GB2312"/>
          <w:color w:val="000000"/>
        </w:rPr>
      </w:r>
    </w:p>
    <w:p w14:paraId="09B67B4D">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4.影响土地价值的其他限定条件：无。</w:t>
      </w:r>
    </w:p>
    <w:p w14:paraId="37668B38">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二、其他需要说明的事项 </w:t>
      </w:r>
    </w:p>
    <w:p w14:paraId="693969C3">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1.本次估价目的为土地出让方通过集体决策确定估价对象挂牌出让底价提供国有建设用地使用权市场价格参考依据。</w:t>
      </w:r>
    </w:p>
    <w:p w14:paraId="4C80908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ascii="仿宋_GB2312" w:hAnsi="仿宋_GB2312" w:eastAsia="仿宋_GB2312" w:cs="仿宋_GB2312"/>
          <w:color w:val="000000"/>
        </w:rPr>
        <w:t>2.本估价报告有效期自提交估价报告日{{ report_date }}至{{ report_valid_until }}一年内有效。</w:t>
      </w:r>
    </w:p>
    <w:p w14:paraId="0F35ED77">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3.估价结果按规定须报请自然资源主管部门备案。</w:t>
      </w:r>
    </w:p>
    <w:p w14:paraId="40C5D862">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t>4.本评估报告中涉及的土地面积、土地权属、土地用途、规划利用指标以委托方提供的《关于国有建设用地的规划条件的函》（2025年9月11日）和《{{ county_name }}{{ land_plot_number }}号地块建设用地规划红线图》为依据，本报告估价结果是在满足地价定义所设定条件下的使用权价格，若估价期日、土地利用方式、土地开发状况、土地面积等影响地价的任一因素发生变化，则该估价结果应作相应调整。</w:t>
      </w:r>
      <w:r>
        <w:rPr>
          <w:rFonts w:ascii="仿宋_GB2312" w:hAnsi="仿宋_GB2312" w:eastAsia="仿宋_GB2312" w:cs="仿宋_GB2312"/>
          <w:color w:val="000000"/>
        </w:rPr>
      </w:r>
    </w:p>
    <w:p w14:paraId="3B160255">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
        <w:rPr>
          <w:rFonts w:ascii="仿宋_GB2312" w:hAnsi="仿宋_GB2312" w:eastAsia="仿宋_GB2312" w:cs="仿宋_GB2312"/>
          <w:color w:val="000000"/>
        </w:rPr>
        <w:t>5.依据{{ client_name }}《关于国有建设用地的规划条件的函》（2025年9月11日），用地面积{{ land_area }}平方米，本次评估面积以拟出让地块红线图的供应面积为准。</w:t>
      </w:r>
    </w:p>
    <w:p w14:paraId="0A4925A6">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t>6</w:t>
      </w:r>
      <w:r>
        <w:rPr>
          <w:rFonts w:hint="eastAsia" w:ascii="仿宋_GB2312" w:hAnsi="仿宋_GB2312" w:eastAsia="仿宋_GB2312" w:cs="仿宋_GB2312"/>
          <w:color w:val="000000" w:themeColor="text1"/>
          <w:szCs w:val="21"/>
          <w:highlight w:val="none"/>
          <w14:textFill>
            <w14:solidFill>
              <w14:schemeClr w14:val="tx1"/>
            </w14:solidFill>
          </w14:textFill>
        </w:rPr>
        <w:t>.本估价结果仅作为委托估价方在本次估价目的下使用，不得用做验资证明、征收补偿、司法、房地产交易等除本次目的之外的其他用途。未经本估价机构和土地估价师的同意，该结果不得向委托估价方及报告审查部门以外的单位及个人提供，凡因委托人使用估价报告不当而引起的后果，估价机构和土地估价师不承担相应的责任。</w:t>
      </w:r>
    </w:p>
    <w:p w14:paraId="1834D88E">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 xml:space="preserve"> </w:t>
      </w:r>
    </w:p>
    <w:p w14:paraId="505FC6D9">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right"/>
        <w:textAlignment w:val="auto"/>
        <w:outlineLvl w:val="9"/>
        <w:rPr>
          <w:rFonts w:hint="eastAsia" w:ascii="仿宋_GB2312" w:hAnsi="仿宋_GB2312" w:eastAsia="仿宋_GB2312" w:cs="仿宋_GB2312"/>
          <w:color w:val="000000" w:themeColor="text1"/>
          <w:szCs w:val="21"/>
          <w:highlight w:val="none"/>
          <w:lang w:val="en-US" w:eastAsia="zh-CN"/>
          <w14:textFill>
            <w14:solidFill>
              <w14:schemeClr w14:val="tx1"/>
            </w14:solidFill>
          </w14:textFill>
        </w:rPr>
      </w:pPr>
      <w:r/>
      <w:r>
        <w:rPr>
          <w:rFonts w:ascii="仿宋_GB2312" w:hAnsi="仿宋_GB2312" w:eastAsia="仿宋_GB2312" w:cs="仿宋_GB2312"/>
          <w:color w:val="000000"/>
        </w:rPr>
        <w:t xml:space="preserve">{{ appraisal_org }}                                                                                                                                                                                                                    </w:t>
      </w:r>
    </w:p>
    <w:p w14:paraId="68903E91">
      <w:pPr>
        <w:keepNext w:val="0"/>
        <w:keepLines w:val="0"/>
        <w:pageBreakBefore w:val="0"/>
        <w:widowControl w:val="0"/>
        <w:kinsoku/>
        <w:wordWrap/>
        <w:overflowPunct/>
        <w:topLinePunct w:val="0"/>
        <w:autoSpaceDE/>
        <w:autoSpaceDN/>
        <w:bidi w:val="0"/>
        <w:adjustRightInd/>
        <w:snapToGrid/>
        <w:spacing w:line="240" w:lineRule="exact"/>
        <w:ind w:firstLine="420" w:firstLineChars="200"/>
        <w:jc w:val="center"/>
        <w:textAlignment w:val="auto"/>
        <w:outlineLvl w:val="9"/>
        <w:rPr>
          <w:rFonts w:hint="eastAsia" w:ascii="仿宋_GB2312" w:hAnsi="仿宋_GB2312" w:eastAsia="仿宋_GB2312" w:cs="仿宋_GB2312"/>
          <w:color w:val="000000" w:themeColor="text1"/>
          <w:highlight w:val="none"/>
          <w:lang w:eastAsia="zh-CN"/>
          <w14:textFill>
            <w14:solidFill>
              <w14:schemeClr w14:val="tx1"/>
            </w14:solidFill>
          </w14:textFill>
        </w:rPr>
      </w:pPr>
      <w:r>
        <w:rPr>
          <w:rFonts w:ascii="仿宋_GB2312" w:hAnsi="仿宋_GB2312" w:eastAsia="仿宋_GB2312" w:cs="仿宋_GB2312"/>
          <w:color w:val="000000"/>
        </w:rPr>
        <w:t xml:space="preserve">                                                                                                                   {{ report_date }}</w:t>
      </w:r>
    </w:p>
    <w:p w14:paraId="6E9FCE23">
      <w:pPr>
        <w:pStyle w:val="14"/>
        <w:rPr>
          <w:rFonts w:hint="eastAsia" w:ascii="仿宋_GB2312" w:hAnsi="仿宋_GB2312" w:eastAsia="仿宋_GB2312" w:cs="仿宋_GB2312"/>
          <w:color w:val="000000" w:themeColor="text1"/>
          <w:highlight w:val="none"/>
          <w14:textFill>
            <w14:solidFill>
              <w14:schemeClr w14:val="tx1"/>
            </w14:solidFill>
          </w14:textFill>
        </w:rPr>
        <w:sectPr>
          <w:endnotePr>
            <w:numFmt w:val="decimal"/>
          </w:endnotePr>
          <w:pgSz w:w="16838" w:h="11906" w:orient="landscape"/>
          <w:pgMar w:top="720" w:right="663" w:bottom="720" w:left="663" w:header="624" w:footer="624" w:gutter="0"/>
          <w:pgNumType w:fmt="decimal"/>
          <w:cols w:space="720" w:num="1"/>
          <w:docGrid w:linePitch="312" w:charSpace="0"/>
        </w:sectPr>
      </w:pPr>
    </w:p>
    <w:p w14:paraId="21F5523A">
      <w:pPr>
        <w:pStyle w:val="13"/>
        <w:spacing w:before="120" w:beforeLines="50" w:after="240" w:afterLines="100" w:line="440" w:lineRule="exact"/>
        <w:ind w:firstLine="643"/>
        <w:jc w:val="center"/>
        <w:outlineLvl w:val="1"/>
        <w:rPr>
          <w:rFonts w:ascii="宋体" w:cs="宋体"/>
          <w:b/>
          <w:color w:val="000000" w:themeColor="text1"/>
          <w:sz w:val="32"/>
          <w:highlight w:val="none"/>
          <w14:textFill>
            <w14:solidFill>
              <w14:schemeClr w14:val="tx1"/>
            </w14:solidFill>
          </w14:textFill>
        </w:rPr>
      </w:pPr>
      <w:r>
        <w:rPr>
          <w:rFonts w:hint="eastAsia" w:ascii="宋体" w:hAnsi="宋体" w:eastAsia="宋体" w:cs="仿宋_GB2312"/>
          <w:b/>
          <w:color w:val="000000" w:themeColor="text1"/>
          <w:sz w:val="32"/>
          <w:szCs w:val="32"/>
          <w:highlight w:val="none"/>
          <w14:textFill>
            <w14:solidFill>
              <w14:schemeClr w14:val="tx1"/>
            </w14:solidFill>
          </w14:textFill>
        </w:rPr>
        <w:t>第二部分  估价对象描述及地价影响因素分析</w:t>
      </w:r>
    </w:p>
    <w:p w14:paraId="557DF9F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 w:hAnsi="仿宋" w:eastAsia="仿宋"/>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一、估价对象描述</w:t>
      </w:r>
    </w:p>
    <w:p w14:paraId="50C194C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（一）土地登记状况</w:t>
      </w:r>
    </w:p>
    <w:p>
      <w:pPr>
        <w:spacing w:before="0" w:after="0" w:line="460" w:lineRule="exact"/>
        <w:ind w:left="561" w:firstLine="0"/>
      </w:pPr>
      <w:r>
        <w:rPr>
          <w:rFonts w:ascii="仿宋_GB2312" w:hAnsi="仿宋_GB2312" w:eastAsia="仿宋_GB2312" w:cs="仿宋_GB2312"/>
          <w:sz w:val="28"/>
        </w:rPr>
        <w:t>{{ land_registration_desc }}</w:t>
      </w:r>
    </w:p>
    <w:p w14:paraId="647664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（二）土地权利状况</w:t>
      </w:r>
    </w:p>
    <w:p>
      <w:pPr>
        <w:spacing w:before="0" w:after="0" w:line="460" w:lineRule="exact"/>
        <w:ind w:left="561" w:firstLine="0"/>
      </w:pPr>
      <w:r>
        <w:rPr>
          <w:rFonts w:ascii="仿宋_GB2312" w:hAnsi="仿宋_GB2312" w:eastAsia="仿宋_GB2312" w:cs="仿宋_GB2312"/>
          <w:sz w:val="28"/>
        </w:rPr>
        <w:t>{{ land_right_desc }}</w:t>
      </w:r>
    </w:p>
    <w:p w14:paraId="4A6C838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（三）土地利用状况</w:t>
      </w:r>
    </w:p>
    <w:p w14:paraId="1936EED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1.土地利用现状</w:t>
      </w:r>
    </w:p>
    <w:p>
      <w:pPr>
        <w:spacing w:before="0" w:after="0" w:line="460" w:lineRule="exact"/>
        <w:ind w:left="561" w:firstLine="0"/>
      </w:pPr>
      <w:r>
        <w:rPr>
          <w:rFonts w:ascii="仿宋_GB2312" w:hAnsi="仿宋_GB2312" w:eastAsia="仿宋_GB2312" w:cs="仿宋_GB2312"/>
          <w:sz w:val="28"/>
        </w:rPr>
        <w:t>{{ land_use_status_desc }}</w:t>
      </w:r>
    </w:p>
    <w:p>
      <w:pPr>
        <w:spacing w:before="0" w:after="0" w:line="460" w:lineRule="exact"/>
        <w:ind w:left="561" w:firstLine="0"/>
      </w:pPr>
      <w:r>
        <w:rPr>
          <w:rFonts w:ascii="仿宋_GB2312" w:hAnsi="仿宋_GB2312" w:eastAsia="仿宋_GB2312" w:cs="仿宋_GB2312"/>
          <w:sz w:val="28"/>
        </w:rPr>
        <w:t>估价对象利用现状如下：</w:t>
      </w:r>
    </w:p>
    <w:p w14:paraId="5DBDB51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2.规划利用条件</w:t>
      </w:r>
    </w:p>
    <w:p w14:paraId="70F1366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（1）规划利用状况</w:t>
      </w:r>
    </w:p>
    <w:p w14:paraId="5C6105B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3A8FFFC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（2）最佳利用</w:t>
      </w:r>
    </w:p>
    <w:p w14:paraId="34563E3C">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r>
    </w:p>
    <w:p w14:paraId="53D7141D">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规划</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利用限制和缺陷情况</w:t>
      </w:r>
    </w:p>
    <w:p w14:paraId="00FF7F8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根据委托方提供的资料及估价人员了解，宗地无明显利用限制和缺陷。</w:t>
      </w:r>
    </w:p>
    <w:p w14:paraId="574D5991">
      <w:pPr>
        <w:keepNext w:val="0"/>
        <w:keepLines w:val="0"/>
        <w:pageBreakBefore w:val="0"/>
        <w:widowControl w:val="0"/>
        <w:kinsoku/>
        <w:wordWrap/>
        <w:overflowPunct/>
        <w:topLinePunct w:val="0"/>
        <w:autoSpaceDE/>
        <w:autoSpaceDN/>
        <w:bidi w:val="0"/>
        <w:spacing w:line="460" w:lineRule="exact"/>
        <w:ind w:firstLine="562" w:firstLineChars="200"/>
        <w:textAlignment w:val="auto"/>
        <w:outlineLvl w:val="2"/>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二、地价影响因素分析</w:t>
      </w:r>
    </w:p>
    <w:p w14:paraId="643CF53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3"/>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(一)一般因素</w:t>
      </w:r>
    </w:p>
    <w:p w14:paraId="3EBE37B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一般因素是指影响土地价格的一般、普遍、共同的因素，主要是指社会经济、政策和自然因素等诸方面的综合。其包括城市资源状况、不动产制度与不动产市场状况、产业政策、城市规划与发展目标、城市社会经济发展状况等，通过土地供求两方面的不同作用，从而影响城市总体地价水平的变化。</w:t>
      </w:r>
    </w:p>
    <w:p w14:paraId="5B12B97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1.城市资源状况</w:t>
      </w:r>
    </w:p>
    <w:p w14:paraId="08B8F3A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（1）地理位置</w:t>
      </w:r>
    </w:p>
    <w:p w14:paraId="587C0A3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道县位于湖南省南部、永州市中部。介于东经111°17′-111°56′，北纬25°09′-25°50′之间。东邻宁远县，南界江华瑶族自治县、江永县，西接灌阳县、全州县，北连双牌县，总面积2441.78平方千米。</w:t>
      </w:r>
    </w:p>
    <w:p w14:paraId="642F9C5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（2）地形地貌</w:t>
      </w:r>
    </w:p>
    <w:p w14:paraId="488520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南岭地区，四周高山环绕，中部岗丘起伏，平川交错。整个地势从四周向中间倾斜，呈盆状结构。山地占总面积的44.7%，丘陵占11.4%，岗地占24.6%，平原占14.9%。大致分为东南山地、西北山地、中部岗平三个一级地貌区，岩溶地貌发育较好。东南有九嶷山，南有铜山岭，西有都庞岭，北有紫金山。海拔千米以上的山峰150多个，且多与邻近山脉连成整体，最高峰韭菜岭，海拔2009米。</w:t>
      </w:r>
    </w:p>
    <w:p w14:paraId="56D66B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（3）气候</w:t>
      </w:r>
    </w:p>
    <w:p w14:paraId="0CCF567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属亚热带湿润季风气候区，热量丰富，雨量充沛，光能潜力大，无霜期长达309天。年平均温度18.6℃。年平均太阳总辐射量105.3千卡/平方厘米，年日照时间为1569.9小时，日照百分率35%，年蒸发量1634.6毫米。全县雨量充沛，年平均降雨量为1506.7毫米，是全省有名的多雨中心之一，但分布不均匀。降雨集中在春季和初夏，与光、热基本同季，有效性好，对农业生产极为有利；春末夏初常有暴雨，造成洪涝；夏秋时节，降雨偏少，常出现干旱。</w:t>
      </w:r>
    </w:p>
    <w:p w14:paraId="00E6F6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（4）水文</w:t>
      </w:r>
    </w:p>
    <w:p w14:paraId="76E0DE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内河流稠密，塘库面积广阔，水量丰盈。全县有长度在5千米以上的河流63条，总长1019千米。泡水河、洑水河、永明河、九嶷河、濂溪河等连结大小支流，顺着地势，汇入县内的潇水，流进湘江，形成叶脉状的完整水系。县内还有中型水库4座，小一型水库15座，小二型水库82座，山塘4400口。全县多年平均径流深917.9毫米，径流量22.41亿立方米。年产水量由东南向西北递减，东南部最多的地区年产水量104.5万立方米/平方公里，中部丘平区年产水量90万立方米/平方公里，西北部为78万立方米/平方公里。地表水总量达89.50亿立方米，其中，客水67.09亿立方米。不计客水和地下水，全县人平均拥有水量3069.86立方米，为全省人均水资源的1.15倍。加上客水，全县人平均拥有水量12260立方米，大大高于全国、长江流域和湖南省平均水平。目前已利用水量仅占9%。</w:t>
      </w:r>
    </w:p>
    <w:p w14:paraId="0AE3F8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人口</w:t>
      </w:r>
    </w:p>
    <w:p w14:paraId="222041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第七次人口普查数据，道县常住人口62.1275万人，其中城镇人口29.8236万人，农村人口32.3039万人，常住人口城镇化率48.00%，与湖南省城镇化率平均水平基本持平。道县人口密度253.79人/平方公里，高于永州市人口密度237.65人/平方公里，低于湖南省及长沙市人口密度。</w:t>
      </w:r>
    </w:p>
    <w:p w14:paraId="2231D9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（6）交通运输</w:t>
      </w:r>
    </w:p>
    <w:p w14:paraId="76EF7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道县处于湘粤桂三省交汇区，与长沙、南宁均相距400公里，距离广州360公里，历史上是兵家必争之地、商贾云集之处，</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是</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三省通衢要塞。洛湛铁路，厦蓉、道贺高速公路，207国道纵横县域。县城距离桂林国际机场、京广高铁、湘桂高铁、贵广高铁均不到两小时车程，是全省以至中部地区对接东盟，融入泛珠三角经济圈、泛北部湾经济圈的重要节点城市。</w:t>
      </w:r>
    </w:p>
    <w:p w14:paraId="145ED8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土地概况</w:t>
      </w:r>
    </w:p>
    <w:p w14:paraId="0DD9A82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
        <w:rPr>
          <w:rFonts w:ascii="仿宋_GB2312" w:hAnsi="仿宋_GB2312" w:eastAsia="仿宋_GB2312" w:cs="仿宋_GB2312"/>
          <w:color w:val="000000"/>
          <w:sz w:val="28"/>
        </w:rPr>
        <w:t>2022年2月8日，道县第三次国土调查结果经县政府、永州市“三调”办审议并原则同意后，道县第三次国土调查领导小组办公室、{{ client_name }}、道县统计局印发了《道县第三次国土调查主要数据公报》，道县主要地类数据如下：</w:t>
      </w:r>
    </w:p>
    <w:p w14:paraId="2F97057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耕地664793.55亩(44319.57公顷)。其中，水田482092.50亩(32139.50公顷),占比72.52%;旱地182701.05亩(12180.07公顷),占比27.48%。另外，还有6060.45亩(404.03公顷)现状耕地位于城镇村庄范围内尚未建设的土地中，其中水田3225.90亩(215.06公顷),旱地2834.55亩(188.97公顷)。总体来看，耕地主要分布在清塘镇、寿雁镇、祥霖铺镇、白芒铺镇、柑子园镇、蚣坝镇等。耕地整体位于国家划定的一年两熟制区域，均位于年降水量1000mm以上地区。位于2度以下坡度(含2度)的耕地 402443.40亩(26829.56公顷),占比60.54%;位于2-6度坡度(含6度)的耕地193651.65亩(12910.11公顷),占比29.13%;位于6-15度坡度(含15度)的耕地59623.05亩(3974.87公顷),占比8.97%;位于15-25度坡度(含25度)的耕地6413.85亩(427.59公顷),占比0.96%;位于25度以上坡度的耕地2661.60亩(177.44公顷),占比0.40%。</w:t>
      </w:r>
    </w:p>
    <w:p w14:paraId="6F6E39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2）园地337559.10亩(22503.94公顷)。其中，果园166497.00亩(11099.80公顷),占比49.32%;茶园209.55 亩(13.97公顷),占比0.06%;其他园地170852.55亩(11390.17公顷),占比50.62%。总体来看，园地主要分布在祥霖铺镇、审章塘瑶族乡、白芒铺镇、柑子园镇、蚣坝镇、白马渡镇、东门街道和上关街道等。</w:t>
      </w:r>
    </w:p>
    <w:p w14:paraId="3F79FBF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3）林地2182564.20亩(145504.28公顷)。其中，乔木林地1606323.75亩(107088.25公顷),占比73.60%; 竹林地37044.75亩(2469.65公顷),占比1.70%;灌木林地276271.80亩(18418.12公顷),占比12.66%;其他林地262923.90亩(17528.26公顷),占比12.04%。总体来看，林地主要分布在桥头镇、乐福堂乡、仙子脚镇、清塘镇、四马桥镇、横岭瑶族乡、洪塘营瑶族乡、寿雁镇等。</w:t>
      </w:r>
    </w:p>
    <w:p w14:paraId="2F89D7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4）草地49423.20亩(3294.88公顷)。其中，其他草地49423.20亩(3294.88公顷),占比100%。总体来看，草地主要分布在白芒铺镇、蚣坝镇、祥霖铺镇、清塘镇等。</w:t>
      </w:r>
    </w:p>
    <w:p w14:paraId="341DB1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5）湿地11854.05亩(790.27公顷)。湿地是“三调” 新增的一级地类，包括8个二级地类，道县涉及4个二级地类。其中，森林沼泽5075.10亩(338.34公顷),占比42.81%;灌丛沼泽555.00亩(37.00公顷),占比4.68%;沼泽草地118.95亩(7.93公顷),占比1.01%;内陆滩涂6105.00亩(407.00公顷),占比51.50%。总体来看，湿地主要分布在白马渡镇、祥霖铺镇和四马桥镇等。</w:t>
      </w:r>
    </w:p>
    <w:p w14:paraId="25EE97D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6）城镇村及工矿用地190153.80亩(12676.92公顷)。</w:t>
      </w:r>
    </w:p>
    <w:p w14:paraId="3E8FDE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其中，建制镇用地36675.75亩(2445.05公顷),占比19.29%; 村庄用地142302.45亩(9486.83公顷),占比74.83%;工业用地8931.15亩(595.41公顷),占比4.70%;风景名胜及特殊用地2244.45亩(149.63公顷),占比1.18%。总体来看，城镇村及工矿用地主要分布在濂溪街道、西洲街道、东门街道等。</w:t>
      </w:r>
    </w:p>
    <w:p w14:paraId="4931F8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交通运输用地51000.90亩(3400.06公顷)。其中，铁路用地2208.90亩(147.26公顷),占比4.33%;公路用地13619.70亩(907.98公顷),占比26.71%;农村道路35163.75亩(2344.25公顷),占比68.95%;机场用地7.35亩(0.49公顷),占比0.01%;港口码头用地1.20亩(0.08公顷)。总体来看，交通运输用地中面积占比最大的地类是农村道路。</w:t>
      </w:r>
    </w:p>
    <w:p w14:paraId="23427B8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8）水域及水利设施用地145174.35亩(9678.29公顷)。</w:t>
      </w:r>
    </w:p>
    <w:p w14:paraId="5B9E0DF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其中，河流水面52697.40亩(3513.16公顷),占比36.30%; 水库水面15825.00亩(1055.00公顷),占比10.90%;坑 塘水面61042.65亩(4069.51公顷),占比42.05%;沟渠 14012.25亩(934.15公顷),占比9.65%;水工建筑用地 1597.05亩(106.47公顷),占比1.10%。总体来看，祥霖 铺镇、清塘镇、白马渡镇、寿雁镇、东门街道等乡镇街道的水域及水利设施用地面积较大。</w:t>
      </w:r>
    </w:p>
    <w:p w14:paraId="1CB98AB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2.不动产制度与不动产市场状况</w:t>
      </w:r>
    </w:p>
    <w:p w14:paraId="7DBF67E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（1）土地制度</w:t>
      </w:r>
    </w:p>
    <w:p w14:paraId="65B5549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根据《中华人民共和国宪法》《中华人民共和国土地管理法》和《中华人民共和国民法典》等规定，按照国家现行的土地政策进行土地施政。</w:t>
      </w:r>
    </w:p>
    <w:p w14:paraId="74266F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1）土地所有制</w:t>
      </w:r>
    </w:p>
    <w:p w14:paraId="22F01A9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《土地管理法》第二条规定：“中华人民共和国实行土地的社会主义公有制，即全民所有制和劳动群众集体所有制。”</w:t>
      </w:r>
    </w:p>
    <w:p w14:paraId="0A31F27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①国有土地</w:t>
      </w:r>
    </w:p>
    <w:p w14:paraId="146E455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全民所有制的土地被称为国家所有土地，简称国有土地，其所有权由国务院代表国家行使。《土地管理法》第二条规定：“全民所有，即国家所有土地的所有权由国务院代表国家行驶。”</w:t>
      </w:r>
    </w:p>
    <w:p w14:paraId="45A1A9C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城市市区的土地属于国家所有。《宪法》《民法典》都明确规定，城市的土地属于国家所有。《土地管理法》第八条更明确规定：“城市市区的土地属于国家所有。”这里所说的城市是指国家设立市建制的城市，不同于某些法律、法规中的城市含义。建制镇不属于《宪法》《土地管理法》所说的城市范畴，也不属于其所说的农村和城市郊区的范畴。《土地管理法实施条例》第二条进一步明确了国有土地的范畴，其规定如下：①城市市区的土地；②农村和城市郊区中已经依法没收、征收、征购为国有的土地；③国家依法征收的土地； ④依法不属于集体所有的林地、草地、荒地、滩涂及其他土地；⑤农村集体经济组织全部成员转为城镇居民的，原属于其成员集体所有的土地；⑥因国家组织移民、自然灾害等原因，农民成建制地集体迁移后不再使用的原属于迁移农民集体所有的土地。</w:t>
      </w:r>
    </w:p>
    <w:p w14:paraId="443CB0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②集体土地</w:t>
      </w:r>
    </w:p>
    <w:p w14:paraId="206ED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劳动群众集体所有制的土地采取的是农民集体所有的形式，该种所有制的土地被称为农民集体所有土地，简称集体土地。农民集体的范围有下列三种：①村农民集体；②村内两个以上农村集体经济组织的农民集体；③乡（镇）农民集体。《土地管理法》第十条规定：“农民集体所有的土地依法属于农民集体所有的，由村集体经济组织或者村民委员会经营、管理；已经分别属于村内两个以上农村集体经济组织的农民集体所有的，由村内给该农村集体经济组织或者村民小组经营、管理；已经属于乡（镇）农民集体所有的，由乡（镇）农村集体经济组织经营、管理。”</w:t>
      </w:r>
    </w:p>
    <w:p w14:paraId="2D2851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2）土地管理的基本制度</w:t>
      </w:r>
    </w:p>
    <w:p w14:paraId="5206E4B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①实行土地登记制度</w:t>
      </w:r>
    </w:p>
    <w:p w14:paraId="46B61DC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管理法》和《土地登记规则》，国家依法对国有土地使用权、集体土地所有权、集体土地使用权和土地他项权利进行登记。土地登记由县级以上人民政府登记造册，确认有关土地权利。属于国有土地的，核发相应的《不动产权证书》，确认国有建设用地使用权；属于农民集体所有土地的，核发相应的《不动产权证书》，确认集体土地所有权；使用集体土地的，核发《集体建设用地使用证》，确认集体土地使用权；属于土地他项权利的，核发土地他项权利证明书，确认土地他相权。他项权利包括抵押权、承租权以及法律、行政法规规定需要登记的他项权利。</w:t>
      </w:r>
    </w:p>
    <w:p w14:paraId="599559F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②实行土地有偿有限期使用制度</w:t>
      </w:r>
    </w:p>
    <w:p w14:paraId="047774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除国家核准的划拨用地以外，凡新增土地和原使用的土地改变用途或使用条件、进行市场交易等，均实行有偿有限期使用。</w:t>
      </w:r>
    </w:p>
    <w:p w14:paraId="1B91AF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土地管理法》第二条规定：“国家依法实行国有土地有偿使用制度。但是，国家在法律规定的范围内划拨国有土地使用权的除外。”《中华人民共和国城镇国有土地使用权出让和转让暂行条例》第八条也明确规定：“土地使用权出让是指国家以土地所有者的身份将土地使用权在一定年限内让与土地使用者，并由土地使用者向国家支付土地使用权出让金的行为。”</w:t>
      </w:r>
    </w:p>
    <w:p w14:paraId="029F12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③实行土地用途管制制度</w:t>
      </w:r>
    </w:p>
    <w:p w14:paraId="3611448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根据土地利用总体规划，将土地用途分为农用地、建设用地和未利用地。土地用途管制的核心是不能随意改变农用地的用途。农用地转用须经有批准权的人民政府核准。控制建设用地总量，严格限制农用地转为建设用地。</w:t>
      </w:r>
    </w:p>
    <w:p w14:paraId="22C2EF3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④实行耕地保护制度</w:t>
      </w:r>
    </w:p>
    <w:p w14:paraId="4BB124C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十分珍惜、合理利用土地和切实保护耕地是我国的基本国策。《民法典》规定，国家对耕地实行特殊保护，严格限制农用地转为建设用地，控制建设用地总规模。耕地主要是指种植农作物的土地，包括新开垦荒地、轮歇地、草田轮作地；以种植农作物为主间有零星果树、桑树或其他树木的土地；耕种3年以上的滩地和滩涂等。</w:t>
      </w:r>
    </w:p>
    <w:p w14:paraId="606D554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（2）住房制度</w:t>
      </w:r>
    </w:p>
    <w:p w14:paraId="33EA55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目前</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实行“市场型、商品性、工资化分配、社会化管理”的住房制度，其基本特点是：主要通过市场机制调节住房的生产、分配、交换、消费，决定住房资源的配置、分配和使用。住房投资建设由开发商自主进行。住房消费包含在职工工资之中。住房分配通过市场交换进行，职工以其收入自由选择购买或租房入住。住房管理与政府和单位分离，由物业公司进行社会化、专业化管理。政府的作用主要体现在调控市场和对低收入者提供基本的住房社会保障方面。</w:t>
      </w:r>
    </w:p>
    <w:p w14:paraId="0AF285B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ascii="仿宋_GB2312" w:hAnsi="仿宋_GB2312" w:eastAsia="仿宋_GB2312" w:cs="仿宋_GB2312"/>
          <w:sz w:val="28"/>
        </w:rPr>
        <w:t>2020年8月18日，{{ base_price_doc_authority }}发布了《道县农村宅基地管理办法》（道政发〔2020〕5号），强调农村村（居）民住房建设应当遵循规划先行、先批后建、一户一宅、适度集中的原则，鼓励乡镇（街道）、村集体经济组织对废旧宅基地进行复垦并落实耕种，对复垦项目经验收确认的新增建设用地指标和耕地占补指标，按县人民政府规定的奖励标准予以补偿。节余的新增建设用地指标和耕地占补指标由县人民政府统筹安排，用于全县范围内的项目建设。复垦后的农用地由当地集体经济组织进行承包经营和分配。</w:t>
      </w:r>
    </w:p>
    <w:p w14:paraId="1BDE3A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2022年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月，湖南省发展和改革委员会 湖南省住房和城乡建设厅 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了</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湖南省公共租赁住房租金管理办法》的通知，“实行政府定价的公共租赁住房的租金标准在制定和调整时，属省直单位投资筹集的由省直有关单位提出建议方案，属市、县投资筹集的由市、县住房和城乡建设部门负责提出建议方案，同级发展改革部门在履行相关定价程序后作出价格决定，并向社会公布；实行政府指导价管理的公共租赁住房租金标准在制定和调整时可按照不超过同地段或同区域、同类型住房市场租金水平的70％确定，具体标准由公共租赁住房的所有权人或其委托的运营管理机构确定，并报送同级发展改革部门和住房和城乡建设部门审查同意后向社会公布实施。”。</w:t>
      </w:r>
    </w:p>
    <w:p w14:paraId="7D3C7B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（3）地价政策</w:t>
      </w:r>
    </w:p>
    <w:p w14:paraId="7BC7AB2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现行土地征收补偿标准是根据《湖南省人民政府关于调整湖南省征地补偿标准的通知》（湘政发〔2024〕1号，202</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日）文件执行，相较于上一轮，现行土地征收补偿标准有</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%的上调，各等级片区划分有一定微调。</w:t>
      </w:r>
    </w:p>
    <w:p w14:paraId="0640B7B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现行的农村集体土地地上附着物及青苗补偿标准按照《关于印发</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&lt;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永州市集体土地与房屋征收补偿安置办法</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&gt;</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的通知》（永政发〔2024〕4号，20</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24</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年</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月</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日）文件执行。</w:t>
      </w:r>
    </w:p>
    <w:p w14:paraId="0294BE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t>（4）不动产市场状况</w:t>
      </w:r>
    </w:p>
    <w:p w14:paraId="400CAF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1）土地市场状况</w:t>
      </w:r>
    </w:p>
    <w:p w14:paraId="3634BD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GB"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①土地供应总量 </w:t>
      </w:r>
    </w:p>
    <w:p w14:paraId="54D9608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土地动态监测监管系统数据显示，2020年以来，道县土地供应情况总体呈下降的特征。其中2020年供应土地面积最大，达256.4公顷。2022年供应土地最少，仅为161.63公顷。近5年共供应土地总面积达到972.42公顷，其中出让土地415.14公顷，占供应总量的42.69%，划拨土地557.28公顷，占供应总量的57.31%，总体年均供地194.49公顷，其中出让年均供应83.03公顷，划拨年均供地111.46公顷，详见下表。</w:t>
      </w:r>
    </w:p>
    <w:p w14:paraId="7725B682">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 2020—2024年土地供应情况一览表</w:t>
      </w:r>
    </w:p>
    <w:tbl>
      <w:tblPr>
        <w:tblStyle w:val="9"/>
        <w:tblW w:w="4962"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160"/>
        <w:gridCol w:w="2591"/>
        <w:gridCol w:w="2298"/>
        <w:gridCol w:w="2408"/>
      </w:tblGrid>
      <w:tr w14:paraId="6C1BE9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CE36B9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FC30F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出让土地（公顷）</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E995AB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划拨土地（公顷）</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F2A60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总面积（公顷）</w:t>
            </w:r>
          </w:p>
        </w:tc>
      </w:tr>
      <w:tr w14:paraId="1C3243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83809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default"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278D57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C564A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8EC312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3F18E6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695E1D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103973F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10729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90C475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4596529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D63C1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2A895D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956B4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1A9CF0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6D3845D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0BE413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794B53F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AE20B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37BA8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5E12B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868B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14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C6E76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1246"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CE6F4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1305"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C569A3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7883383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BC6C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115D1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740064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FBD81C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r w14:paraId="07FEAC9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93"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F99B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年均</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D06A06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83.03</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6A441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111.46</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1B9B4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194.49</w:t>
            </w:r>
          </w:p>
        </w:tc>
      </w:tr>
      <w:tr w14:paraId="7A79E7F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8" w:hRule="atLeast"/>
        </w:trPr>
        <w:tc>
          <w:tcPr>
            <w:tcW w:w="104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9A3C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占比</w:t>
            </w:r>
          </w:p>
        </w:tc>
        <w:tc>
          <w:tcPr>
            <w:tcW w:w="259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5EDE5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42.69%</w:t>
            </w:r>
          </w:p>
        </w:tc>
        <w:tc>
          <w:tcPr>
            <w:tcW w:w="229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E27D8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57.31%</w:t>
            </w:r>
          </w:p>
        </w:tc>
        <w:tc>
          <w:tcPr>
            <w:tcW w:w="2407"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3BCC86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100.00%</w:t>
            </w:r>
          </w:p>
        </w:tc>
      </w:tr>
    </w:tbl>
    <w:p w14:paraId="744A3F63">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0" w:firstLineChars="0"/>
        <w:jc w:val="center"/>
        <w:textAlignment w:val="auto"/>
        <w:outlineLvl w:val="9"/>
        <w:rPr>
          <w:rFonts w:hint="eastAsia" w:eastAsia="仿宋_GB2312"/>
          <w:color w:val="000000" w:themeColor="text1"/>
          <w:highlight w:val="none"/>
          <w:lang w:eastAsia="zh-CN"/>
          <w14:textFill>
            <w14:solidFill>
              <w14:schemeClr w14:val="tx1"/>
            </w14:solidFill>
          </w14:textFill>
        </w:rPr>
      </w:pPr>
    </w:p>
    <w:p w14:paraId="320C8676">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59264" behindDoc="0" locked="0" layoutInCell="1" allowOverlap="1">
            <wp:simplePos x="0" y="0"/>
            <wp:positionH relativeFrom="column">
              <wp:posOffset>385445</wp:posOffset>
            </wp:positionH>
            <wp:positionV relativeFrom="paragraph">
              <wp:posOffset>33020</wp:posOffset>
            </wp:positionV>
            <wp:extent cx="4654550" cy="2590800"/>
            <wp:effectExtent l="4445" t="4445" r="19685" b="10795"/>
            <wp:wrapTopAndBottom/>
            <wp:docPr id="65" name="图表 4"/>
            <wp:cNvGraphicFramePr/>
            <a:graphic xmlns:a="http://schemas.openxmlformats.org/drawingml/2006/main">
              <a:graphicData uri="http://schemas.openxmlformats.org/drawingml/2006/chart">
                <c:chart xmlns:c="http://schemas.openxmlformats.org/drawingml/2006/chart" xmlns:r="http://schemas.openxmlformats.org/officeDocument/2006/relationships" r:id="rId35"/>
              </a:graphicData>
            </a:graphic>
          </wp:anchor>
        </w:drawing>
      </w:r>
    </w:p>
    <w:p w14:paraId="6293E6B3">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pPr>
      <w:r>
        <w:rPr>
          <w:rFonts w:hint="eastAsia" w:ascii="仿宋" w:hAnsi="仿宋" w:eastAsia="仿宋" w:cs="仿宋"/>
          <w:color w:val="000000" w:themeColor="text1"/>
          <w:kern w:val="0"/>
          <w:sz w:val="28"/>
          <w:szCs w:val="28"/>
          <w:highlight w:val="none"/>
          <w:lang w:val="en-US" w:eastAsia="zh-CN" w:bidi="ar"/>
          <w14:textFill>
            <w14:solidFill>
              <w14:schemeClr w14:val="tx1"/>
            </w14:solidFill>
          </w14:textFill>
        </w:rPr>
        <w:t>道县2020-2024年土地供应总量图</w:t>
      </w:r>
    </w:p>
    <w:p w14:paraId="08EBD63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②土地供应结构 </w:t>
      </w:r>
    </w:p>
    <w:p w14:paraId="35C0BF5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近几年发展形势来看，宏观经济进入新常态发展时期，经济增速逐步趋缓，2020-2024年土地市场供应有所起伏，2020年土地市场趋于活跃。从道县近5年的房地产开发用地商服、住宅及工矿仓储用地供应情况来看，三类用地占土地供应总量的34.5%，其中住宅用地供应量最大，占土地供应总量的19.01%，其次是工矿仓储用地，占土地供应总量的12.24%，商服用地最小，仅占土地供应总量的3.25%。从其他用地的供应情况来看，其他土地占总供应量的65.5%。其中公共管理与公共服务用地、交通运输用地的供应面积比例较大，占土地供应总面积的比例分别为29.5%、35.1%，另外还有少量特殊用地的供应，占土地供应总面积的0.9%，详见下表。</w:t>
      </w:r>
    </w:p>
    <w:p w14:paraId="069582CC">
      <w:pPr>
        <w:keepNext w:val="0"/>
        <w:keepLines w:val="0"/>
        <w:pageBreakBefore w:val="0"/>
        <w:widowControl w:val="0"/>
        <w:kinsoku/>
        <w:wordWrap/>
        <w:overflowPunct/>
        <w:topLinePunct w:val="0"/>
        <w:autoSpaceDE/>
        <w:autoSpaceDN/>
        <w:bidi w:val="0"/>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道县2020-2024年土地供应情况表</w:t>
      </w:r>
    </w:p>
    <w:p w14:paraId="586B4914">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0288" behindDoc="0" locked="0" layoutInCell="1" allowOverlap="1">
            <wp:simplePos x="0" y="0"/>
            <wp:positionH relativeFrom="column">
              <wp:posOffset>-167005</wp:posOffset>
            </wp:positionH>
            <wp:positionV relativeFrom="paragraph">
              <wp:posOffset>125095</wp:posOffset>
            </wp:positionV>
            <wp:extent cx="5757545" cy="2015490"/>
            <wp:effectExtent l="0" t="0" r="3175" b="11430"/>
            <wp:wrapTopAndBottom/>
            <wp:docPr id="6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2"/>
                    <pic:cNvPicPr>
                      <a:picLocks noChangeAspect="1"/>
                    </pic:cNvPicPr>
                  </pic:nvPicPr>
                  <pic:blipFill>
                    <a:blip r:embed="rId33"/>
                    <a:stretch>
                      <a:fillRect/>
                    </a:stretch>
                  </pic:blipFill>
                  <pic:spPr>
                    <a:xfrm>
                      <a:off x="0" y="0"/>
                      <a:ext cx="5757545" cy="2015490"/>
                    </a:xfrm>
                    <a:prstGeom prst="rect">
                      <a:avLst/>
                    </a:prstGeom>
                    <a:noFill/>
                    <a:ln>
                      <a:noFill/>
                    </a:ln>
                  </pic:spPr>
                </pic:pic>
              </a:graphicData>
            </a:graphic>
          </wp:anchor>
        </w:drawing>
      </w: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p w14:paraId="1CC80A2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color w:val="000000" w:themeColor="text1"/>
          <w:highlight w:val="none"/>
          <w14:textFill>
            <w14:solidFill>
              <w14:schemeClr w14:val="tx1"/>
            </w14:solidFill>
          </w14:textFill>
        </w:rPr>
        <w:drawing>
          <wp:anchor distT="0" distB="0" distL="114300" distR="114300" simplePos="0" relativeHeight="251661312" behindDoc="0" locked="0" layoutInCell="1" allowOverlap="1">
            <wp:simplePos x="0" y="0"/>
            <wp:positionH relativeFrom="column">
              <wp:posOffset>692150</wp:posOffset>
            </wp:positionH>
            <wp:positionV relativeFrom="paragraph">
              <wp:posOffset>285115</wp:posOffset>
            </wp:positionV>
            <wp:extent cx="3742055" cy="2219960"/>
            <wp:effectExtent l="4445" t="4445" r="17780" b="15875"/>
            <wp:wrapTopAndBottom/>
            <wp:docPr id="67" name="图表 2" descr="7b0a202020202263686172745265734964223a202234353338343530220a7d0a"/>
            <wp:cNvGraphicFramePr/>
            <a:graphic xmlns:a="http://schemas.openxmlformats.org/drawingml/2006/main">
              <a:graphicData uri="http://schemas.openxmlformats.org/drawingml/2006/chart">
                <c:chart xmlns:c="http://schemas.openxmlformats.org/drawingml/2006/chart" xmlns:r="http://schemas.openxmlformats.org/officeDocument/2006/relationships" r:id="rId36"/>
              </a:graphicData>
            </a:graphic>
          </wp:anchor>
        </w:drawing>
      </w:r>
    </w:p>
    <w:p w14:paraId="68E8A7B7">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道县2020-2024年土地供应结构图</w:t>
      </w:r>
    </w:p>
    <w:p w14:paraId="1C8CA7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③土地供应方式 </w:t>
      </w:r>
    </w:p>
    <w:p w14:paraId="04E5434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从供应方式来看，主要包括划拨和出让两种方式，从近5年的累计数据来看，道县以划拨方式供应土地557.28公顷，占供应土地总量的57.31%，出让土地面积415.14公顷，占42.69%，出让方式均为招拍挂出让。</w:t>
      </w:r>
    </w:p>
    <w:p w14:paraId="12E476A0">
      <w:pPr>
        <w:keepNext w:val="0"/>
        <w:keepLines w:val="0"/>
        <w:pageBreakBefore w:val="0"/>
        <w:widowControl w:val="0"/>
        <w:kinsoku/>
        <w:wordWrap/>
        <w:overflowPunct/>
        <w:topLinePunct w:val="0"/>
        <w:autoSpaceDE/>
        <w:autoSpaceDN/>
        <w:bidi w:val="0"/>
        <w:spacing w:line="460" w:lineRule="exact"/>
        <w:ind w:firstLine="560" w:firstLineChars="20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道县2020-2024年土地供应方式情况表</w:t>
      </w:r>
    </w:p>
    <w:p w14:paraId="2F822F26">
      <w:pPr>
        <w:pStyle w:val="14"/>
        <w:keepNext w:val="0"/>
        <w:keepLines w:val="0"/>
        <w:pageBreakBefore w:val="0"/>
        <w:widowControl w:val="0"/>
        <w:kinsoku/>
        <w:wordWrap/>
        <w:overflowPunct/>
        <w:topLinePunct w:val="0"/>
        <w:autoSpaceDE/>
        <w:autoSpaceDN/>
        <w:bidi w:val="0"/>
        <w:spacing w:line="460" w:lineRule="exact"/>
        <w:jc w:val="right"/>
        <w:textAlignment w:val="auto"/>
        <w:rPr>
          <w:rFonts w:hint="default"/>
          <w:color w:val="000000" w:themeColor="text1"/>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单位：公顷</w:t>
      </w:r>
    </w:p>
    <w:tbl>
      <w:tblPr>
        <w:tblStyle w:val="9"/>
        <w:tblW w:w="4999"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2130"/>
        <w:gridCol w:w="2130"/>
        <w:gridCol w:w="2130"/>
        <w:gridCol w:w="2132"/>
      </w:tblGrid>
      <w:tr w14:paraId="491D6DF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1D6413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年份</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1CFDC1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出让面积</w:t>
            </w:r>
          </w:p>
        </w:tc>
        <w:tc>
          <w:tcPr>
            <w:tcW w:w="1249"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15ADB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划拨面积</w:t>
            </w:r>
          </w:p>
        </w:tc>
        <w:tc>
          <w:tcPr>
            <w:tcW w:w="1250" w:type="pc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87CF03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right="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供应总量</w:t>
            </w:r>
          </w:p>
        </w:tc>
      </w:tr>
      <w:tr w14:paraId="58A2475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687683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2020</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4F8ABD">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91.77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FE3832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164.63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6A97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256.40 </w:t>
            </w:r>
          </w:p>
        </w:tc>
      </w:tr>
      <w:tr w14:paraId="286B7D2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BF4BFE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2021</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8398F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100.84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C84FA7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83.89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3FE5FF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184.73 </w:t>
            </w:r>
          </w:p>
        </w:tc>
      </w:tr>
      <w:tr w14:paraId="7D64183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5DEE55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2022</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AF3A62C">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67.23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B2333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94.40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3F036E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161.63 </w:t>
            </w:r>
          </w:p>
        </w:tc>
      </w:tr>
      <w:tr w14:paraId="0B107FF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1BE0AD4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2023</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B9515E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20.42 </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1D3029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181.51 </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8348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201.93 </w:t>
            </w:r>
          </w:p>
        </w:tc>
      </w:tr>
      <w:tr w14:paraId="38CCAD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6287B8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2024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1AA9E6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134.88</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59BFFA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32.85</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3966EA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 xml:space="preserve">167.73 </w:t>
            </w:r>
          </w:p>
        </w:tc>
      </w:tr>
      <w:tr w14:paraId="0E7DED0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trPr>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0E533E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合计</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3D52CAE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415.14</w:t>
            </w:r>
          </w:p>
        </w:tc>
        <w:tc>
          <w:tcPr>
            <w:tcW w:w="2321"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D60F040">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557.28</w:t>
            </w:r>
          </w:p>
        </w:tc>
        <w:tc>
          <w:tcPr>
            <w:tcW w:w="2323"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C9567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460" w:lineRule="exact"/>
              <w:ind w:left="0" w:leftChars="0" w:right="0" w:rightChars="0"/>
              <w:jc w:val="center"/>
              <w:textAlignment w:val="auto"/>
              <w:outlineLvl w:val="9"/>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1"/>
                <w:szCs w:val="21"/>
                <w:highlight w:val="none"/>
                <w:lang w:val="en-US" w:eastAsia="zh-CN"/>
                <w14:textFill>
                  <w14:solidFill>
                    <w14:schemeClr w14:val="tx1"/>
                  </w14:solidFill>
                </w14:textFill>
              </w:rPr>
              <w:t>972.42</w:t>
            </w:r>
          </w:p>
        </w:tc>
      </w:tr>
    </w:tbl>
    <w:p w14:paraId="528D1F42">
      <w:pPr>
        <w:keepNext w:val="0"/>
        <w:keepLines w:val="0"/>
        <w:pageBreakBefore w:val="0"/>
        <w:widowControl w:val="0"/>
        <w:kinsoku/>
        <w:wordWrap/>
        <w:overflowPunct/>
        <w:topLinePunct w:val="0"/>
        <w:autoSpaceDE/>
        <w:autoSpaceDN/>
        <w:bidi w:val="0"/>
        <w:adjustRightInd/>
        <w:snapToGrid/>
        <w:spacing w:line="460" w:lineRule="exact"/>
        <w:ind w:left="0" w:leftChars="0" w:firstLine="0" w:firstLineChars="0"/>
        <w:jc w:val="center"/>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p>
    <w:p w14:paraId="33B96FA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④土地供应分布 </w:t>
      </w:r>
    </w:p>
    <w:p w14:paraId="58E1EE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从土地供应分布情况来看，根据对道县往年出让台账统计数据显示，近5年道县城区商服用地土地出让主要分布在富元路、振兴路等城北区域，住宅用地主要分布在城北路、道州北路、道州南路、道州中路、环城西路、潇水沿线等区域，工矿仓储用地主要分布在道县高新技术产业开发区区域；公共管理与公共服务用地主要分布在各乡镇和道县高新技术产业开发区等区域。另外各用途出让地块在清塘镇、审章塘瑶族乡有少量分布。</w:t>
      </w:r>
    </w:p>
    <w:p w14:paraId="63EE23F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2）房地产市场状况</w:t>
      </w:r>
    </w:p>
    <w:p w14:paraId="49F5962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近几年来，道县房地产业在宏观调控中不断发展壮大，总体上呈现持续、稳定、快速发展的格局，已成为推动全县国民经济和社会发展的有力支撑点。</w:t>
      </w:r>
    </w:p>
    <w:p w14:paraId="417220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房地产业作为关系国计民生的重要产业，对于推进道县城市建设、改善民生、拉动投资增长、增加财政收入都具有十分重要意义。 </w:t>
      </w:r>
    </w:p>
    <w:p w14:paraId="278547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当前道县很多开发商重视市场调查和分析，开发建设地段选择、环境配套、套型设计、房屋档次各方面与市场需求较适应。推出了一批具有一定档次的小区式住宅，连片式开发已成势头。出现了一批有规模、有实力、有信誉的大型房地产开发经营企业，这些房地产开发企业的规模、资金实力、技术力量、经营水平等都有了大幅度提高，推动了我县房地产开发业持续、稳定、健康发展。</w:t>
      </w:r>
    </w:p>
    <w:p w14:paraId="3FC6601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实现建筑业增加值177396万元，比上年增长9.8%。具有资质等级的总承包和专业承包建筑企业完成产值586174.6万元，增长19.05%；房屋建筑施工面积174.88万平方米,比上年增长16.22%；房屋建筑竣工面积124.28万平方米,比上年上升15.39%。实现房地产业（k门类）增加值39342万元,下降15.5%。完成房地产开发投资41337万元,下降44.16%。房屋施工面积74.73万平方米,下降14.56%；竣工面积32.78万平方米，下降6.76%。商品房销售面积33.79万平方米,下降19.89%；商品房销售额14.05亿元,下降28.84%。</w:t>
      </w:r>
    </w:p>
    <w:p w14:paraId="5969717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为了解决中低收入城镇居民的住房问题，道县实施解困房工程建设，向社会提供价格低廉的商品房，建立以商品房住宅供应为主体，安居工程住宅供应为补充的住宅供应体系。 </w:t>
      </w:r>
    </w:p>
    <w:p w14:paraId="01926F5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3.产业政策</w:t>
      </w:r>
    </w:p>
    <w:p w14:paraId="16327F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（1）相关产业政策</w:t>
      </w:r>
    </w:p>
    <w:p w14:paraId="63E738D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2022年1月，湖南省发改委发布关于对《湖南省物业服务收费管理办法》（征求意见稿）（以下简称《办法》）公开征求意见的公告。</w:t>
      </w:r>
    </w:p>
    <w:p w14:paraId="77B63B3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《办法》明确，物业应当于每年第一季度公示上一年度物业服务合同履行情况、物业服务项目收支情况、利用公共部位公共设施设备进行经营等收入情况，本年度收支预算。</w:t>
      </w:r>
    </w:p>
    <w:p w14:paraId="0E065C0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同时，鼓励物业对未入住或未使用的空置房业主，实行适当费用优惠。</w:t>
      </w:r>
    </w:p>
    <w:p w14:paraId="1B25431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2022年6月，永州市住房和城乡建设局印发《永州市中心城区进一步促进房地产市场平稳发展的若干措施》，在引导住房合理消费需求方面有七条措施：</w:t>
      </w:r>
    </w:p>
    <w:p w14:paraId="15DFB29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1）实行购房契税补贴。在本措施有效期内购买中心城区新建商品房（含住宅、非住宅）均可享受其所缴纳契税总额80％的财政补贴。</w:t>
      </w:r>
    </w:p>
    <w:p w14:paraId="4F9A7D0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2）实行人才购房补贴。对全日制本科生、全日制研究生和副高级职称人才、全日制博士研究生和正高级职称人才购房，分别补贴2万元、3万元、5万元。</w:t>
      </w:r>
    </w:p>
    <w:p w14:paraId="4F08721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3）切实解决业主子女入学问题。购房业主子女凭房屋不动产权证或购房合同并契税缴纳凭证，享受房屋所在地义务教育阶段学校学位。</w:t>
      </w:r>
    </w:p>
    <w:p w14:paraId="2328BF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4）加大房地产信贷支持力度。实施差别化住房信贷政策，鼓励金融机构支持个人购房贷款，支持房地产企业贷款。</w:t>
      </w:r>
    </w:p>
    <w:p w14:paraId="7B1F590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5）提高住房公积金贷款额度。全面放开异地贷款业务，先进模范人物和高层次人才最高贷款额度提高至100万元，生育二孩、三孩的家庭最高贷款额度可上浮10万元和20万元。</w:t>
      </w:r>
    </w:p>
    <w:p w14:paraId="6BBCCCF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6）停止新建安置房和自建安置房。采用以货币化为主的安置方式，鼓励征收户选择已建成的安置房或商品房进行产权调换。</w:t>
      </w:r>
    </w:p>
    <w:p w14:paraId="0B083B6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7）下调二手房评税价格。将住房类、商业类、其他非住宅存量房分别按当前系统评估价格下调20%、40%、30%。</w:t>
      </w:r>
    </w:p>
    <w:p w14:paraId="57E51E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在帮助企业纾困解难方面有六条措施：</w:t>
      </w:r>
    </w:p>
    <w:p w14:paraId="2802674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1）加大税收支持力度。房地产开发企业可以依法办理延期缴纳税款，确保税收优惠应享尽享。</w:t>
      </w:r>
    </w:p>
    <w:p w14:paraId="03888DB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2）优化预售资金监管政策。对信用等级良好的房地产开发企业适当放宽预售资金解控比例，支持启动应急用款方式支付项目工程建设费用。</w:t>
      </w:r>
    </w:p>
    <w:p w14:paraId="2CC1414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分期缴纳土地价款，调整延缓缴纳相关费用。土地出让金1亿元以上的项目，在中标后缴纳50%土地出让金，余款可以分次交清。全市土地挂牌出让交易服务费按现行标准下浮40%。延缓城市基础设施配套费缴纳时间至在取得预售许可证后3个月内缴清。</w:t>
      </w:r>
    </w:p>
    <w:p w14:paraId="68F08B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4）实行“商改住”。采取“商改住”、“商改租”、降低商住配比、降低公寓业主使用成本、加大购买非住宅金融支持等方式加快非住宅库存去化。</w:t>
      </w:r>
    </w:p>
    <w:p w14:paraId="2CBB9D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5）加速公共服务配套。破解“大开发、小配套”问题，鼓励房企引入优质医疗、教育等公共资源，引导社会资本投资配建公共服务和市政基础设施。</w:t>
      </w:r>
    </w:p>
    <w:p w14:paraId="248952F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6）实行新建商品房“交房即交证”。缩短房地产开发建设项目从竣工验收到办理不动产首次登记及转移登记的全过程时限，推动地下车位、车库出售、出租、办理不动产权证。</w:t>
      </w:r>
    </w:p>
    <w:p w14:paraId="3366B83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2023年5月，{{ base_price_doc_authority }}关于印发《道县进一步促进房地产市场平稳健康发展的十条措施》的通知，结合道县实际，制定十条措施保障房地产市场健康发展：</w:t>
      </w:r>
    </w:p>
    <w:p w14:paraId="1F63E76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1）实行购房契税补贴。本措施有效期内在道县城区购买新建商 品房（不含商业门面和二手房），签订商品房网签合同、备案并缴纳契税的，由县财政按其所缴纳契税金额的100%对购房人予以补贴。</w:t>
      </w:r>
    </w:p>
    <w:p w14:paraId="37FA40E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2）实行人才购房补贴。对企事业单位全职引进的35周岁以下全日制硕士研究生或副高级专业技术职称人才和“双一流”建设高校全日制本科生、其他高校全日制本科生分别给予5万元、2万元购房补贴。</w:t>
      </w:r>
    </w:p>
    <w:p w14:paraId="3083CB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3）切实解决业主子女入学问题。在义务教育学段，根据招生政 策及学位情况，购房人凭商品房买卖合同备案证明或不动产证可申请子女就近入学。教育部门根据辖区的人口分布等情况，按道路和住宅小区的边界等调整义务教育招生辖区。学校学位不足时，由教育部门统筹安排入学。</w:t>
      </w:r>
    </w:p>
    <w:p w14:paraId="20501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4）鼓励房企团购让利销售。支持机关、企事业单位、村（社区）、社会团体等组团购买商品住房，鼓励房地产企业对团购合理合 规让利销售，团购价格可按商品住房备案价格优惠2%—10%。</w:t>
      </w:r>
    </w:p>
    <w:p w14:paraId="333C48C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完善公共配套和基础设施。根据道县国土空间总体规划完善房地产项目周边的交通、教育、医疗、公园等公共配套和基础设施建设,为楼盘开发销售创造优良环境，确保房地产开发项目配套完善、功能齐全，满足业主的入住条件。</w:t>
      </w:r>
    </w:p>
    <w:p w14:paraId="09E4CF2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容缺办理相关审批手续。房地产开发企业购置国有建设用地使用权的，在签订土地出让合同并缴纳不低于50%土地出让金后，相关职能部门可容缺办理建设用地规划许可证、规划设计方案审查、建设工程规划许可证、施工许可证等行政审批手续；在完成规划条件核实、竣工验收并缴清相关费用后，给予办理不动产登记手续。</w:t>
      </w:r>
    </w:p>
    <w:p w14:paraId="7CBD3F7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加大金融支持力度。落实个人住房贷款首付比例、利率等优惠政策，争取首套房首付比例不高于永州全辖金融机构最低规定比例，首套房贷款年利率不高于4.3%。实施差别化住房信贷政策，个人按揭贷款放款周期缩短到3个月内，对拥有1套住房并已结清购房贷款的家庭，为改善居住条件再次申请贷款购买商品住房的，金融机构贷 款执行首套房贷款政策。鼓励金融机构对符合条件的小微企业主、个体工商户，购买商铺、公寓等非住宅商品房按房地产贷款政策给予利率优惠。住房公积金全面放开异地贷款业务，支持全国住房公积金缴存职工到道县购房，不受缴存地、户籍地的限制。</w:t>
      </w:r>
    </w:p>
    <w:p w14:paraId="3A64351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加大税收支持力度。房地产开发企业可以按规定申请延期纳税申报。对有特殊困难而不能按期缴纳税款的，由企业申请，依法办理延期缴纳税款，最长不超过3个月。对房地产企业销售未完工产品计税毛利率统一下调至10%。对纳税信用等级好、管理规范的房地产企业，税务部门依法受理审批增值税期末留抵退税，确保税收优惠应享尽享。</w:t>
      </w:r>
    </w:p>
    <w:p w14:paraId="6FF72B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实行新建商品房“交房即交证”。通过部门协同、整合平台、强化监管、再造流程、信息共享等方式，缩短房地产开发建设项目从竣工验收到办理不动产首次登记及转移登记的全过程时限，努力构建行之有效、可复制的新建商品房“交房即交证”工作模式。</w:t>
      </w:r>
    </w:p>
    <w:p w14:paraId="5E2466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切实维护房地产市场秩序。加强房地产政策宣传，适时举办住博会；加大违法建设查处力度，禁止任何单位和个人建设和销售小产权房；加大对未批先售、未经竣工验收即交付使用、虚假违法宣传、未明码标价、价格欺诈、相互串通、操纵市场价格、低于成本价格倾销、以及哄抬价格等违法违规行为的查处力度，持续有效地促进房地产市场平稳健康发展。</w:t>
      </w:r>
    </w:p>
    <w:p w14:paraId="331E1A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（2）税收政策</w:t>
      </w:r>
    </w:p>
    <w:p w14:paraId="2F28F3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根据国家有关税法文件规定，房地产开发企业主要涉及的税费包括：</w:t>
      </w:r>
    </w:p>
    <w:p w14:paraId="7731C55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1）契税</w:t>
      </w:r>
    </w:p>
    <w:p w14:paraId="3114C8C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纳税人：转移土地、房屋权属，承受的单位和个人；</w:t>
      </w:r>
    </w:p>
    <w:p w14:paraId="6FBD5A1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计税依据：市场价格或差额，计征契税的成交价格不含增值税；</w:t>
      </w:r>
    </w:p>
    <w:p w14:paraId="5A11D06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税率：3%—5%</w:t>
      </w:r>
    </w:p>
    <w:p w14:paraId="72FFE3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w:t>
      </w:r>
    </w:p>
    <w:p w14:paraId="66284A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2）城镇土地使用税</w:t>
      </w:r>
    </w:p>
    <w:p w14:paraId="16D4292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纳税人：在城市、县城、建制镇、工矿区范围内拥有土地使用权的单位和个人；</w:t>
      </w:r>
    </w:p>
    <w:p w14:paraId="5556E14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计税依据：实际占用土地面积；</w:t>
      </w:r>
    </w:p>
    <w:p w14:paraId="63231B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适用税额：大城市1.5-30元，中等城市1.2-24元，小城市0.9-18元，县城、建制镇、工矿区0.6-12元；</w:t>
      </w:r>
    </w:p>
    <w:p w14:paraId="07E59F3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纳税义务发生时间：取得土地后次月；</w:t>
      </w:r>
    </w:p>
    <w:p w14:paraId="370C26D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涉税阶段：前期准备阶段、建设施工阶段、预售阶段。</w:t>
      </w:r>
    </w:p>
    <w:p w14:paraId="432DB6A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3）耕地占用税</w:t>
      </w:r>
    </w:p>
    <w:p w14:paraId="6BF2DC2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纳税人：占用耕地建房或者从事非农业建设的单位或者个人；</w:t>
      </w:r>
    </w:p>
    <w:p w14:paraId="09E42EE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计税依据：占用的耕地面积</w:t>
      </w:r>
    </w:p>
    <w:p w14:paraId="28A6C6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适用税额：人均耕地不超过1亩的地区，每平方米为10~50元；人均耕地占用超过1亩但不超过2亩的地区，每平方米为8~40元；人均耕地占用超过2亩但不超过3亩的地区，每平方米为6~30元；人均耕地超过3亩的地区，每平方米为5~25元；</w:t>
      </w:r>
    </w:p>
    <w:p w14:paraId="7E0F672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涉税阶段：土地获取阶段、前期准备阶段。</w:t>
      </w:r>
    </w:p>
    <w:p w14:paraId="1F973F3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4）印花税</w:t>
      </w:r>
    </w:p>
    <w:p w14:paraId="2098259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纳税人：经济活动和经济交往中书立、领受应税凭证的单位和个人；</w:t>
      </w:r>
    </w:p>
    <w:p w14:paraId="75E9E0F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应税对象：经济合同、产权转移数据、营业账簿、权利许可证照等；</w:t>
      </w:r>
    </w:p>
    <w:p w14:paraId="08C0B55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房地产涉及的印花税：取得土地和销售阶段签订的房屋销售合同；建设工程合同、借款合同、财产保险合同、注册资本等；</w:t>
      </w:r>
    </w:p>
    <w:p w14:paraId="6D6D68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涉税阶段：土地获取阶段、建设施工阶段、预售阶段；</w:t>
      </w:r>
    </w:p>
    <w:p w14:paraId="2573B4E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5）增值税</w:t>
      </w:r>
    </w:p>
    <w:p w14:paraId="6CB9271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纳税人：在中华人民共和国境内销售货物或者加工、修理修配劳务，销售服务、无形资产、不动产以及进口货物的单位和个人；</w:t>
      </w:r>
    </w:p>
    <w:p w14:paraId="635DB78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计税方法：一般计税和简易计税；</w:t>
      </w:r>
    </w:p>
    <w:p w14:paraId="567AC34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预缴增值税：在取得预收款的次月纳税申报期预缴税款</w:t>
      </w:r>
    </w:p>
    <w:p w14:paraId="0D3D997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房地产开发企业纳税义务发生时间：</w:t>
      </w:r>
    </w:p>
    <w:p w14:paraId="51916D9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发生应税行为并收讫销售款项或者取得索取销售款项凭据的当天；先开具发票的，为开具发票的当天。收讫销售款项，是指纳税人销售服务、无形资产、不动产过程中或者完成后收到款项。取得索取销售款项凭据的当天，是指书面合同确定的付款日期；未签订书面合同或者书面合同未确定付款日期的，为服务、无形资产转让完成的当天或者不动产权属变更的当天。</w:t>
      </w:r>
    </w:p>
    <w:p w14:paraId="6B322D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08558D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6）城市维护建设税</w:t>
      </w:r>
    </w:p>
    <w:p w14:paraId="3DF1BCF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w:t>
      </w:r>
    </w:p>
    <w:p w14:paraId="15413E7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计税依据：纳税人实际缴纳的增值税、消费税税额；</w:t>
      </w:r>
    </w:p>
    <w:p w14:paraId="170C673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计税税率：1.纳税人所在地在市区，税率为7%；2.纳税人所在地在县城、镇的，税率为 5%；3.纳税人不在上述地区的，税率为1%；</w:t>
      </w:r>
    </w:p>
    <w:p w14:paraId="6F0EF60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房地产开发企业纳税义务：跨地区提供建筑服务、销售和出租不动产的，按预缴所在地城建税税率计算缴纳。与增值税的纳税期限一致，与增值税同时缴纳。</w:t>
      </w:r>
    </w:p>
    <w:p w14:paraId="5CC75A4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1E2CAB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7）教育费附加</w:t>
      </w:r>
    </w:p>
    <w:p w14:paraId="445B93A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纳税人：凡缴纳增值税、消费税的单位和个人，按3%计征；</w:t>
      </w:r>
    </w:p>
    <w:p w14:paraId="2F00544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26B2F2C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涉税阶段：预售、销售阶段</w:t>
      </w:r>
    </w:p>
    <w:p w14:paraId="4E112F6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8）地方教育附加</w:t>
      </w:r>
    </w:p>
    <w:p w14:paraId="0FC2197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纳税人：缴纳增值税、消费税的单位和个人，按 2%计征；</w:t>
      </w:r>
    </w:p>
    <w:p w14:paraId="544497C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计税依据：实际缴纳的增值税、消费税税额；</w:t>
      </w:r>
    </w:p>
    <w:p w14:paraId="34B1A0D9">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涉税阶段：销售阶段</w:t>
      </w:r>
    </w:p>
    <w:p w14:paraId="1CBA6ED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9）房产税</w:t>
      </w:r>
    </w:p>
    <w:p w14:paraId="5D683A0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纳税人：房屋产权所有人；</w:t>
      </w:r>
    </w:p>
    <w:p w14:paraId="3E5640F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计税依据：房屋的计税余值或租金收入，房屋出租的，计征租金收入不含增值税；</w:t>
      </w:r>
    </w:p>
    <w:p w14:paraId="1C4633E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房地产开发企业纳税义务：自用房屋，房产税依照房产原值一次减除10%-30% 后的余值计算缴纳，具体减除幅度由省、自治区、直辖市人民政府规定，适用税率 1.2%；房屋出租的，以房产租金收入和税率 12%计算缴纳。对于个人按市场价格出租的居民住房，房产税暂减按 4%税率征收。</w:t>
      </w:r>
    </w:p>
    <w:p w14:paraId="11DDC3A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涉税阶段：前期准备阶段、建设施工阶段、销售阶段</w:t>
      </w:r>
    </w:p>
    <w:p w14:paraId="10873F7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10）土地增值税</w:t>
      </w:r>
    </w:p>
    <w:p w14:paraId="135CDC6C">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纳税人：有偿转让国有土地使用权及地上建筑物和其他附着物产权，取得增值收入的单位和个人；</w:t>
      </w:r>
    </w:p>
    <w:p w14:paraId="4AC62B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房地产开发企业纳税义务：房地产开发企业转让土地时，要按照其转让房地产时取得的收入减去允许扣除的项目金额后的余额，依照规定的税率缴纳土地增值税；</w:t>
      </w:r>
    </w:p>
    <w:p w14:paraId="0938E00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计税依据：对增值额征税，增值额计算要素如下：</w:t>
      </w:r>
    </w:p>
    <w:p w14:paraId="410B4440">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①计税收入为房地产企业转让房地产取得的收入，土地增值税应税收入=营改增之前转让房地产取得的收入+营改增后转让房地产取得的不含税收入</w:t>
      </w:r>
    </w:p>
    <w:p w14:paraId="0939223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允许扣除项目包括取得土地使用权所支付的金额、开发土地和新建房及配套设施的成本、开发土地和新建房及配套设施的费用以及前述两项20%加计扣除，还有与转让房地产有关的税金。与转让房地产有关的税金=营改 增前实际缴纳的营业税、城市维护建设税、教育费附加+营改增后允许扣除的城市维护建设税、教育费附加。</w:t>
      </w:r>
    </w:p>
    <w:p w14:paraId="73FBF406">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③建造普通住宅出售，增值额未超过扣除项目金额20%的，免征土地增值税。</w:t>
      </w:r>
    </w:p>
    <w:p w14:paraId="2730BB0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④征收方式：采取按期预征、项目完工清算的方法。也就是按照当期取得的售房收入，依照预征率计算征收，项目完工后清算，多退少补。对于无法查账征收土地增值税的企业，可以核定征收。</w:t>
      </w:r>
    </w:p>
    <w:p w14:paraId="033540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⑤涉税阶段：销售阶段、土增税清算阶段。</w:t>
      </w:r>
    </w:p>
    <w:p w14:paraId="0EC2330D">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11）企业所得税</w:t>
      </w:r>
    </w:p>
    <w:p w14:paraId="19CD904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征收方式：查账征收和核定征收。房地产企业一般采用查账征收，适用 25%税率。企业所得税是按年计算，分月或者分季预缴，年终汇算清缴，多退少补。自年度终了之日起5个月内，向税务机关报送年度企业所得税纳税申报表，并汇算清缴，结清应缴应退税款；</w:t>
      </w:r>
    </w:p>
    <w:p w14:paraId="2CA2D8DB">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2021.1.1～2022.12.31，对小型微利企业年应纳税所得额不超过100万元的部分，减按12.5%计入应纳税所得额，按20%的税率缴纳企业所得税（税负2.5％）；对年应纳税所得额超过100万元但不超过300万元的部分，减按50%计入应纳税所得额，按20%的税率缴纳企业所得税（税负10％）。</w:t>
      </w:r>
    </w:p>
    <w:p w14:paraId="5B4D7C33">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小型微利企业是指从事国家非限制和禁止行业，且同时符合年度应纳税所得额不超过300万元、从业人数不超过300人、资产总额不超过5000万元等三个条件的企业。</w:t>
      </w:r>
    </w:p>
    <w:p w14:paraId="14F54F4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所得税预缴：房地产开发企业销售未完工产品取得的收入，应先按预计毛利率分季（或月）计算出预计毛利额，计入当期应纳税所得额。</w:t>
      </w:r>
    </w:p>
    <w:p w14:paraId="0F40DD67">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133516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12）个人所得税</w:t>
      </w:r>
    </w:p>
    <w:p w14:paraId="0363CCC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征税对象：工资、薪金所得；劳务报酬所得；稿酬所得；特许权使用费所得；利息、股息、红利所得；财产租赁所得；财产转让所得；偶然所得。</w:t>
      </w:r>
    </w:p>
    <w:p w14:paraId="544DEC1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房地产开发企业纳税义务：代扣代缴个人所得税；</w:t>
      </w:r>
    </w:p>
    <w:p w14:paraId="596C5E91">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涉税阶段：项目全周期</w:t>
      </w:r>
    </w:p>
    <w:p w14:paraId="1F0242C8">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目前道县房地产税收政策与国家政策保持完全一致。</w:t>
      </w:r>
    </w:p>
    <w:p w14:paraId="1519BA2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4.城市规划与发展目标</w:t>
      </w:r>
    </w:p>
    <w:p w14:paraId="676E3A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（1）城市规划</w:t>
      </w:r>
    </w:p>
    <w:p w14:paraId="2DBDEAB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根据道县国土空间总体规划征求意见稿，道县县域规划产业发展形成“一核、一轴、三区、多基地 ”空间布局。一核：县城，以道县工业集中区为基础，打造县域产业发展极核。一轴：沿国道G357产业发展主轴。三区：国道G357以北的北部特色农业发展区、南部瑶族乡为主南部生态保护 和旅游发展区，中部乡镇形成城郊型产业发展区。多基地：分布于县域产业发展基地，主要有工业发展基地、旅游基地、烟草 基地、脐橙基地等。</w:t>
      </w:r>
    </w:p>
    <w:p w14:paraId="361A6FDA">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结合产业发展现状，根据工业园内的现状路网和总体规划路网、自然地形及规划用地性质，规划以城区为依托，以工业大道与东环二路为工业园发展主轴，按照工业向北向东拓展的用地布局设想，形成清晰的规划结构。整个工业园区为“一心、两轴、多板块”的规划结构。“一心”是指：以工业大道与东环二路相交区域为依托规划形成的片区园区综合服务核心；该中心将集中园区主要的商业金融、商务办公及行政办公等设施，设置绿化、广场，以林荫步道与周围镇区道路相连，把生态和市民活动引入内部，形成真正集聚人们各种公共活动的园区中心。“两轴”是指：工业园内的产业发展轴。即工业大道两厢的以工业为主，以生活服务、综合居住为辅的产业发展主轴线。以东环二路两厢的工业为主、生活服务为辅的产业发展次要轴线。“多板块”是指：工业板块、综合办公板块、综合居住板块、生活服务板块四大板块。</w:t>
      </w:r>
    </w:p>
    <w:p w14:paraId="06679104">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通过对自然地貌的分析梳理和城市空间构思设想，规划构建县城“一带双心、二廊四轴、七组团”的县城整体空间结构。一带：即沿潇水的县城核心景观带，由南至北，串联县城各核心组团；双心：即县城中心的商业服务中心和历史文化核心城区。二廊：指濂溪河生态廊道和板坝河生态廊道；四轴：南北向即以道洲路为依托的县城综合发展轴、营阳大道综合发展发展轴；东西向以月岩路为依托的综合发展轴、工业大道发展轴；七组团：即县城七大核心组团，分别为工业园组团、城北组团、历史城区组团、火车站站前城西现代商贸组团、中部综合服务组团、城南物流园组团、城东文旅康养组团。</w:t>
      </w:r>
    </w:p>
    <w:p w14:paraId="07C9CC1F">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（2）发展目标</w:t>
      </w:r>
    </w:p>
    <w:p w14:paraId="06C26BDD">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2025年目标</w:t>
      </w:r>
    </w:p>
    <w:p w14:paraId="2145BA0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生态保护红线和永久基本农田保护红线得到严格落实，国土空间开发保护格 局得到优化；潇水及其支流水系、森林、山体等生态功能得到大幅提升，资源利 用水平显著提高；重点环境问题得到有效整治，城乡污水处理、生活垃圾分类无 害化处理实现全覆盖，生态环境持续改善，生态安全屏障更加牢固，城乡人居环 境明显改善；“江湾映城、山水相融 ”的城市空间格局基本形成，民生设施建设 取得显著成效，乡村地区基本实现集约发展，传统历史文化得到保护、传承和弘 扬；现代化产业体系初具规模，科技创新能力显著增强，对外开放与区域协同水 平全面提升，成为湘粤桂交汇区经济发展的核心引擎。</w:t>
      </w:r>
    </w:p>
    <w:p w14:paraId="6382785F">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2035年目标</w:t>
      </w:r>
    </w:p>
    <w:p w14:paraId="22173121">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国土空间治理体系和治理能力现代化基本实现，优良的生态格局全面稳固；城市功能完善，人居环境品质优良，文化吸引力突出；创新驱动的开放型现代产业体系基本建立，发展形成全省内陆开放前沿阵地；绿色生产生活方式广泛形成、蔚然成风，生态优势持续放大，人与自然和谐共生；理学文化、红色文化持续发扬光大；全面建成湘粤桂交汇区山水城园和谐共生、城乡深度融合、创新开放品质活力的中心城市。</w:t>
      </w:r>
    </w:p>
    <w:p w14:paraId="2633AE54">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远景展望目标</w:t>
      </w:r>
    </w:p>
    <w:p w14:paraId="1CBCCFF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到本世纪中叶，县域各项经济社会发展指标达到区域领先水平，国土空间治理体系和治理能力实现现代化；城乡互补、区域互通、三生互动、山水林田湖有 机融合的国土空间“生命共同体”格局全面形成，生态环境进入自然良性循环；传统文化与现代文化交相呼应、繁荣发展；对外开放水平和国际影响力不断提高，科技创新和高端高新产业引领发展；城市功能趋于完善，交通网络便捷高效，现代化基础设施系统完备；全面建成经济繁荣、社会和谐、生态宜居的现代化样板 区和质量变革、效率变革、动力变革的领先发展区。</w:t>
      </w:r>
    </w:p>
    <w:p w14:paraId="4B2A29B5">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5.城市社会经济发展状况</w:t>
      </w:r>
    </w:p>
    <w:p w14:paraId="4940064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（1）城市经济布局</w:t>
      </w:r>
    </w:p>
    <w:p w14:paraId="733CAFAE">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根据{{ base_price_doc_authority }}网发布的消息，道县目前城市经济布局主要突出以下几个方面：</w:t>
      </w:r>
    </w:p>
    <w:p w14:paraId="42EBDC77">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镇空间布局。立足道县资源禀赋，落实国家、省市主体功能区战略，科学构建“一核两轴六带”县域发展新格局。一核：以县城为核心，加快中心城区扩容提质，提升城市首位度。两轴：统筹推动沿G207和G357构成的“大十字架”经济发展轴，串联县域高速和国、省、县交通干线，注重推动资源、项目、产业、人口沿着两轴聚集发展，精心打造沿线特色小镇、特色农业 集群发展轴；六带：以县域潇水、濂溪、洑水、泡水、淹水、九嶷河六大水系为纽带，形成六大国土空间开发保护格局。重点加强沿河两岸国土空间开发保护，统筹山水林田湖草系统治理，推进沿河岸线治岸治污治渔，落实好长江十年禁渔，优化村庄规划布局，开展乡村建设行动，提升建房质量，建设美丽道县。</w:t>
      </w:r>
    </w:p>
    <w:p w14:paraId="67FEC096">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优化城区空间布局。按照“六纵十八横”的空间架构进行布局， 以千年州府为底色，打造 “一水两岸、双星闪耀”的城市新景观，加快构建“一心两河四岸三新城”的城市空间布局，努力把道县建成现代智慧新城、生态山水洲城、历史文化名城。一心：以县城老城区为核心，突出城区提质扩容、老旧小区改造。两河四岸：以潇水河、濂溪河为纽带，注重以水活城、以洲载城、以文润城，统筹推进城市濂溪河两岸提质、潇水河两岸扩容，推动 城市由“沿线发展”向“沿河发展”转变。三新城：以道县高新区调规扩区为契机，重点发展电子信息、智能智造两大百亿产业，积极培育新材料、新能源两大战略型新兴产业，打造北部工业新城，带动玉潭片区、树湘片区开发发展。 以湘粤桂综合物流园为依托，建设以一个综合物流园、多个专业物流园（汽贸物流园、 家居建材物流园、钢贸物流园、陶瓷建材物流园、 日化物流园和 冷链物流园等）、一个电商综合配送中心为主体的立足湘南、辐射桂东粤西北的区域性综合物流集散基地，加快建设城西路，推 动火车站片区、物流园片区组团滚动发展，打造南部现代物流新 城。以潇水为发展纵轴，以营阳大道（G207 道县绕城公路）、树湘大道为环线，突出上关片区开发建设，加快路网成型，产业导入，打造东部文化生态新城。</w:t>
      </w:r>
    </w:p>
    <w:p w14:paraId="24BC7BE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构建新型城镇化体系。打造现代智慧新城。加快城市片区开发， 以濂溪为发展横轴，南面城区突出沿潇水东西拓展，建设东部文化生态新城、南部现代物流新城；北面城区突出提质，改造古城历史文化街区，提升工业新城。以潇水为发展纵轴，以营阳大道（G207 道县绕城公路）、树湘大道为环线，突出上关片区开 发建设，加快路网成型，产业导入，打造东部文化生态新城；以湘粤桂综合物流园为依托，加快建设城西路，推进物流园片区与火车站片区组团滚动发展，打造南部现代物流新城，形成“ 一水两岸、双星闪耀”的城市新景观。以园区调规扩区为契机，健全功能，完善配套，壮大电子信息、智能制造、轻纺制鞋等产业，打造现代工业新城，带动玉潭片区、树湘片区开发发展。提升城市路网建设。加快完成营阳大道（G207道县绕城公路）、东环二路、树湘大道、城西路等城区主干道建设，拆除重建潇水大桥，拓宽建设西关桥，拉通状元路、城北路、振兴路、滨河路等城区“断头路”，形成“六纵十八横”城市路网框架。完善城市功能。持续推进城市更新，实施城中村提质改造，加快老旧小区改造，加强社区建设，支持智慧社区应用和平台建设，完善储能设施、新能源汽车充电桩、换电站及车路协同设施，推进智慧城市建设。创建国家文明城市，强化市容市貌管理整治，规范城市综合执法，推动城市治理方式向全周期管理转变。打造生态山水洲城。依托城市自然生态和山水脉络，建好东洲河坝、濂溪河坝，精心打造东洲生态湿地公园和潇水、濂溪沿岸滨河生态风光带，加强濂溪河生态廊道和板坝河生态廊道建设，完善城市防洪保护圈，加快城市绿地公园建设，创建省级园林、森林城市，打造生态宜居山水洲城。打造历史文化名城。注重将地域特色文化融入城市建设全过程，精心建设城市文化地标，改造寇公街、次山街、湾里街等历史街区，启动绍基故里保护开发，修缮保护古城墙，建好“道州府衙”，建设国家历史文化名城。同时，完善城镇发展体系。</w:t>
      </w:r>
    </w:p>
    <w:p w14:paraId="575C7705">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新型城镇化提质扩能。推进环境卫生设施提级扩能。完善垃圾无害化资源化处理设施。全面推进生活垃圾分类，逐步建立分类投放、分类收集、分类运输、分类无害化资源化处理的生活垃圾处理系统。完善道县城区、寿雁和祥霖铺特大镇生活垃圾收运体系，配备分类清运、密封性好、压缩式收运车辆，改造垃圾房和转运站。加快建设道县生活垃圾焚烧终端处理设施，逐步减少原生垃圾直接填埋。建设餐厨垃圾处理中心，建立餐厨垃圾等回收及再生利用体系。加快医疗废物、污水集中处理设施，完善收转运体系，因地制宜建设危险废物处理设施。建设规范的回收网点和分拣中心，对大件垃圾、园林垃圾、装修垃圾等生活垃圾进行回收利用，实现城区生活垃圾分类全覆盖。健全污水集中处理设施。以“共抓长江大保护”试点为契机，按照“厂网配套、泥水并重”要求，建设城区污水集中处理设施，提升管网收集能力，积极推进“雨污分流”，加强混错接、漏接、老化和破损管网更 新修复。加快建设污泥无害化资源化处理设施，推进濂溪河、潇 水河等片区治理。改善县城公共厕所。在旧城区、人流密集区和主次干路等区域，配建、补建2类以上土建厕所、2类装配式移 动厕所，利用节能环保技术配置除臭设施。改造老旧公共厕所，分批进行拆除或改建。新区建设和商业开发要严格按标准配建公共厕所。合理增加无障碍厕位和第三卫生间。推进市政公用设施提档升级。优化市政交通设施。重点推进东二环、营阳大道（G207道县绕城公路）、站前大道、城西路等两条环城路建设；推进东西横线建设，实施金都路、滨河路三段、万家庄路、公园东路、红星西路、文化西路、长征西路、状元路、城北路（东段）、湘源西路、荷叶塘东路、振兴西路、乌家山路等道路建设，完善高新技术产业开发区、物流园区路网建设。完善市政管网设施。全面完善地下给水、雨水、污水、电力、电讯、燃气等工程管线，推进地下综合管廊建设，试点推进海绵城市建设。重点建设一批城市消防站和地下人防工程，推进水系整治、防洪堤和防洪排涝设施建设。发展配送投递设施。建设道县统一分拨中转的公共配送中心，鼓励发展共同配送等新模式，满足小微企业和群众日常物流分拨配送需要。支持社会力量面向家庭用户和单位职工等受众群体，布设不同类型智能快件箱及末端网点设施，升级配套系统管理软硬件等，提供便捷安全的“最后一百米”服务。推进县城智慧化改造。实施道县5G网络建设工程，建设5G基站1200个。推行县城智慧化改造，实现政务服务“一网通办”，部署智 慧交通、智慧电网、智慧水务等感知终端，推进市政公用设施智慧化。建设政务信息数据共享交换平台、智慧安防城市项目，推行智慧教育、智慧医疗、智慧文旅、智慧城管、智慧环卫推进社会治理精细化、公共服务供给便捷化。更新改造老旧小区。推进道县老旧小区改造及基础设施配套，重点实施地下管网改造、强弱电下地、燃气管道铺设、道路提质、房屋修缮加固、安装电梯等项目。鼓励探索以社区乃至街区为单元进行改造的商业模式，吸引社会资本参与有一定盈利的改造项目。推进产业培育设施提 质增效。完善产业平台配套设施。培育城区内生增长动力和 “造 血”能力，引导乡间、夜间、网间经济蓬勃发展和服务业集聚发展，促进农业转移人口就近城镇化。完善文化产业园、特色小镇等产业集聚区配套设施，建设道县检测认证园区；优化技术研发转化中心，提供厚朴等共性技术公用研发设备；在有条件的地区建设智能标准厂房，提供共用生产空间，降低企业成本、提高生产效率；完善便企政务服务中心，优化“最多跑一次”的一站式 服务；完善道县农村资源产权交易平台，盘活农村闲置资源资产。加大高新区产业转型升级力度，争取建设一批产业转型升级示范园区。健全冷链物流设施。建设湘粤桂综合物流园、中农批冷链粤港澳大湾区湖南农副产品配送中心冷链物流产业园等冷链配送设施，保障农副产品全程冷鲜冷冻保存和运输。建设面向城市消费 的生鲜食品低温加工处理中心，推广“生鲜电商+冷链宅配”“中央厨房+食材冷链配送”等新模式。引导社会力量在大中型商场超市建设冷链物流前置仓，解决冷链物流“最后一公里”问题。提升农贸市场水平。新建畜禽批发市场、提质农贸市场、集贸市 场，合理扩大规模和服务半径，改善交易棚厅等经营条件。在批发型农贸市场配置检测检疫设备，确保进场农副产品质量安全。完善零售型农贸市场和社区菜市场环保设施，解决卫生“脏乱差”问题。支持社会力量改造建设畜禽定点屠宰加工厂。</w:t>
      </w:r>
    </w:p>
    <w:p w14:paraId="6E55161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（2）城市发展水平</w:t>
      </w:r>
    </w:p>
    <w:p w14:paraId="24A2469A">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地区生产总值2938136万元，比上年增长7.0%。其中，第一产业增加值548917万元，增长3.3%；第二产业增加值1002533万元,增长11.3%；第三产业增加值1386686万元，增长5.5%。按常住人口计算，2024年人均地区生产总值为51483元，比上年增长8.3%。</w:t>
      </w:r>
    </w:p>
    <w:p w14:paraId="416E09D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三次产业结构为18.68:34.12:47.2。工业增加值占地区生产总值的比重为28.08%，比上年提高4.58个百分点；高新技术产业增加值占地区生产总值的比重为10.2%，比上年下降1.6个百分点。第一、二、三产业对经济增长的贡献率分别为9.7%、54.2%和36.1%，分别拉动GDP增长0.68个、3.8个、2.52个百分点。2024年非公有制经济增加值189.73亿元，比上年增长7.3%，占地区生产总值的比重为64.58%，比上年提高1.18个百分点。</w:t>
      </w:r>
    </w:p>
    <w:p w14:paraId="0372FD1D">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实现工业增加值82.51亿元，增长11.6%，其中：规模工业总产值198.71亿元，增长15.81%，规模工业增加值52.97亿元，增长14.0%。2024年新增规模以上工业企业20家，规模以上工业企业达到154家。规模工业企业实现主营业务收入159.9亿元，增长3.8%；实现利税总额7.55亿元,下降38.96%，其中利润总额5.92亿元,下降48.75%。实现建筑业增加值177396万元，比上年增长9.8%。具有资质等级的总承包和专业承包建筑企业完成产值586174.6万元，增长19.05%；房屋建筑施工面积174.88万平方米,比上年增长16.22%；房屋建筑竣工面积124.28万平方米,比上年上升15.39%。</w:t>
      </w:r>
    </w:p>
    <w:p w14:paraId="2FCEBB0B">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（3）综合实力</w:t>
      </w:r>
    </w:p>
    <w:p w14:paraId="1CA725A1">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道县是湖南省历史文化名城、全国糖料作物生产基地、全国秸秆养牛示范基地、全国粮食生产先进县、全国蔬菜产业重点县、全国厚朴生产基地县、全国生猪生产调出大县、全国能繁母牛养殖示范县、全国出口食品农产品质量安全示范县、全国100个柑橘生产基地、中国脐橙之乡。</w:t>
      </w:r>
    </w:p>
    <w:p w14:paraId="3D1DAC3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（4）社会储蓄与投资</w:t>
      </w:r>
    </w:p>
    <w:p w14:paraId="153A9402">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2024年道县完成财政总收入172805万元，下降0.94%,其中一般预算收入146235万元，下降6.7%。全县一般公共预算支出539101万元，增长0.8%。</w:t>
      </w:r>
    </w:p>
    <w:p w14:paraId="6FF7BB40">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金融机构各项存款余额350.9万元，比上年增长13.59%，比年初净增41.99万元。其中城乡居民储蓄存款余额296.88万元，增长11.03%，比年初净增29.5万元；年末全县金融机构各项贷款余额223.57万元，比上年增长11.16%，比年初净增22.44万元。其中中长期贷款余额170.18万元，比上年增长10.09%，比年初净增15.77万元。</w:t>
      </w:r>
    </w:p>
    <w:p w14:paraId="144B83AF">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（5）物价变动</w:t>
      </w:r>
    </w:p>
    <w:p w14:paraId="36D886DC">
      <w:pPr>
        <w:pStyle w:val="2"/>
        <w:keepNext w:val="0"/>
        <w:keepLines w:val="0"/>
        <w:pageBreakBefore w:val="0"/>
        <w:widowControl w:val="0"/>
        <w:kinsoku/>
        <w:wordWrap/>
        <w:overflowPunct/>
        <w:topLinePunct w:val="0"/>
        <w:autoSpaceDE/>
        <w:autoSpaceDN/>
        <w:bidi w:val="0"/>
        <w:adjustRightInd/>
        <w:snapToGrid/>
        <w:spacing w:after="0" w:line="460" w:lineRule="exact"/>
        <w:ind w:left="0" w:leftChars="0"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2024年居民消费价格总指数(CPI)比上年上涨0.4%，其中消费品价格指数比上年上涨0.5%。居民消费八大类指标中：食品烟酒类上涨0.3%，衣着类上涨0.1%，居住类上涨0.3%，生活用品及服务上涨0.9%，交通和通信类下跌0.2%，教育文化和娱乐类上涨0.3%，医疗保健类上涨1.4%，其他用品和服务上涨3.7%。</w:t>
      </w:r>
    </w:p>
    <w:p w14:paraId="60FB60D6">
      <w:pPr>
        <w:keepNext w:val="0"/>
        <w:keepLines w:val="0"/>
        <w:pageBreakBefore w:val="0"/>
        <w:widowControl w:val="0"/>
        <w:kinsoku/>
        <w:wordWrap/>
        <w:overflowPunct/>
        <w:topLinePunct w:val="0"/>
        <w:autoSpaceDE/>
        <w:autoSpaceDN/>
        <w:bidi w:val="0"/>
        <w:adjustRightInd/>
        <w:snapToGrid/>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 xml:space="preserve"> 综合考虑以上影响地价的一般因素，评估分析：道县地理位置优越，对外交通便利，城市规划前景良好，随着道县社会经济的不断发展，对于土地的需求将逐渐增加；受全国房地产市场形势的影响，近两年道县的房地产市场趋于平稳，整体市场保持稳健。在宏观调控的综合作用下，道县房地产市场将保持健康平稳态势发展。</w:t>
      </w:r>
    </w:p>
    <w:p w14:paraId="3CC6E7E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(二)区域因素</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b/>
      </w:r>
    </w:p>
    <w:p w14:paraId="0A6009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区域因素指估价对象对地价有影响的内部区域条件，即影响内部区域之间地价水平的商服繁华程度及区域在城镇中的位置、交通条件、公用设施及基础设施水平、区域环境条件、土地使用限制和自然条件等。</w:t>
      </w:r>
    </w:p>
    <w:p w14:paraId="57B46E1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1.区域概况</w:t>
      </w:r>
    </w:p>
    <w:p w14:paraId="18444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（1）区域位置</w:t>
      </w:r>
    </w:p>
    <w:p w14:paraId="75ECDD4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540109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四马桥镇位于道县东南部，东界宁远县水市镇，南接洪塘营瑶族乡，西临横岭瑶族乡、蚣坝镇，北与白芒铺镇、宁远县天堂镇毗邻。县城至湘源温泉风景区公路、湘江二级支流泡水河横贯南北。</w:t>
      </w:r>
    </w:p>
    <w:p w14:paraId="1DA88263">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（2）人口</w:t>
      </w:r>
    </w:p>
    <w:p w14:paraId="71D124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户籍人口3.86万人，集镇人口9800余人，共10,792户。</w:t>
      </w:r>
    </w:p>
    <w:p w14:paraId="7643CD2B">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（3）土地级别</w:t>
      </w:r>
    </w:p>
    <w:p w14:paraId="2993737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 county_name }}城镇基准地价的颁布实施时间为{{ base_price_publish_date }}，批准文号为{{ base_price_doc_no }}，文件名称为{{ base_price_doc_name }}（{{ base_price_doc_no }}，{{ base_price_publish_date }}），批准机关为{{ base_price_doc_authority }}，基准地价估价基准日为{{ base_price_base_date }}，距基准地价估价基准日已满{{ base_price_elapsed_years_text }}年，故暂无土地级别信息。</w:t>
      </w:r>
    </w:p>
    <w:p w14:paraId="4EFEB1A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（4）经济发展</w:t>
      </w:r>
    </w:p>
    <w:p w14:paraId="7FA8F6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FF"/>
          <w:sz w:val="28"/>
          <w:szCs w:val="30"/>
          <w:highlight w:val="none"/>
          <w:lang w:val="en-US" w:eastAsia="zh-CN"/>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四马桥镇是道县重要的产粮区和烤烟生产主产区。2024年，大豆、玉米种植4400亩，油菜5000亩，水稻种植面积达18,600余亩，蔬菜产业对接粤港澳大湾区，华山村等地绿色蔬菜产业基地扩展至2000亩以上。</w:t>
      </w:r>
    </w:p>
    <w:p w14:paraId="57F9C3D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2.交通条件</w:t>
      </w:r>
    </w:p>
    <w:p w14:paraId="36EE100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（1）对内交通条件</w:t>
      </w:r>
    </w:p>
    <w:p w14:paraId="22A6A9A8">
      <w:pPr>
        <w:spacing w:line="460" w:lineRule="exact"/>
        <w:ind w:firstLine="560" w:firstLineChars="200"/>
        <w:outlineLvl w:val="9"/>
        <w:rPr>
          <w:rFonts w:hint="eastAsia" w:ascii="仿宋_GB2312" w:eastAsia="仿宋_GB2312"/>
          <w:color w:val="000000" w:themeColor="text1"/>
          <w:sz w:val="28"/>
          <w:szCs w:val="30"/>
          <w:highlight w:val="none"/>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境内有县城到</w:t>
      </w:r>
      <w:r>
        <w:rPr>
          <w:rFonts w:hint="eastAsia" w:ascii="仿宋_GB2312" w:eastAsia="仿宋_GB2312"/>
          <w:color w:val="000000" w:themeColor="text1"/>
          <w:sz w:val="28"/>
          <w:szCs w:val="30"/>
          <w:highlight w:val="none"/>
          <w:lang w:val="en-US" w:eastAsia="zh-CN"/>
          <w14:textFill>
            <w14:solidFill>
              <w14:schemeClr w14:val="tx1"/>
            </w14:solidFill>
          </w14:textFill>
        </w:rPr>
        <w:t>四马桥镇</w:t>
      </w:r>
      <w:r>
        <w:rPr>
          <w:rFonts w:hint="eastAsia" w:ascii="仿宋_GB2312" w:eastAsia="仿宋_GB2312"/>
          <w:color w:val="000000" w:themeColor="text1"/>
          <w:sz w:val="28"/>
          <w:szCs w:val="30"/>
          <w:highlight w:val="none"/>
          <w14:textFill>
            <w14:solidFill>
              <w14:schemeClr w14:val="tx1"/>
            </w14:solidFill>
          </w14:textFill>
        </w:rPr>
        <w:t>、县城到大洞田的客运汽车，6个村通了客运班车，日均客容量140余人次。</w:t>
      </w:r>
    </w:p>
    <w:p w14:paraId="140C29A0">
      <w:pPr>
        <w:spacing w:line="460" w:lineRule="exact"/>
        <w:ind w:firstLine="560" w:firstLineChars="200"/>
        <w:outlineLvl w:val="9"/>
        <w:rPr>
          <w:rFonts w:hint="default"/>
          <w:color w:val="000000" w:themeColor="text1"/>
          <w:lang w:eastAsia="zh-CN"/>
          <w14:textFill>
            <w14:solidFill>
              <w14:schemeClr w14:val="tx1"/>
            </w14:solidFill>
          </w14:textFill>
        </w:rPr>
      </w:pPr>
      <w:r>
        <w:rPr>
          <w:rFonts w:hint="default" w:ascii="仿宋_GB2312" w:eastAsia="仿宋_GB2312"/>
          <w:color w:val="000000" w:themeColor="text1"/>
          <w:sz w:val="28"/>
          <w:szCs w:val="30"/>
          <w:highlight w:val="none"/>
          <w14:textFill>
            <w14:solidFill>
              <w14:schemeClr w14:val="tx1"/>
            </w14:solidFill>
          </w14:textFill>
        </w:rPr>
        <w:t>估价对象距四马桥镇客运站12km。</w:t>
      </w:r>
    </w:p>
    <w:p w14:paraId="3012DFBF">
      <w:pPr>
        <w:spacing w:line="460" w:lineRule="exact"/>
        <w:ind w:firstLine="560" w:firstLineChars="200"/>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eastAsia="仿宋_GB2312"/>
          <w:color w:val="000000" w:themeColor="text1"/>
          <w:sz w:val="28"/>
          <w:szCs w:val="30"/>
          <w:highlight w:val="none"/>
          <w:lang w:val="en-US" w:eastAsia="zh-CN"/>
          <w14:textFill>
            <w14:solidFill>
              <w14:schemeClr w14:val="tx1"/>
            </w14:solidFill>
          </w14:textFill>
        </w:rPr>
        <w:t>（2）对外交通条件</w:t>
      </w:r>
    </w:p>
    <w:p w14:paraId="62BFA1DC">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eastAsia="仿宋_GB2312"/>
          <w:color w:val="000000" w:themeColor="text1"/>
          <w:sz w:val="28"/>
          <w:szCs w:val="30"/>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①公路：</w:t>
      </w:r>
      <w:r>
        <w:rPr>
          <w:rFonts w:hint="eastAsia" w:ascii="仿宋_GB2312" w:eastAsia="仿宋_GB2312"/>
          <w:color w:val="000000" w:themeColor="text1"/>
          <w:sz w:val="28"/>
          <w:szCs w:val="30"/>
          <w:highlight w:val="none"/>
          <w14:textFill>
            <w14:solidFill>
              <w14:schemeClr w14:val="tx1"/>
            </w14:solidFill>
          </w14:textFill>
        </w:rPr>
        <w:t>区域的外联道路主要</w:t>
      </w:r>
      <w:r>
        <w:rPr>
          <w:rFonts w:hint="default" w:ascii="仿宋_GB2312" w:eastAsia="仿宋_GB2312"/>
          <w:color w:val="000000" w:themeColor="text1"/>
          <w:sz w:val="28"/>
          <w:szCs w:val="30"/>
          <w:highlight w:val="none"/>
          <w14:textFill>
            <w14:solidFill>
              <w14:schemeClr w14:val="tx1"/>
            </w14:solidFill>
          </w14:textFill>
        </w:rPr>
        <w:t>有县道X089、县道X069、县道X090、XA43等</w:t>
      </w:r>
      <w:r>
        <w:rPr>
          <w:rFonts w:hint="eastAsia" w:ascii="仿宋_GB2312" w:eastAsia="仿宋_GB2312"/>
          <w:color w:val="000000" w:themeColor="text1"/>
          <w:sz w:val="28"/>
          <w:szCs w:val="30"/>
          <w:highlight w:val="none"/>
          <w:lang w:val="en-US" w:eastAsia="zh-CN"/>
          <w14:textFill>
            <w14:solidFill>
              <w14:schemeClr w14:val="tx1"/>
            </w14:solidFill>
          </w14:textFill>
        </w:rPr>
        <w:t>等。</w:t>
      </w:r>
    </w:p>
    <w:p w14:paraId="48E14F8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②铁路：江华火车站主要线路为益湛铁路，估价对象所在区域中心距离该火车站约15km。</w:t>
      </w:r>
    </w:p>
    <w:p w14:paraId="624E0EC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③高铁：估价对象区域距东安高铁站约127km。</w:t>
      </w:r>
    </w:p>
    <w:p w14:paraId="31DF683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④航空：估价对象区域距离最近的机场为永州零陵机场约117km。</w:t>
      </w:r>
    </w:p>
    <w:p w14:paraId="7EF3BAB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⑤水运：四马桥镇境内有</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"https://m.baike.so.com/"/doc/5408752-5646740.html/""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湘江</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水系二级支流</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begin"/>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instrText xml:space="preserve"> HYPERLINK "https://m.baike.so.com/"/doc/304737-322616.html/"" \t "/home/hsl/Documents\\x/\\"_blank\\"" </w:instrTex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separate"/>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泡水</w:t>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fldChar w:fldCharType="end"/>
      </w:r>
      <w:r>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t>河穿境而过，境内河道长15.5千米</w:t>
      </w:r>
      <w:r>
        <w:rPr>
          <w:rFonts w:hint="default" w:ascii="仿宋_GB2312" w:hAnsi="仿宋_GB2312" w:eastAsia="仿宋_GB2312" w:cs="仿宋_GB2312"/>
          <w:bCs/>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水位较浅，未形成水运条件，水运主要依托长沙湘江流域。</w:t>
      </w:r>
    </w:p>
    <w:p w14:paraId="0FF65E2E">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3.基础设施和市政公用设施</w:t>
      </w:r>
    </w:p>
    <w:p w14:paraId="5AC4A59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（1）供电：区域内接市政双回路110KV供电管网，供电保证率一般。</w:t>
      </w:r>
    </w:p>
    <w:p w14:paraId="6DA4A31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（2）通讯：区域内通讯与市政通讯网相联，通讯线路以地下管道为主，辅以架空线路，通讯线路畅通，区内已实现移动电话全国漫游，区内全面铺设了高速宽带通讯光缆。</w:t>
      </w:r>
    </w:p>
    <w:p w14:paraId="4ABE210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（3）给水：区域内供水主要来自区内的市政供水。自来水供应管道标准φ1000mm、φ800mm、φ600mm，供水保证率高。</w:t>
      </w:r>
    </w:p>
    <w:p w14:paraId="1DA6CA4D">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（4）排水：区内排水为雨污分流方式，排污管沿主要道路铺设，以污水处理厂为终结，市政排水体系完备。</w:t>
      </w:r>
    </w:p>
    <w:p w14:paraId="73DB4299">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（5）通气：/。</w:t>
      </w:r>
    </w:p>
    <w:p w14:paraId="4D04D99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（6）供暖：/。</w:t>
      </w:r>
    </w:p>
    <w:p w14:paraId="7E74A246">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4.环境条件</w:t>
      </w:r>
    </w:p>
    <w:p w14:paraId="7E564168">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（1）人文环境</w:t>
      </w:r>
    </w:p>
    <w:p w14:paraId="209AB622">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四马桥镇</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居民整体文化素质一般，周边治安稳定，文人环境一般。</w:t>
      </w:r>
    </w:p>
    <w:p w14:paraId="0F85F2C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000000" w:themeColor="text1"/>
          <w:sz w:val="28"/>
          <w:szCs w:val="30"/>
          <w:highlight w:val="none"/>
          <w14:textFill>
            <w14:solidFill>
              <w14:schemeClr w14:val="tx1"/>
            </w14:solidFill>
          </w14:textFill>
        </w:rPr>
        <w:t>（2）自然环境</w:t>
      </w:r>
    </w:p>
    <w:p w14:paraId="301FE25B">
      <w:pPr>
        <w:spacing w:line="460" w:lineRule="exact"/>
        <w:ind w:firstLine="560" w:firstLineChars="200"/>
        <w:outlineLvl w:val="9"/>
        <w:rPr>
          <w:rFonts w:hint="default" w:ascii="仿宋_GB2312" w:eastAsia="仿宋_GB2312"/>
          <w:color w:val="auto"/>
          <w:sz w:val="28"/>
          <w:szCs w:val="30"/>
          <w:highlight w:val="none"/>
        </w:rPr>
      </w:pPr>
      <w:r>
        <w:rPr>
          <w:rFonts w:hint="default" w:ascii="仿宋_GB2312" w:eastAsia="仿宋_GB2312"/>
          <w:color w:val="auto"/>
          <w:sz w:val="28"/>
          <w:szCs w:val="30"/>
          <w:highlight w:val="none"/>
        </w:rPr>
        <w:t>四马桥镇境内麻子寨、分水凹等山矗立南部，地势东高西低，南高北低。泡水流注其间，沿河两岸为较大面积的溪谷平原，地势平坦。地面高度一般在海拔350米，最高点牛鸾心海拔1037米，最低点泡水河海拔200米。</w:t>
      </w:r>
    </w:p>
    <w:p w14:paraId="1278DDA5">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pPr>
      <w:r>
        <w:rPr>
          <w:rFonts w:hint="eastAsia" w:ascii="仿宋_GB2312" w:eastAsia="仿宋_GB2312"/>
          <w:color w:val="auto"/>
          <w:sz w:val="28"/>
          <w:szCs w:val="30"/>
          <w:highlight w:val="none"/>
        </w:rPr>
        <w:t>宗地所在区域，地质条</w:t>
      </w:r>
      <w:r>
        <w:rPr>
          <w:rFonts w:hint="eastAsia" w:ascii="仿宋_GB2312" w:eastAsia="仿宋_GB2312"/>
          <w:color w:val="000000" w:themeColor="text1"/>
          <w:sz w:val="28"/>
          <w:szCs w:val="30"/>
          <w:highlight w:val="none"/>
          <w14:textFill>
            <w14:solidFill>
              <w14:schemeClr w14:val="tx1"/>
            </w14:solidFill>
          </w14:textFill>
        </w:rPr>
        <w:t>件较好，宗地无异常地质现象，地基承载力</w:t>
      </w:r>
      <w:r>
        <w:rPr>
          <w:rFonts w:hint="eastAsia" w:ascii="仿宋_GB2312" w:eastAsia="仿宋_GB2312"/>
          <w:color w:val="000000" w:themeColor="text1"/>
          <w:sz w:val="28"/>
          <w:szCs w:val="30"/>
          <w:highlight w:val="none"/>
          <w:lang w:val="en-US" w:eastAsia="zh-CN"/>
          <w14:textFill>
            <w14:solidFill>
              <w14:schemeClr w14:val="tx1"/>
            </w14:solidFill>
          </w14:textFill>
        </w:rPr>
        <w:t>大于25</w:t>
      </w:r>
      <w:r>
        <w:rPr>
          <w:rFonts w:hint="eastAsia" w:ascii="仿宋_GB2312" w:eastAsia="仿宋_GB2312"/>
          <w:color w:val="000000" w:themeColor="text1"/>
          <w:sz w:val="28"/>
          <w:szCs w:val="30"/>
          <w:highlight w:val="none"/>
          <w14:textFill>
            <w14:solidFill>
              <w14:schemeClr w14:val="tx1"/>
            </w14:solidFill>
          </w14:textFill>
        </w:rPr>
        <w:t>吨/平方米，地势平坦。区域内无大型污染性企业，区域内自然灾害率大于100年一遇。</w:t>
      </w:r>
    </w:p>
    <w:p w14:paraId="501D6C74">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5.产业集聚度</w:t>
      </w:r>
    </w:p>
    <w:p w14:paraId="019BF5E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估价对象位于产业独立分布区，产业集聚度劣。</w:t>
      </w:r>
    </w:p>
    <w:p w14:paraId="7C2755C8">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6.规划限制</w:t>
      </w:r>
    </w:p>
    <w:p w14:paraId="69D91AD7">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目前城市规划对估价对象所在区域无特殊限制，具体的开发建设必须符合规划管理部门的控制性详细规划。</w:t>
      </w:r>
    </w:p>
    <w:p w14:paraId="35C0DC3A">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7.微观区位因素</w:t>
      </w:r>
    </w:p>
    <w:p w14:paraId="32E03FD5">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估价对象位于{{ land_location }}，估价对价对象交通由支路构成，区域交通条件差。距离最近火车站（江华火车站）约12km，距火车站距离差；区域基础设施状况一般，区域内产业集聚度差。</w:t>
      </w:r>
    </w:p>
    <w:p w14:paraId="01D169CF">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综合考虑以上影响地价区域因素，评估分析：估价对象所在区域交通条件差，基础设施齐全，产业集聚度差，地质条件好，区域无特殊规划限制。</w:t>
      </w:r>
    </w:p>
    <w:p w14:paraId="4F3A20D2">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2"/>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(三)个别因素</w:t>
      </w:r>
    </w:p>
    <w:p w14:paraId="41488DB6">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影响宗地的个别因素主要指与土地利用直接有关的宗地自身条件，包括估价对象位置、面积、用途、土地利用现状、宗地形状、地质条件、地势、基础设施条件等。</w:t>
      </w:r>
    </w:p>
    <w:p w14:paraId="39BBC5DD">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1.土地位置</w:t>
      </w:r>
    </w:p>
    <w:p w14:paraId="21CE7312">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估价对象位于{{ land_location_full }}。</w:t>
      </w:r>
    </w:p>
    <w:p w14:paraId="08A6E3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2.土地面积</w:t>
      </w:r>
    </w:p>
    <w:p w14:paraId="320D6C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
        <w:rPr>
          <w:rFonts w:ascii="仿宋_GB2312" w:hAnsi="仿宋_GB2312" w:eastAsia="仿宋_GB2312" w:cs="仿宋_GB2312"/>
          <w:color w:val="000000"/>
          <w:sz w:val="28"/>
        </w:rPr>
        <w:t>根据委托估价方提供的《关于国有建设用地的规划条件的函》（2025年9月11日），估价对象土地面积为{{ land_area }}平方米，面积适中，对土地利用有利。</w:t>
      </w:r>
    </w:p>
    <w:p w14:paraId="282E8E15">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3.宗地四至：东临林地，南临林地，西临林地，北临林地。</w:t>
      </w:r>
    </w:p>
    <w:p w14:paraId="0474EA8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4.土地用途</w:t>
      </w:r>
    </w:p>
    <w:p w14:paraId="50EED0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根据《关于国有建设用地的规划条件的函》（2025年9月11日），土地用途为工业用地。</w:t>
      </w:r>
    </w:p>
    <w:p w14:paraId="1D28F2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5.土地形状</w:t>
      </w:r>
    </w:p>
    <w:p w14:paraId="763F5C9F">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根据委托估价方提供的《{{ county_name }}{{ land_plot_number }}号地块建设用地规划红线图》，宗地形状基本规则，对利用无影响。</w:t>
      </w:r>
      <w:r>
        <w:rPr>
          <w:rFonts w:ascii="仿宋_GB2312" w:hAnsi="仿宋_GB2312" w:eastAsia="仿宋_GB2312" w:cs="仿宋_GB2312"/>
          <w:color w:val="000000"/>
          <w:sz w:val="28"/>
        </w:rPr>
      </w:r>
    </w:p>
    <w:p w14:paraId="295C580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6.地质条件</w:t>
      </w:r>
    </w:p>
    <w:p w14:paraId="15B2C1D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估价对象地基承载大于25吨/平方米，地质条件优。</w:t>
      </w:r>
    </w:p>
    <w:p w14:paraId="70EB7FF3">
      <w:pPr>
        <w:pStyle w:val="2"/>
        <w:keepNext w:val="0"/>
        <w:keepLines w:val="0"/>
        <w:pageBreakBefore w:val="0"/>
        <w:widowControl w:val="0"/>
        <w:kinsoku/>
        <w:wordWrap/>
        <w:overflowPunct/>
        <w:topLinePunct w:val="0"/>
        <w:autoSpaceDE/>
        <w:autoSpaceDN/>
        <w:bidi w:val="0"/>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7.地势条件</w:t>
      </w:r>
    </w:p>
    <w:p w14:paraId="1A7A143D">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根据估价师现场勘查，宗地地势较平坦。</w:t>
      </w:r>
    </w:p>
    <w:p w14:paraId="541CD05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8.土地利用条件</w:t>
      </w:r>
    </w:p>
    <w:p w14:paraId="6F31C96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（1）土地利用现状</w:t>
      </w:r>
    </w:p>
    <w:p w14:paraId="0D34209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根据委托估价方提供的资料和土地估价师现场勘查结果，宗地现状开发程度为宗地红线外围“五通”（即通路、通电、通讯、供水、排水）红线内场地平整，利用现状为待开发建设用地。</w:t>
      </w:r>
    </w:p>
    <w:p w14:paraId="14177A7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估价对象利用现状如下：</w:t>
      </w:r>
    </w:p>
    <w:tbl>
      <w:tblPr>
        <w:tblStyle w:val="9"/>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318"/>
        <w:gridCol w:w="4204"/>
      </w:tblGrid>
      <w:tr w14:paraId="1066EC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92" w:hRule="atLeast"/>
          <w:jc w:val="center"/>
        </w:trPr>
        <w:tc>
          <w:tcPr>
            <w:tcW w:w="2533" w:type="pct"/>
          </w:tcPr>
          <w:p w14:paraId="463D352E">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19680" cy="1889760"/>
                  <wp:effectExtent l="0" t="0" r="13970" b="15240"/>
                  <wp:docPr id="19" name="图片 19" descr="0d1c4769464c08c55cd7d263fc47bf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0d1c4769464c08c55cd7d263fc47bf45"/>
                          <pic:cNvPicPr>
                            <a:picLocks noChangeAspect="1"/>
                          </pic:cNvPicPr>
                        </pic:nvPicPr>
                        <pic:blipFill>
                          <a:blip r:embed="rId30"/>
                          <a:stretch>
                            <a:fillRect/>
                          </a:stretch>
                        </pic:blipFill>
                        <pic:spPr>
                          <a:xfrm>
                            <a:off x="0" y="0"/>
                            <a:ext cx="2519680" cy="1889760"/>
                          </a:xfrm>
                          <a:prstGeom prst="rect">
                            <a:avLst/>
                          </a:prstGeom>
                        </pic:spPr>
                      </pic:pic>
                    </a:graphicData>
                  </a:graphic>
                </wp:inline>
              </w:drawing>
            </w:r>
          </w:p>
        </w:tc>
        <w:tc>
          <w:tcPr>
            <w:tcW w:w="2466" w:type="pct"/>
          </w:tcPr>
          <w:p w14:paraId="43AB98BF">
            <w:pPr>
              <w:pStyle w:val="14"/>
              <w:keepNext w:val="0"/>
              <w:keepLines w:val="0"/>
              <w:suppressLineNumbers w:val="0"/>
              <w:autoSpaceDE w:val="0"/>
              <w:autoSpaceDN w:val="0"/>
              <w:adjustRightInd w:val="0"/>
              <w:spacing w:before="0" w:beforeAutospacing="0" w:after="0" w:afterAutospacing="0" w:line="240" w:lineRule="auto"/>
              <w:ind w:left="0" w:right="0" w:firstLine="0" w:firstLineChars="0"/>
              <w:jc w:val="center"/>
              <w:outlineLvl w:val="9"/>
              <w:rPr>
                <w:rFonts w:hint="eastAsia" w:ascii="仿宋" w:hAnsi="仿宋" w:eastAsia="仿宋"/>
                <w:b/>
                <w:bCs/>
                <w:color w:val="000000" w:themeColor="text1"/>
                <w:sz w:val="28"/>
                <w:szCs w:val="28"/>
                <w:highlight w:val="none"/>
                <w:lang w:eastAsia="zh-CN"/>
                <w14:textFill>
                  <w14:solidFill>
                    <w14:schemeClr w14:val="tx1"/>
                  </w14:solidFill>
                </w14:textFill>
              </w:rPr>
            </w:pPr>
            <w:r>
              <w:rPr>
                <w:rFonts w:hint="eastAsia" w:ascii="仿宋" w:hAnsi="仿宋" w:eastAsia="仿宋"/>
                <w:b/>
                <w:bCs/>
                <w:color w:val="000000" w:themeColor="text1"/>
                <w:sz w:val="28"/>
                <w:szCs w:val="28"/>
                <w:highlight w:val="none"/>
                <w:lang w:eastAsia="zh-CN"/>
                <w14:textFill>
                  <w14:solidFill>
                    <w14:schemeClr w14:val="tx1"/>
                  </w14:solidFill>
                </w14:textFill>
              </w:rPr>
              <w:drawing>
                <wp:inline distT="0" distB="0" distL="114300" distR="114300">
                  <wp:extent cx="2522220" cy="1891030"/>
                  <wp:effectExtent l="0" t="0" r="11430" b="13970"/>
                  <wp:docPr id="13" name="图片 13" descr="b9ee6a2c6791617f1697764a5113a0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b9ee6a2c6791617f1697764a5113a0eb"/>
                          <pic:cNvPicPr>
                            <a:picLocks noChangeAspect="1"/>
                          </pic:cNvPicPr>
                        </pic:nvPicPr>
                        <pic:blipFill>
                          <a:blip r:embed="rId31"/>
                          <a:stretch>
                            <a:fillRect/>
                          </a:stretch>
                        </pic:blipFill>
                        <pic:spPr>
                          <a:xfrm>
                            <a:off x="0" y="0"/>
                            <a:ext cx="2522220" cy="1891030"/>
                          </a:xfrm>
                          <a:prstGeom prst="rect">
                            <a:avLst/>
                          </a:prstGeom>
                        </pic:spPr>
                      </pic:pic>
                    </a:graphicData>
                  </a:graphic>
                </wp:inline>
              </w:drawing>
            </w:r>
          </w:p>
        </w:tc>
      </w:tr>
    </w:tbl>
    <w:p w14:paraId="1BEC50B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（2）规划利用条件</w:t>
      </w:r>
    </w:p>
    <w:p w14:paraId="3AC578A4">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①规划利用状况</w:t>
      </w:r>
    </w:p>
    <w:p w14:paraId="505CCBE9">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根据《关于国有建设用地的规划条件的函》（2025年9月11日）及现场勘查状况，估价对象土地面积为{{ land_area }}平方米，规划建筑密度{{ building_density_min }}-{{ building_density_max }}，容积率{{ plot_ratio_display }}，绿地率{{ greening_rate }}，建筑限高{{ building_height_limit }}，规划指标批准机关为{{ planning_approval_authority }}，批准日期为2025年9月11日。</w:t>
      </w:r>
      <w:r>
        <w:rPr>
          <w:rFonts w:ascii="仿宋_GB2312" w:hAnsi="仿宋_GB2312" w:eastAsia="仿宋_GB2312" w:cs="仿宋_GB2312"/>
          <w:color w:val="000000"/>
          <w:sz w:val="28"/>
        </w:rPr>
      </w:r>
    </w:p>
    <w:p w14:paraId="678B10F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②最佳利用</w:t>
      </w:r>
    </w:p>
    <w:p w14:paraId="5B241C40">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本次评估根据最有效利用原则，估价对象在规划利用下价值利用状况为最有效利用。故设定估价对象用途为{{ land_usage }}，设定容积率为{{ plot_ratio }}，其余指标均取规划值为最佳利用方式。</w:t>
      </w:r>
    </w:p>
    <w:p w14:paraId="2E49811A">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③规划利用限制和缺陷情况</w:t>
      </w:r>
    </w:p>
    <w:p w14:paraId="088C442B">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根据委托方提供的资料及估价人员了解，宗地无明显规划利用限制和缺陷。</w:t>
      </w:r>
    </w:p>
    <w:p w14:paraId="59D2F98F">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9.基础设施条件</w:t>
      </w:r>
    </w:p>
    <w:p w14:paraId="21443532">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估价对象宗地实际土地开发程度为宗地红线外“五通”（即通路、通电、通讯、供水、排水），宗地红线内场地平整。</w:t>
      </w:r>
    </w:p>
    <w:p w14:paraId="04BAD813">
      <w:pPr>
        <w:pStyle w:val="2"/>
        <w:keepNext w:val="0"/>
        <w:keepLines w:val="0"/>
        <w:pageBreakBefore w:val="0"/>
        <w:widowControl w:val="0"/>
        <w:kinsoku/>
        <w:wordWrap/>
        <w:overflowPunct/>
        <w:topLinePunct w:val="0"/>
        <w:autoSpaceDE/>
        <w:autoSpaceDN/>
        <w:bidi w:val="0"/>
        <w:adjustRightInd/>
        <w:snapToGrid/>
        <w:spacing w:line="460" w:lineRule="exact"/>
        <w:ind w:left="0" w:leftChars="0"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（1）通路：临支路。</w:t>
      </w:r>
    </w:p>
    <w:p w14:paraId="6054CBC0">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（2）供电：区域内接市政双回路110KV供电管网，供电保证率一般。</w:t>
      </w:r>
    </w:p>
    <w:p w14:paraId="32B2EBFF">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（3）通讯：区域内通讯与市政通讯网相联，通讯线路以地下管道为主，辅以架空线路，通讯线路畅通，区内已实现移动电话全国漫游，区内全面铺设了高速宽带通讯光缆。</w:t>
      </w:r>
    </w:p>
    <w:p w14:paraId="591D11B5">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（4）给水：/。</w:t>
      </w:r>
    </w:p>
    <w:p w14:paraId="1A45C66B">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（5）排水：/。</w:t>
      </w:r>
    </w:p>
    <w:p w14:paraId="2EBE6F46">
      <w:pPr>
        <w:pStyle w:val="2"/>
        <w:spacing w:line="460" w:lineRule="exact"/>
        <w:ind w:left="0" w:leftChars="0" w:firstLine="560" w:firstLineChars="200"/>
        <w:rPr>
          <w:rFonts w:hint="eastAsia" w:ascii="仿宋_GB2312" w:hAnsi="仿宋_GB2312" w:eastAsia="仿宋_GB2312" w:cs="仿宋_GB2312"/>
          <w:bCs/>
          <w:color w:val="000000" w:themeColor="text1"/>
          <w:sz w:val="28"/>
          <w:szCs w:val="28"/>
          <w:highlight w:val="none"/>
          <w14:textFill>
            <w14:solidFill>
              <w14:schemeClr w14:val="tx1"/>
            </w14:solidFill>
          </w14:textFill>
        </w:rPr>
        <w:sectPr>
          <w:headerReference r:id="rId22" w:type="first"/>
          <w:footerReference r:id="rId23" w:type="first"/>
          <w:endnotePr>
            <w:numFmt w:val="decimal"/>
          </w:endnotePr>
          <w:pgSz w:w="11906" w:h="16838"/>
          <w:pgMar w:top="1440" w:right="1800" w:bottom="1440" w:left="1800" w:header="851" w:footer="850" w:gutter="0"/>
          <w:pgNumType w:fmt="decimal"/>
          <w:cols w:space="720" w:num="1"/>
          <w:docGrid w:linePitch="312" w:charSpace="0"/>
        </w:sect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综合考虑以上影响地价的个别因素，评估分析：面积适中，对土地利用有利，宗地形状基本规则，对利用有一定影响，地质地势条件优，主要进出道路为支路，道路通达度较差，距最近货运火车站距离为劣。估价对象作为设定用途符合有效利用原则，其他个别条件均对宗地产生较有利影响。</w:t>
      </w:r>
    </w:p>
    <w:p w14:paraId="15151C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7D5E358A">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4" w:type="first"/>
          <w:footerReference r:id="rId25"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4EB4596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ascii="仿宋_GB2312" w:eastAsia="仿宋_GB2312"/>
          <w:color w:val="000000" w:themeColor="text1"/>
          <w:sz w:val="28"/>
          <w:szCs w:val="30"/>
          <w:highlight w:val="none"/>
          <w14:textFill>
            <w14:solidFill>
              <w14:schemeClr w14:val="tx1"/>
            </w14:solidFill>
          </w14:textFill>
        </w:rPr>
      </w:pPr>
    </w:p>
    <w:p w14:paraId="18481D74">
      <w:pPr>
        <w:spacing w:line="460" w:lineRule="exact"/>
        <w:ind w:firstLine="560" w:firstLineChars="200"/>
        <w:outlineLvl w:val="9"/>
        <w:rPr>
          <w:rFonts w:ascii="仿宋_GB2312" w:eastAsia="仿宋_GB2312"/>
          <w:color w:val="000000" w:themeColor="text1"/>
          <w:sz w:val="28"/>
          <w:szCs w:val="30"/>
          <w:highlight w:val="none"/>
          <w14:textFill>
            <w14:solidFill>
              <w14:schemeClr w14:val="tx1"/>
            </w14:solidFill>
          </w14:textFill>
        </w:rPr>
        <w:sectPr>
          <w:headerReference r:id="rId26" w:type="first"/>
          <w:footerReference r:id="rId27" w:type="first"/>
          <w:endnotePr>
            <w:numFmt w:val="decimal"/>
          </w:endnotePr>
          <w:type w:val="continuous"/>
          <w:pgSz w:w="11906" w:h="16838"/>
          <w:pgMar w:top="1440" w:right="1800" w:bottom="1440" w:left="1800" w:header="851" w:footer="992" w:gutter="0"/>
          <w:pgNumType w:fmt="decimal"/>
          <w:cols w:space="720" w:num="1"/>
          <w:docGrid w:linePitch="312" w:charSpace="0"/>
        </w:sectPr>
      </w:pPr>
    </w:p>
    <w:p w14:paraId="085EF71D">
      <w:pPr>
        <w:adjustRightInd w:val="0"/>
        <w:snapToGrid w:val="0"/>
        <w:spacing w:line="480" w:lineRule="exact"/>
        <w:ind w:firstLine="643" w:firstLineChars="20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第三部分  土地估价</w:t>
      </w:r>
    </w:p>
    <w:p w14:paraId="719AFE8F">
      <w:pPr>
        <w:keepNext w:val="0"/>
        <w:keepLines w:val="0"/>
        <w:pageBreakBefore w:val="0"/>
        <w:widowControl w:val="0"/>
        <w:kinsoku/>
        <w:wordWrap/>
        <w:overflowPunct/>
        <w:topLinePunct w:val="0"/>
        <w:autoSpaceDE/>
        <w:autoSpaceDN/>
        <w:bidi w:val="0"/>
        <w:spacing w:line="480" w:lineRule="exact"/>
        <w:ind w:firstLine="562" w:firstLineChars="200"/>
        <w:textAlignment w:val="auto"/>
        <w:outlineLvl w:val="2"/>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一、估价原则</w:t>
      </w:r>
    </w:p>
    <w:p w14:paraId="245563C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地价是由其效用、相对稀缺性及有效需求三者相互作用影响所形成的。而这些因素又经常处于变动之中，土地估价必须要对此做细致分析并准确判断其变动趋向，了解土地价格组成的各种因素及各因素之间相互作用，才能做出正确的估价。我们在本次估价过程中根据《城镇土地估价规程》（中华人民共和国国家标准GB/T18508-2014）、《关于印发&lt;国有建设用地使用权出让地价评估技术规范&gt;的通知》（国土资厅发（2018）4号，2018年3月9日）及估价对象的具体情况主要遵循以下原则：</w:t>
      </w:r>
    </w:p>
    <w:p w14:paraId="0904C42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替代原则：根据市场运行规律，在同一商品市场中，商品或提供服务的效用相同或大致相似时，价格低者吸引需求，即有两个以上互有替代性的商品或服务同时存在时，商品或服务的价格是经过相互影响与比较之后来决定的。土地价值也同样遵循替代规律，某块土地的价格，受其它具有相同使用价值的地块，即同类型具有替代可能的地块价格所牵制。换言之，具有相同使用价值、替代可能的地块之间，会相互影响和竞争，使价格相互牵制而趋于一致。</w:t>
      </w:r>
    </w:p>
    <w:p w14:paraId="64604CB4">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本次评估中采用的市场比较法以该原则为基础。市场比较法选择的交易实例与估价对象位于同一供求圈，土地用途一致，区位条件相近，替代性较强。估价对象土地价格受同类型替代性的地块价格的牵制。</w:t>
      </w:r>
    </w:p>
    <w:p w14:paraId="00593F8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市场比较法选择的交易实例与估价对象位于同一供求圈，土地用途一致，区位条件相近，替代性较强。估价对象土地价格受同类型替代性的地块价格的牵制。</w:t>
      </w:r>
    </w:p>
    <w:p w14:paraId="7DA3531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2.最有效利用原则：土地估价应以估价对象的最有效利用为前提。判断土地的最有效利用以土地利用是否符合其自身利用条件、法律法规政策及规划限制、市场要求和最佳利用程度等为依据。</w:t>
      </w:r>
    </w:p>
    <w:p w14:paraId="1D913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以估价对象最有效利用为前提。根据委托人提供的《关于国有建设用地的规划条件的函》（2025年9月11日），开发建设时，投资人将使土地利用达到最有效利用，因此本次评估按规划指标最高值进行设定，符合最有效利用原则。</w:t>
      </w:r>
    </w:p>
    <w:p w14:paraId="5889C60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预期收益原则：土地价值可由土地产生的未来预期收益折现值来反映，土地投资者在预测该土地将来所能带来的收益或效用后进行投资的。土地评估应以估价对象在正常利用下的未来客观有效的预期收益为依据。</w:t>
      </w:r>
    </w:p>
    <w:p w14:paraId="37933D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本次评估估价对象土地价格为规划条件下的市场价格，考虑了土地在未来所能产生的利润，体现了预期收益原则。</w:t>
      </w:r>
    </w:p>
    <w:p w14:paraId="1EE1F15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供需原则：在完全的市场竞争中，一般商品的价格都取决于供求的均衡点。由于土地与一般商品相比，具有独特的人文和自然特性，因此在进行土地估价时既要考虑到所假设的公平市场，又要考虑土地供应的垄断特性。土地评估要充分考虑土地供需的特殊性和土地市场的地域性。</w:t>
      </w:r>
    </w:p>
    <w:p w14:paraId="548B8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由于估价对象所在区域内土地供给有限，土地市场正常价格有潜在的增长趋势，估价人员充分分析区域市场的供需情况，合理确定宗地价格。</w:t>
      </w:r>
    </w:p>
    <w:p w14:paraId="086DEDF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5.贡献原则：不动产总收益是由土地及其他生产要素共同作用的结果，土地价格可根据土地对不动产收益的贡献大小确定。</w:t>
      </w:r>
    </w:p>
    <w:p w14:paraId="184154F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评估中土地还原利率的确定考虑了贡献原则。本次评估土地价格为规划条件下的市场价格，是土地对总收益贡献大小的最终体现。</w:t>
      </w:r>
    </w:p>
    <w:p w14:paraId="7A440F3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6.价值主导原则：土地综合质量优劣是对地价产生影响的主要因素。</w:t>
      </w:r>
    </w:p>
    <w:p w14:paraId="3F31A0A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本次评估综合考虑了影响土地价格的自然、社会、经济状况等因素，并对其起控制主导作用的因素进行分析，符合价值主导原则。</w:t>
      </w:r>
    </w:p>
    <w:p w14:paraId="5272A1F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7.审慎原则：在评估中确定相关参数和结果时，应分析并充分考虑土地市场运行状况、有关行业发展状况，以及存在的风险。</w:t>
      </w:r>
    </w:p>
    <w:p w14:paraId="090101D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估价人员对不动产的未来收益或市场状况不应予以过于乐观的估计，同时，尽管统计数据或经验表明土地价格可能上升，但在评估时人应以估价期日的不动产市场价格为估价结果。对因土地市场运行状况、有关行业发展状况及存在的风险对外来可能造成的减值应给予充分的重视。本次评估中各参数的确定，充分考虑了国家对房地产行业的宏观调控政策，以谨慎的态度来选取各项参数。</w:t>
      </w:r>
    </w:p>
    <w:p w14:paraId="582E0D10">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8.公开市场原则：评估结果在公平、公正、公开的土地市场上可实现。</w:t>
      </w:r>
    </w:p>
    <w:p w14:paraId="5496561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本次评估中市场比较法中各案例均来源来公开市场，是公开市场原则的具体体现。</w:t>
      </w:r>
    </w:p>
    <w:p w14:paraId="4F6FB3C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总之，在评估过程中，要按照国家、地方的有关规定，恪守客观、公正、科学、合法总原则进行土地价格评估，做到评估过程合理、评估方法科学、评估结果准确、严格保守评估秘密。</w:t>
      </w:r>
    </w:p>
    <w:p w14:paraId="772B11E8">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（二）估价方法</w:t>
      </w:r>
    </w:p>
    <w:p w14:paraId="57993542">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1.土地使用权估价方法选择原则</w:t>
      </w:r>
    </w:p>
    <w:p w14:paraId="57CEB95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A.根据《城镇土地估价规程》（GB/T18508-2014,2014年12月01日实施）中关于工矿仓储用地估价方法选择的原则：</w:t>
      </w:r>
    </w:p>
    <w:p w14:paraId="6809CEE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（1）评估工矿仓储用地价格，宜选择市场比较法，并至少辅以另一种适宜的估价方法。</w:t>
      </w:r>
    </w:p>
    <w:p w14:paraId="1181B286">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（2）如缺少市场可比案例，可酌情选用成本逼近法与基准地价系数修正法。</w:t>
      </w:r>
    </w:p>
    <w:p w14:paraId="66C93F1D">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（3）评估租赁性工矿仓储用地，宜选用收益还原法。</w:t>
      </w:r>
    </w:p>
    <w:p w14:paraId="57ED1D21">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（4）评估投资待建的工矿仓储用地，可选用剩余法。</w:t>
      </w:r>
    </w:p>
    <w:p w14:paraId="3F3841D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（5）评估位于中心城区的工矿仓储用地，一般情况下不宜采用成本逼近法。</w:t>
      </w:r>
    </w:p>
    <w:p w14:paraId="56A0AD7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B.根据《国土资源部办公厅关于印发&lt;国有建设用地使用权出让地价评估技术规范&gt;的通知》（国土资厅发[2018]4号，2018年4月9日施行），出让地价评估的方法有(1)收益还原法、(2)市场比较法、(3)剩余法、(4)成本逼近法、(5)公示地价系数修正法（含基准地价系数修正法）。出让地价评估，应至少采用两种评估方法，包括(1)、(2)、(3)之一，以及(4)或(5)。因土地市场不发育等原因，无法满足上述要求的，应有详细的市场调查情况说明。</w:t>
      </w:r>
    </w:p>
    <w:p w14:paraId="45B787A5">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2.基本估价方法介绍</w:t>
      </w:r>
    </w:p>
    <w:p w14:paraId="0C637BEE">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根据《城镇土地估价规程》（GB/T18508-2014,2014年12月01日实施），宗地估价基本方法包括以下几种：</w:t>
      </w:r>
    </w:p>
    <w:p w14:paraId="4405FB07">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（1）市场比较法：将估价对象与在估价期日近期有过交易的类似土地进行比较，对这些类似土地的已知价格作适当的修正，以此估算估价对象的客观合理价格或价值的方法；</w:t>
      </w:r>
    </w:p>
    <w:p w14:paraId="59D53329">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（2）收益还原法：为预计估价对象未来的正常收益，选用适当的资本化率将其折现到估价期日后累加，以此估算估价对象的客观合理价格或价值的方法；</w:t>
      </w:r>
    </w:p>
    <w:p w14:paraId="2F793A3F">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（3）剩余法：是在估算开发完成后不动产正常交易价格的基础上，扣除建筑物建造费用和与建筑物建造、买卖有关的专业费、利息、利润、税收等费用后，以价格余额来估算土地价格的方法；</w:t>
      </w:r>
    </w:p>
    <w:p w14:paraId="49D354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（4）成本逼近法：是以土地取得费、土地开发所耗各项费用之和为主要依据，再加上一定的利润、利息、应缴纳的税金和土地增值收益来确定土地价格的估价方法；</w:t>
      </w:r>
    </w:p>
    <w:p w14:paraId="6FC4B22C">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5）公示地价系数修正法：包括基准地价系数修正法、路线价法和标定地价系数修正法。是指在求取一宗土地的价格时，依据估价对象所处地区的土地级别基准地价（或路线价、标定地价等）水平，考虑各系数修正，最后修正得出估价对象地价的一种方法。</w:t>
      </w:r>
    </w:p>
    <w:p w14:paraId="6561D843">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3.估价方法选择</w:t>
      </w:r>
    </w:p>
    <w:p>
      <w:pPr>
        <w:spacing w:before="0" w:after="0" w:line="460" w:lineRule="exact"/>
        <w:ind w:left="561" w:firstLine="0"/>
      </w:pPr>
      <w:r>
        <w:rPr>
          <w:rFonts w:ascii="仿宋_GB2312" w:hAnsi="仿宋_GB2312" w:eastAsia="仿宋_GB2312" w:cs="仿宋_GB2312"/>
          <w:sz w:val="28"/>
        </w:rPr>
        <w:t>{{ valuation_method_reasons }}</w:t>
      </w:r>
    </w:p>
    <w:p>
      <w:pPr>
        <w:spacing w:before="0" w:after="0" w:line="460" w:lineRule="exact"/>
        <w:ind w:left="561" w:firstLine="0"/>
      </w:pPr>
      <w:r>
        <w:rPr>
          <w:rFonts w:ascii="仿宋_GB2312" w:hAnsi="仿宋_GB2312" w:eastAsia="仿宋_GB2312" w:cs="仿宋_GB2312"/>
          <w:sz w:val="28"/>
        </w:rPr>
        <w:t>{{ valuation_method_applicability }}</w:t>
      </w:r>
    </w:p>
    <w:p w14:paraId="0745FAB0">
      <w:pPr>
        <w:keepNext w:val="0"/>
        <w:keepLines w:val="0"/>
        <w:pageBreakBefore w:val="0"/>
        <w:widowControl w:val="0"/>
        <w:kinsoku/>
        <w:wordWrap/>
        <w:overflowPunct/>
        <w:topLinePunct w:val="0"/>
        <w:autoSpaceDE/>
        <w:autoSpaceDN/>
        <w:bidi w:val="0"/>
        <w:spacing w:line="48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（二）估价过程</w:t>
      </w:r>
    </w:p>
    <w:p>
      <w:pPr>
        <w:keepNext/>
      </w:pPr>
      <w:r>
        <w:rPr>
          <w:rFonts w:ascii="仿宋_GB2312" w:hAnsi="仿宋_GB2312" w:eastAsia="仿宋_GB2312"/>
          <w:b/>
        </w:rPr>
        <w:t>★成本逼近法</w:t>
      </w:r>
    </w:p>
    <w:p>
      <w:r>
        <w:rPr>
          <w:rFonts w:ascii="仿宋_GB2312" w:hAnsi="仿宋_GB2312" w:eastAsia="仿宋_GB2312"/>
          <w:b w:val="0"/>
        </w:rPr>
        <w:t>成本逼近法是以开发土地所耗费的各项费用之和为主要依据，再加上一定的利润、利息、应缴纳的税金和土地增值收益来确定土地价格的估价方法。基本计算公式为：V＝Ea＋Ed＋T＋R1＋R2＋R3＝VE＋R3。</w:t>
      </w:r>
    </w:p>
    <w:p>
      <w:pPr>
        <w:keepNext/>
      </w:pPr>
      <w:r>
        <w:rPr>
          <w:rFonts w:ascii="仿宋_GB2312" w:hAnsi="仿宋_GB2312" w:eastAsia="仿宋_GB2312"/>
          <w:b/>
        </w:rPr>
        <w:t>计算过程：</w:t>
      </w:r>
    </w:p>
    <w:p>
      <w:r>
        <w:rPr>
          <w:rFonts w:ascii="仿宋_GB2312" w:hAnsi="仿宋_GB2312" w:eastAsia="仿宋_GB2312"/>
          <w:b w:val="0"/>
        </w:rPr>
        <w:t>估价对象位于道县状元路以北、潇水北路以西，本次按水田测算土地取得成本。</w:t>
      </w:r>
    </w:p>
    <w:p>
      <w:r>
        <w:rPr>
          <w:rFonts w:ascii="仿宋_GB2312" w:hAnsi="仿宋_GB2312" w:eastAsia="仿宋_GB2312"/>
          <w:b w:val="0"/>
        </w:rPr>
        <w:t>根据估价期日有效的湖南省及地方征收补偿文件，各项费用如下。</w:t>
      </w:r>
    </w:p>
    <w:p>
      <w:pPr>
        <w:keepNext/>
      </w:pPr>
      <w:r>
        <w:rPr>
          <w:rFonts w:ascii="仿宋_GB2312" w:hAnsi="仿宋_GB2312" w:eastAsia="仿宋_GB2312"/>
          <w:b/>
        </w:rPr>
        <w:t>1、土地取得费</w:t>
      </w:r>
    </w:p>
    <w:p>
      <w:r>
        <w:rPr>
          <w:rFonts w:ascii="仿宋_GB2312" w:hAnsi="仿宋_GB2312" w:eastAsia="仿宋_GB2312"/>
          <w:b w:val="0"/>
        </w:rPr>
        <w:t>土地取得费包括征地补偿费和安置补助费、青苗及地上附着物补偿等费用。经逐项测算，征地补偿费和安置补助费为99.45元/平方米；青苗及地上附着物补偿为138.81元/平方米；土地取得费合计为238.26元/平方米。</w:t>
      </w:r>
    </w:p>
    <w:p>
      <w:pPr>
        <w:keepNext/>
      </w:pPr>
      <w:r>
        <w:rPr>
          <w:rFonts w:ascii="仿宋_GB2312" w:hAnsi="仿宋_GB2312" w:eastAsia="仿宋_GB2312"/>
          <w:b/>
        </w:rPr>
        <w:t>土地取得费测算表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项目</w:t>
            </w:r>
          </w:p>
        </w:tc>
        <w:tc>
          <w:tcPr>
            <w:tcW w:type="dxa" w:w="2268"/>
            <w:vAlign w:val="center"/>
          </w:tcPr>
          <w:p>
            <w:pPr>
              <w:spacing w:before="0" w:after="0"/>
              <w:ind w:firstLine="0"/>
              <w:jc w:val="center"/>
            </w:pPr>
            <w:r>
              <w:rPr>
                <w:rFonts w:ascii="仿宋_GB2312" w:hAnsi="仿宋_GB2312" w:eastAsia="仿宋_GB2312"/>
                <w:b/>
                <w:sz w:val="16"/>
              </w:rPr>
              <w:t>依据/说明</w:t>
            </w:r>
          </w:p>
        </w:tc>
        <w:tc>
          <w:tcPr>
            <w:tcW w:type="dxa" w:w="1474"/>
            <w:vAlign w:val="center"/>
          </w:tcPr>
          <w:p>
            <w:pPr>
              <w:spacing w:before="0" w:after="0"/>
              <w:ind w:firstLine="0"/>
              <w:jc w:val="center"/>
            </w:pPr>
            <w:r>
              <w:rPr>
                <w:rFonts w:ascii="仿宋_GB2312" w:hAnsi="仿宋_GB2312" w:eastAsia="仿宋_GB2312"/>
                <w:b/>
                <w:sz w:val="16"/>
              </w:rPr>
              <w:t>标准/权重</w:t>
            </w:r>
          </w:p>
        </w:tc>
        <w:tc>
          <w:tcPr>
            <w:tcW w:type="dxa" w:w="2154"/>
            <w:vAlign w:val="center"/>
          </w:tcPr>
          <w:p>
            <w:pPr>
              <w:spacing w:before="0" w:after="0"/>
              <w:ind w:firstLine="0"/>
              <w:jc w:val="center"/>
            </w:pPr>
            <w:r>
              <w:rPr>
                <w:rFonts w:ascii="仿宋_GB2312" w:hAnsi="仿宋_GB2312" w:eastAsia="仿宋_GB2312"/>
                <w:b/>
                <w:sz w:val="16"/>
              </w:rPr>
              <w:t>计算式/等级</w:t>
            </w:r>
          </w:p>
        </w:tc>
        <w:tc>
          <w:tcPr>
            <w:tcW w:type="dxa" w:w="1474"/>
            <w:vAlign w:val="center"/>
          </w:tcPr>
          <w:p>
            <w:pPr>
              <w:spacing w:before="0" w:after="0"/>
              <w:ind w:firstLine="0"/>
              <w:jc w:val="center"/>
            </w:pPr>
            <w:r>
              <w:rPr>
                <w:rFonts w:ascii="仿宋_GB2312" w:hAnsi="仿宋_GB2312" w:eastAsia="仿宋_GB2312"/>
                <w:b/>
                <w:sz w:val="16"/>
              </w:rPr>
              <w:t>金额/修正率</w:t>
            </w:r>
          </w:p>
        </w:tc>
      </w:tr>
      <w:tr>
        <w:tc>
          <w:tcPr>
            <w:tcW w:type="dxa" w:w="1757"/>
            <w:vAlign w:val="center"/>
          </w:tcPr>
          <w:p>
            <w:pPr>
              <w:spacing w:before="0" w:after="0"/>
              <w:ind w:firstLine="0"/>
              <w:jc w:val="center"/>
            </w:pPr>
            <w:r>
              <w:rPr>
                <w:rFonts w:ascii="仿宋_GB2312" w:hAnsi="仿宋_GB2312" w:eastAsia="仿宋_GB2312"/>
                <w:b w:val="0"/>
                <w:sz w:val="16"/>
              </w:rPr>
              <w:t>征地补偿费和安置补助费</w:t>
            </w:r>
          </w:p>
        </w:tc>
        <w:tc>
          <w:tcPr>
            <w:tcW w:type="dxa" w:w="2268"/>
            <w:vAlign w:val="center"/>
          </w:tcPr>
          <w:p>
            <w:pPr>
              <w:spacing w:before="0" w:after="0"/>
              <w:ind w:firstLine="0"/>
              <w:jc w:val="center"/>
            </w:pPr>
            <w:r>
              <w:rPr>
                <w:rFonts w:ascii="仿宋_GB2312" w:hAnsi="仿宋_GB2312" w:eastAsia="仿宋_GB2312"/>
                <w:b w:val="0"/>
                <w:sz w:val="16"/>
              </w:rPr>
              <w:t>道县征地区片Ⅰ推荐值</w:t>
            </w:r>
          </w:p>
        </w:tc>
        <w:tc>
          <w:tcPr>
            <w:tcW w:type="dxa" w:w="1474"/>
            <w:vAlign w:val="center"/>
          </w:tcPr>
          <w:p>
            <w:pPr>
              <w:spacing w:before="0" w:after="0"/>
              <w:ind w:firstLine="0"/>
              <w:jc w:val="center"/>
            </w:pPr>
            <w:r>
              <w:rPr>
                <w:rFonts w:ascii="仿宋_GB2312" w:hAnsi="仿宋_GB2312" w:eastAsia="仿宋_GB2312"/>
                <w:b w:val="0"/>
                <w:sz w:val="16"/>
              </w:rPr>
              <w:t>66300 元/亩</w:t>
            </w:r>
          </w:p>
        </w:tc>
        <w:tc>
          <w:tcPr>
            <w:tcW w:type="dxa" w:w="2154"/>
            <w:vAlign w:val="center"/>
          </w:tcPr>
          <w:p>
            <w:pPr>
              <w:spacing w:before="0" w:after="0"/>
              <w:ind w:firstLine="0"/>
              <w:jc w:val="center"/>
            </w:pPr>
            <w:r>
              <w:rPr>
                <w:rFonts w:ascii="仿宋_GB2312" w:hAnsi="仿宋_GB2312" w:eastAsia="仿宋_GB2312"/>
                <w:b w:val="0"/>
                <w:sz w:val="16"/>
              </w:rPr>
              <w:t>区片标准×地类系数×0.0015</w:t>
            </w:r>
          </w:p>
        </w:tc>
        <w:tc>
          <w:tcPr>
            <w:tcW w:type="dxa" w:w="1474"/>
            <w:vAlign w:val="center"/>
          </w:tcPr>
          <w:p>
            <w:pPr>
              <w:spacing w:before="0" w:after="0"/>
              <w:ind w:firstLine="0"/>
              <w:jc w:val="center"/>
            </w:pPr>
            <w:r>
              <w:rPr>
                <w:rFonts w:ascii="仿宋_GB2312" w:hAnsi="仿宋_GB2312" w:eastAsia="仿宋_GB2312"/>
                <w:b w:val="0"/>
                <w:sz w:val="16"/>
              </w:rPr>
              <w:t>99.45</w:t>
            </w:r>
          </w:p>
        </w:tc>
      </w:tr>
      <w:tr>
        <w:tc>
          <w:tcPr>
            <w:tcW w:type="dxa" w:w="1757"/>
            <w:vAlign w:val="center"/>
          </w:tcPr>
          <w:p>
            <w:pPr>
              <w:spacing w:before="0" w:after="0"/>
              <w:ind w:firstLine="0"/>
              <w:jc w:val="center"/>
            </w:pPr>
            <w:r>
              <w:rPr>
                <w:rFonts w:ascii="仿宋_GB2312" w:hAnsi="仿宋_GB2312" w:eastAsia="仿宋_GB2312"/>
                <w:b w:val="0"/>
                <w:sz w:val="16"/>
              </w:rPr>
              <w:t>青苗及地上附着物补偿</w:t>
            </w:r>
          </w:p>
        </w:tc>
        <w:tc>
          <w:tcPr>
            <w:tcW w:type="dxa" w:w="2268"/>
            <w:vAlign w:val="center"/>
          </w:tcPr>
          <w:p>
            <w:pPr>
              <w:spacing w:before="0" w:after="0"/>
              <w:ind w:firstLine="0"/>
              <w:jc w:val="center"/>
            </w:pPr>
            <w:r>
              <w:rPr>
                <w:rFonts w:ascii="仿宋_GB2312" w:hAnsi="仿宋_GB2312" w:eastAsia="仿宋_GB2312"/>
                <w:b w:val="0"/>
                <w:sz w:val="16"/>
              </w:rPr>
              <w:t>附着物补偿外部测算</w:t>
            </w:r>
          </w:p>
        </w:tc>
        <w:tc>
          <w:tcPr>
            <w:tcW w:type="dxa" w:w="1474"/>
            <w:vAlign w:val="center"/>
          </w:tcPr>
          <w:p>
            <w:pPr>
              <w:spacing w:before="0" w:after="0"/>
              <w:ind w:firstLine="0"/>
              <w:jc w:val="center"/>
            </w:pPr>
            <w:r>
              <w:rPr>
                <w:rFonts w:ascii="仿宋_GB2312" w:hAnsi="仿宋_GB2312" w:eastAsia="仿宋_GB2312"/>
                <w:b w:val="0"/>
                <w:sz w:val="16"/>
              </w:rPr>
              <w:t>—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138.81</w:t>
            </w:r>
          </w:p>
        </w:tc>
      </w:tr>
    </w:tbl>
    <w:p>
      <w:pPr>
        <w:keepNext/>
      </w:pPr>
      <w:r>
        <w:rPr>
          <w:rFonts w:ascii="仿宋_GB2312" w:hAnsi="仿宋_GB2312" w:eastAsia="仿宋_GB2312"/>
          <w:b/>
        </w:rPr>
        <w:t>2、相关税费（T）</w:t>
      </w:r>
    </w:p>
    <w:p>
      <w:r>
        <w:rPr>
          <w:rFonts w:ascii="仿宋_GB2312" w:hAnsi="仿宋_GB2312" w:eastAsia="仿宋_GB2312"/>
          <w:b w:val="0"/>
        </w:rPr>
        <w:t>根据估价对象征收地类及估价期日适用政策，水利建设基金为1.60元/平方米；耕地占用税为25.00元/平方米；耕地开垦费为99.00元/平方米；被征地农民社会保障费为30.00元/平方米；相关税费合计为155.60元/平方米。</w:t>
      </w:r>
    </w:p>
    <w:p>
      <w:pPr>
        <w:keepNext/>
      </w:pPr>
      <w:r>
        <w:rPr>
          <w:rFonts w:ascii="仿宋_GB2312" w:hAnsi="仿宋_GB2312" w:eastAsia="仿宋_GB2312"/>
          <w:b/>
        </w:rPr>
        <w:t>土地取得费及相关税费一览表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项目</w:t>
            </w:r>
          </w:p>
        </w:tc>
        <w:tc>
          <w:tcPr>
            <w:tcW w:type="dxa" w:w="2268"/>
            <w:vAlign w:val="center"/>
          </w:tcPr>
          <w:p>
            <w:pPr>
              <w:spacing w:before="0" w:after="0"/>
              <w:ind w:firstLine="0"/>
              <w:jc w:val="center"/>
            </w:pPr>
            <w:r>
              <w:rPr>
                <w:rFonts w:ascii="仿宋_GB2312" w:hAnsi="仿宋_GB2312" w:eastAsia="仿宋_GB2312"/>
                <w:b/>
                <w:sz w:val="16"/>
              </w:rPr>
              <w:t>依据/说明</w:t>
            </w:r>
          </w:p>
        </w:tc>
        <w:tc>
          <w:tcPr>
            <w:tcW w:type="dxa" w:w="1474"/>
            <w:vAlign w:val="center"/>
          </w:tcPr>
          <w:p>
            <w:pPr>
              <w:spacing w:before="0" w:after="0"/>
              <w:ind w:firstLine="0"/>
              <w:jc w:val="center"/>
            </w:pPr>
            <w:r>
              <w:rPr>
                <w:rFonts w:ascii="仿宋_GB2312" w:hAnsi="仿宋_GB2312" w:eastAsia="仿宋_GB2312"/>
                <w:b/>
                <w:sz w:val="16"/>
              </w:rPr>
              <w:t>标准/权重</w:t>
            </w:r>
          </w:p>
        </w:tc>
        <w:tc>
          <w:tcPr>
            <w:tcW w:type="dxa" w:w="2154"/>
            <w:vAlign w:val="center"/>
          </w:tcPr>
          <w:p>
            <w:pPr>
              <w:spacing w:before="0" w:after="0"/>
              <w:ind w:firstLine="0"/>
              <w:jc w:val="center"/>
            </w:pPr>
            <w:r>
              <w:rPr>
                <w:rFonts w:ascii="仿宋_GB2312" w:hAnsi="仿宋_GB2312" w:eastAsia="仿宋_GB2312"/>
                <w:b/>
                <w:sz w:val="16"/>
              </w:rPr>
              <w:t>计算式/等级</w:t>
            </w:r>
          </w:p>
        </w:tc>
        <w:tc>
          <w:tcPr>
            <w:tcW w:type="dxa" w:w="1474"/>
            <w:vAlign w:val="center"/>
          </w:tcPr>
          <w:p>
            <w:pPr>
              <w:spacing w:before="0" w:after="0"/>
              <w:ind w:firstLine="0"/>
              <w:jc w:val="center"/>
            </w:pPr>
            <w:r>
              <w:rPr>
                <w:rFonts w:ascii="仿宋_GB2312" w:hAnsi="仿宋_GB2312" w:eastAsia="仿宋_GB2312"/>
                <w:b/>
                <w:sz w:val="16"/>
              </w:rPr>
              <w:t>金额/修正率</w:t>
            </w:r>
          </w:p>
        </w:tc>
      </w:tr>
      <w:tr>
        <w:tc>
          <w:tcPr>
            <w:tcW w:type="dxa" w:w="1757"/>
            <w:vAlign w:val="center"/>
          </w:tcPr>
          <w:p>
            <w:pPr>
              <w:spacing w:before="0" w:after="0"/>
              <w:ind w:firstLine="0"/>
              <w:jc w:val="center"/>
            </w:pPr>
            <w:r>
              <w:rPr>
                <w:rFonts w:ascii="仿宋_GB2312" w:hAnsi="仿宋_GB2312" w:eastAsia="仿宋_GB2312"/>
                <w:b w:val="0"/>
                <w:sz w:val="16"/>
              </w:rPr>
              <w:t>水利建设基金</w:t>
            </w:r>
          </w:p>
        </w:tc>
        <w:tc>
          <w:tcPr>
            <w:tcW w:type="dxa" w:w="2268"/>
            <w:vAlign w:val="center"/>
          </w:tcPr>
          <w:p>
            <w:pPr>
              <w:spacing w:before="0" w:after="0"/>
              <w:ind w:firstLine="0"/>
              <w:jc w:val="center"/>
            </w:pPr>
            <w:r>
              <w:rPr>
                <w:rFonts w:ascii="仿宋_GB2312" w:hAnsi="仿宋_GB2312" w:eastAsia="仿宋_GB2312"/>
                <w:b w:val="0"/>
                <w:sz w:val="16"/>
              </w:rPr>
              <w:t>新增建设用地有偿使用费相关政策</w:t>
            </w:r>
          </w:p>
        </w:tc>
        <w:tc>
          <w:tcPr>
            <w:tcW w:type="dxa" w:w="1474"/>
            <w:vAlign w:val="center"/>
          </w:tcPr>
          <w:p>
            <w:pPr>
              <w:spacing w:before="0" w:after="0"/>
              <w:ind w:firstLine="0"/>
              <w:jc w:val="center"/>
            </w:pPr>
            <w:r>
              <w:rPr>
                <w:rFonts w:ascii="仿宋_GB2312" w:hAnsi="仿宋_GB2312" w:eastAsia="仿宋_GB2312"/>
                <w:b w:val="0"/>
                <w:sz w:val="16"/>
              </w:rPr>
              <w:t>1.60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1.60</w:t>
            </w:r>
          </w:p>
        </w:tc>
      </w:tr>
      <w:tr>
        <w:tc>
          <w:tcPr>
            <w:tcW w:type="dxa" w:w="1757"/>
            <w:vAlign w:val="center"/>
          </w:tcPr>
          <w:p>
            <w:pPr>
              <w:spacing w:before="0" w:after="0"/>
              <w:ind w:firstLine="0"/>
              <w:jc w:val="center"/>
            </w:pPr>
            <w:r>
              <w:rPr>
                <w:rFonts w:ascii="仿宋_GB2312" w:hAnsi="仿宋_GB2312" w:eastAsia="仿宋_GB2312"/>
                <w:b w:val="0"/>
                <w:sz w:val="16"/>
              </w:rPr>
              <w:t>耕地占用税</w:t>
            </w:r>
          </w:p>
        </w:tc>
        <w:tc>
          <w:tcPr>
            <w:tcW w:type="dxa" w:w="2268"/>
            <w:vAlign w:val="center"/>
          </w:tcPr>
          <w:p>
            <w:pPr>
              <w:spacing w:before="0" w:after="0"/>
              <w:ind w:firstLine="0"/>
              <w:jc w:val="center"/>
            </w:pPr>
            <w:r>
              <w:rPr>
                <w:rFonts w:ascii="仿宋_GB2312" w:hAnsi="仿宋_GB2312" w:eastAsia="仿宋_GB2312"/>
                <w:b w:val="0"/>
                <w:sz w:val="16"/>
              </w:rPr>
              <w:t>湖南省耕地占用税适用税额及地类调整政策</w:t>
            </w:r>
          </w:p>
        </w:tc>
        <w:tc>
          <w:tcPr>
            <w:tcW w:type="dxa" w:w="1474"/>
            <w:vAlign w:val="center"/>
          </w:tcPr>
          <w:p>
            <w:pPr>
              <w:spacing w:before="0" w:after="0"/>
              <w:ind w:firstLine="0"/>
              <w:jc w:val="center"/>
            </w:pPr>
            <w:r>
              <w:rPr>
                <w:rFonts w:ascii="仿宋_GB2312" w:hAnsi="仿宋_GB2312" w:eastAsia="仿宋_GB2312"/>
                <w:b w:val="0"/>
                <w:sz w:val="16"/>
              </w:rPr>
              <w:t>25.00 元/平方米</w:t>
            </w:r>
          </w:p>
        </w:tc>
        <w:tc>
          <w:tcPr>
            <w:tcW w:type="dxa" w:w="2154"/>
            <w:vAlign w:val="center"/>
          </w:tcPr>
          <w:p>
            <w:pPr>
              <w:spacing w:before="0" w:after="0"/>
              <w:ind w:firstLine="0"/>
              <w:jc w:val="center"/>
            </w:pPr>
            <w:r>
              <w:rPr>
                <w:rFonts w:ascii="仿宋_GB2312" w:hAnsi="仿宋_GB2312" w:eastAsia="仿宋_GB2312"/>
                <w:b w:val="0"/>
                <w:sz w:val="16"/>
              </w:rPr>
              <w:t>适用税额×地类调整系数</w:t>
            </w:r>
          </w:p>
        </w:tc>
        <w:tc>
          <w:tcPr>
            <w:tcW w:type="dxa" w:w="1474"/>
            <w:vAlign w:val="center"/>
          </w:tcPr>
          <w:p>
            <w:pPr>
              <w:spacing w:before="0" w:after="0"/>
              <w:ind w:firstLine="0"/>
              <w:jc w:val="center"/>
            </w:pPr>
            <w:r>
              <w:rPr>
                <w:rFonts w:ascii="仿宋_GB2312" w:hAnsi="仿宋_GB2312" w:eastAsia="仿宋_GB2312"/>
                <w:b w:val="0"/>
                <w:sz w:val="16"/>
              </w:rPr>
              <w:t>25.00</w:t>
            </w:r>
          </w:p>
        </w:tc>
      </w:tr>
      <w:tr>
        <w:tc>
          <w:tcPr>
            <w:tcW w:type="dxa" w:w="1757"/>
            <w:vAlign w:val="center"/>
          </w:tcPr>
          <w:p>
            <w:pPr>
              <w:spacing w:before="0" w:after="0"/>
              <w:ind w:firstLine="0"/>
              <w:jc w:val="center"/>
            </w:pPr>
            <w:r>
              <w:rPr>
                <w:rFonts w:ascii="仿宋_GB2312" w:hAnsi="仿宋_GB2312" w:eastAsia="仿宋_GB2312"/>
                <w:b w:val="0"/>
                <w:sz w:val="16"/>
              </w:rPr>
              <w:t>耕地开垦费</w:t>
            </w:r>
          </w:p>
        </w:tc>
        <w:tc>
          <w:tcPr>
            <w:tcW w:type="dxa" w:w="2268"/>
            <w:vAlign w:val="center"/>
          </w:tcPr>
          <w:p>
            <w:pPr>
              <w:spacing w:before="0" w:after="0"/>
              <w:ind w:firstLine="0"/>
              <w:jc w:val="center"/>
            </w:pPr>
            <w:r>
              <w:rPr>
                <w:rFonts w:ascii="仿宋_GB2312" w:hAnsi="仿宋_GB2312" w:eastAsia="仿宋_GB2312"/>
                <w:b w:val="0"/>
                <w:sz w:val="16"/>
              </w:rPr>
              <w:t>湖南省耕地开垦费征收标准</w:t>
            </w:r>
          </w:p>
        </w:tc>
        <w:tc>
          <w:tcPr>
            <w:tcW w:type="dxa" w:w="1474"/>
            <w:vAlign w:val="center"/>
          </w:tcPr>
          <w:p>
            <w:pPr>
              <w:spacing w:before="0" w:after="0"/>
              <w:ind w:firstLine="0"/>
              <w:jc w:val="center"/>
            </w:pPr>
            <w:r>
              <w:rPr>
                <w:rFonts w:ascii="仿宋_GB2312" w:hAnsi="仿宋_GB2312" w:eastAsia="仿宋_GB2312"/>
                <w:b w:val="0"/>
                <w:sz w:val="16"/>
              </w:rPr>
              <w:t>99.00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99.00</w:t>
            </w:r>
          </w:p>
        </w:tc>
      </w:tr>
      <w:tr>
        <w:tc>
          <w:tcPr>
            <w:tcW w:type="dxa" w:w="1757"/>
            <w:vAlign w:val="center"/>
          </w:tcPr>
          <w:p>
            <w:pPr>
              <w:spacing w:before="0" w:after="0"/>
              <w:ind w:firstLine="0"/>
              <w:jc w:val="center"/>
            </w:pPr>
            <w:r>
              <w:rPr>
                <w:rFonts w:ascii="仿宋_GB2312" w:hAnsi="仿宋_GB2312" w:eastAsia="仿宋_GB2312"/>
                <w:b w:val="0"/>
                <w:sz w:val="16"/>
              </w:rPr>
              <w:t>被征地农民社会保障费</w:t>
            </w:r>
          </w:p>
        </w:tc>
        <w:tc>
          <w:tcPr>
            <w:tcW w:type="dxa" w:w="2268"/>
            <w:vAlign w:val="center"/>
          </w:tcPr>
          <w:p>
            <w:pPr>
              <w:spacing w:before="0" w:after="0"/>
              <w:ind w:firstLine="0"/>
              <w:jc w:val="center"/>
            </w:pPr>
            <w:r>
              <w:rPr>
                <w:rFonts w:ascii="仿宋_GB2312" w:hAnsi="仿宋_GB2312" w:eastAsia="仿宋_GB2312"/>
                <w:b w:val="0"/>
                <w:sz w:val="16"/>
              </w:rPr>
              <w:t>湖南省被征地农民社会保障政策</w:t>
            </w:r>
          </w:p>
        </w:tc>
        <w:tc>
          <w:tcPr>
            <w:tcW w:type="dxa" w:w="1474"/>
            <w:vAlign w:val="center"/>
          </w:tcPr>
          <w:p>
            <w:pPr>
              <w:spacing w:before="0" w:after="0"/>
              <w:ind w:firstLine="0"/>
              <w:jc w:val="center"/>
            </w:pPr>
            <w:r>
              <w:rPr>
                <w:rFonts w:ascii="仿宋_GB2312" w:hAnsi="仿宋_GB2312" w:eastAsia="仿宋_GB2312"/>
                <w:b w:val="0"/>
                <w:sz w:val="16"/>
              </w:rPr>
              <w:t>30.00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30.00</w:t>
            </w:r>
          </w:p>
        </w:tc>
      </w:tr>
    </w:tbl>
    <w:p>
      <w:pPr>
        <w:keepNext/>
      </w:pPr>
      <w:r>
        <w:rPr>
          <w:rFonts w:ascii="仿宋_GB2312" w:hAnsi="仿宋_GB2312" w:eastAsia="仿宋_GB2312"/>
          <w:b/>
        </w:rPr>
        <w:t>3、土地开发费</w:t>
      </w:r>
    </w:p>
    <w:p>
      <w:r>
        <w:rPr>
          <w:rFonts w:ascii="仿宋_GB2312" w:hAnsi="仿宋_GB2312" w:eastAsia="仿宋_GB2312"/>
          <w:b w:val="0"/>
        </w:rPr>
        <w:t>本次设定土地开发程度涉及通路、通电、供水、排水、通讯、场地平整。根据区域市场调查资料，土地开发费合计为82.00元/平方米。</w:t>
      </w:r>
    </w:p>
    <w:p>
      <w:pPr>
        <w:keepNext/>
      </w:pPr>
      <w:r>
        <w:rPr>
          <w:rFonts w:ascii="仿宋_GB2312" w:hAnsi="仿宋_GB2312" w:eastAsia="仿宋_GB2312"/>
          <w:b/>
        </w:rPr>
        <w:t>土地开发费用分项一览表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项目</w:t>
            </w:r>
          </w:p>
        </w:tc>
        <w:tc>
          <w:tcPr>
            <w:tcW w:type="dxa" w:w="2268"/>
            <w:vAlign w:val="center"/>
          </w:tcPr>
          <w:p>
            <w:pPr>
              <w:spacing w:before="0" w:after="0"/>
              <w:ind w:firstLine="0"/>
              <w:jc w:val="center"/>
            </w:pPr>
            <w:r>
              <w:rPr>
                <w:rFonts w:ascii="仿宋_GB2312" w:hAnsi="仿宋_GB2312" w:eastAsia="仿宋_GB2312"/>
                <w:b/>
                <w:sz w:val="16"/>
              </w:rPr>
              <w:t>依据/说明</w:t>
            </w:r>
          </w:p>
        </w:tc>
        <w:tc>
          <w:tcPr>
            <w:tcW w:type="dxa" w:w="1474"/>
            <w:vAlign w:val="center"/>
          </w:tcPr>
          <w:p>
            <w:pPr>
              <w:spacing w:before="0" w:after="0"/>
              <w:ind w:firstLine="0"/>
              <w:jc w:val="center"/>
            </w:pPr>
            <w:r>
              <w:rPr>
                <w:rFonts w:ascii="仿宋_GB2312" w:hAnsi="仿宋_GB2312" w:eastAsia="仿宋_GB2312"/>
                <w:b/>
                <w:sz w:val="16"/>
              </w:rPr>
              <w:t>标准/权重</w:t>
            </w:r>
          </w:p>
        </w:tc>
        <w:tc>
          <w:tcPr>
            <w:tcW w:type="dxa" w:w="2154"/>
            <w:vAlign w:val="center"/>
          </w:tcPr>
          <w:p>
            <w:pPr>
              <w:spacing w:before="0" w:after="0"/>
              <w:ind w:firstLine="0"/>
              <w:jc w:val="center"/>
            </w:pPr>
            <w:r>
              <w:rPr>
                <w:rFonts w:ascii="仿宋_GB2312" w:hAnsi="仿宋_GB2312" w:eastAsia="仿宋_GB2312"/>
                <w:b/>
                <w:sz w:val="16"/>
              </w:rPr>
              <w:t>计算式/等级</w:t>
            </w:r>
          </w:p>
        </w:tc>
        <w:tc>
          <w:tcPr>
            <w:tcW w:type="dxa" w:w="1474"/>
            <w:vAlign w:val="center"/>
          </w:tcPr>
          <w:p>
            <w:pPr>
              <w:spacing w:before="0" w:after="0"/>
              <w:ind w:firstLine="0"/>
              <w:jc w:val="center"/>
            </w:pPr>
            <w:r>
              <w:rPr>
                <w:rFonts w:ascii="仿宋_GB2312" w:hAnsi="仿宋_GB2312" w:eastAsia="仿宋_GB2312"/>
                <w:b/>
                <w:sz w:val="16"/>
              </w:rPr>
              <w:t>金额/修正率</w:t>
            </w:r>
          </w:p>
        </w:tc>
      </w:tr>
      <w:tr>
        <w:tc>
          <w:tcPr>
            <w:tcW w:type="dxa" w:w="1757"/>
            <w:vAlign w:val="center"/>
          </w:tcPr>
          <w:p>
            <w:pPr>
              <w:spacing w:before="0" w:after="0"/>
              <w:ind w:firstLine="0"/>
              <w:jc w:val="center"/>
            </w:pPr>
            <w:r>
              <w:rPr>
                <w:rFonts w:ascii="仿宋_GB2312" w:hAnsi="仿宋_GB2312" w:eastAsia="仿宋_GB2312"/>
                <w:b w:val="0"/>
                <w:sz w:val="16"/>
              </w:rPr>
              <w:t>通路</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16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16</w:t>
            </w:r>
          </w:p>
        </w:tc>
      </w:tr>
      <w:tr>
        <w:tc>
          <w:tcPr>
            <w:tcW w:type="dxa" w:w="1757"/>
            <w:vAlign w:val="center"/>
          </w:tcPr>
          <w:p>
            <w:pPr>
              <w:spacing w:before="0" w:after="0"/>
              <w:ind w:firstLine="0"/>
              <w:jc w:val="center"/>
            </w:pPr>
            <w:r>
              <w:rPr>
                <w:rFonts w:ascii="仿宋_GB2312" w:hAnsi="仿宋_GB2312" w:eastAsia="仿宋_GB2312"/>
                <w:b w:val="0"/>
                <w:sz w:val="16"/>
              </w:rPr>
              <w:t>通电</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13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13</w:t>
            </w:r>
          </w:p>
        </w:tc>
      </w:tr>
      <w:tr>
        <w:tc>
          <w:tcPr>
            <w:tcW w:type="dxa" w:w="1757"/>
            <w:vAlign w:val="center"/>
          </w:tcPr>
          <w:p>
            <w:pPr>
              <w:spacing w:before="0" w:after="0"/>
              <w:ind w:firstLine="0"/>
              <w:jc w:val="center"/>
            </w:pPr>
            <w:r>
              <w:rPr>
                <w:rFonts w:ascii="仿宋_GB2312" w:hAnsi="仿宋_GB2312" w:eastAsia="仿宋_GB2312"/>
                <w:b w:val="0"/>
                <w:sz w:val="16"/>
              </w:rPr>
              <w:t>供水</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13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13</w:t>
            </w:r>
          </w:p>
        </w:tc>
      </w:tr>
      <w:tr>
        <w:tc>
          <w:tcPr>
            <w:tcW w:type="dxa" w:w="1757"/>
            <w:vAlign w:val="center"/>
          </w:tcPr>
          <w:p>
            <w:pPr>
              <w:spacing w:before="0" w:after="0"/>
              <w:ind w:firstLine="0"/>
              <w:jc w:val="center"/>
            </w:pPr>
            <w:r>
              <w:rPr>
                <w:rFonts w:ascii="仿宋_GB2312" w:hAnsi="仿宋_GB2312" w:eastAsia="仿宋_GB2312"/>
                <w:b w:val="0"/>
                <w:sz w:val="16"/>
              </w:rPr>
              <w:t>排水</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15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15</w:t>
            </w:r>
          </w:p>
        </w:tc>
      </w:tr>
      <w:tr>
        <w:tc>
          <w:tcPr>
            <w:tcW w:type="dxa" w:w="1757"/>
            <w:vAlign w:val="center"/>
          </w:tcPr>
          <w:p>
            <w:pPr>
              <w:spacing w:before="0" w:after="0"/>
              <w:ind w:firstLine="0"/>
              <w:jc w:val="center"/>
            </w:pPr>
            <w:r>
              <w:rPr>
                <w:rFonts w:ascii="仿宋_GB2312" w:hAnsi="仿宋_GB2312" w:eastAsia="仿宋_GB2312"/>
                <w:b w:val="0"/>
                <w:sz w:val="16"/>
              </w:rPr>
              <w:t>通讯</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6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6</w:t>
            </w:r>
          </w:p>
        </w:tc>
      </w:tr>
      <w:tr>
        <w:tc>
          <w:tcPr>
            <w:tcW w:type="dxa" w:w="1757"/>
            <w:vAlign w:val="center"/>
          </w:tcPr>
          <w:p>
            <w:pPr>
              <w:spacing w:before="0" w:after="0"/>
              <w:ind w:firstLine="0"/>
              <w:jc w:val="center"/>
            </w:pPr>
            <w:r>
              <w:rPr>
                <w:rFonts w:ascii="仿宋_GB2312" w:hAnsi="仿宋_GB2312" w:eastAsia="仿宋_GB2312"/>
                <w:b w:val="0"/>
                <w:sz w:val="16"/>
              </w:rPr>
              <w:t>场地平整</w:t>
            </w:r>
          </w:p>
        </w:tc>
        <w:tc>
          <w:tcPr>
            <w:tcW w:type="dxa" w:w="2268"/>
            <w:vAlign w:val="center"/>
          </w:tcPr>
          <w:p>
            <w:pPr>
              <w:spacing w:before="0" w:after="0"/>
              <w:ind w:firstLine="0"/>
              <w:jc w:val="center"/>
            </w:pPr>
            <w:r>
              <w:rPr>
                <w:rFonts w:ascii="仿宋_GB2312" w:hAnsi="仿宋_GB2312" w:eastAsia="仿宋_GB2312"/>
                <w:b w:val="0"/>
                <w:sz w:val="16"/>
              </w:rPr>
              <w:t>区域基础设施开发费用市场调查推荐值</w:t>
            </w:r>
          </w:p>
        </w:tc>
        <w:tc>
          <w:tcPr>
            <w:tcW w:type="dxa" w:w="1474"/>
            <w:vAlign w:val="center"/>
          </w:tcPr>
          <w:p>
            <w:pPr>
              <w:spacing w:before="0" w:after="0"/>
              <w:ind w:firstLine="0"/>
              <w:jc w:val="center"/>
            </w:pPr>
            <w:r>
              <w:rPr>
                <w:rFonts w:ascii="仿宋_GB2312" w:hAnsi="仿宋_GB2312" w:eastAsia="仿宋_GB2312"/>
                <w:b w:val="0"/>
                <w:sz w:val="16"/>
              </w:rPr>
              <w:t>19 元/平方米</w:t>
            </w:r>
          </w:p>
        </w:tc>
        <w:tc>
          <w:tcPr>
            <w:tcW w:type="dxa" w:w="2154"/>
            <w:vAlign w:val="center"/>
          </w:tcPr>
          <w:p>
            <w:pPr>
              <w:spacing w:before="0" w:after="0"/>
              <w:ind w:firstLine="0"/>
              <w:jc w:val="center"/>
            </w:pPr>
            <w:r>
              <w:rPr>
                <w:rFonts w:ascii="仿宋_GB2312" w:hAnsi="仿宋_GB2312" w:eastAsia="仿宋_GB2312"/>
                <w:b w:val="0"/>
                <w:sz w:val="16"/>
              </w:rPr>
              <w:t>直接采用</w:t>
            </w:r>
          </w:p>
        </w:tc>
        <w:tc>
          <w:tcPr>
            <w:tcW w:type="dxa" w:w="1474"/>
            <w:vAlign w:val="center"/>
          </w:tcPr>
          <w:p>
            <w:pPr>
              <w:spacing w:before="0" w:after="0"/>
              <w:ind w:firstLine="0"/>
              <w:jc w:val="center"/>
            </w:pPr>
            <w:r>
              <w:rPr>
                <w:rFonts w:ascii="仿宋_GB2312" w:hAnsi="仿宋_GB2312" w:eastAsia="仿宋_GB2312"/>
                <w:b w:val="0"/>
                <w:sz w:val="16"/>
              </w:rPr>
              <w:t>19</w:t>
            </w:r>
          </w:p>
        </w:tc>
      </w:tr>
    </w:tbl>
    <w:p>
      <w:pPr>
        <w:keepNext/>
      </w:pPr>
      <w:r>
        <w:rPr>
          <w:rFonts w:ascii="仿宋_GB2312" w:hAnsi="仿宋_GB2312" w:eastAsia="仿宋_GB2312"/>
          <w:b/>
        </w:rPr>
        <w:t>4、投资利息、投资利润及土地增值收益</w:t>
      </w:r>
    </w:p>
    <w:p>
      <w:r>
        <w:rPr>
          <w:rFonts w:ascii="仿宋_GB2312" w:hAnsi="仿宋_GB2312" w:eastAsia="仿宋_GB2312"/>
          <w:b w:val="0"/>
        </w:rPr>
        <w:t>土地取得费及相关税费按期初投入，土地开发费按开发期内均匀投入；开发周期为1年，投资利息率为3%。投资利润按各用途场景确认的利润率分别计算。</w:t>
      </w:r>
    </w:p>
    <w:p>
      <w:r>
        <w:rPr>
          <w:rFonts w:ascii="仿宋_GB2312" w:hAnsi="仿宋_GB2312" w:eastAsia="仿宋_GB2312"/>
          <w:b w:val="0"/>
        </w:rPr>
        <w:t>商业服务业用地：投资利息13.05元/平方米，投资利润71.38元/平方米，土地成本价格560.28元/平方米，土地增值收益224.11元/平方米。</w:t>
      </w:r>
    </w:p>
    <w:p>
      <w:r>
        <w:rPr>
          <w:rFonts w:ascii="仿宋_GB2312" w:hAnsi="仿宋_GB2312" w:eastAsia="仿宋_GB2312"/>
          <w:b w:val="0"/>
        </w:rPr>
        <w:t>居住用地：投资利息13.05元/平方米，投资利润71.38元/平方米，土地成本价格560.28元/平方米，土地增值收益196.10元/平方米。</w:t>
      </w:r>
    </w:p>
    <w:p>
      <w:pPr>
        <w:keepNext/>
      </w:pPr>
      <w:r>
        <w:rPr>
          <w:rFonts w:ascii="仿宋_GB2312" w:hAnsi="仿宋_GB2312" w:eastAsia="仿宋_GB2312"/>
          <w:b/>
        </w:rPr>
        <w:t>5、土地使用年期修正系数</w:t>
      </w:r>
    </w:p>
    <w:p>
      <w:r>
        <w:rPr>
          <w:rFonts w:ascii="仿宋_GB2312" w:hAnsi="仿宋_GB2312" w:eastAsia="仿宋_GB2312"/>
          <w:b w:val="0"/>
        </w:rPr>
        <w:t>土地使用年期修正系数按1－1/（1＋r）ⁿ计算，其中r为土地还原率，n为设定土地使用年期。</w:t>
      </w:r>
    </w:p>
    <w:p>
      <w:r>
        <w:rPr>
          <w:rFonts w:ascii="仿宋_GB2312" w:hAnsi="仿宋_GB2312" w:eastAsia="仿宋_GB2312"/>
          <w:b w:val="0"/>
        </w:rPr>
        <w:t>商业服务业用地年期修正系数为0.9253。</w:t>
      </w:r>
    </w:p>
    <w:p>
      <w:r>
        <w:rPr>
          <w:rFonts w:ascii="仿宋_GB2312" w:hAnsi="仿宋_GB2312" w:eastAsia="仿宋_GB2312"/>
          <w:b w:val="0"/>
        </w:rPr>
        <w:t>居住用地年期修正系数为0.9807。</w:t>
      </w:r>
    </w:p>
    <w:p>
      <w:pPr>
        <w:keepNext/>
      </w:pPr>
      <w:r>
        <w:rPr>
          <w:rFonts w:ascii="仿宋_GB2312" w:hAnsi="仿宋_GB2312" w:eastAsia="仿宋_GB2312"/>
          <w:b/>
        </w:rPr>
        <w:t>6、区位修正系数</w:t>
      </w:r>
    </w:p>
    <w:p>
      <w:r>
        <w:rPr>
          <w:rFonts w:ascii="仿宋_GB2312" w:hAnsi="仿宋_GB2312" w:eastAsia="仿宋_GB2312"/>
          <w:b w:val="0"/>
        </w:rPr>
        <w:t>成本逼近法测算的地价为估价对象所在区域的平均价格，需根据宗地区位和自身条件进行个别因素修正。因素权重可采用外部AHP测算结果，最终修正率由估价师逐项确认。</w:t>
      </w:r>
    </w:p>
    <w:p>
      <w:r>
        <w:rPr>
          <w:rFonts w:ascii="仿宋_GB2312" w:hAnsi="仿宋_GB2312" w:eastAsia="仿宋_GB2312"/>
          <w:b w:val="0"/>
        </w:rPr>
        <w:t>商业服务业用地区位修正率为11.31%。</w:t>
      </w:r>
    </w:p>
    <w:p>
      <w:r>
        <w:rPr>
          <w:rFonts w:ascii="仿宋_GB2312" w:hAnsi="仿宋_GB2312" w:eastAsia="仿宋_GB2312"/>
          <w:b w:val="0"/>
        </w:rPr>
        <w:t>居住用地区位修正率为12.88%。</w:t>
      </w:r>
    </w:p>
    <w:p>
      <w:pPr>
        <w:keepNext/>
      </w:pPr>
      <w:r>
        <w:rPr>
          <w:rFonts w:ascii="仿宋_GB2312" w:hAnsi="仿宋_GB2312" w:eastAsia="仿宋_GB2312"/>
          <w:b/>
        </w:rPr>
        <w:t>宗地地价影响因素条件说明、修正系数表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项目</w:t>
            </w:r>
          </w:p>
        </w:tc>
        <w:tc>
          <w:tcPr>
            <w:tcW w:type="dxa" w:w="2268"/>
            <w:vAlign w:val="center"/>
          </w:tcPr>
          <w:p>
            <w:pPr>
              <w:spacing w:before="0" w:after="0"/>
              <w:ind w:firstLine="0"/>
              <w:jc w:val="center"/>
            </w:pPr>
            <w:r>
              <w:rPr>
                <w:rFonts w:ascii="仿宋_GB2312" w:hAnsi="仿宋_GB2312" w:eastAsia="仿宋_GB2312"/>
                <w:b/>
                <w:sz w:val="16"/>
              </w:rPr>
              <w:t>依据/说明</w:t>
            </w:r>
          </w:p>
        </w:tc>
        <w:tc>
          <w:tcPr>
            <w:tcW w:type="dxa" w:w="1474"/>
            <w:vAlign w:val="center"/>
          </w:tcPr>
          <w:p>
            <w:pPr>
              <w:spacing w:before="0" w:after="0"/>
              <w:ind w:firstLine="0"/>
              <w:jc w:val="center"/>
            </w:pPr>
            <w:r>
              <w:rPr>
                <w:rFonts w:ascii="仿宋_GB2312" w:hAnsi="仿宋_GB2312" w:eastAsia="仿宋_GB2312"/>
                <w:b/>
                <w:sz w:val="16"/>
              </w:rPr>
              <w:t>标准/权重</w:t>
            </w:r>
          </w:p>
        </w:tc>
        <w:tc>
          <w:tcPr>
            <w:tcW w:type="dxa" w:w="2154"/>
            <w:vAlign w:val="center"/>
          </w:tcPr>
          <w:p>
            <w:pPr>
              <w:spacing w:before="0" w:after="0"/>
              <w:ind w:firstLine="0"/>
              <w:jc w:val="center"/>
            </w:pPr>
            <w:r>
              <w:rPr>
                <w:rFonts w:ascii="仿宋_GB2312" w:hAnsi="仿宋_GB2312" w:eastAsia="仿宋_GB2312"/>
                <w:b/>
                <w:sz w:val="16"/>
              </w:rPr>
              <w:t>计算式/等级</w:t>
            </w:r>
          </w:p>
        </w:tc>
        <w:tc>
          <w:tcPr>
            <w:tcW w:type="dxa" w:w="1474"/>
            <w:vAlign w:val="center"/>
          </w:tcPr>
          <w:p>
            <w:pPr>
              <w:spacing w:before="0" w:after="0"/>
              <w:ind w:firstLine="0"/>
              <w:jc w:val="center"/>
            </w:pPr>
            <w:r>
              <w:rPr>
                <w:rFonts w:ascii="仿宋_GB2312" w:hAnsi="仿宋_GB2312" w:eastAsia="仿宋_GB2312"/>
                <w:b/>
                <w:sz w:val="16"/>
              </w:rPr>
              <w:t>金额/修正率</w:t>
            </w:r>
          </w:p>
        </w:tc>
      </w:tr>
      <w:tr>
        <w:tc>
          <w:tcPr>
            <w:tcW w:type="dxa" w:w="1757"/>
            <w:vAlign w:val="center"/>
          </w:tcPr>
          <w:p>
            <w:pPr>
              <w:spacing w:before="0" w:after="0"/>
              <w:ind w:firstLine="0"/>
              <w:jc w:val="center"/>
            </w:pPr>
            <w:r>
              <w:rPr>
                <w:rFonts w:ascii="仿宋_GB2312" w:hAnsi="仿宋_GB2312" w:eastAsia="仿宋_GB2312"/>
                <w:b w:val="0"/>
                <w:sz w:val="16"/>
              </w:rPr>
              <w:t>商业服务业用地：商业综合区位修正</w:t>
            </w:r>
          </w:p>
        </w:tc>
        <w:tc>
          <w:tcPr>
            <w:tcW w:type="dxa" w:w="2268"/>
            <w:vAlign w:val="center"/>
          </w:tcPr>
          <w:p>
            <w:pPr>
              <w:spacing w:before="0" w:after="0"/>
              <w:ind w:firstLine="0"/>
              <w:jc w:val="center"/>
            </w:pPr>
            <w:r>
              <w:rPr>
                <w:rFonts w:ascii="仿宋_GB2312" w:hAnsi="仿宋_GB2312" w:eastAsia="仿宋_GB2312"/>
                <w:b w:val="0"/>
                <w:sz w:val="16"/>
              </w:rPr>
              <w:t>待校核</w:t>
            </w:r>
          </w:p>
        </w:tc>
        <w:tc>
          <w:tcPr>
            <w:tcW w:type="dxa" w:w="1474"/>
            <w:vAlign w:val="center"/>
          </w:tcPr>
          <w:p>
            <w:pPr>
              <w:spacing w:before="0" w:after="0"/>
              <w:ind w:firstLine="0"/>
              <w:jc w:val="center"/>
            </w:pPr>
            <w:r>
              <w:rPr>
                <w:rFonts w:ascii="仿宋_GB2312" w:hAnsi="仿宋_GB2312" w:eastAsia="仿宋_GB2312"/>
                <w:b w:val="0"/>
                <w:sz w:val="16"/>
              </w:rPr>
              <w:t>待校核</w:t>
            </w:r>
          </w:p>
        </w:tc>
        <w:tc>
          <w:tcPr>
            <w:tcW w:type="dxa" w:w="2154"/>
            <w:vAlign w:val="center"/>
          </w:tcPr>
          <w:p>
            <w:pPr>
              <w:spacing w:before="0" w:after="0"/>
              <w:ind w:firstLine="0"/>
              <w:jc w:val="center"/>
            </w:pPr>
            <w:r>
              <w:rPr>
                <w:rFonts w:ascii="仿宋_GB2312" w:hAnsi="仿宋_GB2312" w:eastAsia="仿宋_GB2312"/>
                <w:b w:val="0"/>
                <w:sz w:val="16"/>
              </w:rPr>
              <w:t>待校核</w:t>
            </w:r>
          </w:p>
        </w:tc>
        <w:tc>
          <w:tcPr>
            <w:tcW w:type="dxa" w:w="1474"/>
            <w:vAlign w:val="center"/>
          </w:tcPr>
          <w:p>
            <w:pPr>
              <w:spacing w:before="0" w:after="0"/>
              <w:ind w:firstLine="0"/>
              <w:jc w:val="center"/>
            </w:pPr>
            <w:r>
              <w:rPr>
                <w:rFonts w:ascii="仿宋_GB2312" w:hAnsi="仿宋_GB2312" w:eastAsia="仿宋_GB2312"/>
                <w:b w:val="0"/>
                <w:sz w:val="16"/>
              </w:rPr>
              <w:t>11.31</w:t>
            </w:r>
          </w:p>
        </w:tc>
      </w:tr>
      <w:tr>
        <w:tc>
          <w:tcPr>
            <w:tcW w:type="dxa" w:w="1757"/>
            <w:vAlign w:val="center"/>
          </w:tcPr>
          <w:p>
            <w:pPr>
              <w:spacing w:before="0" w:after="0"/>
              <w:ind w:firstLine="0"/>
              <w:jc w:val="center"/>
            </w:pPr>
            <w:r>
              <w:rPr>
                <w:rFonts w:ascii="仿宋_GB2312" w:hAnsi="仿宋_GB2312" w:eastAsia="仿宋_GB2312"/>
                <w:b w:val="0"/>
                <w:sz w:val="16"/>
              </w:rPr>
              <w:t>居住用地：住宅综合区位修正</w:t>
            </w:r>
          </w:p>
        </w:tc>
        <w:tc>
          <w:tcPr>
            <w:tcW w:type="dxa" w:w="2268"/>
            <w:vAlign w:val="center"/>
          </w:tcPr>
          <w:p>
            <w:pPr>
              <w:spacing w:before="0" w:after="0"/>
              <w:ind w:firstLine="0"/>
              <w:jc w:val="center"/>
            </w:pPr>
            <w:r>
              <w:rPr>
                <w:rFonts w:ascii="仿宋_GB2312" w:hAnsi="仿宋_GB2312" w:eastAsia="仿宋_GB2312"/>
                <w:b w:val="0"/>
                <w:sz w:val="16"/>
              </w:rPr>
              <w:t>待校核</w:t>
            </w:r>
          </w:p>
        </w:tc>
        <w:tc>
          <w:tcPr>
            <w:tcW w:type="dxa" w:w="1474"/>
            <w:vAlign w:val="center"/>
          </w:tcPr>
          <w:p>
            <w:pPr>
              <w:spacing w:before="0" w:after="0"/>
              <w:ind w:firstLine="0"/>
              <w:jc w:val="center"/>
            </w:pPr>
            <w:r>
              <w:rPr>
                <w:rFonts w:ascii="仿宋_GB2312" w:hAnsi="仿宋_GB2312" w:eastAsia="仿宋_GB2312"/>
                <w:b w:val="0"/>
                <w:sz w:val="16"/>
              </w:rPr>
              <w:t>待校核</w:t>
            </w:r>
          </w:p>
        </w:tc>
        <w:tc>
          <w:tcPr>
            <w:tcW w:type="dxa" w:w="2154"/>
            <w:vAlign w:val="center"/>
          </w:tcPr>
          <w:p>
            <w:pPr>
              <w:spacing w:before="0" w:after="0"/>
              <w:ind w:firstLine="0"/>
              <w:jc w:val="center"/>
            </w:pPr>
            <w:r>
              <w:rPr>
                <w:rFonts w:ascii="仿宋_GB2312" w:hAnsi="仿宋_GB2312" w:eastAsia="仿宋_GB2312"/>
                <w:b w:val="0"/>
                <w:sz w:val="16"/>
              </w:rPr>
              <w:t>待校核</w:t>
            </w:r>
          </w:p>
        </w:tc>
        <w:tc>
          <w:tcPr>
            <w:tcW w:type="dxa" w:w="1474"/>
            <w:vAlign w:val="center"/>
          </w:tcPr>
          <w:p>
            <w:pPr>
              <w:spacing w:before="0" w:after="0"/>
              <w:ind w:firstLine="0"/>
              <w:jc w:val="center"/>
            </w:pPr>
            <w:r>
              <w:rPr>
                <w:rFonts w:ascii="仿宋_GB2312" w:hAnsi="仿宋_GB2312" w:eastAsia="仿宋_GB2312"/>
                <w:b w:val="0"/>
                <w:sz w:val="16"/>
              </w:rPr>
              <w:t>12.88</w:t>
            </w:r>
          </w:p>
        </w:tc>
      </w:tr>
    </w:tbl>
    <w:p>
      <w:pPr>
        <w:keepNext/>
      </w:pPr>
      <w:r>
        <w:rPr>
          <w:rFonts w:ascii="仿宋_GB2312" w:hAnsi="仿宋_GB2312" w:eastAsia="仿宋_GB2312"/>
          <w:b/>
        </w:rPr>
        <w:t>成本逼近法测算结果表</w:t>
      </w:r>
    </w:p>
    <w:tbl>
      <w:tblPr>
        <w:tblStyle w:val="10"/>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1661"/>
        <w:gridCol w:w="1661"/>
        <w:gridCol w:w="1661"/>
        <w:gridCol w:w="1661"/>
        <w:gridCol w:w="1661"/>
      </w:tblGrid>
      <w:tr>
        <w:trPr>
          <w:tblHeader w:val="true"/>
        </w:trPr>
        <w:tc>
          <w:tcPr>
            <w:tcW w:type="dxa" w:w="1757"/>
            <w:vAlign w:val="center"/>
          </w:tcPr>
          <w:p>
            <w:pPr>
              <w:spacing w:before="0" w:after="0"/>
              <w:ind w:firstLine="0"/>
              <w:jc w:val="center"/>
            </w:pPr>
            <w:r>
              <w:rPr>
                <w:rFonts w:ascii="仿宋_GB2312" w:hAnsi="仿宋_GB2312" w:eastAsia="仿宋_GB2312"/>
                <w:b/>
                <w:sz w:val="16"/>
              </w:rPr>
              <w:t>用途</w:t>
            </w:r>
          </w:p>
        </w:tc>
        <w:tc>
          <w:tcPr>
            <w:tcW w:type="dxa" w:w="2268"/>
            <w:vAlign w:val="center"/>
          </w:tcPr>
          <w:p>
            <w:pPr>
              <w:spacing w:before="0" w:after="0"/>
              <w:ind w:firstLine="0"/>
              <w:jc w:val="center"/>
            </w:pPr>
            <w:r>
              <w:rPr>
                <w:rFonts w:ascii="仿宋_GB2312" w:hAnsi="仿宋_GB2312" w:eastAsia="仿宋_GB2312"/>
                <w:b/>
                <w:sz w:val="16"/>
              </w:rPr>
              <w:t>土地成本价格</w:t>
            </w:r>
          </w:p>
        </w:tc>
        <w:tc>
          <w:tcPr>
            <w:tcW w:type="dxa" w:w="1474"/>
            <w:vAlign w:val="center"/>
          </w:tcPr>
          <w:p>
            <w:pPr>
              <w:spacing w:before="0" w:after="0"/>
              <w:ind w:firstLine="0"/>
              <w:jc w:val="center"/>
            </w:pPr>
            <w:r>
              <w:rPr>
                <w:rFonts w:ascii="仿宋_GB2312" w:hAnsi="仿宋_GB2312" w:eastAsia="仿宋_GB2312"/>
                <w:b/>
                <w:sz w:val="16"/>
              </w:rPr>
              <w:t>土地增值收益</w:t>
            </w:r>
          </w:p>
        </w:tc>
        <w:tc>
          <w:tcPr>
            <w:tcW w:type="dxa" w:w="2154"/>
            <w:vAlign w:val="center"/>
          </w:tcPr>
          <w:p>
            <w:pPr>
              <w:spacing w:before="0" w:after="0"/>
              <w:ind w:firstLine="0"/>
              <w:jc w:val="center"/>
            </w:pPr>
            <w:r>
              <w:rPr>
                <w:rFonts w:ascii="仿宋_GB2312" w:hAnsi="仿宋_GB2312" w:eastAsia="仿宋_GB2312"/>
                <w:b/>
                <w:sz w:val="16"/>
              </w:rPr>
              <w:t>年期修正系数</w:t>
            </w:r>
          </w:p>
        </w:tc>
        <w:tc>
          <w:tcPr>
            <w:tcW w:type="dxa" w:w="1474"/>
            <w:vAlign w:val="center"/>
          </w:tcPr>
          <w:p>
            <w:pPr>
              <w:spacing w:before="0" w:after="0"/>
              <w:ind w:firstLine="0"/>
              <w:jc w:val="center"/>
            </w:pPr>
            <w:r>
              <w:rPr>
                <w:rFonts w:ascii="仿宋_GB2312" w:hAnsi="仿宋_GB2312" w:eastAsia="仿宋_GB2312"/>
                <w:b/>
                <w:sz w:val="16"/>
              </w:rPr>
              <w:t>最终单价</w:t>
            </w:r>
          </w:p>
        </w:tc>
      </w:tr>
      <w:tr>
        <w:tc>
          <w:tcPr>
            <w:tcW w:type="dxa" w:w="1757"/>
            <w:vAlign w:val="center"/>
          </w:tcPr>
          <w:p>
            <w:pPr>
              <w:spacing w:before="0" w:after="0"/>
              <w:ind w:firstLine="0"/>
              <w:jc w:val="center"/>
            </w:pPr>
            <w:r>
              <w:rPr>
                <w:rFonts w:ascii="仿宋_GB2312" w:hAnsi="仿宋_GB2312" w:eastAsia="仿宋_GB2312"/>
                <w:b w:val="0"/>
                <w:sz w:val="16"/>
              </w:rPr>
              <w:t>商业服务业用地</w:t>
            </w:r>
          </w:p>
        </w:tc>
        <w:tc>
          <w:tcPr>
            <w:tcW w:type="dxa" w:w="2268"/>
            <w:vAlign w:val="center"/>
          </w:tcPr>
          <w:p>
            <w:pPr>
              <w:spacing w:before="0" w:after="0"/>
              <w:ind w:firstLine="0"/>
              <w:jc w:val="center"/>
            </w:pPr>
            <w:r>
              <w:rPr>
                <w:rFonts w:ascii="仿宋_GB2312" w:hAnsi="仿宋_GB2312" w:eastAsia="仿宋_GB2312"/>
                <w:b w:val="0"/>
                <w:sz w:val="16"/>
              </w:rPr>
              <w:t>560.28</w:t>
            </w:r>
          </w:p>
        </w:tc>
        <w:tc>
          <w:tcPr>
            <w:tcW w:type="dxa" w:w="1474"/>
            <w:vAlign w:val="center"/>
          </w:tcPr>
          <w:p>
            <w:pPr>
              <w:spacing w:before="0" w:after="0"/>
              <w:ind w:firstLine="0"/>
              <w:jc w:val="center"/>
            </w:pPr>
            <w:r>
              <w:rPr>
                <w:rFonts w:ascii="仿宋_GB2312" w:hAnsi="仿宋_GB2312" w:eastAsia="仿宋_GB2312"/>
                <w:b w:val="0"/>
                <w:sz w:val="16"/>
              </w:rPr>
              <w:t>224.11</w:t>
            </w:r>
          </w:p>
        </w:tc>
        <w:tc>
          <w:tcPr>
            <w:tcW w:type="dxa" w:w="2154"/>
            <w:vAlign w:val="center"/>
          </w:tcPr>
          <w:p>
            <w:pPr>
              <w:spacing w:before="0" w:after="0"/>
              <w:ind w:firstLine="0"/>
              <w:jc w:val="center"/>
            </w:pPr>
            <w:r>
              <w:rPr>
                <w:rFonts w:ascii="仿宋_GB2312" w:hAnsi="仿宋_GB2312" w:eastAsia="仿宋_GB2312"/>
                <w:b w:val="0"/>
                <w:sz w:val="16"/>
              </w:rPr>
              <w:t>0.9253</w:t>
            </w:r>
          </w:p>
        </w:tc>
        <w:tc>
          <w:tcPr>
            <w:tcW w:type="dxa" w:w="1474"/>
            <w:vAlign w:val="center"/>
          </w:tcPr>
          <w:p>
            <w:pPr>
              <w:spacing w:before="0" w:after="0"/>
              <w:ind w:firstLine="0"/>
              <w:jc w:val="center"/>
            </w:pPr>
            <w:r>
              <w:rPr>
                <w:rFonts w:ascii="仿宋_GB2312" w:hAnsi="仿宋_GB2312" w:eastAsia="仿宋_GB2312"/>
                <w:b w:val="0"/>
                <w:sz w:val="16"/>
              </w:rPr>
              <w:t>807.9</w:t>
            </w:r>
          </w:p>
        </w:tc>
      </w:tr>
      <w:tr>
        <w:tc>
          <w:tcPr>
            <w:tcW w:type="dxa" w:w="1757"/>
            <w:vAlign w:val="center"/>
          </w:tcPr>
          <w:p>
            <w:pPr>
              <w:spacing w:before="0" w:after="0"/>
              <w:ind w:firstLine="0"/>
              <w:jc w:val="center"/>
            </w:pPr>
            <w:r>
              <w:rPr>
                <w:rFonts w:ascii="仿宋_GB2312" w:hAnsi="仿宋_GB2312" w:eastAsia="仿宋_GB2312"/>
                <w:b w:val="0"/>
                <w:sz w:val="16"/>
              </w:rPr>
              <w:t>居住用地</w:t>
            </w:r>
          </w:p>
        </w:tc>
        <w:tc>
          <w:tcPr>
            <w:tcW w:type="dxa" w:w="2268"/>
            <w:vAlign w:val="center"/>
          </w:tcPr>
          <w:p>
            <w:pPr>
              <w:spacing w:before="0" w:after="0"/>
              <w:ind w:firstLine="0"/>
              <w:jc w:val="center"/>
            </w:pPr>
            <w:r>
              <w:rPr>
                <w:rFonts w:ascii="仿宋_GB2312" w:hAnsi="仿宋_GB2312" w:eastAsia="仿宋_GB2312"/>
                <w:b w:val="0"/>
                <w:sz w:val="16"/>
              </w:rPr>
              <w:t>560.28</w:t>
            </w:r>
          </w:p>
        </w:tc>
        <w:tc>
          <w:tcPr>
            <w:tcW w:type="dxa" w:w="1474"/>
            <w:vAlign w:val="center"/>
          </w:tcPr>
          <w:p>
            <w:pPr>
              <w:spacing w:before="0" w:after="0"/>
              <w:ind w:firstLine="0"/>
              <w:jc w:val="center"/>
            </w:pPr>
            <w:r>
              <w:rPr>
                <w:rFonts w:ascii="仿宋_GB2312" w:hAnsi="仿宋_GB2312" w:eastAsia="仿宋_GB2312"/>
                <w:b w:val="0"/>
                <w:sz w:val="16"/>
              </w:rPr>
              <w:t>196.10</w:t>
            </w:r>
          </w:p>
        </w:tc>
        <w:tc>
          <w:tcPr>
            <w:tcW w:type="dxa" w:w="2154"/>
            <w:vAlign w:val="center"/>
          </w:tcPr>
          <w:p>
            <w:pPr>
              <w:spacing w:before="0" w:after="0"/>
              <w:ind w:firstLine="0"/>
              <w:jc w:val="center"/>
            </w:pPr>
            <w:r>
              <w:rPr>
                <w:rFonts w:ascii="仿宋_GB2312" w:hAnsi="仿宋_GB2312" w:eastAsia="仿宋_GB2312"/>
                <w:b w:val="0"/>
                <w:sz w:val="16"/>
              </w:rPr>
              <w:t>0.9807</w:t>
            </w:r>
          </w:p>
        </w:tc>
        <w:tc>
          <w:tcPr>
            <w:tcW w:type="dxa" w:w="1474"/>
            <w:vAlign w:val="center"/>
          </w:tcPr>
          <w:p>
            <w:pPr>
              <w:spacing w:before="0" w:after="0"/>
              <w:ind w:firstLine="0"/>
              <w:jc w:val="center"/>
            </w:pPr>
            <w:r>
              <w:rPr>
                <w:rFonts w:ascii="仿宋_GB2312" w:hAnsi="仿宋_GB2312" w:eastAsia="仿宋_GB2312"/>
                <w:b w:val="0"/>
                <w:sz w:val="16"/>
              </w:rPr>
              <w:t>837.3</w:t>
            </w:r>
          </w:p>
        </w:tc>
      </w:tr>
    </w:tbl>
    <w:p>
      <w:pPr>
        <w:keepNext/>
      </w:pPr>
      <w:r>
        <w:rPr>
          <w:rFonts w:ascii="仿宋_GB2312" w:hAnsi="仿宋_GB2312" w:eastAsia="仿宋_GB2312"/>
          <w:b/>
        </w:rPr>
        <w:t>7、成本逼近法价格计算</w:t>
      </w:r>
    </w:p>
    <w:p>
      <w:r>
        <w:rPr>
          <w:rFonts w:ascii="仿宋_GB2312" w:hAnsi="仿宋_GB2312" w:eastAsia="仿宋_GB2312"/>
          <w:b w:val="0"/>
        </w:rPr>
        <w:t>商业服务业用地成本逼近法测算单价为807.9元/平方米。</w:t>
      </w:r>
    </w:p>
    <w:p>
      <w:r>
        <w:rPr>
          <w:rFonts w:ascii="仿宋_GB2312" w:hAnsi="仿宋_GB2312" w:eastAsia="仿宋_GB2312"/>
          <w:b w:val="0"/>
        </w:rPr>
        <w:t>居住用地成本逼近法测算单价为837.3元/平方米。</w:t>
      </w:r>
    </w:p>
    <w:p w14:paraId="67948662">
      <w:pPr>
        <w:pStyle w:val="3"/>
        <w:keepNext w:val="0"/>
        <w:keepLines w:val="0"/>
        <w:pageBreakBefore w:val="0"/>
        <w:widowControl w:val="0"/>
        <w:kinsoku/>
        <w:wordWrap/>
        <w:overflowPunct/>
        <w:topLinePunct w:val="0"/>
        <w:autoSpaceDE/>
        <w:autoSpaceDN/>
        <w:bidi w:val="0"/>
        <w:adjustRightInd w:val="0"/>
        <w:snapToGrid w:val="0"/>
        <w:spacing w:line="460" w:lineRule="exact"/>
        <w:ind w:left="0" w:firstLine="562" w:firstLineChars="200"/>
        <w:textAlignment w:val="auto"/>
        <w:outlineLvl w:val="2"/>
        <w:rPr>
          <w:rFonts w:ascii="仿宋_GB2312" w:hAnsi="仿宋_GB2312" w:eastAsia="仿宋_GB2312" w:cs="仿宋_GB2312"/>
          <w:b/>
          <w:bCs/>
          <w:color w:val="000000" w:themeColor="text1"/>
          <w:szCs w:val="28"/>
          <w:highlight w:val="none"/>
          <w14:textFill>
            <w14:solidFill>
              <w14:schemeClr w14:val="tx1"/>
            </w14:solidFill>
          </w14:textFill>
        </w:rPr>
      </w:pPr>
      <w:r>
        <w:rPr>
          <w:rFonts w:hint="eastAsia" w:ascii="仿宋_GB2312" w:hAnsi="仿宋_GB2312" w:eastAsia="仿宋_GB2312" w:cs="仿宋_GB2312"/>
          <w:b/>
          <w:bCs/>
          <w:color w:val="000000" w:themeColor="text1"/>
          <w:szCs w:val="28"/>
          <w:highlight w:val="none"/>
          <w14:textFill>
            <w14:solidFill>
              <w14:schemeClr w14:val="tx1"/>
            </w14:solidFill>
          </w14:textFill>
        </w:rPr>
        <w:t>★市场比较法</w:t>
      </w:r>
    </w:p>
    <w:p w14:paraId="74FAE495">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t>{{ market_comp_method_intro }}</w:t>
      </w:r>
    </w:p>
    <w:p w14:paraId="068C258E">
      <w:pPr>
        <w:keepNext w:val="0"/>
        <w:keepLines w:val="0"/>
        <w:pageBreakBefore w:val="0"/>
        <w:widowControl w:val="0"/>
        <w:kinsoku/>
        <w:wordWrap/>
        <w:overflowPunct/>
        <w:topLinePunct w:val="0"/>
        <w:autoSpaceDE/>
        <w:autoSpaceDN/>
        <w:bidi w:val="0"/>
        <w:spacing w:line="460" w:lineRule="exact"/>
        <w:ind w:firstLine="560" w:firstLineChars="200"/>
        <w:textAlignment w:val="auto"/>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2.比较实例选择</w:t>
      </w:r>
    </w:p>
    <w:p>
      <w:r>
        <w:t>{{ market_comp_step1_instances }}</w:t>
      </w:r>
    </w:p>
    <w:p w14:paraId="0AC229D4">
      <w:pPr>
        <w:overflowPunct w:val="0"/>
        <w:autoSpaceDE w:val="0"/>
        <w:autoSpaceDN w:val="0"/>
        <w:snapToGrid w:val="0"/>
        <w:spacing w:line="480" w:lineRule="exact"/>
        <w:ind w:firstLine="555"/>
        <w:jc w:val="center"/>
        <w:outlineLvl w:val="9"/>
        <w:rPr>
          <w:rFonts w:ascii="仿宋_GB2312" w:hAnsi="仿宋_GB2312" w:eastAsia="仿宋_GB2312" w:cs="仿宋_GB2312"/>
          <w:snapToGrid w:val="0"/>
          <w:color w:val="000000" w:themeColor="text1"/>
          <w:kern w:val="0"/>
          <w:sz w:val="28"/>
          <w:szCs w:val="28"/>
          <w:highlight w:val="none"/>
          <w14:textFill>
            <w14:solidFill>
              <w14:schemeClr w14:val="tx1"/>
            </w14:solidFill>
          </w14:textFill>
        </w:rPr>
      </w:pP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表</w:t>
      </w:r>
      <w:r>
        <w:rPr>
          <w:rFonts w:hint="eastAsia" w:ascii="仿宋_GB2312" w:hAnsi="仿宋_GB2312" w:eastAsia="仿宋_GB2312" w:cs="仿宋_GB2312"/>
          <w:snapToGrid w:val="0"/>
          <w:color w:val="000000" w:themeColor="text1"/>
          <w:kern w:val="0"/>
          <w:sz w:val="28"/>
          <w:szCs w:val="28"/>
          <w:highlight w:val="none"/>
          <w:lang w:val="en-US" w:eastAsia="zh-CN"/>
          <w14:textFill>
            <w14:solidFill>
              <w14:schemeClr w14:val="tx1"/>
            </w14:solidFill>
          </w14:textFill>
        </w:rPr>
        <w:t>3-10</w:t>
      </w:r>
      <w:r>
        <w:rPr>
          <w:rFonts w:hint="eastAsia" w:ascii="仿宋_GB2312" w:hAnsi="仿宋_GB2312" w:eastAsia="仿宋_GB2312" w:cs="仿宋_GB2312"/>
          <w:snapToGrid w:val="0"/>
          <w:color w:val="000000" w:themeColor="text1"/>
          <w:kern w:val="0"/>
          <w:sz w:val="28"/>
          <w:szCs w:val="28"/>
          <w:highlight w:val="none"/>
          <w14:textFill>
            <w14:solidFill>
              <w14:schemeClr w14:val="tx1"/>
            </w14:solidFill>
          </w14:textFill>
        </w:rPr>
        <w:t xml:space="preserve">  比较实例基本情况表</w:t>
      </w:r>
    </w:p>
    <w:tbl>
      <w:tblPr>
        <w:tblStyle w:val="9"/>
        <w:tblW w:w="9117" w:type="dxa"/>
        <w:jc w:val="center"/>
        <w:tblLayout w:type="autofit"/>
        <w:tblCellMar>
          <w:top w:w="0" w:type="dxa"/>
          <w:left w:w="108" w:type="dxa"/>
          <w:bottom w:w="0" w:type="dxa"/>
          <w:right w:w="108" w:type="dxa"/>
        </w:tblCellMar>
      </w:tblPr>
      <w:tblGrid>
        <w:gridCol w:w="1871"/>
        <w:gridCol w:w="2044"/>
        <w:gridCol w:w="2746"/>
        <w:gridCol w:w="2456"/>
      </w:tblGrid>
      <w:tr w14:paraId="2277956A">
        <w:tblPrEx>
          <w:tblCellMar>
            <w:top w:w="0" w:type="dxa"/>
            <w:left w:w="108" w:type="dxa"/>
            <w:bottom w:w="0" w:type="dxa"/>
            <w:right w:w="108" w:type="dxa"/>
          </w:tblCellMar>
        </w:tblPrEx>
        <w:trPr>
          <w:trHeight w:val="342" w:hRule="atLeast"/>
          <w:jc w:val="center"/>
        </w:trPr>
        <w:tc>
          <w:tcPr>
            <w:tcW w:w="1871" w:type="dxa"/>
            <w:tcBorders>
              <w:top w:val="single" w:color="000000" w:sz="4" w:space="0"/>
              <w:left w:val="single" w:color="000000" w:sz="4" w:space="0"/>
              <w:bottom w:val="single" w:color="000000" w:sz="4" w:space="0"/>
              <w:right w:val="single" w:color="000000" w:sz="4" w:space="0"/>
              <w:tl2br w:val="single" w:color="000000" w:sz="4" w:space="0"/>
            </w:tcBorders>
            <w:vAlign w:val="center"/>
          </w:tcPr>
          <w:p w14:paraId="3DA33AA0">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估价对象与比较实例  项目</w:t>
            </w:r>
          </w:p>
        </w:tc>
        <w:tc>
          <w:tcPr>
            <w:tcW w:w="2044" w:type="dxa"/>
            <w:tcBorders>
              <w:top w:val="single" w:color="000000" w:sz="4" w:space="0"/>
              <w:left w:val="single" w:color="000000" w:sz="4" w:space="0"/>
              <w:bottom w:val="single" w:color="000000" w:sz="4" w:space="0"/>
              <w:right w:val="single" w:color="000000" w:sz="4" w:space="0"/>
            </w:tcBorders>
            <w:vAlign w:val="center"/>
          </w:tcPr>
          <w:p w14:paraId="6D50FE33">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比较实例A</w:t>
            </w:r>
          </w:p>
        </w:tc>
        <w:tc>
          <w:tcPr>
            <w:tcW w:w="2746" w:type="dxa"/>
            <w:tcBorders>
              <w:top w:val="single" w:color="000000" w:sz="4" w:space="0"/>
              <w:left w:val="single" w:color="000000" w:sz="4" w:space="0"/>
              <w:bottom w:val="single" w:color="000000" w:sz="4" w:space="0"/>
              <w:right w:val="single" w:color="000000" w:sz="4" w:space="0"/>
            </w:tcBorders>
            <w:vAlign w:val="center"/>
          </w:tcPr>
          <w:p w14:paraId="5445B741">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比较实例B</w:t>
            </w:r>
          </w:p>
        </w:tc>
        <w:tc>
          <w:tcPr>
            <w:tcW w:w="2456" w:type="dxa"/>
            <w:tcBorders>
              <w:top w:val="single" w:color="000000" w:sz="4" w:space="0"/>
              <w:left w:val="single" w:color="000000" w:sz="4" w:space="0"/>
              <w:bottom w:val="single" w:color="000000" w:sz="4" w:space="0"/>
              <w:right w:val="single" w:color="000000" w:sz="4" w:space="0"/>
            </w:tcBorders>
            <w:vAlign w:val="center"/>
          </w:tcPr>
          <w:p w14:paraId="0349070B">
            <w:pPr>
              <w:keepNext w:val="0"/>
              <w:keepLines w:val="0"/>
              <w:widowControl/>
              <w:suppressLineNumbers w:val="0"/>
              <w:adjustRightInd w:val="0"/>
              <w:snapToGrid w:val="0"/>
              <w:spacing w:before="0" w:beforeAutospacing="0" w:after="0" w:afterAutospacing="0"/>
              <w:ind w:left="0" w:right="0"/>
              <w:jc w:val="center"/>
              <w:textAlignment w:val="center"/>
              <w:outlineLvl w:val="9"/>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pPr>
            <w:r>
              <w:rPr>
                <w:rFonts w:hint="eastAsia" w:ascii="仿宋_GB2312" w:hAnsi="仿宋_GB2312" w:eastAsia="仿宋_GB2312" w:cs="仿宋_GB2312"/>
                <w:color w:val="000000" w:themeColor="text1"/>
                <w:kern w:val="0"/>
                <w:sz w:val="18"/>
                <w:szCs w:val="18"/>
                <w:highlight w:val="none"/>
                <w:lang w:bidi="ar"/>
                <w14:textFill>
                  <w14:solidFill>
                    <w14:schemeClr w14:val="tx1"/>
                  </w14:solidFill>
                </w14:textFill>
              </w:rPr>
              <w:t>比较实例C</w:t>
            </w:r>
          </w:p>
        </w:tc>
      </w:tr>
      <w:tr w14:paraId="4980DCB9">
        <w:tblPrEx>
          <w:tblCellMar>
            <w:top w:w="0" w:type="dxa"/>
            <w:left w:w="108" w:type="dxa"/>
            <w:bottom w:w="0" w:type="dxa"/>
            <w:right w:w="108" w:type="dxa"/>
          </w:tblCellMar>
        </w:tblPrEx>
        <w:trPr>
          <w:trHeight w:val="23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DA83E2E">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702CB58F">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634CFCD">
        <w:tblPrEx>
          <w:tblCellMar>
            <w:top w:w="0" w:type="dxa"/>
            <w:left w:w="108" w:type="dxa"/>
            <w:bottom w:w="0" w:type="dxa"/>
            <w:right w:w="108" w:type="dxa"/>
          </w:tblCellMar>
        </w:tblPrEx>
        <w:trPr>
          <w:trHeight w:val="222"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04840ECB">
        <w:tblPrEx>
          <w:tblCellMar>
            <w:top w:w="0" w:type="dxa"/>
            <w:left w:w="108" w:type="dxa"/>
            <w:bottom w:w="0" w:type="dxa"/>
            <w:right w:w="108" w:type="dxa"/>
          </w:tblCellMar>
        </w:tblPrEx>
        <w:trPr>
          <w:trHeight w:val="517"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72D565C">
        <w:tblPrEx>
          <w:tblCellMar>
            <w:top w:w="0" w:type="dxa"/>
            <w:left w:w="108" w:type="dxa"/>
            <w:bottom w:w="0" w:type="dxa"/>
            <w:right w:w="108" w:type="dxa"/>
          </w:tblCellMar>
        </w:tblPrEx>
        <w:trPr>
          <w:trHeight w:val="9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E52B4F6">
        <w:tblPrEx>
          <w:tblCellMar>
            <w:top w:w="0" w:type="dxa"/>
            <w:left w:w="108" w:type="dxa"/>
            <w:bottom w:w="0" w:type="dxa"/>
            <w:right w:w="108" w:type="dxa"/>
          </w:tblCellMar>
        </w:tblPrEx>
        <w:trPr>
          <w:trHeight w:val="200"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CAE4DBE">
        <w:tblPrEx>
          <w:tblCellMar>
            <w:top w:w="0" w:type="dxa"/>
            <w:left w:w="108" w:type="dxa"/>
            <w:bottom w:w="0" w:type="dxa"/>
            <w:right w:w="108" w:type="dxa"/>
          </w:tblCellMar>
        </w:tblPrEx>
        <w:trPr>
          <w:trHeight w:val="289"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2505AC4A">
        <w:tblPrEx>
          <w:tblCellMar>
            <w:top w:w="0" w:type="dxa"/>
            <w:left w:w="108" w:type="dxa"/>
            <w:bottom w:w="0" w:type="dxa"/>
            <w:right w:w="108" w:type="dxa"/>
          </w:tblCellMar>
        </w:tblPrEx>
        <w:trPr>
          <w:trHeight w:val="268"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AB793F3">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58615AC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1F9FBC65">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r w14:paraId="3FF89AEB">
        <w:tblPrEx>
          <w:tblCellMar>
            <w:top w:w="0" w:type="dxa"/>
            <w:left w:w="108" w:type="dxa"/>
            <w:bottom w:w="0" w:type="dxa"/>
            <w:right w:w="108" w:type="dxa"/>
          </w:tblCellMar>
        </w:tblPrEx>
        <w:trPr>
          <w:trHeight w:val="211" w:hRule="atLeast"/>
          <w:jc w:val="center"/>
        </w:trPr>
        <w:tc>
          <w:tcPr>
            <w:tcW w:w="1871" w:type="dxa"/>
            <w:tcBorders>
              <w:top w:val="single" w:color="000000" w:sz="4" w:space="0"/>
              <w:left w:val="single" w:color="000000" w:sz="4" w:space="0"/>
              <w:bottom w:val="single" w:color="000000" w:sz="4" w:space="0"/>
              <w:right w:val="single" w:color="000000" w:sz="4" w:space="0"/>
            </w:tcBorders>
            <w:vAlign w:val="center"/>
          </w:tcPr>
          <w:p>
            <w:r/>
          </w:p>
        </w:tc>
        <w:tc>
          <w:tcPr>
            <w:tcW w:w="2044" w:type="dxa"/>
            <w:tcBorders>
              <w:top w:val="single" w:color="000000" w:sz="4" w:space="0"/>
              <w:left w:val="single" w:color="000000" w:sz="4" w:space="0"/>
              <w:bottom w:val="single" w:color="000000" w:sz="4" w:space="0"/>
              <w:right w:val="single" w:color="000000" w:sz="4" w:space="0"/>
            </w:tcBorders>
            <w:vAlign w:val="center"/>
          </w:tcPr>
          <w:p>
            <w:r/>
          </w:p>
        </w:tc>
        <w:tc>
          <w:tcPr>
            <w:tcW w:w="2746" w:type="dxa"/>
            <w:tcBorders>
              <w:top w:val="single" w:color="000000" w:sz="4" w:space="0"/>
              <w:left w:val="single" w:color="000000" w:sz="4" w:space="0"/>
              <w:bottom w:val="single" w:color="000000" w:sz="4" w:space="0"/>
              <w:right w:val="single" w:color="000000" w:sz="4" w:space="0"/>
            </w:tcBorders>
            <w:vAlign w:val="center"/>
          </w:tcPr>
          <w:p>
            <w:r/>
          </w:p>
        </w:tc>
        <w:tc>
          <w:tcPr>
            <w:tcW w:w="2456" w:type="dxa"/>
            <w:tcBorders>
              <w:top w:val="single" w:color="000000" w:sz="4" w:space="0"/>
              <w:left w:val="single" w:color="000000" w:sz="4" w:space="0"/>
              <w:bottom w:val="single" w:color="000000" w:sz="4" w:space="0"/>
              <w:right w:val="single" w:color="000000" w:sz="4" w:space="0"/>
            </w:tcBorders>
            <w:vAlign w:val="center"/>
          </w:tcPr>
          <w:p>
            <w:r/>
          </w:p>
        </w:tc>
      </w:tr>
    </w:tbl>
    <w:p w14:paraId="754F92EB">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p>
    <w:p w14:paraId="58EE0F42">
      <w:pPr>
        <w:pStyle w:val="14"/>
        <w:spacing w:line="480" w:lineRule="exact"/>
        <w:ind w:firstLine="0" w:firstLineChars="0"/>
        <w:outlineLvl w:val="9"/>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t>比较实例A详细情况如下：</w:t>
      </w:r>
    </w:p>
    <w:p w14:paraId="31DE9F49">
      <w:pPr>
        <w:pStyle w:val="14"/>
        <w:spacing w:line="480" w:lineRule="exact"/>
        <w:ind w:firstLine="0" w:firstLineChars="0"/>
        <w:jc w:val="center"/>
        <w:outlineLvl w:val="9"/>
        <w:rPr>
          <w:rFonts w:eastAsia="仿宋_GB2312"/>
          <w:b/>
          <w:bCs/>
          <w:color w:val="000000" w:themeColor="text1"/>
          <w:sz w:val="28"/>
          <w:szCs w:val="28"/>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w:t>
      </w:r>
      <w:r>
        <w:rPr>
          <w:rFonts w:eastAsia="仿宋_GB2312"/>
          <w:b/>
          <w:bCs/>
          <w:color w:val="000000" w:themeColor="text1"/>
          <w:highlight w:val="none"/>
          <w14:textFill>
            <w14:solidFill>
              <w14:schemeClr w14:val="tx1"/>
            </w14:solidFill>
          </w14:textFill>
        </w:rPr>
        <w:t>成交公告（来源：中国土地市场网）</w:t>
      </w:r>
    </w:p>
    <w:p w14:paraId="03607D26">
      <w:pPr>
        <w:pStyle w:val="14"/>
        <w:ind w:firstLine="422"/>
        <w:jc w:val="center"/>
        <w:outlineLvl w:val="9"/>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比较实例A位置图及现状图</w:t>
      </w:r>
    </w:p>
    <w:tbl>
      <w:tblPr>
        <w:tblStyle w:val="10"/>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76"/>
        <w:gridCol w:w="4245"/>
        <w:gridCol w:w="4365"/>
      </w:tblGrid>
      <w:tr w14:paraId="01FCFE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94" w:hRule="atLeast"/>
          <w:jc w:val="center"/>
        </w:trPr>
        <w:tc>
          <w:tcPr>
            <w:tcW w:w="676" w:type="dxa"/>
            <w:vAlign w:val="center"/>
          </w:tcPr>
          <w:p w14:paraId="38EE65E2">
            <w:pPr>
              <w:pStyle w:val="14"/>
              <w:keepNext w:val="0"/>
              <w:keepLines w:val="0"/>
              <w:suppressLineNumbers w:val="0"/>
              <w:spacing w:before="0" w:beforeAutospacing="0" w:after="0" w:afterAutospacing="0"/>
              <w:ind w:left="0" w:right="0" w:firstLine="0" w:firstLineChars="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比较实例</w:t>
            </w:r>
          </w:p>
        </w:tc>
        <w:tc>
          <w:tcPr>
            <w:tcW w:w="4245" w:type="dxa"/>
            <w:vAlign w:val="center"/>
          </w:tcPr>
          <w:p w14:paraId="6E8202BD">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4365" w:type="dxa"/>
            <w:vAlign w:val="center"/>
          </w:tcPr>
          <w:p w14:paraId="6E3B30AA">
            <w:pPr>
              <w:pStyle w:val="14"/>
              <w:keepNext w:val="0"/>
              <w:keepLines w:val="0"/>
              <w:suppressLineNumbers w:val="0"/>
              <w:spacing w:before="0" w:beforeAutospacing="0" w:after="0" w:afterAutospacing="0"/>
              <w:ind w:left="0" w:right="0"/>
              <w:jc w:val="center"/>
              <w:outlineLvl w:val="9"/>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1F64AB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5" w:hRule="atLeast"/>
          <w:jc w:val="center"/>
        </w:trPr>
        <w:tc>
          <w:tcPr>
            <w:tcW w:w="676" w:type="dxa"/>
            <w:vAlign w:val="center"/>
          </w:tcPr>
          <w:p w14:paraId="2A20DF84">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实例A</w:t>
            </w:r>
          </w:p>
        </w:tc>
        <w:tc>
          <w:tcPr>
            <w:tcW w:w="4245" w:type="dxa"/>
            <w:vAlign w:val="center"/>
          </w:tcPr>
          <w:p w14:paraId="5F2693B1">
            <w:pPr>
              <w:pStyle w:val="14"/>
              <w:keepNext w:val="0"/>
              <w:keepLines w:val="0"/>
              <w:suppressLineNumbers w:val="0"/>
              <w:spacing w:before="0" w:beforeAutospacing="0" w:after="0" w:afterAutospacing="0"/>
              <w:ind w:left="0" w:right="0" w:firstLine="0" w:firstLineChars="0"/>
              <w:jc w:val="center"/>
              <w:outlineLvl w:val="9"/>
              <w:rPr>
                <w:rFonts w:hint="eastAsia" w:eastAsia="仿宋"/>
                <w:color w:val="000000" w:themeColor="text1"/>
                <w:szCs w:val="21"/>
                <w:highlight w:val="none"/>
                <w:lang w:eastAsia="zh-CN"/>
                <w14:textFill>
                  <w14:solidFill>
                    <w14:schemeClr w14:val="tx1"/>
                  </w14:solidFill>
                </w14:textFill>
              </w:rPr>
            </w:pPr>
            <w:r>
              <w:rPr>
                <w:rFonts w:hint="eastAsia" w:eastAsia="仿宋"/>
                <w:color w:val="000000" w:themeColor="text1"/>
                <w:szCs w:val="21"/>
                <w:highlight w:val="none"/>
                <w:lang w:eastAsia="zh-CN"/>
                <w14:textFill>
                  <w14:solidFill>
                    <w14:schemeClr w14:val="tx1"/>
                  </w14:solidFill>
                </w14:textFill>
              </w:rPr>
              <w:drawing>
                <wp:inline distT="0" distB="0" distL="114300" distR="114300">
                  <wp:extent cx="2628265" cy="1572260"/>
                  <wp:effectExtent l="0" t="0" r="8255" b="12700"/>
                  <wp:docPr id="35" name="图片 35" descr="比较案例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descr="比较案例A"/>
                          <pic:cNvPicPr>
                            <a:picLocks noChangeAspect="1"/>
                          </pic:cNvPicPr>
                        </pic:nvPicPr>
                        <pic:blipFill>
                          <a:blip r:embed="rId38"/>
                          <a:stretch>
                            <a:fillRect/>
                          </a:stretch>
                        </pic:blipFill>
                        <pic:spPr>
                          <a:xfrm>
                            <a:off x="0" y="0"/>
                            <a:ext cx="2628265" cy="1572260"/>
                          </a:xfrm>
                          <a:prstGeom prst="rect">
                            <a:avLst/>
                          </a:prstGeom>
                        </pic:spPr>
                      </pic:pic>
                    </a:graphicData>
                  </a:graphic>
                </wp:inline>
              </w:drawing>
            </w:r>
          </w:p>
        </w:tc>
        <w:tc>
          <w:tcPr>
            <w:tcW w:w="4365" w:type="dxa"/>
            <w:vAlign w:val="center"/>
          </w:tcPr>
          <w:p w14:paraId="2C8A8FD0">
            <w:pPr>
              <w:pStyle w:val="14"/>
              <w:keepNext w:val="0"/>
              <w:keepLines w:val="0"/>
              <w:suppressLineNumbers w:val="0"/>
              <w:spacing w:before="0" w:beforeAutospacing="0" w:after="0" w:afterAutospacing="0"/>
              <w:ind w:left="0" w:right="0" w:firstLine="0" w:firstLineChars="0"/>
              <w:jc w:val="center"/>
              <w:outlineLvl w:val="9"/>
              <w:rPr>
                <w:rFonts w:eastAsia="仿宋"/>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 w:val="32"/>
                <w:szCs w:val="32"/>
                <w:highlight w:val="none"/>
                <w14:textFill>
                  <w14:solidFill>
                    <w14:schemeClr w14:val="tx1"/>
                  </w14:solidFill>
                </w14:textFill>
              </w:rPr>
              <w:drawing>
                <wp:inline distT="0" distB="0" distL="114300" distR="114300">
                  <wp:extent cx="2628265" cy="1572895"/>
                  <wp:effectExtent l="0" t="0" r="8255" b="12065"/>
                  <wp:docPr id="52" name="图片 52" descr="689d6665ae17056abeb78e5d03d85f2"/>
                  <wp:cNvGraphicFramePr/>
                  <a:graphic xmlns:a="http://schemas.openxmlformats.org/drawingml/2006/main">
                    <a:graphicData uri="http://schemas.openxmlformats.org/drawingml/2006/picture">
                      <pic:pic xmlns:pic="http://schemas.openxmlformats.org/drawingml/2006/picture">
                        <pic:nvPicPr>
                          <pic:cNvPr id="52" name="图片 52" descr="689d6665ae17056abeb78e5d03d85f2"/>
                          <pic:cNvPicPr/>
                        </pic:nvPicPr>
                        <pic:blipFill>
                          <a:blip r:embed="rId39"/>
                          <a:stretch>
                            <a:fillRect/>
                          </a:stretch>
                        </pic:blipFill>
                        <pic:spPr>
                          <a:xfrm>
                            <a:off x="0" y="0"/>
                            <a:ext cx="2628265" cy="1572895"/>
                          </a:xfrm>
                          <a:prstGeom prst="rect">
                            <a:avLst/>
                          </a:prstGeom>
                          <a:noFill/>
                          <a:ln>
                            <a:noFill/>
                          </a:ln>
                        </pic:spPr>
                      </pic:pic>
                    </a:graphicData>
                  </a:graphic>
                </wp:inline>
              </w:drawing>
            </w:r>
          </w:p>
        </w:tc>
      </w:tr>
    </w:tbl>
    <w:p w14:paraId="4944F8E9">
      <w:pPr>
        <w:rPr>
          <w:rFonts w:hint="eastAsia"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br w:type="page"/>
      </w:r>
    </w:p>
    <w:p w14:paraId="3E6C11B4">
      <w:pPr>
        <w:pStyle w:val="14"/>
        <w:spacing w:line="480" w:lineRule="exact"/>
        <w:ind w:firstLine="0" w:firstLineChars="0"/>
        <w:outlineLvl w:val="9"/>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比较实例B详细情况如下：</w:t>
      </w:r>
    </w:p>
    <w:p w14:paraId="7B7DDE56">
      <w:pPr>
        <w:pStyle w:val="14"/>
        <w:spacing w:line="480" w:lineRule="exact"/>
        <w:ind w:firstLine="0" w:firstLineChars="0"/>
        <w:jc w:val="center"/>
        <w:outlineLvl w:val="9"/>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比较实例B</w:t>
      </w:r>
      <w:r>
        <w:rPr>
          <w:rFonts w:eastAsia="仿宋_GB2312"/>
          <w:b/>
          <w:bCs/>
          <w:color w:val="000000" w:themeColor="text1"/>
          <w:highlight w:val="none"/>
          <w14:textFill>
            <w14:solidFill>
              <w14:schemeClr w14:val="tx1"/>
            </w14:solidFill>
          </w14:textFill>
        </w:rPr>
        <w:t>成交公告（来源：中国土地市场网）</w:t>
      </w:r>
    </w:p>
    <w:p w14:paraId="102E8177">
      <w:pPr>
        <w:pStyle w:val="14"/>
        <w:ind w:left="0" w:leftChars="0" w:firstLine="0" w:firstLineChars="0"/>
        <w:jc w:val="center"/>
        <w:rPr>
          <w:rFonts w:eastAsia="仿宋_GB2312"/>
          <w:b/>
          <w:color w:val="000000" w:themeColor="text1"/>
          <w:szCs w:val="2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71770" cy="3158490"/>
            <wp:effectExtent l="0" t="0" r="1270" b="11430"/>
            <wp:docPr id="4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
                    <pic:cNvPicPr>
                      <a:picLocks noChangeAspect="1"/>
                    </pic:cNvPicPr>
                  </pic:nvPicPr>
                  <pic:blipFill>
                    <a:blip r:embed="rId40"/>
                    <a:stretch>
                      <a:fillRect/>
                    </a:stretch>
                  </pic:blipFill>
                  <pic:spPr>
                    <a:xfrm>
                      <a:off x="0" y="0"/>
                      <a:ext cx="5271770" cy="3158490"/>
                    </a:xfrm>
                    <a:prstGeom prst="rect">
                      <a:avLst/>
                    </a:prstGeom>
                    <a:noFill/>
                    <a:ln>
                      <a:noFill/>
                    </a:ln>
                  </pic:spPr>
                </pic:pic>
              </a:graphicData>
            </a:graphic>
          </wp:inline>
        </w:drawing>
      </w:r>
      <w:r>
        <w:rPr>
          <w:rFonts w:eastAsia="仿宋_GB2312"/>
          <w:b/>
          <w:color w:val="000000" w:themeColor="text1"/>
          <w:szCs w:val="21"/>
          <w:highlight w:val="none"/>
          <w14:textFill>
            <w14:solidFill>
              <w14:schemeClr w14:val="tx1"/>
            </w14:solidFill>
          </w14:textFill>
        </w:rPr>
        <w:t>比较实例B位置图及现状图</w:t>
      </w:r>
    </w:p>
    <w:tbl>
      <w:tblPr>
        <w:tblStyle w:val="10"/>
        <w:tblW w:w="4998"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02568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0" w:hRule="atLeast"/>
        </w:trPr>
        <w:tc>
          <w:tcPr>
            <w:tcW w:w="363" w:type="pct"/>
            <w:vAlign w:val="center"/>
          </w:tcPr>
          <w:p w14:paraId="6C10628A">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2285" w:type="pct"/>
            <w:vAlign w:val="center"/>
          </w:tcPr>
          <w:p w14:paraId="0B9C91CD">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2350" w:type="pct"/>
            <w:vAlign w:val="center"/>
          </w:tcPr>
          <w:p w14:paraId="721A9899">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4C347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73" w:hRule="atLeast"/>
        </w:trPr>
        <w:tc>
          <w:tcPr>
            <w:tcW w:w="363" w:type="pct"/>
            <w:vAlign w:val="center"/>
          </w:tcPr>
          <w:p w14:paraId="30CBF3F6">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实例B</w:t>
            </w:r>
          </w:p>
        </w:tc>
        <w:tc>
          <w:tcPr>
            <w:tcW w:w="2285" w:type="pct"/>
            <w:vAlign w:val="center"/>
          </w:tcPr>
          <w:p w14:paraId="24BAA9DC">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6" name="图片 36" descr="案例B位置"/>
                  <wp:cNvGraphicFramePr/>
                  <a:graphic xmlns:a="http://schemas.openxmlformats.org/drawingml/2006/main">
                    <a:graphicData uri="http://schemas.openxmlformats.org/drawingml/2006/picture">
                      <pic:pic xmlns:pic="http://schemas.openxmlformats.org/drawingml/2006/picture">
                        <pic:nvPicPr>
                          <pic:cNvPr id="36" name="图片 36" descr="案例B位置"/>
                          <pic:cNvPicPr/>
                        </pic:nvPicPr>
                        <pic:blipFill>
                          <a:blip r:embed="rId41"/>
                          <a:srcRect l="8609" r="11894"/>
                          <a:stretch>
                            <a:fillRect/>
                          </a:stretch>
                        </pic:blipFill>
                        <pic:spPr>
                          <a:xfrm>
                            <a:off x="0" y="0"/>
                            <a:ext cx="2628265" cy="1572895"/>
                          </a:xfrm>
                          <a:prstGeom prst="rect">
                            <a:avLst/>
                          </a:prstGeom>
                        </pic:spPr>
                      </pic:pic>
                    </a:graphicData>
                  </a:graphic>
                </wp:inline>
              </w:drawing>
            </w:r>
          </w:p>
        </w:tc>
        <w:tc>
          <w:tcPr>
            <w:tcW w:w="2350" w:type="pct"/>
            <w:vAlign w:val="center"/>
          </w:tcPr>
          <w:p w14:paraId="32DDA442">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hint="eastAsia"/>
                <w:color w:val="000000" w:themeColor="text1"/>
                <w:highlight w:val="none"/>
                <w14:textFill>
                  <w14:solidFill>
                    <w14:schemeClr w14:val="tx1"/>
                  </w14:solidFill>
                </w14:textFill>
              </w:rPr>
              <w:drawing>
                <wp:inline distT="0" distB="0" distL="114300" distR="114300">
                  <wp:extent cx="2628265" cy="1572895"/>
                  <wp:effectExtent l="0" t="0" r="8255" b="12065"/>
                  <wp:docPr id="37" name="图片 37" descr="微信图片_20201222145553"/>
                  <wp:cNvGraphicFramePr/>
                  <a:graphic xmlns:a="http://schemas.openxmlformats.org/drawingml/2006/main">
                    <a:graphicData uri="http://schemas.openxmlformats.org/drawingml/2006/picture">
                      <pic:pic xmlns:pic="http://schemas.openxmlformats.org/drawingml/2006/picture">
                        <pic:nvPicPr>
                          <pic:cNvPr id="37" name="图片 37" descr="微信图片_20201222145553"/>
                          <pic:cNvPicPr/>
                        </pic:nvPicPr>
                        <pic:blipFill>
                          <a:blip r:embed="rId42" cstate="print">
                            <a:extLst>
                              <a:ext uri="{28A0092B-C50C-407E-A947-70E740481C1C}">
                                <a14:useLocalDpi xmlns:a14="http://schemas.microsoft.com/office/drawing/2010/main" val="0"/>
                              </a:ext>
                            </a:extLst>
                          </a:blip>
                          <a:srcRect l="2073" t="17109" r="42863" b="31843"/>
                          <a:stretch>
                            <a:fillRect/>
                          </a:stretch>
                        </pic:blipFill>
                        <pic:spPr>
                          <a:xfrm>
                            <a:off x="0" y="0"/>
                            <a:ext cx="2628265" cy="1572895"/>
                          </a:xfrm>
                          <a:prstGeom prst="rect">
                            <a:avLst/>
                          </a:prstGeom>
                        </pic:spPr>
                      </pic:pic>
                    </a:graphicData>
                  </a:graphic>
                </wp:inline>
              </w:drawing>
            </w:r>
          </w:p>
        </w:tc>
      </w:tr>
    </w:tbl>
    <w:p w14:paraId="7E168ECF">
      <w:pPr>
        <w:rPr>
          <w:rFonts w:eastAsia="仿宋_GB2312"/>
          <w:b/>
          <w:bCs/>
          <w:color w:val="000000" w:themeColor="text1"/>
          <w:sz w:val="28"/>
          <w:szCs w:val="28"/>
          <w:highlight w:val="none"/>
          <w14:textFill>
            <w14:solidFill>
              <w14:schemeClr w14:val="tx1"/>
            </w14:solidFill>
          </w14:textFill>
        </w:rPr>
      </w:pPr>
      <w:r>
        <w:rPr>
          <w:rFonts w:eastAsia="仿宋_GB2312"/>
          <w:b/>
          <w:bCs/>
          <w:color w:val="000000" w:themeColor="text1"/>
          <w:sz w:val="28"/>
          <w:szCs w:val="28"/>
          <w:highlight w:val="none"/>
          <w14:textFill>
            <w14:solidFill>
              <w14:schemeClr w14:val="tx1"/>
            </w14:solidFill>
          </w14:textFill>
        </w:rPr>
        <w:br w:type="page"/>
      </w:r>
      <w:r>
        <w:rPr>
          <w:rFonts w:eastAsia="仿宋_GB2312"/>
          <w:b/>
          <w:bCs/>
          <w:color w:val="000000" w:themeColor="text1"/>
          <w:sz w:val="28"/>
          <w:szCs w:val="28"/>
          <w:highlight w:val="none"/>
          <w14:textFill>
            <w14:solidFill>
              <w14:schemeClr w14:val="tx1"/>
            </w14:solidFill>
          </w14:textFill>
        </w:rPr>
        <w:t>比较实例C详细情况如下：</w:t>
      </w:r>
    </w:p>
    <w:p w14:paraId="736EFE6E">
      <w:pPr>
        <w:pStyle w:val="14"/>
        <w:spacing w:line="480" w:lineRule="exact"/>
        <w:ind w:firstLine="0" w:firstLineChars="0"/>
        <w:jc w:val="center"/>
        <w:rPr>
          <w:rFonts w:eastAsia="仿宋_GB2312"/>
          <w:b/>
          <w:bCs/>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w:t>
      </w:r>
      <w:r>
        <w:rPr>
          <w:rFonts w:eastAsia="仿宋_GB2312"/>
          <w:b/>
          <w:bCs/>
          <w:color w:val="000000" w:themeColor="text1"/>
          <w:highlight w:val="none"/>
          <w14:textFill>
            <w14:solidFill>
              <w14:schemeClr w14:val="tx1"/>
            </w14:solidFill>
          </w14:textFill>
        </w:rPr>
        <w:t>成交公告（来源：中国土地市场网）</w:t>
      </w:r>
    </w:p>
    <w:p w14:paraId="4ED4690A">
      <w:pPr>
        <w:pStyle w:val="14"/>
        <w:ind w:firstLine="422"/>
        <w:jc w:val="center"/>
        <w:rPr>
          <w:color w:val="000000" w:themeColor="text1"/>
          <w:highlight w:val="none"/>
          <w14:textFill>
            <w14:solidFill>
              <w14:schemeClr w14:val="tx1"/>
            </w14:solidFill>
          </w14:textFill>
        </w:rPr>
      </w:pPr>
      <w:r>
        <w:rPr>
          <w:rFonts w:eastAsia="仿宋_GB2312"/>
          <w:b/>
          <w:color w:val="000000" w:themeColor="text1"/>
          <w:szCs w:val="21"/>
          <w:highlight w:val="none"/>
          <w14:textFill>
            <w14:solidFill>
              <w14:schemeClr w14:val="tx1"/>
            </w14:solidFill>
          </w14:textFill>
        </w:rPr>
        <w:t>比较实例C位置图及现状图</w:t>
      </w:r>
    </w:p>
    <w:tbl>
      <w:tblPr>
        <w:tblStyle w:val="10"/>
        <w:tblpPr w:leftFromText="180" w:rightFromText="180" w:vertAnchor="text" w:horzAnchor="page" w:tblpX="1453" w:tblpY="26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0"/>
        <w:gridCol w:w="4056"/>
        <w:gridCol w:w="4056"/>
      </w:tblGrid>
      <w:tr w14:paraId="2610C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0" w:type="auto"/>
            <w:vAlign w:val="center"/>
          </w:tcPr>
          <w:p w14:paraId="26894920">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w:t>
            </w:r>
          </w:p>
        </w:tc>
        <w:tc>
          <w:tcPr>
            <w:tcW w:w="0" w:type="auto"/>
            <w:vAlign w:val="center"/>
          </w:tcPr>
          <w:p w14:paraId="4DCCF32F">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实例位置图</w:t>
            </w:r>
          </w:p>
        </w:tc>
        <w:tc>
          <w:tcPr>
            <w:tcW w:w="0" w:type="auto"/>
            <w:vAlign w:val="center"/>
          </w:tcPr>
          <w:p w14:paraId="459A7A21">
            <w:pPr>
              <w:pStyle w:val="14"/>
              <w:keepNext w:val="0"/>
              <w:keepLines w:val="0"/>
              <w:suppressLineNumbers w:val="0"/>
              <w:spacing w:before="0" w:beforeAutospacing="0" w:after="0" w:afterAutospacing="0"/>
              <w:ind w:left="0" w:right="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实例现状图</w:t>
            </w:r>
          </w:p>
        </w:tc>
      </w:tr>
      <w:tr w14:paraId="518A13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60" w:hRule="atLeast"/>
        </w:trPr>
        <w:tc>
          <w:tcPr>
            <w:tcW w:w="0" w:type="auto"/>
            <w:vAlign w:val="center"/>
          </w:tcPr>
          <w:p w14:paraId="25BE6313">
            <w:pPr>
              <w:pStyle w:val="14"/>
              <w:keepNext w:val="0"/>
              <w:keepLines w:val="0"/>
              <w:suppressLineNumbers w:val="0"/>
              <w:spacing w:before="0" w:beforeAutospacing="0" w:after="0" w:afterAutospacing="0"/>
              <w:ind w:left="0" w:right="0" w:firstLine="0" w:firstLineChars="0"/>
              <w:jc w:val="center"/>
              <w:rPr>
                <w:rFonts w:ascii="仿宋_GB2312" w:hAnsi="仿宋_GB2312" w:eastAsia="仿宋_GB2312" w:cs="仿宋_GB2312"/>
                <w:color w:val="000000" w:themeColor="text1"/>
                <w:szCs w:val="21"/>
                <w:highlight w:val="none"/>
                <w14:textFill>
                  <w14:solidFill>
                    <w14:schemeClr w14:val="tx1"/>
                  </w14:solidFill>
                </w14:textFill>
              </w:rPr>
            </w:pPr>
            <w:r>
              <w:rPr>
                <w:rFonts w:hint="eastAsia" w:ascii="仿宋_GB2312" w:hAnsi="仿宋_GB2312" w:eastAsia="仿宋_GB2312" w:cs="仿宋_GB2312"/>
                <w:color w:val="000000" w:themeColor="text1"/>
                <w:szCs w:val="21"/>
                <w:highlight w:val="none"/>
                <w14:textFill>
                  <w14:solidFill>
                    <w14:schemeClr w14:val="tx1"/>
                  </w14:solidFill>
                </w14:textFill>
              </w:rPr>
              <w:t>实例C</w:t>
            </w:r>
          </w:p>
        </w:tc>
        <w:tc>
          <w:tcPr>
            <w:tcW w:w="0" w:type="auto"/>
            <w:vAlign w:val="center"/>
          </w:tcPr>
          <w:p w14:paraId="4D1AE78D">
            <w:pPr>
              <w:pStyle w:val="14"/>
              <w:keepNext w:val="0"/>
              <w:keepLines w:val="0"/>
              <w:suppressLineNumbers w:val="0"/>
              <w:spacing w:before="0" w:beforeAutospacing="0" w:after="0" w:afterAutospacing="0"/>
              <w:ind w:left="0" w:right="0" w:firstLine="0" w:firstLineChars="0"/>
              <w:rPr>
                <w:rFonts w:hint="eastAsia" w:ascii="仿宋_GB2312" w:hAnsi="仿宋_GB2312" w:eastAsia="仿宋_GB2312" w:cs="仿宋_GB2312"/>
                <w:color w:val="000000" w:themeColor="text1"/>
                <w:szCs w:val="21"/>
                <w:highlight w:val="none"/>
                <w:lang w:eastAsia="zh-CN"/>
                <w14:textFill>
                  <w14:solidFill>
                    <w14:schemeClr w14:val="tx1"/>
                  </w14:solidFill>
                </w14:textFill>
              </w:rPr>
            </w:pPr>
            <w:r>
              <w:rPr>
                <w:rFonts w:hint="eastAsia" w:ascii="仿宋_GB2312" w:hAnsi="仿宋_GB2312" w:eastAsia="仿宋_GB2312" w:cs="仿宋_GB2312"/>
                <w:color w:val="000000" w:themeColor="text1"/>
                <w:szCs w:val="21"/>
                <w:highlight w:val="none"/>
                <w:lang w:eastAsia="zh-CN"/>
                <w14:textFill>
                  <w14:solidFill>
                    <w14:schemeClr w14:val="tx1"/>
                  </w14:solidFill>
                </w14:textFill>
              </w:rPr>
              <w:drawing>
                <wp:inline distT="0" distB="0" distL="114300" distR="114300">
                  <wp:extent cx="2628265" cy="1572895"/>
                  <wp:effectExtent l="0" t="0" r="8255" b="12065"/>
                  <wp:docPr id="33" name="图片 33" descr="比较案例C"/>
                  <wp:cNvGraphicFramePr/>
                  <a:graphic xmlns:a="http://schemas.openxmlformats.org/drawingml/2006/main">
                    <a:graphicData uri="http://schemas.openxmlformats.org/drawingml/2006/picture">
                      <pic:pic xmlns:pic="http://schemas.openxmlformats.org/drawingml/2006/picture">
                        <pic:nvPicPr>
                          <pic:cNvPr id="33" name="图片 33" descr="比较案例C"/>
                          <pic:cNvPicPr/>
                        </pic:nvPicPr>
                        <pic:blipFill>
                          <a:blip r:embed="rId44"/>
                          <a:stretch>
                            <a:fillRect/>
                          </a:stretch>
                        </pic:blipFill>
                        <pic:spPr>
                          <a:xfrm>
                            <a:off x="0" y="0"/>
                            <a:ext cx="2628265" cy="1572895"/>
                          </a:xfrm>
                          <a:prstGeom prst="rect">
                            <a:avLst/>
                          </a:prstGeom>
                        </pic:spPr>
                      </pic:pic>
                    </a:graphicData>
                  </a:graphic>
                </wp:inline>
              </w:drawing>
            </w:r>
          </w:p>
        </w:tc>
        <w:tc>
          <w:tcPr>
            <w:tcW w:w="0" w:type="auto"/>
            <w:vAlign w:val="center"/>
          </w:tcPr>
          <w:p w14:paraId="45D65965">
            <w:pPr>
              <w:pStyle w:val="14"/>
              <w:keepNext w:val="0"/>
              <w:keepLines w:val="0"/>
              <w:suppressLineNumbers w:val="0"/>
              <w:spacing w:before="0" w:beforeAutospacing="0" w:after="0" w:afterAutospacing="0"/>
              <w:ind w:left="0" w:right="0" w:firstLine="0" w:firstLineChars="0"/>
              <w:rPr>
                <w:rFonts w:ascii="仿宋_GB2312" w:hAnsi="仿宋_GB2312" w:eastAsia="仿宋_GB2312" w:cs="仿宋_GB2312"/>
                <w:color w:val="000000" w:themeColor="text1"/>
                <w:szCs w:val="21"/>
                <w:highlight w:val="none"/>
                <w14:textFill>
                  <w14:solidFill>
                    <w14:schemeClr w14:val="tx1"/>
                  </w14:solidFill>
                </w14:textFill>
              </w:rPr>
            </w:pPr>
            <w:r>
              <w:rPr>
                <w:rFonts w:ascii="仿宋_GB2312" w:eastAsia="仿宋_GB2312"/>
                <w:color w:val="000000" w:themeColor="text1"/>
                <w:sz w:val="28"/>
                <w:szCs w:val="30"/>
                <w:highlight w:val="none"/>
                <w14:textFill>
                  <w14:solidFill>
                    <w14:schemeClr w14:val="tx1"/>
                  </w14:solidFill>
                </w14:textFill>
              </w:rPr>
              <w:drawing>
                <wp:inline distT="0" distB="0" distL="114300" distR="114300">
                  <wp:extent cx="2628265" cy="1572895"/>
                  <wp:effectExtent l="0" t="0" r="8255" b="12065"/>
                  <wp:docPr id="59" name="图片 3" descr="E:/永湘共享文件/外勘图片/2022年外勘/2022年12月13日外勘/长沙恩吉实业投资有限公司宗地/微信图片_202212131552021.jpg微信图片_202212131552021"/>
                  <wp:cNvGraphicFramePr/>
                  <a:graphic xmlns:a="http://schemas.openxmlformats.org/drawingml/2006/main">
                    <a:graphicData uri="http://schemas.openxmlformats.org/drawingml/2006/picture">
                      <pic:pic xmlns:pic="http://schemas.openxmlformats.org/drawingml/2006/picture">
                        <pic:nvPicPr>
                          <pic:cNvPr id="59" name="图片 3" descr="E:/永湘共享文件/外勘图片/2022年外勘/2022年12月13日外勘/长沙恩吉实业投资有限公司宗地/微信图片_202212131552021.jpg微信图片_202212131552021"/>
                          <pic:cNvPicPr/>
                        </pic:nvPicPr>
                        <pic:blipFill>
                          <a:blip r:embed="rId45"/>
                          <a:srcRect t="10974" b="10974"/>
                          <a:stretch>
                            <a:fillRect/>
                          </a:stretch>
                        </pic:blipFill>
                        <pic:spPr>
                          <a:xfrm>
                            <a:off x="0" y="0"/>
                            <a:ext cx="2628265" cy="1572895"/>
                          </a:xfrm>
                          <a:prstGeom prst="rect">
                            <a:avLst/>
                          </a:prstGeom>
                          <a:noFill/>
                          <a:ln>
                            <a:noFill/>
                          </a:ln>
                        </pic:spPr>
                      </pic:pic>
                    </a:graphicData>
                  </a:graphic>
                </wp:inline>
              </w:drawing>
            </w:r>
          </w:p>
        </w:tc>
      </w:tr>
    </w:tbl>
    <w:p w14:paraId="1856B96D">
      <w:pPr>
        <w:pStyle w:val="14"/>
        <w:jc w:val="center"/>
        <w:rPr>
          <w:color w:val="000000" w:themeColor="text1"/>
          <w:highlight w:val="none"/>
          <w14:textFill>
            <w14:solidFill>
              <w14:schemeClr w14:val="tx1"/>
            </w14:solidFill>
          </w14:textFill>
        </w:rPr>
      </w:pPr>
    </w:p>
    <w:p w14:paraId="49065A06">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9E6AD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4F1D14D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4A649C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1C6CEC5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7C1E27F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p>
    <w:p w14:paraId="5A70F61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3.建立价格可比基础</w:t>
      </w:r>
    </w:p>
    <w:p w14:paraId="55D9ACF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选取了比较实例后，一般应先对这些比较实例的成交价格进行换算处理，对价格内涵和形式进行“标准化”，使它们之间的口径一致、相互可比，为后续对比较实例成交价格进行修正和调整建立一个共同的基础。</w:t>
      </w:r>
    </w:p>
    <w:p w14:paraId="6D38354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建立可比基础一般要做以下工作：①统一付款方式；②统一币种和货币单位；③统一面积内涵和面积单位等。</w:t>
      </w:r>
    </w:p>
    <w:p w14:paraId="11DD5D8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对比较实例成交价格内涵和形式的调查分析与待估宗地价格比较，两者相同，具体情况为：付款方式为在交易日期一次性付清，税费负担为各付各税，计价单位为人民币元/平方米.土地面积，面积内涵不包含非土地成分，土地实物范围没有特殊情况，土地面积单位为平方米等。</w:t>
      </w:r>
    </w:p>
    <w:p w14:paraId="0399D17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可比实例与估价对象在付款方式、币种、货币单位、面积内涵和面积单位是统一的，价格可比基础相同，故无需进行调整。</w:t>
      </w:r>
    </w:p>
    <w:p w14:paraId="0FB91129">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4.比较因素的选择</w:t>
      </w:r>
    </w:p>
    <w:p w14:paraId="30F02594">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根据估价对象的宗地条件，影响估价对象价格的主要因素有：</w:t>
      </w:r>
    </w:p>
    <w:p w14:paraId="1F3D7141">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①交易时间：根据地价指数，确定估价期日修正系数。</w:t>
      </w:r>
    </w:p>
    <w:p w14:paraId="5EBC8558">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②交易情况：主要指交易是否正常、公开、公平、自愿的交易。</w:t>
      </w:r>
    </w:p>
    <w:p w14:paraId="5433840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③交易方式：主要指拍卖、招标、挂牌、协议出让、转让、企业改制、抵押等。</w:t>
      </w:r>
    </w:p>
    <w:p w14:paraId="1BBD88EB">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④土地用途：是指土地的具体用途，如商服用地、住宅用地、工矿仓储用地等。</w:t>
      </w:r>
    </w:p>
    <w:p w14:paraId="1D4B38A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⑤土地级别：级别相同、相近或可修正。</w:t>
      </w:r>
    </w:p>
    <w:p w14:paraId="2AB22DC3">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⑥土地使用年期：指待估宗地和比较实例的土地使用年期。</w:t>
      </w:r>
    </w:p>
    <w:p w14:paraId="1E6A0652">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⑦区域因素：主要有</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距高速出入口距离、距货运火车站距离、临近道路状况、产业集聚程度、公共配套设施完善度、环境质量优劣度</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等。</w:t>
      </w:r>
    </w:p>
    <w:p w14:paraId="326EADCC">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begin"/>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instrText xml:space="preserve"> = 8 \* GB3 \* MERGEFORMAT </w:instrTex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separate"/>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⑧</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fldChar w:fldCharType="end"/>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个别因素：主要有宗地</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规模</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、宗地形状、</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地势</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w:t>
      </w:r>
      <w:r>
        <w:rPr>
          <w:rFonts w:hint="eastAsia" w:ascii="仿宋_GB2312" w:eastAsia="仿宋_GB2312" w:cs="Times New Roman"/>
          <w:color w:val="000000" w:themeColor="text1"/>
          <w:sz w:val="28"/>
          <w:szCs w:val="30"/>
          <w:highlight w:val="none"/>
          <w:lang w:val="en-US" w:eastAsia="zh-CN"/>
          <w14:textFill>
            <w14:solidFill>
              <w14:schemeClr w14:val="tx1"/>
            </w14:solidFill>
          </w14:textFill>
        </w:rPr>
        <w:t>地质</w:t>
      </w: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、规划限制等。</w:t>
      </w:r>
    </w:p>
    <w:p w14:paraId="61964A8D">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5.比较因素条件说明</w:t>
      </w:r>
    </w:p>
    <w:p w14:paraId="3B6B07B5">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根据估价对象的特点，综合确定交易时间、交易情况、交易方式、土地用途、土地使用年期、区域因素、个别因素作为本次估价的比较因素，估价对象与可比实例的比较因素具体情况见下表：</w:t>
      </w:r>
    </w:p>
    <w:p w14:paraId="74A633D9">
      <w:pPr>
        <w:spacing w:line="460" w:lineRule="exact"/>
        <w:jc w:val="center"/>
        <w:outlineLvl w:val="9"/>
        <w:rPr>
          <w:rFonts w:ascii="仿宋_GB2312" w:hAnsi="仿宋_GB2312" w:eastAsia="仿宋_GB2312" w:cs="仿宋_GB2312"/>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表3-</w:t>
      </w: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w:t>
      </w:r>
      <w:r>
        <w:rPr>
          <w:rFonts w:hint="eastAsia" w:ascii="仿宋_GB2312" w:hAnsi="仿宋_GB2312" w:eastAsia="仿宋_GB2312" w:cs="仿宋_GB2312"/>
          <w:bCs/>
          <w:color w:val="000000" w:themeColor="text1"/>
          <w:sz w:val="28"/>
          <w:szCs w:val="28"/>
          <w:highlight w:val="none"/>
          <w14:textFill>
            <w14:solidFill>
              <w14:schemeClr w14:val="tx1"/>
            </w14:solidFill>
          </w14:textFill>
        </w:rPr>
        <w:t xml:space="preserve"> 比较因素条件说明表</w:t>
      </w:r>
    </w:p>
    <w:tbl>
      <w:tblPr>
        <w:tblStyle w:val="9"/>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75"/>
        <w:gridCol w:w="375"/>
        <w:gridCol w:w="1870"/>
        <w:gridCol w:w="1546"/>
        <w:gridCol w:w="1453"/>
        <w:gridCol w:w="1451"/>
        <w:gridCol w:w="1452"/>
      </w:tblGrid>
      <w:tr w14:paraId="39B740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vAlign w:val="center"/>
          </w:tcPr>
          <w:p w14:paraId="6AB39BE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待估宗地及本级实例</w:t>
            </w:r>
          </w:p>
        </w:tc>
        <w:tc>
          <w:tcPr>
            <w:tcW w:w="907" w:type="pct"/>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1BC78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2A31AC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2"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576469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CC6A8B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851"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D7F53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r>
      <w:tr w14:paraId="367B13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1EFB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5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249290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232DA7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B0FA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55E5EA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EE197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165B7D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1537" w:type="pct"/>
            <w:gridSpan w:val="3"/>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011E4C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restart"/>
            <w:tcBorders>
              <w:top w:val="single" w:color="000000" w:sz="4" w:space="0"/>
              <w:left w:val="single" w:color="000000" w:sz="4" w:space="0"/>
              <w:bottom w:val="single" w:color="000000" w:sz="4" w:space="0"/>
              <w:right w:val="single" w:color="auto" w:sz="4" w:space="0"/>
            </w:tcBorders>
            <w:shd w:val="clear" w:color="auto" w:fill="auto"/>
            <w:vAlign w:val="center"/>
          </w:tcPr>
          <w:p>
            <w:r/>
          </w:p>
        </w:tc>
        <w:tc>
          <w:tcPr>
            <w:tcW w:w="220" w:type="pct"/>
            <w:vMerge w:val="restar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43CC2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4B6853A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noWrap/>
            <w:vAlign w:val="center"/>
          </w:tcPr>
          <w:p w14:paraId="1900787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056070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1E8A677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220" w:type="pct"/>
            <w:vMerge w:val="continue"/>
            <w:tcBorders>
              <w:top w:val="single" w:color="auto" w:sz="4" w:space="0"/>
              <w:left w:val="single" w:color="auto" w:sz="4" w:space="0"/>
              <w:bottom w:val="single" w:color="auto" w:sz="4" w:space="0"/>
              <w:right w:val="single" w:color="auto" w:sz="4" w:space="0"/>
            </w:tcBorders>
            <w:shd w:val="clear" w:color="auto" w:fill="auto"/>
            <w:vAlign w:val="center"/>
          </w:tcPr>
          <w:p w14:paraId="7707443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097" w:type="pct"/>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89F857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68"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543C48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39EC4D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FA1635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7C62399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auto" w:sz="4" w:space="0"/>
            </w:tcBorders>
            <w:shd w:val="clear" w:color="auto" w:fill="auto"/>
            <w:vAlign w:val="center"/>
          </w:tcPr>
          <w:p w14:paraId="0DAE868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auto" w:sz="4" w:space="0"/>
              <w:left w:val="single" w:color="auto" w:sz="4" w:space="0"/>
              <w:bottom w:val="single" w:color="auto" w:sz="4" w:space="0"/>
              <w:right w:val="single" w:color="auto" w:sz="4" w:space="0"/>
            </w:tcBorders>
            <w:shd w:val="clear" w:color="auto" w:fill="auto"/>
            <w:vAlign w:val="center"/>
          </w:tcPr>
          <w:p>
            <w:r/>
          </w:p>
        </w:tc>
        <w:tc>
          <w:tcPr>
            <w:tcW w:w="907" w:type="pct"/>
            <w:tcBorders>
              <w:top w:val="single" w:color="000000" w:sz="4" w:space="0"/>
              <w:left w:val="single" w:color="auto"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665ED26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restar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1317" w:type="pct"/>
            <w:gridSpan w:val="2"/>
            <w:tcBorders>
              <w:top w:val="single" w:color="auto"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nil"/>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r w14:paraId="3C061EB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6721A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46C865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2D071C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023B56B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90"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0BFECEE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vAlign w:val="center"/>
          </w:tcPr>
          <w:p>
            <w:r/>
          </w:p>
        </w:tc>
      </w:tr>
      <w:tr w14:paraId="58CA271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58" w:hRule="atLeast"/>
        </w:trPr>
        <w:tc>
          <w:tcPr>
            <w:tcW w:w="220" w:type="pct"/>
            <w:vMerge w:val="continue"/>
            <w:tcBorders>
              <w:top w:val="single" w:color="000000" w:sz="4" w:space="0"/>
              <w:left w:val="single" w:color="000000" w:sz="4" w:space="0"/>
              <w:bottom w:val="single" w:color="000000" w:sz="4" w:space="0"/>
              <w:right w:val="single" w:color="000000" w:sz="4" w:space="0"/>
            </w:tcBorders>
            <w:shd w:val="clear" w:color="auto" w:fill="auto"/>
            <w:vAlign w:val="center"/>
          </w:tcPr>
          <w:p w14:paraId="30414A5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317" w:type="pct"/>
            <w:gridSpan w:val="2"/>
            <w:tcBorders>
              <w:top w:val="single" w:color="000000" w:sz="4" w:space="0"/>
              <w:left w:val="single" w:color="000000" w:sz="4" w:space="0"/>
              <w:bottom w:val="single" w:color="000000" w:sz="4" w:space="0"/>
              <w:right w:val="single" w:color="000000" w:sz="4" w:space="0"/>
            </w:tcBorders>
            <w:shd w:val="clear" w:color="auto" w:fill="auto"/>
            <w:vAlign w:val="center"/>
          </w:tcPr>
          <w:p>
            <w:r/>
          </w:p>
        </w:tc>
        <w:tc>
          <w:tcPr>
            <w:tcW w:w="907"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2"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c>
          <w:tcPr>
            <w:tcW w:w="851" w:type="pct"/>
            <w:tcBorders>
              <w:top w:val="single" w:color="000000" w:sz="4" w:space="0"/>
              <w:left w:val="single" w:color="000000" w:sz="4" w:space="0"/>
              <w:bottom w:val="single" w:color="000000" w:sz="4" w:space="0"/>
              <w:right w:val="single" w:color="000000" w:sz="4" w:space="0"/>
            </w:tcBorders>
            <w:shd w:val="clear" w:color="auto" w:fill="auto"/>
            <w:noWrap/>
            <w:vAlign w:val="center"/>
          </w:tcPr>
          <w:p>
            <w:r/>
          </w:p>
        </w:tc>
      </w:tr>
    </w:tbl>
    <w:p w14:paraId="336907F7">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6.编制比较因素条件指数表</w:t>
      </w:r>
    </w:p>
    <w:tbl>
      <w:tblPr>
        <w:tblStyle w:val="9"/>
        <w:tblW w:w="5432"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89"/>
        <w:gridCol w:w="1828"/>
        <w:gridCol w:w="1738"/>
        <w:gridCol w:w="1723"/>
        <w:gridCol w:w="1880"/>
      </w:tblGrid>
      <w:tr w14:paraId="2665E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14:paraId="2009CEE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估价对象与比较案例</w:t>
            </w:r>
          </w:p>
        </w:tc>
        <w:tc>
          <w:tcPr>
            <w:tcW w:w="987" w:type="pct"/>
            <w:noWrap w:val="0"/>
            <w:vAlign w:val="center"/>
          </w:tcPr>
          <w:p w14:paraId="259466A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938" w:type="pct"/>
            <w:noWrap w:val="0"/>
            <w:vAlign w:val="center"/>
          </w:tcPr>
          <w:p w14:paraId="02468E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实例A</w:t>
            </w:r>
          </w:p>
        </w:tc>
        <w:tc>
          <w:tcPr>
            <w:tcW w:w="930" w:type="pct"/>
            <w:noWrap w:val="0"/>
            <w:vAlign w:val="center"/>
          </w:tcPr>
          <w:p w14:paraId="4147C46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实例B</w:t>
            </w:r>
          </w:p>
        </w:tc>
        <w:tc>
          <w:tcPr>
            <w:tcW w:w="1015" w:type="pct"/>
            <w:noWrap w:val="0"/>
            <w:vAlign w:val="center"/>
          </w:tcPr>
          <w:p w14:paraId="14801E0B">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实例C</w:t>
            </w:r>
          </w:p>
        </w:tc>
      </w:tr>
      <w:tr w14:paraId="626395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8"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69EC0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4" w:hRule="atLeast"/>
          <w:jc w:val="center"/>
        </w:trPr>
        <w:tc>
          <w:tcPr>
            <w:tcW w:w="1128" w:type="pct"/>
            <w:noWrap w:val="0"/>
            <w:vAlign w:val="center"/>
          </w:tcPr>
          <w:p>
            <w:r/>
          </w:p>
        </w:tc>
        <w:tc>
          <w:tcPr>
            <w:tcW w:w="987" w:type="pct"/>
            <w:noWrap w:val="0"/>
            <w:vAlign w:val="center"/>
          </w:tcPr>
          <w:p>
            <w:r/>
          </w:p>
        </w:tc>
        <w:tc>
          <w:tcPr>
            <w:tcW w:w="938" w:type="pct"/>
            <w:noWrap w:val="0"/>
            <w:vAlign w:val="center"/>
          </w:tcPr>
          <w:p>
            <w:r/>
          </w:p>
        </w:tc>
        <w:tc>
          <w:tcPr>
            <w:tcW w:w="930" w:type="pct"/>
            <w:noWrap w:val="0"/>
            <w:vAlign w:val="center"/>
          </w:tcPr>
          <w:p>
            <w:r/>
          </w:p>
        </w:tc>
        <w:tc>
          <w:tcPr>
            <w:tcW w:w="1015" w:type="pct"/>
            <w:noWrap w:val="0"/>
            <w:vAlign w:val="center"/>
          </w:tcPr>
          <w:p>
            <w:r/>
          </w:p>
        </w:tc>
      </w:tr>
      <w:tr w14:paraId="25643C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2" w:hRule="atLeast"/>
          <w:jc w:val="center"/>
        </w:trPr>
        <w:tc>
          <w:tcPr>
            <w:tcW w:w="1128" w:type="pct"/>
            <w:noWrap w:val="0"/>
            <w:vAlign w:val="center"/>
          </w:tcPr>
          <w:p>
            <w:r/>
          </w:p>
        </w:tc>
        <w:tc>
          <w:tcPr>
            <w:tcW w:w="1828" w:type="dxa"/>
            <w:noWrap w:val="0"/>
            <w:vAlign w:val="center"/>
          </w:tcPr>
          <w:p>
            <w:r/>
          </w:p>
        </w:tc>
        <w:tc>
          <w:tcPr>
            <w:tcW w:w="1738" w:type="dxa"/>
            <w:noWrap w:val="0"/>
            <w:vAlign w:val="center"/>
          </w:tcPr>
          <w:p>
            <w:r/>
          </w:p>
        </w:tc>
        <w:tc>
          <w:tcPr>
            <w:tcW w:w="1723" w:type="dxa"/>
            <w:noWrap w:val="0"/>
            <w:vAlign w:val="center"/>
          </w:tcPr>
          <w:p>
            <w:r/>
          </w:p>
        </w:tc>
        <w:tc>
          <w:tcPr>
            <w:tcW w:w="1880" w:type="dxa"/>
            <w:noWrap w:val="0"/>
            <w:vAlign w:val="center"/>
          </w:tcPr>
          <w:p>
            <w:r/>
          </w:p>
        </w:tc>
      </w:tr>
    </w:tbl>
    <w:p>
      <w:r>
        <w:t>比较因素条件指数及修正依据由当前报告冻结的结构化市场比较法分析生成。</w:t>
      </w:r>
    </w:p>
    <w:p w14:paraId="642DF68B">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表3-13 估价对象及比较因素条件指数表</w:t>
      </w:r>
    </w:p>
    <w:tbl>
      <w:tblPr>
        <w:tblStyle w:val="9"/>
        <w:tblW w:w="502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98"/>
        <w:gridCol w:w="579"/>
        <w:gridCol w:w="1580"/>
        <w:gridCol w:w="1509"/>
        <w:gridCol w:w="1464"/>
        <w:gridCol w:w="1464"/>
        <w:gridCol w:w="1464"/>
      </w:tblGrid>
      <w:tr w14:paraId="58AA9E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1552" w:type="pct"/>
            <w:gridSpan w:val="3"/>
            <w:tcBorders>
              <w:tl2br w:val="single" w:color="auto" w:sz="4" w:space="0"/>
            </w:tcBorders>
            <w:shd w:val="clear" w:color="000000" w:fill="FFFFFF"/>
            <w:noWrap w:val="0"/>
            <w:vAlign w:val="center"/>
          </w:tcPr>
          <w:p w14:paraId="34F6D4F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4CB6668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81" w:type="pct"/>
            <w:shd w:val="clear" w:color="000000" w:fill="FFFFFF"/>
            <w:noWrap w:val="0"/>
            <w:vAlign w:val="center"/>
          </w:tcPr>
          <w:p w14:paraId="5EADBEF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估价对象</w:t>
            </w:r>
          </w:p>
        </w:tc>
        <w:tc>
          <w:tcPr>
            <w:tcW w:w="855" w:type="pct"/>
            <w:shd w:val="clear" w:color="000000" w:fill="FFFFFF"/>
            <w:noWrap w:val="0"/>
            <w:vAlign w:val="center"/>
          </w:tcPr>
          <w:p w14:paraId="3ACB0181">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55" w:type="pct"/>
            <w:shd w:val="clear" w:color="000000" w:fill="FFFFFF"/>
            <w:noWrap w:val="0"/>
            <w:vAlign w:val="center"/>
          </w:tcPr>
          <w:p w14:paraId="169960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855" w:type="pct"/>
            <w:shd w:val="clear" w:color="000000" w:fill="FFFFFF"/>
            <w:noWrap w:val="0"/>
            <w:vAlign w:val="center"/>
          </w:tcPr>
          <w:p w14:paraId="02CDF69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1BB63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C0911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881" w:type="pct"/>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B5A31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D1C9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A0F16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1CAF52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3AA74D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1552" w:type="pct"/>
            <w:gridSpan w:val="3"/>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0FB73A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7" w:hRule="atLeast"/>
        </w:trPr>
        <w:tc>
          <w:tcPr>
            <w:tcW w:w="290" w:type="pct"/>
            <w:vMerge w:val="restart"/>
            <w:shd w:val="clear" w:color="auto" w:fill="auto"/>
            <w:noWrap w:val="0"/>
            <w:vAlign w:val="center"/>
          </w:tcPr>
          <w:p>
            <w:r/>
          </w:p>
        </w:tc>
        <w:tc>
          <w:tcPr>
            <w:tcW w:w="338" w:type="pct"/>
            <w:vMerge w:val="restart"/>
            <w:shd w:val="clear" w:color="auto" w:fill="auto"/>
            <w:noWrap w:val="0"/>
            <w:vAlign w:val="center"/>
          </w:tcPr>
          <w:p>
            <w:r/>
          </w:p>
        </w:tc>
        <w:tc>
          <w:tcPr>
            <w:tcW w:w="923" w:type="pct"/>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6F1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15FEEFEC">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5E611C2A">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53D04D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0" w:hRule="atLeast"/>
        </w:trPr>
        <w:tc>
          <w:tcPr>
            <w:tcW w:w="290" w:type="pct"/>
            <w:vMerge w:val="continue"/>
            <w:shd w:val="clear" w:color="auto" w:fill="auto"/>
            <w:noWrap w:val="0"/>
            <w:vAlign w:val="center"/>
          </w:tcPr>
          <w:p w14:paraId="2CDFF324">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38" w:type="pct"/>
            <w:vMerge w:val="continue"/>
            <w:shd w:val="clear" w:color="auto" w:fill="auto"/>
            <w:noWrap w:val="0"/>
            <w:vAlign w:val="center"/>
          </w:tcPr>
          <w:p w14:paraId="619D604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923" w:type="pct"/>
            <w:shd w:val="clear" w:color="000000" w:fill="FFFFFF"/>
            <w:noWrap w:val="0"/>
            <w:vAlign w:val="center"/>
          </w:tcPr>
          <w:p>
            <w:r/>
          </w:p>
        </w:tc>
        <w:tc>
          <w:tcPr>
            <w:tcW w:w="1509" w:type="dxa"/>
            <w:noWrap w:val="0"/>
            <w:vAlign w:val="center"/>
          </w:tcPr>
          <w:p>
            <w:r/>
          </w:p>
        </w:tc>
        <w:tc>
          <w:tcPr>
            <w:tcW w:w="1464" w:type="dxa"/>
            <w:noWrap w:val="0"/>
            <w:vAlign w:val="center"/>
          </w:tcPr>
          <w:p>
            <w:r/>
          </w:p>
        </w:tc>
        <w:tc>
          <w:tcPr>
            <w:tcW w:w="1464" w:type="dxa"/>
            <w:noWrap w:val="0"/>
            <w:vAlign w:val="center"/>
          </w:tcPr>
          <w:p>
            <w:r/>
          </w:p>
        </w:tc>
        <w:tc>
          <w:tcPr>
            <w:tcW w:w="1464" w:type="dxa"/>
            <w:noWrap w:val="0"/>
            <w:vAlign w:val="center"/>
          </w:tcPr>
          <w:p>
            <w:r/>
          </w:p>
        </w:tc>
      </w:tr>
      <w:tr w14:paraId="606463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03E8B6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20BA27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6324AA1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0BA1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4" w:hRule="atLeast"/>
        </w:trPr>
        <w:tc>
          <w:tcPr>
            <w:tcW w:w="290" w:type="pct"/>
            <w:vMerge w:val="continue"/>
            <w:shd w:val="clear" w:color="auto" w:fill="auto"/>
            <w:noWrap w:val="0"/>
            <w:vAlign w:val="center"/>
          </w:tcPr>
          <w:p w14:paraId="7F0B26B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726B21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restart"/>
            <w:shd w:val="clear" w:color="000000" w:fill="FFFFFF"/>
            <w:noWrap w:val="0"/>
            <w:vAlign w:val="center"/>
          </w:tcPr>
          <w:p>
            <w: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1AC3B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7A050D7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62DE58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5051967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4F8D0D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4" w:hRule="atLeast"/>
        </w:trPr>
        <w:tc>
          <w:tcPr>
            <w:tcW w:w="290" w:type="pct"/>
            <w:vMerge w:val="continue"/>
            <w:shd w:val="clear" w:color="auto" w:fill="auto"/>
            <w:noWrap w:val="0"/>
            <w:vAlign w:val="center"/>
          </w:tcPr>
          <w:p w14:paraId="3EF9E51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r w14:paraId="5BF502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9" w:hRule="atLeast"/>
        </w:trPr>
        <w:tc>
          <w:tcPr>
            <w:tcW w:w="290" w:type="pct"/>
            <w:vMerge w:val="continue"/>
            <w:shd w:val="clear" w:color="auto" w:fill="auto"/>
            <w:noWrap w:val="0"/>
            <w:vAlign w:val="center"/>
          </w:tcPr>
          <w:p w14:paraId="749BCBF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261" w:type="pct"/>
            <w:gridSpan w:val="2"/>
            <w:shd w:val="clear" w:color="000000" w:fill="FFFFFF"/>
            <w:noWrap w:val="0"/>
            <w:vAlign w:val="center"/>
          </w:tcPr>
          <w:p>
            <w:r/>
          </w:p>
        </w:tc>
        <w:tc>
          <w:tcPr>
            <w:tcW w:w="1509"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c>
          <w:tcPr>
            <w:tcW w:w="1464" w:type="dxa"/>
            <w:shd w:val="clear" w:color="000000" w:fill="FFFFFF"/>
            <w:noWrap w:val="0"/>
            <w:vAlign w:val="center"/>
          </w:tcPr>
          <w:p>
            <w:r/>
          </w:p>
        </w:tc>
      </w:tr>
    </w:tbl>
    <w:p w14:paraId="22F5FFFA">
      <w:pPr>
        <w:spacing w:line="460" w:lineRule="exact"/>
        <w:ind w:firstLine="560" w:firstLineChars="200"/>
        <w:outlineLvl w:val="9"/>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pPr>
      <w:r>
        <w:rPr>
          <w:rFonts w:hint="eastAsia" w:ascii="仿宋_GB2312" w:hAnsi="Times New Roman" w:eastAsia="仿宋_GB2312" w:cs="Times New Roman"/>
          <w:color w:val="000000" w:themeColor="text1"/>
          <w:sz w:val="28"/>
          <w:szCs w:val="30"/>
          <w:highlight w:val="none"/>
          <w:lang w:val="en-GB"/>
          <w14:textFill>
            <w14:solidFill>
              <w14:schemeClr w14:val="tx1"/>
            </w14:solidFill>
          </w14:textFill>
        </w:rPr>
        <w:t>在各因素条件指数的基础上进行比较实例各影响因素修正，将估价对象的因素条件指数，得到因素修正系数见下表。</w:t>
      </w:r>
    </w:p>
    <w:p w14:paraId="32953262">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表3-14 估价对象比较因素修正系数表</w:t>
      </w:r>
    </w:p>
    <w:tbl>
      <w:tblPr>
        <w:tblStyle w:val="9"/>
        <w:tblW w:w="5009" w:type="pct"/>
        <w:tblInd w:w="0" w:type="dxa"/>
        <w:tblLayout w:type="fixed"/>
        <w:tblCellMar>
          <w:top w:w="0" w:type="dxa"/>
          <w:left w:w="108" w:type="dxa"/>
          <w:bottom w:w="0" w:type="dxa"/>
          <w:right w:w="108" w:type="dxa"/>
        </w:tblCellMar>
      </w:tblPr>
      <w:tblGrid>
        <w:gridCol w:w="931"/>
        <w:gridCol w:w="645"/>
        <w:gridCol w:w="2694"/>
        <w:gridCol w:w="1521"/>
        <w:gridCol w:w="1521"/>
        <w:gridCol w:w="1226"/>
      </w:tblGrid>
      <w:tr w14:paraId="42ACA61F">
        <w:trPr>
          <w:trHeight w:val="436" w:hRule="atLeast"/>
        </w:trPr>
        <w:tc>
          <w:tcPr>
            <w:tcW w:w="2500" w:type="pct"/>
            <w:gridSpan w:val="3"/>
            <w:tcBorders>
              <w:top w:val="single" w:color="auto" w:sz="4" w:space="0"/>
              <w:left w:val="single" w:color="auto" w:sz="4" w:space="0"/>
              <w:bottom w:val="single" w:color="auto" w:sz="4" w:space="0"/>
              <w:right w:val="single" w:color="auto" w:sz="4" w:space="0"/>
              <w:tl2br w:val="single" w:color="auto" w:sz="4" w:space="0"/>
            </w:tcBorders>
            <w:shd w:val="clear" w:color="000000" w:fill="FFFFFF"/>
            <w:noWrap w:val="0"/>
            <w:vAlign w:val="center"/>
          </w:tcPr>
          <w:p w14:paraId="2F85F0A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待估宗地及比较实例</w:t>
            </w:r>
          </w:p>
          <w:p w14:paraId="117A0FFF">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比较因素</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3380663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案例A</w:t>
            </w:r>
          </w:p>
        </w:tc>
        <w:tc>
          <w:tcPr>
            <w:tcW w:w="890" w:type="pct"/>
            <w:tcBorders>
              <w:top w:val="single" w:color="auto" w:sz="4" w:space="0"/>
              <w:left w:val="single" w:color="auto" w:sz="4" w:space="0"/>
              <w:bottom w:val="single" w:color="auto" w:sz="4" w:space="0"/>
              <w:right w:val="single" w:color="auto" w:sz="4" w:space="0"/>
            </w:tcBorders>
            <w:noWrap w:val="0"/>
            <w:vAlign w:val="center"/>
          </w:tcPr>
          <w:p w14:paraId="49A89D43">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案例B</w:t>
            </w:r>
          </w:p>
        </w:tc>
        <w:tc>
          <w:tcPr>
            <w:tcW w:w="717" w:type="pct"/>
            <w:tcBorders>
              <w:top w:val="single" w:color="auto" w:sz="4" w:space="0"/>
              <w:left w:val="single" w:color="auto" w:sz="4" w:space="0"/>
              <w:bottom w:val="single" w:color="auto" w:sz="4" w:space="0"/>
              <w:right w:val="single" w:color="auto" w:sz="4" w:space="0"/>
            </w:tcBorders>
            <w:noWrap w:val="0"/>
            <w:vAlign w:val="center"/>
          </w:tcPr>
          <w:p w14:paraId="5D18E178">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t>案例C</w:t>
            </w:r>
          </w:p>
        </w:tc>
      </w:tr>
      <w:tr w14:paraId="3DD05D81">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6168D1FE">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459B17B6">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single" w:color="auto" w:sz="4" w:space="0"/>
              <w:bottom w:val="single" w:color="auto" w:sz="4" w:space="0"/>
              <w:right w:val="single" w:color="auto" w:sz="4" w:space="0"/>
            </w:tcBorders>
            <w:noWrap w:val="0"/>
            <w:vAlign w:val="center"/>
          </w:tcPr>
          <w:p>
            <w:r/>
          </w:p>
        </w:tc>
        <w:tc>
          <w:tcPr>
            <w:tcW w:w="717" w:type="pct"/>
            <w:tcBorders>
              <w:top w:val="single" w:color="auto" w:sz="4" w:space="0"/>
              <w:left w:val="single" w:color="auto" w:sz="4" w:space="0"/>
              <w:bottom w:val="single" w:color="auto" w:sz="4" w:space="0"/>
              <w:right w:val="single" w:color="auto" w:sz="4" w:space="0"/>
            </w:tcBorders>
            <w:noWrap w:val="0"/>
            <w:vAlign w:val="center"/>
          </w:tcPr>
          <w:p>
            <w:r/>
          </w:p>
        </w:tc>
      </w:tr>
      <w:tr w14:paraId="0CC2DA8B">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440CBF">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58FCDF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1FE5857">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right w:val="single" w:color="auto" w:sz="4" w:space="0"/>
            </w:tcBorders>
            <w:shd w:val="clear" w:color="auto" w:fill="auto"/>
            <w:noWrap w:val="0"/>
            <w:vAlign w:val="center"/>
          </w:tcPr>
          <w:p>
            <w:r/>
          </w:p>
        </w:tc>
        <w:tc>
          <w:tcPr>
            <w:tcW w:w="377" w:type="pct"/>
            <w:vMerge w:val="restart"/>
            <w:tcBorders>
              <w:top w:val="single" w:color="auto" w:sz="4" w:space="0"/>
              <w:left w:val="single" w:color="auto" w:sz="4" w:space="0"/>
              <w:bottom w:val="single" w:color="auto" w:sz="4" w:space="0"/>
              <w:right w:val="single" w:color="auto" w:sz="4" w:space="0"/>
            </w:tcBorders>
            <w:shd w:val="clear" w:color="auto" w:fill="auto"/>
            <w:noWrap/>
            <w:vAlign w:val="center"/>
          </w:tcPr>
          <w:p>
            <w: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AB053D">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1AC66FB6">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5CB31B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52BF39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8745E7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377"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3686AD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577" w:type="pct"/>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3CA71291">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0E3D4BA2">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03E6252F">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98F2E80">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590B399">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61EEAE1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5E13646">
        <w:tblPrEx>
          <w:tblCellMar>
            <w:top w:w="0" w:type="dxa"/>
            <w:left w:w="108" w:type="dxa"/>
            <w:bottom w:w="0" w:type="dxa"/>
            <w:right w:w="108" w:type="dxa"/>
          </w:tblCellMar>
        </w:tblPrEx>
        <w:trPr>
          <w:trHeight w:val="223" w:hRule="atLeast"/>
        </w:trPr>
        <w:tc>
          <w:tcPr>
            <w:tcW w:w="545" w:type="pct"/>
            <w:vMerge w:val="restart"/>
            <w:tcBorders>
              <w:top w:val="single" w:color="auto" w:sz="4" w:space="0"/>
              <w:left w:val="single" w:color="auto" w:sz="4" w:space="0"/>
              <w:bottom w:val="single" w:color="auto" w:sz="4" w:space="0"/>
              <w:right w:val="single" w:color="auto" w:sz="4" w:space="0"/>
            </w:tcBorders>
            <w:shd w:val="clear" w:color="000000" w:fill="FFFFFF"/>
            <w:noWrap w:val="0"/>
            <w:vAlign w:val="center"/>
          </w:tcPr>
          <w:p>
            <w: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5CA7FD50">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4AC8D2A7">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2302FF3">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5799D9DE">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B58767A">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79E4311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2724103E">
        <w:tblPrEx>
          <w:tblCellMar>
            <w:top w:w="0" w:type="dxa"/>
            <w:left w:w="108" w:type="dxa"/>
            <w:bottom w:w="0" w:type="dxa"/>
            <w:right w:w="108" w:type="dxa"/>
          </w:tblCellMar>
        </w:tblPrEx>
        <w:trPr>
          <w:trHeight w:val="223" w:hRule="atLeast"/>
        </w:trPr>
        <w:tc>
          <w:tcPr>
            <w:tcW w:w="545" w:type="pct"/>
            <w:vMerge w:val="continue"/>
            <w:tcBorders>
              <w:top w:val="single" w:color="auto" w:sz="4" w:space="0"/>
              <w:left w:val="single" w:color="auto" w:sz="4" w:space="0"/>
              <w:bottom w:val="single" w:color="auto" w:sz="4" w:space="0"/>
              <w:right w:val="single" w:color="auto" w:sz="4" w:space="0"/>
            </w:tcBorders>
            <w:shd w:val="clear" w:color="auto" w:fill="auto"/>
            <w:noWrap w:val="0"/>
            <w:vAlign w:val="center"/>
          </w:tcPr>
          <w:p w14:paraId="28C1E335">
            <w:pPr>
              <w:keepNext w:val="0"/>
              <w:keepLines w:val="0"/>
              <w:widowControl/>
              <w:suppressLineNumbers w:val="0"/>
              <w:spacing w:before="0" w:beforeAutospacing="0" w:after="0" w:afterAutospacing="0"/>
              <w:ind w:left="0" w:right="0"/>
              <w:jc w:val="center"/>
              <w:textAlignment w:val="center"/>
              <w:rPr>
                <w:rFonts w:hint="eastAsia" w:ascii="仿宋" w:hAnsi="仿宋" w:eastAsia="仿宋" w:cs="仿宋"/>
                <w:i w:val="0"/>
                <w:iCs w:val="0"/>
                <w:color w:val="000000" w:themeColor="text1"/>
                <w:kern w:val="0"/>
                <w:sz w:val="20"/>
                <w:szCs w:val="20"/>
                <w:highlight w:val="none"/>
                <w:u w:val="none"/>
                <w:lang w:val="en-US" w:eastAsia="zh-CN" w:bidi="ar"/>
                <w14:textFill>
                  <w14:solidFill>
                    <w14:schemeClr w14:val="tx1"/>
                  </w14:solidFill>
                </w14:textFill>
              </w:rPr>
            </w:pPr>
          </w:p>
        </w:tc>
        <w:tc>
          <w:tcPr>
            <w:tcW w:w="1955" w:type="pct"/>
            <w:gridSpan w:val="2"/>
            <w:tcBorders>
              <w:top w:val="single" w:color="auto" w:sz="4" w:space="0"/>
              <w:left w:val="nil"/>
              <w:bottom w:val="single" w:color="auto" w:sz="4" w:space="0"/>
              <w:right w:val="single" w:color="auto" w:sz="4" w:space="0"/>
            </w:tcBorders>
            <w:shd w:val="clear" w:color="000000" w:fill="FFFFFF"/>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77839D7C">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4398242D">
        <w:tblPrEx>
          <w:tblCellMar>
            <w:top w:w="0" w:type="dxa"/>
            <w:left w:w="108" w:type="dxa"/>
            <w:bottom w:w="0" w:type="dxa"/>
            <w:right w:w="108" w:type="dxa"/>
          </w:tblCellMar>
        </w:tblPrEx>
        <w:trPr>
          <w:trHeight w:val="223"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890" w:type="pct"/>
            <w:tcBorders>
              <w:top w:val="single" w:color="auto" w:sz="4" w:space="0"/>
              <w:left w:val="nil"/>
              <w:bottom w:val="single" w:color="auto" w:sz="4" w:space="0"/>
              <w:right w:val="single" w:color="auto" w:sz="4" w:space="0"/>
            </w:tcBorders>
            <w:noWrap w:val="0"/>
            <w:vAlign w:val="center"/>
          </w:tcPr>
          <w:p>
            <w:r/>
          </w:p>
        </w:tc>
        <w:tc>
          <w:tcPr>
            <w:tcW w:w="717" w:type="pct"/>
            <w:tcBorders>
              <w:top w:val="single" w:color="auto" w:sz="4" w:space="0"/>
              <w:left w:val="nil"/>
              <w:bottom w:val="single" w:color="auto" w:sz="4" w:space="0"/>
              <w:right w:val="single" w:color="auto" w:sz="4" w:space="0"/>
            </w:tcBorders>
            <w:noWrap w:val="0"/>
            <w:vAlign w:val="center"/>
          </w:tcPr>
          <w:p>
            <w:r/>
          </w:p>
        </w:tc>
      </w:tr>
      <w:tr w14:paraId="1024B4D2">
        <w:tblPrEx>
          <w:tblCellMar>
            <w:top w:w="0" w:type="dxa"/>
            <w:left w:w="108" w:type="dxa"/>
            <w:bottom w:w="0" w:type="dxa"/>
            <w:right w:w="108" w:type="dxa"/>
          </w:tblCellMar>
        </w:tblPrEx>
        <w:trPr>
          <w:trHeight w:val="231" w:hRule="atLeast"/>
        </w:trPr>
        <w:tc>
          <w:tcPr>
            <w:tcW w:w="2500" w:type="pct"/>
            <w:gridSpan w:val="3"/>
            <w:tcBorders>
              <w:top w:val="single" w:color="auto" w:sz="4" w:space="0"/>
              <w:left w:val="single" w:color="auto" w:sz="4" w:space="0"/>
              <w:bottom w:val="single" w:color="auto" w:sz="4" w:space="0"/>
              <w:right w:val="single" w:color="auto" w:sz="4" w:space="0"/>
            </w:tcBorders>
            <w:noWrap w:val="0"/>
            <w:vAlign w:val="center"/>
          </w:tcPr>
          <w:p>
            <w:r/>
          </w:p>
        </w:tc>
        <w:tc>
          <w:tcPr>
            <w:tcW w:w="2499" w:type="pct"/>
            <w:gridSpan w:val="3"/>
            <w:tcBorders>
              <w:top w:val="single" w:color="auto" w:sz="4" w:space="0"/>
              <w:left w:val="single" w:color="auto" w:sz="4" w:space="0"/>
              <w:bottom w:val="single" w:color="auto" w:sz="4" w:space="0"/>
              <w:right w:val="single" w:color="auto" w:sz="4" w:space="0"/>
            </w:tcBorders>
            <w:noWrap w:val="0"/>
            <w:vAlign w:val="center"/>
          </w:tcPr>
          <w:p>
            <w:r/>
          </w:p>
        </w:tc>
      </w:tr>
    </w:tbl>
    <w:p>
      <w:r>
        <w:t>{{ market_comp_step4_solve }}</w:t>
      </w:r>
    </w:p>
    <w:p w14:paraId="13D1C3A9">
      <w:pPr>
        <w:pStyle w:val="6"/>
        <w:keepNext w:val="0"/>
        <w:keepLines w:val="0"/>
        <w:pageBreakBefore w:val="0"/>
        <w:widowControl w:val="0"/>
        <w:kinsoku/>
        <w:wordWrap/>
        <w:overflowPunct/>
        <w:topLinePunct w:val="0"/>
        <w:autoSpaceDE/>
        <w:autoSpaceDN/>
        <w:bidi w:val="0"/>
        <w:adjustRightInd/>
        <w:snapToGrid/>
        <w:spacing w:line="480" w:lineRule="exact"/>
        <w:ind w:firstLine="562" w:firstLineChars="200"/>
        <w:textAlignment w:val="auto"/>
        <w:outlineLvl w:val="2"/>
        <w:rPr>
          <w:rFonts w:hint="eastAsia" w:ascii="仿宋_GB2312" w:hAnsi="仿宋_GB2312" w:eastAsia="仿宋_GB2312" w:cs="仿宋_GB2312"/>
          <w:b w:val="0"/>
          <w:bCs w:val="0"/>
          <w:color w:val="000000"/>
          <w:kern w:val="2"/>
          <w:sz w:val="28"/>
          <w:szCs w:val="28"/>
          <w:highlight w:val="none"/>
          <w:lang w:val="en-US" w:eastAsia="zh-CN" w:bidi="ar-SA"/>
        </w:rPr>
      </w:pPr>
      <w:bookmarkStart w:id="26" w:name="_Toc16838"/>
      <w:bookmarkStart w:id="27" w:name="_Toc23310"/>
      <w:r>
        <w:rPr>
          <w:rFonts w:hint="eastAsia" w:ascii="仿宋_GB2312" w:hAnsi="Times New Roman" w:eastAsia="仿宋_GB2312" w:cs="Times New Roman"/>
          <w:b/>
          <w:bCs/>
          <w:sz w:val="28"/>
          <w:szCs w:val="30"/>
          <w:highlight w:val="none"/>
          <w:lang w:val="en-GB"/>
        </w:rPr>
        <w:t>★</w:t>
      </w:r>
      <w:r>
        <w:rPr>
          <w:rFonts w:hint="eastAsia" w:ascii="仿宋_GB2312" w:hAnsi="仿宋_GB2312" w:eastAsia="仿宋_GB2312" w:cs="仿宋_GB2312"/>
          <w:b w:val="0"/>
          <w:bCs w:val="0"/>
          <w:color w:val="000000"/>
          <w:kern w:val="2"/>
          <w:sz w:val="28"/>
          <w:szCs w:val="28"/>
          <w:highlight w:val="none"/>
          <w:lang w:val="en-US" w:eastAsia="zh-CN" w:bidi="ar-SA"/>
        </w:rPr>
        <w:t>收益还原法</w:t>
      </w:r>
    </w:p>
    <w:p w14:paraId="6E7B1EFF">
      <w:pPr>
        <w:keepNext w:val="0"/>
        <w:keepLines w:val="0"/>
        <w:pageBreakBefore w:val="0"/>
        <w:widowControl w:val="0"/>
        <w:kinsoku/>
        <w:wordWrap/>
        <w:overflowPunct/>
        <w:topLinePunct w:val="0"/>
        <w:autoSpaceDE/>
        <w:autoSpaceDN/>
        <w:bidi w:val="0"/>
        <w:adjustRightInd w:val="0"/>
        <w:snapToGrid/>
        <w:spacing w:line="480" w:lineRule="exact"/>
        <w:ind w:firstLine="420" w:firstLineChars="15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t>{{ income_cap_method_intro }}</w:t>
      </w:r>
    </w:p>
    <w:p w14:paraId="553F947B">
      <w:pPr>
        <w:keepNext w:val="0"/>
        <w:keepLines w:val="0"/>
        <w:pageBreakBefore w:val="0"/>
        <w:widowControl w:val="0"/>
        <w:kinsoku/>
        <w:wordWrap/>
        <w:overflowPunct/>
        <w:topLinePunct w:val="0"/>
        <w:autoSpaceDE/>
        <w:autoSpaceDN/>
        <w:bidi w:val="0"/>
        <w:adjustRightInd w:val="0"/>
        <w:snapToGrid w:val="0"/>
        <w:spacing w:line="48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收益还原法评估过程：</w:t>
      </w:r>
    </w:p>
    <w:p w14:paraId="5C643C9B">
      <w:pPr>
        <w:pStyle w:val="6"/>
        <w:adjustRightInd w:val="0"/>
        <w:snapToGrid w:val="0"/>
        <w:spacing w:line="480" w:lineRule="exac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1、确定房地年总收益</w:t>
      </w:r>
    </w:p>
    <w:p w14:paraId="777D18DB">
      <w:pPr>
        <w:keepLines w:val="0"/>
        <w:pageBreakBefore w:val="0"/>
        <w:kinsoku/>
        <w:wordWrap/>
        <w:overflowPunct/>
        <w:topLinePunct w:val="0"/>
        <w:autoSpaceDE/>
        <w:autoSpaceDN/>
        <w:bidi w:val="0"/>
        <w:adjustRightInd w:val="0"/>
        <w:snapToGrid w:val="0"/>
        <w:spacing w:line="480" w:lineRule="exact"/>
        <w:ind w:right="0"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Cs/>
          <w:color w:val="auto"/>
          <w:kern w:val="2"/>
          <w:sz w:val="28"/>
          <w:szCs w:val="28"/>
          <w:highlight w:val="none"/>
          <w:lang w:val="en-GB" w:eastAsia="zh-CN" w:bidi="ar-SA"/>
        </w:rPr>
        <w:t>根据受托估价人员现场勘察，估价</w:t>
      </w:r>
      <w:r>
        <w:rPr>
          <w:rFonts w:hint="eastAsia" w:ascii="仿宋_GB2312" w:hAnsi="仿宋_GB2312" w:eastAsia="仿宋_GB2312" w:cs="仿宋_GB2312"/>
          <w:bCs/>
          <w:color w:val="auto"/>
          <w:kern w:val="2"/>
          <w:sz w:val="28"/>
          <w:szCs w:val="28"/>
          <w:highlight w:val="none"/>
          <w:lang w:val="en-US" w:eastAsia="zh-CN" w:bidi="ar-SA"/>
        </w:rPr>
        <w:t>对象位于月岩西路皮革厂家属楼3栋4层404房</w:t>
      </w:r>
      <w:r>
        <w:rPr>
          <w:rFonts w:hint="default" w:ascii="仿宋_GB2312" w:hAnsi="仿宋_GB2312" w:eastAsia="仿宋_GB2312" w:cs="仿宋_GB2312"/>
          <w:bCs/>
          <w:color w:val="auto"/>
          <w:kern w:val="2"/>
          <w:sz w:val="28"/>
          <w:szCs w:val="28"/>
          <w:highlight w:val="none"/>
          <w:lang w:val="en-GB" w:eastAsia="zh-CN" w:bidi="ar-SA"/>
        </w:rPr>
        <w:t>，所在宗地上有独栋建筑物，总层数为</w:t>
      </w:r>
      <w:r>
        <w:rPr>
          <w:rFonts w:hint="eastAsia" w:ascii="仿宋_GB2312" w:hAnsi="仿宋_GB2312" w:eastAsia="仿宋_GB2312" w:cs="仿宋_GB2312"/>
          <w:bCs/>
          <w:color w:val="auto"/>
          <w:kern w:val="2"/>
          <w:sz w:val="28"/>
          <w:szCs w:val="28"/>
          <w:highlight w:val="none"/>
          <w:lang w:val="en-US" w:eastAsia="zh-CN" w:bidi="ar-SA"/>
        </w:rPr>
        <w:t>5层</w:t>
      </w:r>
      <w:r>
        <w:rPr>
          <w:rFonts w:hint="default" w:ascii="仿宋_GB2312" w:hAnsi="仿宋_GB2312" w:eastAsia="仿宋_GB2312" w:cs="仿宋_GB2312"/>
          <w:bCs/>
          <w:color w:val="auto"/>
          <w:kern w:val="2"/>
          <w:sz w:val="28"/>
          <w:szCs w:val="28"/>
          <w:highlight w:val="none"/>
          <w:lang w:val="en-GB" w:eastAsia="zh-CN" w:bidi="ar-SA"/>
        </w:rPr>
        <w:t>，业主房屋所在层数为</w:t>
      </w:r>
      <w:r>
        <w:rPr>
          <w:rFonts w:hint="eastAsia" w:ascii="仿宋_GB2312" w:hAnsi="仿宋_GB2312" w:eastAsia="仿宋_GB2312" w:cs="仿宋_GB2312"/>
          <w:bCs/>
          <w:color w:val="auto"/>
          <w:kern w:val="2"/>
          <w:sz w:val="28"/>
          <w:szCs w:val="28"/>
          <w:highlight w:val="none"/>
          <w:lang w:val="en-US" w:eastAsia="zh-CN" w:bidi="ar-SA"/>
        </w:rPr>
        <w:t>4层</w:t>
      </w:r>
      <w:r>
        <w:rPr>
          <w:rFonts w:hint="default"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建成年份为2004年，</w:t>
      </w:r>
      <w:r>
        <w:rPr>
          <w:rFonts w:hint="default" w:ascii="仿宋_GB2312" w:hAnsi="仿宋_GB2312" w:eastAsia="仿宋_GB2312" w:cs="仿宋_GB2312"/>
          <w:bCs/>
          <w:color w:val="auto"/>
          <w:kern w:val="2"/>
          <w:sz w:val="28"/>
          <w:szCs w:val="28"/>
          <w:highlight w:val="none"/>
          <w:lang w:val="en-GB" w:eastAsia="zh-CN" w:bidi="ar-SA"/>
        </w:rPr>
        <w:t>建筑物为</w:t>
      </w:r>
      <w:r>
        <w:rPr>
          <w:rFonts w:hint="eastAsia" w:ascii="仿宋_GB2312" w:hAnsi="仿宋_GB2312" w:eastAsia="仿宋_GB2312" w:cs="仿宋_GB2312"/>
          <w:bCs/>
          <w:color w:val="auto"/>
          <w:kern w:val="2"/>
          <w:sz w:val="28"/>
          <w:szCs w:val="28"/>
          <w:highlight w:val="none"/>
          <w:lang w:val="en-US" w:eastAsia="zh-CN" w:bidi="ar-SA"/>
        </w:rPr>
        <w:t>砖混</w:t>
      </w:r>
      <w:r>
        <w:rPr>
          <w:rFonts w:hint="default" w:ascii="仿宋_GB2312" w:hAnsi="仿宋_GB2312" w:eastAsia="仿宋_GB2312" w:cs="仿宋_GB2312"/>
          <w:bCs/>
          <w:color w:val="auto"/>
          <w:kern w:val="2"/>
          <w:sz w:val="28"/>
          <w:szCs w:val="28"/>
          <w:highlight w:val="none"/>
          <w:lang w:val="en-GB" w:eastAsia="zh-CN" w:bidi="ar-SA"/>
        </w:rPr>
        <w:t>结构，</w:t>
      </w:r>
      <w:r>
        <w:rPr>
          <w:rFonts w:hint="eastAsia" w:ascii="仿宋_GB2312" w:hAnsi="仿宋_GB2312" w:eastAsia="仿宋_GB2312" w:cs="仿宋_GB2312"/>
          <w:bCs/>
          <w:color w:val="auto"/>
          <w:kern w:val="2"/>
          <w:sz w:val="28"/>
          <w:szCs w:val="28"/>
          <w:highlight w:val="none"/>
          <w:lang w:val="en-US" w:eastAsia="zh-CN" w:bidi="ar-SA"/>
        </w:rPr>
        <w:t>不锈钢及木质入户门，塑钢窗户，铁艺防盗网，外墙双飞粉，屋内地贴瓷砖，顶棚木质装饰吊顶，简单装修，</w:t>
      </w:r>
      <w:r>
        <w:rPr>
          <w:rFonts w:hint="default" w:ascii="仿宋_GB2312" w:hAnsi="仿宋_GB2312" w:eastAsia="仿宋_GB2312" w:cs="仿宋_GB2312"/>
          <w:bCs/>
          <w:color w:val="auto"/>
          <w:kern w:val="2"/>
          <w:sz w:val="28"/>
          <w:szCs w:val="28"/>
          <w:highlight w:val="none"/>
          <w:lang w:val="en-GB" w:eastAsia="zh-CN" w:bidi="ar-SA"/>
        </w:rPr>
        <w:t>维护保养状况</w:t>
      </w:r>
      <w:r>
        <w:rPr>
          <w:rFonts w:hint="eastAsia" w:ascii="仿宋_GB2312" w:hAnsi="仿宋_GB2312" w:eastAsia="仿宋_GB2312" w:cs="仿宋_GB2312"/>
          <w:bCs/>
          <w:color w:val="auto"/>
          <w:kern w:val="2"/>
          <w:sz w:val="28"/>
          <w:szCs w:val="28"/>
          <w:highlight w:val="none"/>
          <w:lang w:val="en-US" w:eastAsia="zh-CN" w:bidi="ar-SA"/>
        </w:rPr>
        <w:t>一般</w:t>
      </w:r>
      <w:r>
        <w:rPr>
          <w:rFonts w:hint="default" w:ascii="仿宋_GB2312" w:hAnsi="仿宋_GB2312" w:eastAsia="仿宋_GB2312" w:cs="仿宋_GB2312"/>
          <w:bCs/>
          <w:color w:val="auto"/>
          <w:kern w:val="2"/>
          <w:sz w:val="28"/>
          <w:szCs w:val="28"/>
          <w:highlight w:val="none"/>
          <w:lang w:val="en-GB" w:eastAsia="zh-CN" w:bidi="ar-SA"/>
        </w:rPr>
        <w:t>，约</w:t>
      </w:r>
      <w:r>
        <w:rPr>
          <w:rFonts w:hint="eastAsia" w:ascii="仿宋_GB2312" w:hAnsi="仿宋_GB2312" w:eastAsia="仿宋_GB2312" w:cs="仿宋_GB2312"/>
          <w:bCs/>
          <w:color w:val="auto"/>
          <w:kern w:val="2"/>
          <w:sz w:val="28"/>
          <w:szCs w:val="28"/>
          <w:highlight w:val="none"/>
          <w:lang w:val="en-US" w:eastAsia="zh-CN" w:bidi="ar-SA"/>
        </w:rPr>
        <w:t>六成新</w:t>
      </w:r>
      <w:r>
        <w:rPr>
          <w:rFonts w:hint="default" w:ascii="仿宋_GB2312" w:hAnsi="仿宋_GB2312" w:eastAsia="仿宋_GB2312" w:cs="仿宋_GB2312"/>
          <w:bCs/>
          <w:color w:val="auto"/>
          <w:kern w:val="2"/>
          <w:sz w:val="28"/>
          <w:szCs w:val="28"/>
          <w:highlight w:val="none"/>
          <w:lang w:val="en-GB" w:eastAsia="zh-CN" w:bidi="ar-SA"/>
        </w:rPr>
        <w:t>，房屋整体经济耐用年限为50年，已使用</w:t>
      </w:r>
      <w:r>
        <w:rPr>
          <w:rFonts w:hint="eastAsia" w:ascii="仿宋_GB2312" w:hAnsi="仿宋_GB2312" w:eastAsia="仿宋_GB2312" w:cs="仿宋_GB2312"/>
          <w:bCs/>
          <w:color w:val="auto"/>
          <w:kern w:val="2"/>
          <w:sz w:val="28"/>
          <w:szCs w:val="28"/>
          <w:highlight w:val="none"/>
          <w:lang w:val="en-US" w:eastAsia="zh-CN" w:bidi="ar-SA"/>
        </w:rPr>
        <w:t>22年</w:t>
      </w:r>
      <w:r>
        <w:rPr>
          <w:rFonts w:hint="default" w:ascii="仿宋_GB2312" w:hAnsi="仿宋_GB2312" w:eastAsia="仿宋_GB2312" w:cs="仿宋_GB2312"/>
          <w:bCs/>
          <w:color w:val="auto"/>
          <w:kern w:val="2"/>
          <w:sz w:val="28"/>
          <w:szCs w:val="28"/>
          <w:highlight w:val="none"/>
          <w:lang w:val="en-GB" w:eastAsia="zh-CN" w:bidi="ar-SA"/>
        </w:rPr>
        <w:t>，剩余使用年限为</w:t>
      </w:r>
      <w:r>
        <w:rPr>
          <w:rFonts w:hint="eastAsia" w:ascii="仿宋_GB2312" w:hAnsi="仿宋_GB2312" w:eastAsia="仿宋_GB2312" w:cs="仿宋_GB2312"/>
          <w:bCs/>
          <w:color w:val="auto"/>
          <w:kern w:val="2"/>
          <w:sz w:val="28"/>
          <w:szCs w:val="28"/>
          <w:highlight w:val="none"/>
          <w:lang w:val="en-US" w:eastAsia="zh-CN" w:bidi="ar-SA"/>
        </w:rPr>
        <w:t>28</w:t>
      </w:r>
      <w:r>
        <w:rPr>
          <w:rFonts w:hint="default" w:ascii="仿宋_GB2312" w:hAnsi="仿宋_GB2312" w:eastAsia="仿宋_GB2312" w:cs="仿宋_GB2312"/>
          <w:bCs/>
          <w:color w:val="auto"/>
          <w:kern w:val="2"/>
          <w:sz w:val="28"/>
          <w:szCs w:val="28"/>
          <w:highlight w:val="none"/>
          <w:lang w:val="en-GB" w:eastAsia="zh-CN" w:bidi="ar-SA"/>
        </w:rPr>
        <w:t>年。根据委托方提供的估价对象</w:t>
      </w:r>
      <w:r>
        <w:rPr>
          <w:rFonts w:hint="eastAsia" w:ascii="仿宋_GB2312" w:eastAsia="仿宋_GB2312"/>
          <w:color w:val="000000" w:themeColor="text1"/>
          <w:sz w:val="28"/>
          <w:szCs w:val="30"/>
          <w:highlight w:val="none"/>
          <w:lang w:eastAsia="zh-CN"/>
          <w14:textFill>
            <w14:solidFill>
              <w14:schemeClr w14:val="tx1"/>
            </w14:solidFill>
          </w14:textFill>
        </w:rPr>
        <w:t>《户室面积对照表》、《土地分摊表》</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估价对象建筑面积为</w:t>
      </w:r>
      <w:r>
        <w:rPr>
          <w:rFonts w:hint="eastAsia" w:ascii="仿宋_GB2312" w:hAnsi="仿宋_GB2312" w:eastAsia="仿宋_GB2312" w:cs="仿宋_GB2312"/>
          <w:bCs/>
          <w:color w:val="auto"/>
          <w:kern w:val="2"/>
          <w:sz w:val="28"/>
          <w:szCs w:val="28"/>
          <w:highlight w:val="none"/>
          <w:lang w:val="en-US" w:eastAsia="zh-CN" w:bidi="ar-SA"/>
        </w:rPr>
        <w:t>73.415平方米，分摊土地使用权面积15.2平方米</w:t>
      </w:r>
      <w:r>
        <w:rPr>
          <w:rFonts w:hint="eastAsia" w:ascii="仿宋_GB2312" w:hAnsi="仿宋_GB2312" w:eastAsia="仿宋_GB2312" w:cs="仿宋_GB2312"/>
          <w:bCs/>
          <w:color w:val="auto"/>
          <w:kern w:val="2"/>
          <w:sz w:val="28"/>
          <w:szCs w:val="28"/>
          <w:highlight w:val="none"/>
          <w:lang w:val="en-GB" w:eastAsia="zh-CN" w:bidi="ar-SA"/>
        </w:rPr>
        <w:t>。</w:t>
      </w:r>
      <w:r>
        <w:rPr>
          <w:rFonts w:hint="eastAsia" w:ascii="仿宋_GB2312" w:hAnsi="仿宋_GB2312" w:eastAsia="仿宋_GB2312" w:cs="仿宋_GB2312"/>
          <w:bCs/>
          <w:color w:val="auto"/>
          <w:kern w:val="2"/>
          <w:sz w:val="28"/>
          <w:szCs w:val="28"/>
          <w:highlight w:val="none"/>
          <w:lang w:val="en-US" w:eastAsia="zh-CN" w:bidi="ar-SA"/>
        </w:rPr>
        <w:t>根据《评估委托书》</w:t>
      </w:r>
      <w:r>
        <w:rPr>
          <w:rFonts w:hint="default" w:ascii="仿宋_GB2312" w:hAnsi="仿宋_GB2312" w:eastAsia="仿宋_GB2312" w:cs="仿宋_GB2312"/>
          <w:bCs/>
          <w:color w:val="auto"/>
          <w:kern w:val="2"/>
          <w:sz w:val="28"/>
          <w:szCs w:val="28"/>
          <w:highlight w:val="none"/>
          <w:lang w:val="en-GB" w:eastAsia="zh-CN" w:bidi="ar-SA"/>
        </w:rPr>
        <w:t>委托方拟按估价对象现状使用条件进行出让</w:t>
      </w:r>
      <w:r>
        <w:rPr>
          <w:rFonts w:hint="eastAsia" w:ascii="仿宋_GB2312" w:hAnsi="仿宋_GB2312" w:eastAsia="仿宋_GB2312" w:cs="仿宋_GB2312"/>
          <w:bCs/>
          <w:color w:val="auto"/>
          <w:kern w:val="2"/>
          <w:sz w:val="28"/>
          <w:szCs w:val="28"/>
          <w:highlight w:val="none"/>
          <w:lang w:val="en-GB" w:eastAsia="zh-CN" w:bidi="ar-SA"/>
        </w:rPr>
        <w:t>，</w:t>
      </w:r>
      <w:r>
        <w:rPr>
          <w:rFonts w:hint="default" w:ascii="仿宋_GB2312" w:hAnsi="仿宋_GB2312" w:eastAsia="仿宋_GB2312" w:cs="仿宋_GB2312"/>
          <w:bCs/>
          <w:color w:val="auto"/>
          <w:kern w:val="2"/>
          <w:sz w:val="28"/>
          <w:szCs w:val="28"/>
          <w:highlight w:val="none"/>
          <w:lang w:val="en-GB" w:eastAsia="zh-CN" w:bidi="ar-SA"/>
        </w:rPr>
        <w:t>则估价对象现状容积率</w:t>
      </w:r>
      <w:r>
        <w:rPr>
          <w:rFonts w:hint="eastAsia" w:ascii="仿宋_GB2312" w:hAnsi="仿宋_GB2312" w:eastAsia="仿宋_GB2312" w:cs="仿宋_GB2312"/>
          <w:bCs/>
          <w:color w:val="auto"/>
          <w:kern w:val="2"/>
          <w:sz w:val="28"/>
          <w:szCs w:val="28"/>
          <w:highlight w:val="none"/>
          <w:lang w:val="en-GB" w:eastAsia="zh-CN" w:bidi="ar-SA"/>
        </w:rPr>
        <w:t>为</w:t>
      </w:r>
      <w:r>
        <w:rPr>
          <w:rFonts w:hint="eastAsia" w:ascii="仿宋_GB2312" w:hAnsi="仿宋_GB2312" w:eastAsia="仿宋_GB2312" w:cs="仿宋_GB2312"/>
          <w:bCs/>
          <w:color w:val="auto"/>
          <w:kern w:val="2"/>
          <w:sz w:val="28"/>
          <w:szCs w:val="28"/>
          <w:highlight w:val="none"/>
          <w:lang w:val="en-US" w:eastAsia="zh-CN" w:bidi="ar-SA"/>
        </w:rPr>
        <w:t>4.83</w:t>
      </w:r>
      <w:r>
        <w:rPr>
          <w:rFonts w:hint="default" w:ascii="仿宋_GB2312" w:hAnsi="仿宋_GB2312" w:eastAsia="仿宋_GB2312" w:cs="仿宋_GB2312"/>
          <w:bCs/>
          <w:color w:val="auto"/>
          <w:kern w:val="2"/>
          <w:sz w:val="28"/>
          <w:szCs w:val="28"/>
          <w:highlight w:val="none"/>
          <w:lang w:val="en-GB" w:eastAsia="zh-CN" w:bidi="ar-SA"/>
        </w:rPr>
        <w:t>。根据估价目的，本次评估设定土地容积率为</w:t>
      </w:r>
      <w:r>
        <w:rPr>
          <w:rFonts w:hint="eastAsia" w:ascii="仿宋_GB2312" w:hAnsi="仿宋_GB2312" w:eastAsia="仿宋_GB2312" w:cs="仿宋_GB2312"/>
          <w:bCs/>
          <w:color w:val="auto"/>
          <w:kern w:val="2"/>
          <w:sz w:val="28"/>
          <w:szCs w:val="28"/>
          <w:highlight w:val="none"/>
          <w:lang w:val="en-US" w:eastAsia="zh-CN" w:bidi="ar-SA"/>
        </w:rPr>
        <w:t>4.83</w:t>
      </w:r>
      <w:r>
        <w:rPr>
          <w:rFonts w:hint="eastAsia" w:ascii="仿宋_GB2312" w:hAnsi="仿宋_GB2312" w:eastAsia="仿宋_GB2312" w:cs="仿宋_GB2312"/>
          <w:b w:val="0"/>
          <w:bCs w:val="0"/>
          <w:color w:val="000000"/>
          <w:kern w:val="2"/>
          <w:sz w:val="28"/>
          <w:szCs w:val="28"/>
          <w:highlight w:val="none"/>
          <w:lang w:val="en-US" w:eastAsia="zh-CN" w:bidi="ar-SA"/>
        </w:rPr>
        <w:t>。</w:t>
      </w:r>
    </w:p>
    <w:p w14:paraId="0A69025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月租金的确定</w:t>
      </w:r>
    </w:p>
    <w:p w14:paraId="556F25D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调查估价对象所处区域与估价对象条件相当的用于出租的住宅物业租金水平，确定估价对象房地产出租的总收益。经估价人员调查与估价对象在同一供需圈内的类似物业情况，选取了三个具有普遍性的物业的租金水平作为比较实例：</w:t>
      </w:r>
    </w:p>
    <w:p w14:paraId="2CF84553">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实例A：</w:t>
      </w:r>
      <w:r>
        <w:rPr>
          <w:rFonts w:hint="eastAsia" w:ascii="仿宋_GB2312" w:hAnsi="仿宋_GB2312" w:eastAsia="仿宋_GB2312" w:cs="仿宋_GB2312"/>
          <w:b w:val="0"/>
          <w:bCs w:val="0"/>
          <w:color w:val="000000"/>
          <w:kern w:val="2"/>
          <w:sz w:val="28"/>
          <w:szCs w:val="28"/>
          <w:highlight w:val="none"/>
          <w:lang w:val="en-US" w:eastAsia="zh-CN" w:bidi="ar-SA"/>
        </w:rPr>
        <w:t>柒酒烤肉楼上住宅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潇水中路三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p w14:paraId="6AD7212B">
      <w:pPr>
        <w:spacing w:line="44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实例B：</w:t>
      </w:r>
      <w:r>
        <w:rPr>
          <w:rFonts w:hint="eastAsia" w:ascii="仿宋_GB2312" w:hAnsi="仿宋_GB2312" w:eastAsia="仿宋_GB2312" w:cs="仿宋_GB2312"/>
          <w:b w:val="0"/>
          <w:bCs w:val="0"/>
          <w:color w:val="000000"/>
          <w:kern w:val="2"/>
          <w:sz w:val="28"/>
          <w:szCs w:val="28"/>
          <w:highlight w:val="none"/>
          <w:lang w:val="en-US" w:eastAsia="zh-CN" w:bidi="ar-SA"/>
        </w:rPr>
        <w:t>哈牛士原切牛排楼上住宅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滨河路步行街，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11.99元/平方米·月。</w:t>
      </w:r>
    </w:p>
    <w:p w14:paraId="73F35F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实例C：</w:t>
      </w:r>
      <w:r>
        <w:rPr>
          <w:rFonts w:hint="eastAsia" w:ascii="仿宋_GB2312" w:hAnsi="仿宋_GB2312" w:eastAsia="仿宋_GB2312" w:cs="仿宋_GB2312"/>
          <w:b w:val="0"/>
          <w:bCs w:val="0"/>
          <w:color w:val="000000"/>
          <w:kern w:val="2"/>
          <w:sz w:val="28"/>
          <w:szCs w:val="28"/>
          <w:highlight w:val="none"/>
          <w:lang w:val="en-US" w:eastAsia="zh-CN" w:bidi="ar-SA"/>
        </w:rPr>
        <w:t>爷爷不泡茶楼上住宅</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位于西洲街道潇水中路，商服繁华度优，水电等基础设施综合保证率95%，区域内公交便捷度较优，道路通达度较优，环境质量好，公共设施齐全，临主干道，砖混结构，建筑物内部结构合理，房屋七成新，通风采光条件好，简单装修，基本满足停车需求，无物业管理，于2026年5月楼上住宅平均租金为12.01元/平方米·月。</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158"/>
        <w:gridCol w:w="4364"/>
      </w:tblGrid>
      <w:tr w14:paraId="11547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99" w:hRule="atLeast"/>
          <w:jc w:val="center"/>
        </w:trPr>
        <w:tc>
          <w:tcPr>
            <w:tcW w:w="4158" w:type="dxa"/>
            <w:vAlign w:val="center"/>
          </w:tcPr>
          <w:p w14:paraId="2FFB4032">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548890" cy="2337435"/>
                  <wp:effectExtent l="0" t="0" r="3810" b="5715"/>
                  <wp:docPr id="22" name="图片 22" descr="7315a4faa2fa7bd86044428dc8f68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7315a4faa2fa7bd86044428dc8f68116"/>
                          <pic:cNvPicPr>
                            <a:picLocks noChangeAspect="1"/>
                          </pic:cNvPicPr>
                        </pic:nvPicPr>
                        <pic:blipFill>
                          <a:blip r:embed="rId36"/>
                          <a:srcRect b="15501"/>
                          <a:stretch>
                            <a:fillRect/>
                          </a:stretch>
                        </pic:blipFill>
                        <pic:spPr>
                          <a:xfrm>
                            <a:off x="0" y="0"/>
                            <a:ext cx="2548890" cy="2337435"/>
                          </a:xfrm>
                          <a:prstGeom prst="rect">
                            <a:avLst/>
                          </a:prstGeom>
                        </pic:spPr>
                      </pic:pic>
                    </a:graphicData>
                  </a:graphic>
                </wp:inline>
              </w:drawing>
            </w:r>
          </w:p>
          <w:p w14:paraId="4E99BD9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案例A照片</w:t>
            </w:r>
          </w:p>
        </w:tc>
        <w:tc>
          <w:tcPr>
            <w:tcW w:w="4364" w:type="dxa"/>
            <w:vAlign w:val="center"/>
          </w:tcPr>
          <w:p w14:paraId="76BB7361">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3060" cy="2363470"/>
                  <wp:effectExtent l="0" t="0" r="2540" b="17780"/>
                  <wp:docPr id="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6"/>
                          <pic:cNvPicPr>
                            <a:picLocks noChangeAspect="1"/>
                          </pic:cNvPicPr>
                        </pic:nvPicPr>
                        <pic:blipFill>
                          <a:blip r:embed="rId37"/>
                          <a:srcRect l="6694" t="4940" r="28320" b="17434"/>
                          <a:stretch>
                            <a:fillRect/>
                          </a:stretch>
                        </pic:blipFill>
                        <pic:spPr>
                          <a:xfrm>
                            <a:off x="0" y="0"/>
                            <a:ext cx="2893060" cy="2363470"/>
                          </a:xfrm>
                          <a:prstGeom prst="rect">
                            <a:avLst/>
                          </a:prstGeom>
                          <a:noFill/>
                          <a:ln>
                            <a:noFill/>
                          </a:ln>
                        </pic:spPr>
                      </pic:pic>
                    </a:graphicData>
                  </a:graphic>
                </wp:inline>
              </w:drawing>
            </w:r>
          </w:p>
          <w:p w14:paraId="5A0B012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案例A位置</w:t>
            </w:r>
          </w:p>
        </w:tc>
      </w:tr>
      <w:tr w14:paraId="3CC272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1E42CAE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7455" cy="2201545"/>
                  <wp:effectExtent l="0" t="0" r="17145" b="8255"/>
                  <wp:docPr id="24" name="图片 24" descr="a17d939fa52d5b154669017b0405c0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a17d939fa52d5b154669017b0405c0f4"/>
                          <pic:cNvPicPr>
                            <a:picLocks noChangeAspect="1"/>
                          </pic:cNvPicPr>
                        </pic:nvPicPr>
                        <pic:blipFill>
                          <a:blip r:embed="rId38"/>
                          <a:srcRect b="13372"/>
                          <a:stretch>
                            <a:fillRect/>
                          </a:stretch>
                        </pic:blipFill>
                        <pic:spPr>
                          <a:xfrm>
                            <a:off x="0" y="0"/>
                            <a:ext cx="2497455" cy="220154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案例B照片</w:t>
            </w:r>
          </w:p>
        </w:tc>
        <w:tc>
          <w:tcPr>
            <w:tcW w:w="4364" w:type="dxa"/>
            <w:vAlign w:val="center"/>
          </w:tcPr>
          <w:p w14:paraId="36FD8AA3">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99410" cy="2159000"/>
                  <wp:effectExtent l="0" t="0" r="15240" b="12700"/>
                  <wp:docPr id="2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7"/>
                          <pic:cNvPicPr>
                            <a:picLocks noChangeAspect="1"/>
                          </pic:cNvPicPr>
                        </pic:nvPicPr>
                        <pic:blipFill>
                          <a:blip r:embed="rId39"/>
                          <a:stretch>
                            <a:fillRect/>
                          </a:stretch>
                        </pic:blipFill>
                        <pic:spPr>
                          <a:xfrm>
                            <a:off x="0" y="0"/>
                            <a:ext cx="2899410" cy="2159000"/>
                          </a:xfrm>
                          <a:prstGeom prst="rect">
                            <a:avLst/>
                          </a:prstGeom>
                          <a:noFill/>
                          <a:ln>
                            <a:noFill/>
                          </a:ln>
                        </pic:spPr>
                      </pic:pic>
                    </a:graphicData>
                  </a:graphic>
                </wp:inline>
              </w:drawing>
            </w:r>
          </w:p>
          <w:p w14:paraId="5173A409">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案例B位置</w:t>
            </w:r>
          </w:p>
        </w:tc>
      </w:tr>
      <w:tr w14:paraId="26E611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58" w:type="dxa"/>
            <w:vAlign w:val="center"/>
          </w:tcPr>
          <w:p w14:paraId="0183C418">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drawing>
                <wp:inline distT="0" distB="0" distL="114300" distR="114300">
                  <wp:extent cx="2499360" cy="2244725"/>
                  <wp:effectExtent l="0" t="0" r="0" b="0"/>
                  <wp:docPr id="25" name="图片 25" descr="4c72a4886265f81ba59b2f250436d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4c72a4886265f81ba59b2f250436d107"/>
                          <pic:cNvPicPr>
                            <a:picLocks noChangeAspect="1"/>
                          </pic:cNvPicPr>
                        </pic:nvPicPr>
                        <pic:blipFill>
                          <a:blip r:embed="rId40"/>
                          <a:srcRect b="8656"/>
                          <a:stretch>
                            <a:fillRect/>
                          </a:stretch>
                        </pic:blipFill>
                        <pic:spPr>
                          <a:xfrm>
                            <a:off x="0" y="0"/>
                            <a:ext cx="2499360" cy="2244725"/>
                          </a:xfrm>
                          <a:prstGeom prst="rect">
                            <a:avLst/>
                          </a:prstGeom>
                        </pic:spPr>
                      </pic:pic>
                    </a:graphicData>
                  </a:graphic>
                </wp:inline>
              </w:drawing>
            </w: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案例C照片</w:t>
            </w:r>
          </w:p>
        </w:tc>
        <w:tc>
          <w:tcPr>
            <w:tcW w:w="4364" w:type="dxa"/>
            <w:vAlign w:val="center"/>
          </w:tcPr>
          <w:p w14:paraId="13582936">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pPr>
            <w:r>
              <w:drawing>
                <wp:inline distT="0" distB="0" distL="114300" distR="114300">
                  <wp:extent cx="2881630" cy="2188210"/>
                  <wp:effectExtent l="0" t="0" r="13970" b="2540"/>
                  <wp:docPr id="2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8"/>
                          <pic:cNvPicPr>
                            <a:picLocks noChangeAspect="1"/>
                          </pic:cNvPicPr>
                        </pic:nvPicPr>
                        <pic:blipFill>
                          <a:blip r:embed="rId41"/>
                          <a:stretch>
                            <a:fillRect/>
                          </a:stretch>
                        </pic:blipFill>
                        <pic:spPr>
                          <a:xfrm>
                            <a:off x="0" y="0"/>
                            <a:ext cx="2881630" cy="2188210"/>
                          </a:xfrm>
                          <a:prstGeom prst="rect">
                            <a:avLst/>
                          </a:prstGeom>
                          <a:noFill/>
                          <a:ln>
                            <a:noFill/>
                          </a:ln>
                        </pic:spPr>
                      </pic:pic>
                    </a:graphicData>
                  </a:graphic>
                </wp:inline>
              </w:drawing>
            </w:r>
          </w:p>
          <w:p w14:paraId="0A0C38C5">
            <w:pPr>
              <w:keepNext w:val="0"/>
              <w:keepLines w:val="0"/>
              <w:pageBreakBefore w:val="0"/>
              <w:widowControl w:val="0"/>
              <w:kinsoku/>
              <w:wordWrap/>
              <w:overflowPunct/>
              <w:topLinePunct w:val="0"/>
              <w:autoSpaceDE/>
              <w:autoSpaceDN/>
              <w:bidi w:val="0"/>
              <w:adjustRightInd w:val="0"/>
              <w:snapToGrid w:val="0"/>
              <w:spacing w:line="360" w:lineRule="auto"/>
              <w:jc w:val="center"/>
              <w:textAlignment w:val="auto"/>
              <w:rPr>
                <w:rFonts w:hint="eastAsia" w:ascii="仿宋_GB2312" w:hAnsi="仿宋_GB2312" w:eastAsia="仿宋_GB2312" w:cs="仿宋_GB2312"/>
                <w:b w:val="0"/>
                <w:bCs w:val="0"/>
                <w:color w:val="000000"/>
                <w:kern w:val="2"/>
                <w:sz w:val="20"/>
                <w:szCs w:val="20"/>
                <w:highlight w:val="none"/>
                <w:vertAlign w:val="baseline"/>
                <w:lang w:val="en-US" w:eastAsia="zh-CN" w:bidi="ar-SA"/>
              </w:rPr>
            </w:pPr>
            <w:r>
              <w:rPr>
                <w:rFonts w:hint="eastAsia" w:ascii="仿宋_GB2312" w:hAnsi="仿宋_GB2312" w:eastAsia="仿宋_GB2312" w:cs="仿宋_GB2312"/>
                <w:b w:val="0"/>
                <w:bCs w:val="0"/>
                <w:color w:val="000000"/>
                <w:kern w:val="2"/>
                <w:sz w:val="20"/>
                <w:szCs w:val="20"/>
                <w:highlight w:val="none"/>
                <w:vertAlign w:val="baseline"/>
                <w:lang w:val="en-US" w:eastAsia="zh-CN" w:bidi="ar-SA"/>
              </w:rPr>
              <w:t>案例C位置</w:t>
            </w:r>
          </w:p>
        </w:tc>
      </w:tr>
    </w:tbl>
    <w:p w14:paraId="282B923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zh-CN"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编制租金案例比较因素表</w:t>
      </w:r>
    </w:p>
    <w:p w14:paraId="630BCB6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结合影响房屋租金的主要因素，以估价对象因素为100进行租金修正，估价对象与实例比较因素情况详见下表。</w:t>
      </w:r>
    </w:p>
    <w:p w14:paraId="7F9490BD">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表3-1</w:t>
      </w:r>
      <w:r>
        <w:rPr>
          <w:rFonts w:hint="eastAsia" w:ascii="仿宋_GB2312" w:hAnsi="仿宋_GB2312" w:cs="仿宋_GB2312"/>
          <w:b w:val="0"/>
          <w:bCs/>
          <w:color w:val="auto"/>
          <w:kern w:val="2"/>
          <w:sz w:val="28"/>
          <w:szCs w:val="28"/>
          <w:highlight w:val="none"/>
          <w:lang w:val="en-US" w:eastAsia="zh-CN" w:bidi="ar-SA"/>
        </w:rPr>
        <w:t xml:space="preserve">1 </w:t>
      </w:r>
      <w:r>
        <w:rPr>
          <w:rFonts w:hint="eastAsia" w:ascii="仿宋_GB2312" w:hAnsi="仿宋_GB2312" w:eastAsia="仿宋_GB2312" w:cs="仿宋_GB2312"/>
          <w:b w:val="0"/>
          <w:bCs/>
          <w:color w:val="auto"/>
          <w:kern w:val="2"/>
          <w:sz w:val="28"/>
          <w:szCs w:val="28"/>
          <w:highlight w:val="none"/>
          <w:lang w:val="en-US" w:eastAsia="zh-CN" w:bidi="ar-SA"/>
        </w:rPr>
        <w:t>比较因素条件说明表</w:t>
      </w:r>
    </w:p>
    <w:tbl>
      <w:tblPr>
        <w:tblStyle w:val="12"/>
        <w:tblW w:w="5019"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311"/>
        <w:gridCol w:w="1615"/>
        <w:gridCol w:w="1299"/>
        <w:gridCol w:w="1358"/>
        <w:gridCol w:w="1391"/>
        <w:gridCol w:w="1374"/>
      </w:tblGrid>
      <w:tr w14:paraId="12957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74" w:hRule="atLeast"/>
        </w:trPr>
        <w:tc>
          <w:tcPr>
            <w:tcW w:w="1752" w:type="pct"/>
            <w:gridSpan w:val="2"/>
            <w:tcBorders>
              <w:tl2br w:val="single" w:color="000000" w:sz="4" w:space="0"/>
            </w:tcBorders>
            <w:noWrap w:val="0"/>
            <w:tcMar>
              <w:top w:w="0" w:type="dxa"/>
              <w:left w:w="0" w:type="dxa"/>
              <w:bottom w:w="0" w:type="dxa"/>
              <w:right w:w="0" w:type="dxa"/>
            </w:tcMar>
            <w:vAlign w:val="center"/>
          </w:tcPr>
          <w:p w14:paraId="3E47AF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 xml:space="preserve">       估价对象及比较实例</w:t>
            </w:r>
          </w:p>
          <w:p w14:paraId="22AF3C8F">
            <w:pPr>
              <w:keepNext w:val="0"/>
              <w:keepLines w:val="0"/>
              <w:pageBreakBefore w:val="0"/>
              <w:widowControl/>
              <w:kinsoku/>
              <w:wordWrap/>
              <w:overflowPunct/>
              <w:topLinePunct w:val="0"/>
              <w:autoSpaceDE/>
              <w:autoSpaceDN/>
              <w:bidi w:val="0"/>
              <w:adjustRightInd/>
              <w:snapToGrid/>
              <w:spacing w:line="260" w:lineRule="exact"/>
              <w:ind w:firstLine="200" w:firstLineChars="100"/>
              <w:jc w:val="both"/>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78" w:type="pct"/>
            <w:noWrap w:val="0"/>
            <w:tcMar>
              <w:top w:w="0" w:type="dxa"/>
              <w:left w:w="0" w:type="dxa"/>
              <w:bottom w:w="0" w:type="dxa"/>
              <w:right w:w="0" w:type="dxa"/>
            </w:tcMar>
            <w:vAlign w:val="center"/>
          </w:tcPr>
          <w:p w14:paraId="7BA5A91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13" w:type="pct"/>
            <w:noWrap w:val="0"/>
            <w:tcMar>
              <w:top w:w="0" w:type="dxa"/>
              <w:left w:w="0" w:type="dxa"/>
              <w:bottom w:w="0" w:type="dxa"/>
              <w:right w:w="0" w:type="dxa"/>
            </w:tcMar>
            <w:vAlign w:val="center"/>
          </w:tcPr>
          <w:p w14:paraId="412D6F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3" w:type="pct"/>
            <w:noWrap w:val="0"/>
            <w:tcMar>
              <w:top w:w="0" w:type="dxa"/>
              <w:left w:w="0" w:type="dxa"/>
              <w:bottom w:w="0" w:type="dxa"/>
              <w:right w:w="0" w:type="dxa"/>
            </w:tcMar>
            <w:vAlign w:val="center"/>
          </w:tcPr>
          <w:p w14:paraId="1FFF195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22" w:type="pct"/>
            <w:noWrap w:val="0"/>
            <w:tcMar>
              <w:top w:w="0" w:type="dxa"/>
              <w:left w:w="0" w:type="dxa"/>
              <w:bottom w:w="0" w:type="dxa"/>
              <w:right w:w="0" w:type="dxa"/>
            </w:tcMar>
            <w:vAlign w:val="center"/>
          </w:tcPr>
          <w:p w14:paraId="12B615E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603680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1752" w:type="pct"/>
            <w:gridSpan w:val="2"/>
            <w:noWrap w:val="0"/>
            <w:tcMar>
              <w:top w:w="0" w:type="dxa"/>
              <w:left w:w="0" w:type="dxa"/>
              <w:bottom w:w="0" w:type="dxa"/>
              <w:right w:w="0" w:type="dxa"/>
            </w:tcMar>
            <w:vAlign w:val="center"/>
          </w:tcPr>
          <w:p w14:paraId="31F691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778" w:type="pct"/>
            <w:shd w:val="clear" w:color="auto" w:fill="auto"/>
            <w:noWrap w:val="0"/>
            <w:tcMar>
              <w:top w:w="0" w:type="dxa"/>
              <w:left w:w="0" w:type="dxa"/>
              <w:bottom w:w="0" w:type="dxa"/>
              <w:right w:w="0" w:type="dxa"/>
            </w:tcMar>
            <w:vAlign w:val="center"/>
          </w:tcPr>
          <w:p w14:paraId="7D5FC5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813" w:type="pct"/>
            <w:noWrap w:val="0"/>
            <w:tcMar>
              <w:top w:w="0" w:type="dxa"/>
              <w:left w:w="0" w:type="dxa"/>
              <w:bottom w:w="0" w:type="dxa"/>
              <w:right w:w="0" w:type="dxa"/>
            </w:tcMar>
            <w:vAlign w:val="center"/>
          </w:tcPr>
          <w:p w14:paraId="2BF9BA6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i w:val="0"/>
                <w:iCs w:val="0"/>
                <w:color w:val="000000"/>
                <w:kern w:val="0"/>
                <w:sz w:val="20"/>
                <w:szCs w:val="20"/>
                <w:u w:val="none"/>
                <w:lang w:val="en-US" w:eastAsia="zh-CN" w:bidi="ar"/>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833" w:type="pct"/>
            <w:noWrap w:val="0"/>
            <w:tcMar>
              <w:top w:w="0" w:type="dxa"/>
              <w:left w:w="0" w:type="dxa"/>
              <w:bottom w:w="0" w:type="dxa"/>
              <w:right w:w="0" w:type="dxa"/>
            </w:tcMar>
            <w:vAlign w:val="center"/>
          </w:tcPr>
          <w:p w14:paraId="6BDFDA6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822" w:type="pct"/>
            <w:noWrap w:val="0"/>
            <w:tcMar>
              <w:top w:w="0" w:type="dxa"/>
              <w:left w:w="0" w:type="dxa"/>
              <w:bottom w:w="0" w:type="dxa"/>
              <w:right w:w="0" w:type="dxa"/>
            </w:tcMar>
            <w:vAlign w:val="center"/>
          </w:tcPr>
          <w:p w14:paraId="1C28E2C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04C2E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05524C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778" w:type="pct"/>
            <w:noWrap w:val="0"/>
            <w:tcMar>
              <w:top w:w="0" w:type="dxa"/>
              <w:left w:w="0" w:type="dxa"/>
              <w:bottom w:w="0" w:type="dxa"/>
              <w:right w:w="0" w:type="dxa"/>
            </w:tcMar>
            <w:vAlign w:val="center"/>
          </w:tcPr>
          <w:p w14:paraId="0A082FF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358" w:type="dxa"/>
            <w:noWrap w:val="0"/>
            <w:tcMar>
              <w:top w:w="0" w:type="dxa"/>
              <w:left w:w="0" w:type="dxa"/>
              <w:bottom w:w="0" w:type="dxa"/>
              <w:right w:w="0" w:type="dxa"/>
            </w:tcMar>
            <w:vAlign w:val="center"/>
          </w:tcPr>
          <w:p w14:paraId="598C363B">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391" w:type="dxa"/>
            <w:noWrap w:val="0"/>
            <w:tcMar>
              <w:top w:w="0" w:type="dxa"/>
              <w:left w:w="0" w:type="dxa"/>
              <w:bottom w:w="0" w:type="dxa"/>
              <w:right w:w="0" w:type="dxa"/>
            </w:tcMar>
            <w:vAlign w:val="center"/>
          </w:tcPr>
          <w:p w14:paraId="3F5A4950">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374" w:type="dxa"/>
            <w:noWrap w:val="0"/>
            <w:tcMar>
              <w:top w:w="0" w:type="dxa"/>
              <w:left w:w="0" w:type="dxa"/>
              <w:bottom w:w="0" w:type="dxa"/>
              <w:right w:w="0" w:type="dxa"/>
            </w:tcMar>
            <w:vAlign w:val="center"/>
          </w:tcPr>
          <w:p w14:paraId="038A063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3757E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16D2D9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78" w:type="pct"/>
            <w:noWrap w:val="0"/>
            <w:tcMar>
              <w:top w:w="0" w:type="dxa"/>
              <w:left w:w="0" w:type="dxa"/>
              <w:bottom w:w="0" w:type="dxa"/>
              <w:right w:w="0" w:type="dxa"/>
            </w:tcMar>
            <w:vAlign w:val="center"/>
          </w:tcPr>
          <w:p w14:paraId="1BAD8F0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13" w:type="pct"/>
            <w:noWrap w:val="0"/>
            <w:tcMar>
              <w:top w:w="0" w:type="dxa"/>
              <w:left w:w="0" w:type="dxa"/>
              <w:bottom w:w="0" w:type="dxa"/>
              <w:right w:w="0" w:type="dxa"/>
            </w:tcMar>
            <w:vAlign w:val="center"/>
          </w:tcPr>
          <w:p w14:paraId="725CC3F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33" w:type="pct"/>
            <w:noWrap w:val="0"/>
            <w:tcMar>
              <w:top w:w="0" w:type="dxa"/>
              <w:left w:w="0" w:type="dxa"/>
              <w:bottom w:w="0" w:type="dxa"/>
              <w:right w:w="0" w:type="dxa"/>
            </w:tcMar>
            <w:vAlign w:val="center"/>
          </w:tcPr>
          <w:p w14:paraId="215AE2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c>
          <w:tcPr>
            <w:tcW w:w="822" w:type="pct"/>
            <w:noWrap w:val="0"/>
            <w:tcMar>
              <w:top w:w="0" w:type="dxa"/>
              <w:left w:w="0" w:type="dxa"/>
              <w:bottom w:w="0" w:type="dxa"/>
              <w:right w:w="0" w:type="dxa"/>
            </w:tcMar>
            <w:vAlign w:val="center"/>
          </w:tcPr>
          <w:p w14:paraId="5F11D3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w:t>
            </w:r>
          </w:p>
        </w:tc>
      </w:tr>
      <w:tr w14:paraId="145CB6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22ECEB9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78" w:type="pct"/>
            <w:noWrap w:val="0"/>
            <w:tcMar>
              <w:top w:w="0" w:type="dxa"/>
              <w:left w:w="0" w:type="dxa"/>
              <w:bottom w:w="0" w:type="dxa"/>
              <w:right w:w="0" w:type="dxa"/>
            </w:tcMar>
            <w:vAlign w:val="center"/>
          </w:tcPr>
          <w:p w14:paraId="086308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13" w:type="pct"/>
            <w:noWrap w:val="0"/>
            <w:tcMar>
              <w:top w:w="0" w:type="dxa"/>
              <w:left w:w="0" w:type="dxa"/>
              <w:bottom w:w="0" w:type="dxa"/>
              <w:right w:w="0" w:type="dxa"/>
            </w:tcMar>
            <w:vAlign w:val="center"/>
          </w:tcPr>
          <w:p w14:paraId="76C8AA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33" w:type="pct"/>
            <w:noWrap w:val="0"/>
            <w:tcMar>
              <w:top w:w="0" w:type="dxa"/>
              <w:left w:w="0" w:type="dxa"/>
              <w:bottom w:w="0" w:type="dxa"/>
              <w:right w:w="0" w:type="dxa"/>
            </w:tcMar>
            <w:vAlign w:val="center"/>
          </w:tcPr>
          <w:p w14:paraId="52BFDB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c>
          <w:tcPr>
            <w:tcW w:w="822" w:type="pct"/>
            <w:noWrap w:val="0"/>
            <w:tcMar>
              <w:top w:w="0" w:type="dxa"/>
              <w:left w:w="0" w:type="dxa"/>
              <w:bottom w:w="0" w:type="dxa"/>
              <w:right w:w="0" w:type="dxa"/>
            </w:tcMar>
            <w:vAlign w:val="center"/>
          </w:tcPr>
          <w:p w14:paraId="7AC1007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2026.05</w:t>
            </w:r>
          </w:p>
        </w:tc>
      </w:tr>
      <w:tr w14:paraId="29F1F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1752" w:type="pct"/>
            <w:gridSpan w:val="2"/>
            <w:noWrap w:val="0"/>
            <w:tcMar>
              <w:top w:w="0" w:type="dxa"/>
              <w:left w:w="0" w:type="dxa"/>
              <w:bottom w:w="0" w:type="dxa"/>
              <w:right w:w="0" w:type="dxa"/>
            </w:tcMar>
            <w:vAlign w:val="center"/>
          </w:tcPr>
          <w:p w14:paraId="414D40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1299" w:type="dxa"/>
            <w:noWrap w:val="0"/>
            <w:tcMar>
              <w:top w:w="0" w:type="dxa"/>
              <w:left w:w="0" w:type="dxa"/>
              <w:bottom w:w="0" w:type="dxa"/>
              <w:right w:w="0" w:type="dxa"/>
            </w:tcMar>
            <w:vAlign w:val="center"/>
          </w:tcPr>
          <w:p w14:paraId="563CC6B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68DFB83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670915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70D2F2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r w14:paraId="3818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785" w:type="pct"/>
            <w:vMerge w:val="restart"/>
            <w:noWrap w:val="0"/>
            <w:tcMar>
              <w:top w:w="0" w:type="dxa"/>
              <w:left w:w="0" w:type="dxa"/>
              <w:bottom w:w="0" w:type="dxa"/>
              <w:right w:w="0" w:type="dxa"/>
            </w:tcMar>
            <w:vAlign w:val="center"/>
          </w:tcPr>
          <w:p w14:paraId="49B3803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967" w:type="pct"/>
            <w:noWrap w:val="0"/>
            <w:tcMar>
              <w:top w:w="0" w:type="dxa"/>
              <w:left w:w="0" w:type="dxa"/>
              <w:bottom w:w="0" w:type="dxa"/>
              <w:right w:w="0" w:type="dxa"/>
            </w:tcMar>
            <w:vAlign w:val="center"/>
          </w:tcPr>
          <w:p w14:paraId="7E3003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99" w:type="dxa"/>
            <w:noWrap w:val="0"/>
            <w:tcMar>
              <w:top w:w="0" w:type="dxa"/>
              <w:left w:w="0" w:type="dxa"/>
              <w:bottom w:w="0" w:type="dxa"/>
              <w:right w:w="0" w:type="dxa"/>
            </w:tcMar>
            <w:vAlign w:val="center"/>
          </w:tcPr>
          <w:p w14:paraId="52FDF1B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一般</w:t>
            </w:r>
          </w:p>
        </w:tc>
        <w:tc>
          <w:tcPr>
            <w:tcW w:w="1358" w:type="dxa"/>
            <w:noWrap w:val="0"/>
            <w:tcMar>
              <w:top w:w="0" w:type="dxa"/>
              <w:left w:w="0" w:type="dxa"/>
              <w:bottom w:w="0" w:type="dxa"/>
              <w:right w:w="0" w:type="dxa"/>
            </w:tcMar>
            <w:vAlign w:val="center"/>
          </w:tcPr>
          <w:p w14:paraId="73EB252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91" w:type="dxa"/>
            <w:noWrap w:val="0"/>
            <w:tcMar>
              <w:top w:w="0" w:type="dxa"/>
              <w:left w:w="0" w:type="dxa"/>
              <w:bottom w:w="0" w:type="dxa"/>
              <w:right w:w="0" w:type="dxa"/>
            </w:tcMar>
            <w:vAlign w:val="center"/>
          </w:tcPr>
          <w:p w14:paraId="1922FFE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c>
          <w:tcPr>
            <w:tcW w:w="1374" w:type="dxa"/>
            <w:noWrap w:val="0"/>
            <w:tcMar>
              <w:top w:w="0" w:type="dxa"/>
              <w:left w:w="0" w:type="dxa"/>
              <w:bottom w:w="0" w:type="dxa"/>
              <w:right w:w="0" w:type="dxa"/>
            </w:tcMar>
            <w:vAlign w:val="center"/>
          </w:tcPr>
          <w:p w14:paraId="79587DA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较优</w:t>
            </w:r>
          </w:p>
        </w:tc>
      </w:tr>
      <w:tr w14:paraId="6FA357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578C24C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51000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99" w:type="dxa"/>
            <w:noWrap w:val="0"/>
            <w:tcMar>
              <w:top w:w="0" w:type="dxa"/>
              <w:left w:w="0" w:type="dxa"/>
              <w:bottom w:w="0" w:type="dxa"/>
              <w:right w:w="0" w:type="dxa"/>
            </w:tcMar>
            <w:vAlign w:val="center"/>
          </w:tcPr>
          <w:p w14:paraId="2CDB0F3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58" w:type="dxa"/>
            <w:noWrap w:val="0"/>
            <w:tcMar>
              <w:top w:w="0" w:type="dxa"/>
              <w:left w:w="0" w:type="dxa"/>
              <w:bottom w:w="0" w:type="dxa"/>
              <w:right w:w="0" w:type="dxa"/>
            </w:tcMar>
            <w:vAlign w:val="center"/>
          </w:tcPr>
          <w:p w14:paraId="346FA2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91" w:type="dxa"/>
            <w:noWrap w:val="0"/>
            <w:tcMar>
              <w:top w:w="0" w:type="dxa"/>
              <w:left w:w="0" w:type="dxa"/>
              <w:bottom w:w="0" w:type="dxa"/>
              <w:right w:w="0" w:type="dxa"/>
            </w:tcMar>
            <w:vAlign w:val="center"/>
          </w:tcPr>
          <w:p w14:paraId="111DFFA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c>
          <w:tcPr>
            <w:tcW w:w="1374" w:type="dxa"/>
            <w:noWrap w:val="0"/>
            <w:tcMar>
              <w:top w:w="0" w:type="dxa"/>
              <w:left w:w="0" w:type="dxa"/>
              <w:bottom w:w="0" w:type="dxa"/>
              <w:right w:w="0" w:type="dxa"/>
            </w:tcMar>
            <w:vAlign w:val="center"/>
          </w:tcPr>
          <w:p w14:paraId="3BACB5A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较好</w:t>
            </w:r>
          </w:p>
        </w:tc>
      </w:tr>
      <w:tr w14:paraId="72F8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16C58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2ECBC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99" w:type="dxa"/>
            <w:noWrap w:val="0"/>
            <w:tcMar>
              <w:top w:w="0" w:type="dxa"/>
              <w:left w:w="0" w:type="dxa"/>
              <w:bottom w:w="0" w:type="dxa"/>
              <w:right w:w="0" w:type="dxa"/>
            </w:tcMar>
            <w:vAlign w:val="center"/>
          </w:tcPr>
          <w:p w14:paraId="7749A9C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58" w:type="dxa"/>
            <w:noWrap w:val="0"/>
            <w:tcMar>
              <w:top w:w="0" w:type="dxa"/>
              <w:left w:w="0" w:type="dxa"/>
              <w:bottom w:w="0" w:type="dxa"/>
              <w:right w:w="0" w:type="dxa"/>
            </w:tcMar>
            <w:vAlign w:val="center"/>
          </w:tcPr>
          <w:p w14:paraId="29964EB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91" w:type="dxa"/>
            <w:noWrap w:val="0"/>
            <w:tcMar>
              <w:top w:w="0" w:type="dxa"/>
              <w:left w:w="0" w:type="dxa"/>
              <w:bottom w:w="0" w:type="dxa"/>
              <w:right w:w="0" w:type="dxa"/>
            </w:tcMar>
            <w:vAlign w:val="center"/>
          </w:tcPr>
          <w:p w14:paraId="51E24BF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c>
          <w:tcPr>
            <w:tcW w:w="1374" w:type="dxa"/>
            <w:noWrap w:val="0"/>
            <w:tcMar>
              <w:top w:w="0" w:type="dxa"/>
              <w:left w:w="0" w:type="dxa"/>
              <w:bottom w:w="0" w:type="dxa"/>
              <w:right w:w="0" w:type="dxa"/>
            </w:tcMar>
            <w:vAlign w:val="center"/>
          </w:tcPr>
          <w:p w14:paraId="4D6D0CE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95%</w:t>
            </w:r>
          </w:p>
        </w:tc>
      </w:tr>
      <w:tr w14:paraId="201CE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5F59CD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DD0EC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水电等基础设施综合保证率</w:t>
            </w:r>
          </w:p>
        </w:tc>
        <w:tc>
          <w:tcPr>
            <w:tcW w:w="1299" w:type="dxa"/>
            <w:noWrap w:val="0"/>
            <w:tcMar>
              <w:top w:w="0" w:type="dxa"/>
              <w:left w:w="0" w:type="dxa"/>
              <w:bottom w:w="0" w:type="dxa"/>
              <w:right w:w="0" w:type="dxa"/>
            </w:tcMar>
            <w:vAlign w:val="center"/>
          </w:tcPr>
          <w:p w14:paraId="59B366B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71E3DEC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68D14E9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0C674E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3DC80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1C5F2D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2CC1A2D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99" w:type="dxa"/>
            <w:noWrap w:val="0"/>
            <w:tcMar>
              <w:top w:w="0" w:type="dxa"/>
              <w:left w:w="0" w:type="dxa"/>
              <w:bottom w:w="0" w:type="dxa"/>
              <w:right w:w="0" w:type="dxa"/>
            </w:tcMar>
            <w:vAlign w:val="center"/>
          </w:tcPr>
          <w:p w14:paraId="2211DE2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58" w:type="dxa"/>
            <w:noWrap w:val="0"/>
            <w:tcMar>
              <w:top w:w="0" w:type="dxa"/>
              <w:left w:w="0" w:type="dxa"/>
              <w:bottom w:w="0" w:type="dxa"/>
              <w:right w:w="0" w:type="dxa"/>
            </w:tcMar>
            <w:vAlign w:val="center"/>
          </w:tcPr>
          <w:p w14:paraId="78063D0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91" w:type="dxa"/>
            <w:noWrap w:val="0"/>
            <w:tcMar>
              <w:top w:w="0" w:type="dxa"/>
              <w:left w:w="0" w:type="dxa"/>
              <w:bottom w:w="0" w:type="dxa"/>
              <w:right w:w="0" w:type="dxa"/>
            </w:tcMar>
            <w:vAlign w:val="center"/>
          </w:tcPr>
          <w:p w14:paraId="126A097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c>
          <w:tcPr>
            <w:tcW w:w="1374" w:type="dxa"/>
            <w:noWrap w:val="0"/>
            <w:tcMar>
              <w:top w:w="0" w:type="dxa"/>
              <w:left w:w="0" w:type="dxa"/>
              <w:bottom w:w="0" w:type="dxa"/>
              <w:right w:w="0" w:type="dxa"/>
            </w:tcMar>
            <w:vAlign w:val="center"/>
          </w:tcPr>
          <w:p w14:paraId="1834339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齐全</w:t>
            </w:r>
          </w:p>
        </w:tc>
      </w:tr>
      <w:tr w14:paraId="0F110F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740F22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8CBB5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99" w:type="dxa"/>
            <w:noWrap w:val="0"/>
            <w:tcMar>
              <w:top w:w="0" w:type="dxa"/>
              <w:left w:w="0" w:type="dxa"/>
              <w:bottom w:w="0" w:type="dxa"/>
              <w:right w:w="0" w:type="dxa"/>
            </w:tcMar>
            <w:vAlign w:val="center"/>
          </w:tcPr>
          <w:p w14:paraId="6D91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临支路</w:t>
            </w:r>
          </w:p>
        </w:tc>
        <w:tc>
          <w:tcPr>
            <w:tcW w:w="1358" w:type="dxa"/>
            <w:noWrap w:val="0"/>
            <w:tcMar>
              <w:top w:w="0" w:type="dxa"/>
              <w:left w:w="0" w:type="dxa"/>
              <w:bottom w:w="0" w:type="dxa"/>
              <w:right w:w="0" w:type="dxa"/>
            </w:tcMar>
            <w:vAlign w:val="center"/>
          </w:tcPr>
          <w:p w14:paraId="2AF9864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91" w:type="dxa"/>
            <w:noWrap w:val="0"/>
            <w:tcMar>
              <w:top w:w="0" w:type="dxa"/>
              <w:left w:w="0" w:type="dxa"/>
              <w:bottom w:w="0" w:type="dxa"/>
              <w:right w:w="0" w:type="dxa"/>
            </w:tcMar>
            <w:vAlign w:val="center"/>
          </w:tcPr>
          <w:p w14:paraId="04E84F8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c>
          <w:tcPr>
            <w:tcW w:w="1374" w:type="dxa"/>
            <w:noWrap w:val="0"/>
            <w:tcMar>
              <w:top w:w="0" w:type="dxa"/>
              <w:left w:w="0" w:type="dxa"/>
              <w:bottom w:w="0" w:type="dxa"/>
              <w:right w:w="0" w:type="dxa"/>
            </w:tcMar>
            <w:vAlign w:val="center"/>
          </w:tcPr>
          <w:p w14:paraId="552E191E">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临主干道</w:t>
            </w:r>
          </w:p>
        </w:tc>
      </w:tr>
      <w:tr w14:paraId="07885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restart"/>
            <w:noWrap w:val="0"/>
            <w:tcMar>
              <w:top w:w="0" w:type="dxa"/>
              <w:left w:w="0" w:type="dxa"/>
              <w:bottom w:w="0" w:type="dxa"/>
              <w:right w:w="0" w:type="dxa"/>
            </w:tcMar>
            <w:vAlign w:val="center"/>
          </w:tcPr>
          <w:p w14:paraId="6294FE8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967" w:type="pct"/>
            <w:noWrap w:val="0"/>
            <w:tcMar>
              <w:top w:w="0" w:type="dxa"/>
              <w:left w:w="0" w:type="dxa"/>
              <w:bottom w:w="0" w:type="dxa"/>
              <w:right w:w="0" w:type="dxa"/>
            </w:tcMar>
            <w:vAlign w:val="center"/>
          </w:tcPr>
          <w:p w14:paraId="30BDC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99" w:type="dxa"/>
            <w:noWrap w:val="0"/>
            <w:tcMar>
              <w:top w:w="0" w:type="dxa"/>
              <w:left w:w="0" w:type="dxa"/>
              <w:bottom w:w="0" w:type="dxa"/>
              <w:right w:w="0" w:type="dxa"/>
            </w:tcMar>
            <w:vAlign w:val="center"/>
          </w:tcPr>
          <w:p w14:paraId="567BE90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58" w:type="dxa"/>
            <w:noWrap w:val="0"/>
            <w:tcMar>
              <w:top w:w="0" w:type="dxa"/>
              <w:left w:w="0" w:type="dxa"/>
              <w:bottom w:w="0" w:type="dxa"/>
              <w:right w:w="0" w:type="dxa"/>
            </w:tcMar>
            <w:vAlign w:val="center"/>
          </w:tcPr>
          <w:p w14:paraId="13AB3CB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91" w:type="dxa"/>
            <w:noWrap w:val="0"/>
            <w:tcMar>
              <w:top w:w="0" w:type="dxa"/>
              <w:left w:w="0" w:type="dxa"/>
              <w:bottom w:w="0" w:type="dxa"/>
              <w:right w:w="0" w:type="dxa"/>
            </w:tcMar>
            <w:vAlign w:val="center"/>
          </w:tcPr>
          <w:p w14:paraId="329F123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c>
          <w:tcPr>
            <w:tcW w:w="1374" w:type="dxa"/>
            <w:noWrap w:val="0"/>
            <w:tcMar>
              <w:top w:w="0" w:type="dxa"/>
              <w:left w:w="0" w:type="dxa"/>
              <w:bottom w:w="0" w:type="dxa"/>
              <w:right w:w="0" w:type="dxa"/>
            </w:tcMar>
            <w:vAlign w:val="center"/>
          </w:tcPr>
          <w:p w14:paraId="56161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好</w:t>
            </w:r>
          </w:p>
        </w:tc>
      </w:tr>
      <w:tr w14:paraId="2B40D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44FE73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7E195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99" w:type="dxa"/>
            <w:noWrap w:val="0"/>
            <w:tcMar>
              <w:top w:w="0" w:type="dxa"/>
              <w:left w:w="0" w:type="dxa"/>
              <w:bottom w:w="0" w:type="dxa"/>
              <w:right w:w="0" w:type="dxa"/>
            </w:tcMar>
            <w:vAlign w:val="center"/>
          </w:tcPr>
          <w:p w14:paraId="6CA4893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58" w:type="dxa"/>
            <w:noWrap w:val="0"/>
            <w:tcMar>
              <w:top w:w="0" w:type="dxa"/>
              <w:left w:w="0" w:type="dxa"/>
              <w:bottom w:w="0" w:type="dxa"/>
              <w:right w:w="0" w:type="dxa"/>
            </w:tcMar>
            <w:vAlign w:val="center"/>
          </w:tcPr>
          <w:p w14:paraId="61DA9B8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91" w:type="dxa"/>
            <w:noWrap w:val="0"/>
            <w:tcMar>
              <w:top w:w="0" w:type="dxa"/>
              <w:left w:w="0" w:type="dxa"/>
              <w:bottom w:w="0" w:type="dxa"/>
              <w:right w:w="0" w:type="dxa"/>
            </w:tcMar>
            <w:vAlign w:val="center"/>
          </w:tcPr>
          <w:p w14:paraId="7A67C7A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c>
          <w:tcPr>
            <w:tcW w:w="1374" w:type="dxa"/>
            <w:noWrap w:val="0"/>
            <w:tcMar>
              <w:top w:w="0" w:type="dxa"/>
              <w:left w:w="0" w:type="dxa"/>
              <w:bottom w:w="0" w:type="dxa"/>
              <w:right w:w="0" w:type="dxa"/>
            </w:tcMar>
            <w:vAlign w:val="center"/>
          </w:tcPr>
          <w:p w14:paraId="0C668B3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七成新</w:t>
            </w:r>
          </w:p>
        </w:tc>
      </w:tr>
      <w:tr w14:paraId="50A8BE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0B9DB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3182A5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99" w:type="dxa"/>
            <w:noWrap w:val="0"/>
            <w:tcMar>
              <w:top w:w="0" w:type="dxa"/>
              <w:left w:w="0" w:type="dxa"/>
              <w:bottom w:w="0" w:type="dxa"/>
              <w:right w:w="0" w:type="dxa"/>
            </w:tcMar>
            <w:vAlign w:val="center"/>
          </w:tcPr>
          <w:p w14:paraId="30192EF0">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58" w:type="dxa"/>
            <w:noWrap w:val="0"/>
            <w:tcMar>
              <w:top w:w="0" w:type="dxa"/>
              <w:left w:w="0" w:type="dxa"/>
              <w:bottom w:w="0" w:type="dxa"/>
              <w:right w:w="0" w:type="dxa"/>
            </w:tcMar>
            <w:vAlign w:val="center"/>
          </w:tcPr>
          <w:p w14:paraId="5D7E390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91" w:type="dxa"/>
            <w:noWrap w:val="0"/>
            <w:tcMar>
              <w:top w:w="0" w:type="dxa"/>
              <w:left w:w="0" w:type="dxa"/>
              <w:bottom w:w="0" w:type="dxa"/>
              <w:right w:w="0" w:type="dxa"/>
            </w:tcMar>
            <w:vAlign w:val="center"/>
          </w:tcPr>
          <w:p w14:paraId="042EF4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c>
          <w:tcPr>
            <w:tcW w:w="1374" w:type="dxa"/>
            <w:noWrap w:val="0"/>
            <w:tcMar>
              <w:top w:w="0" w:type="dxa"/>
              <w:left w:w="0" w:type="dxa"/>
              <w:bottom w:w="0" w:type="dxa"/>
              <w:right w:w="0" w:type="dxa"/>
            </w:tcMar>
            <w:vAlign w:val="center"/>
          </w:tcPr>
          <w:p w14:paraId="7E86AF52">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砖混</w:t>
            </w:r>
          </w:p>
        </w:tc>
      </w:tr>
      <w:tr w14:paraId="0B77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0DD0D5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0B93F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99" w:type="dxa"/>
            <w:noWrap w:val="0"/>
            <w:tcMar>
              <w:top w:w="0" w:type="dxa"/>
              <w:left w:w="0" w:type="dxa"/>
              <w:bottom w:w="0" w:type="dxa"/>
              <w:right w:w="0" w:type="dxa"/>
            </w:tcMar>
            <w:vAlign w:val="center"/>
          </w:tcPr>
          <w:p w14:paraId="47EE7A9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58" w:type="dxa"/>
            <w:noWrap w:val="0"/>
            <w:tcMar>
              <w:top w:w="0" w:type="dxa"/>
              <w:left w:w="0" w:type="dxa"/>
              <w:bottom w:w="0" w:type="dxa"/>
              <w:right w:w="0" w:type="dxa"/>
            </w:tcMar>
            <w:vAlign w:val="center"/>
          </w:tcPr>
          <w:p w14:paraId="45B4C69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91" w:type="dxa"/>
            <w:noWrap w:val="0"/>
            <w:tcMar>
              <w:top w:w="0" w:type="dxa"/>
              <w:left w:w="0" w:type="dxa"/>
              <w:bottom w:w="0" w:type="dxa"/>
              <w:right w:w="0" w:type="dxa"/>
            </w:tcMar>
            <w:vAlign w:val="center"/>
          </w:tcPr>
          <w:p w14:paraId="5C1EA3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c>
          <w:tcPr>
            <w:tcW w:w="1374" w:type="dxa"/>
            <w:noWrap w:val="0"/>
            <w:tcMar>
              <w:top w:w="0" w:type="dxa"/>
              <w:left w:w="0" w:type="dxa"/>
              <w:bottom w:w="0" w:type="dxa"/>
              <w:right w:w="0" w:type="dxa"/>
            </w:tcMar>
            <w:vAlign w:val="center"/>
          </w:tcPr>
          <w:p w14:paraId="0731EF2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合理</w:t>
            </w:r>
          </w:p>
        </w:tc>
      </w:tr>
      <w:tr w14:paraId="01A43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34E242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43F0C72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99" w:type="dxa"/>
            <w:noWrap w:val="0"/>
            <w:tcMar>
              <w:top w:w="0" w:type="dxa"/>
              <w:left w:w="0" w:type="dxa"/>
              <w:bottom w:w="0" w:type="dxa"/>
              <w:right w:w="0" w:type="dxa"/>
            </w:tcMar>
            <w:vAlign w:val="center"/>
          </w:tcPr>
          <w:p w14:paraId="652F7E74">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58" w:type="dxa"/>
            <w:noWrap w:val="0"/>
            <w:tcMar>
              <w:top w:w="0" w:type="dxa"/>
              <w:left w:w="0" w:type="dxa"/>
              <w:bottom w:w="0" w:type="dxa"/>
              <w:right w:w="0" w:type="dxa"/>
            </w:tcMar>
            <w:vAlign w:val="center"/>
          </w:tcPr>
          <w:p w14:paraId="4612E51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91" w:type="dxa"/>
            <w:noWrap w:val="0"/>
            <w:tcMar>
              <w:top w:w="0" w:type="dxa"/>
              <w:left w:w="0" w:type="dxa"/>
              <w:bottom w:w="0" w:type="dxa"/>
              <w:right w:w="0" w:type="dxa"/>
            </w:tcMar>
            <w:vAlign w:val="center"/>
          </w:tcPr>
          <w:p w14:paraId="22E235C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c>
          <w:tcPr>
            <w:tcW w:w="1374" w:type="dxa"/>
            <w:noWrap w:val="0"/>
            <w:tcMar>
              <w:top w:w="0" w:type="dxa"/>
              <w:left w:w="0" w:type="dxa"/>
              <w:bottom w:w="0" w:type="dxa"/>
              <w:right w:w="0" w:type="dxa"/>
            </w:tcMar>
            <w:vAlign w:val="center"/>
          </w:tcPr>
          <w:p w14:paraId="2D2D5A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简单装修</w:t>
            </w:r>
          </w:p>
        </w:tc>
      </w:tr>
      <w:tr w14:paraId="4B8E9E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5" w:hRule="atLeast"/>
        </w:trPr>
        <w:tc>
          <w:tcPr>
            <w:tcW w:w="785" w:type="pct"/>
            <w:vMerge w:val="continue"/>
            <w:noWrap w:val="0"/>
            <w:tcMar>
              <w:top w:w="0" w:type="dxa"/>
              <w:left w:w="0" w:type="dxa"/>
              <w:bottom w:w="0" w:type="dxa"/>
              <w:right w:w="0" w:type="dxa"/>
            </w:tcMar>
            <w:vAlign w:val="center"/>
          </w:tcPr>
          <w:p w14:paraId="7E9203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6AD6679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99" w:type="dxa"/>
            <w:noWrap w:val="0"/>
            <w:tcMar>
              <w:top w:w="0" w:type="dxa"/>
              <w:left w:w="0" w:type="dxa"/>
              <w:bottom w:w="0" w:type="dxa"/>
              <w:right w:w="0" w:type="dxa"/>
            </w:tcMar>
            <w:vAlign w:val="center"/>
          </w:tcPr>
          <w:p w14:paraId="52B11D2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c>
          <w:tcPr>
            <w:tcW w:w="1358" w:type="dxa"/>
            <w:noWrap w:val="0"/>
            <w:tcMar>
              <w:top w:w="0" w:type="dxa"/>
              <w:left w:w="0" w:type="dxa"/>
              <w:bottom w:w="0" w:type="dxa"/>
              <w:right w:w="0" w:type="dxa"/>
            </w:tcMar>
            <w:vAlign w:val="center"/>
          </w:tcPr>
          <w:p w14:paraId="117D203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91" w:type="dxa"/>
            <w:noWrap w:val="0"/>
            <w:tcMar>
              <w:top w:w="0" w:type="dxa"/>
              <w:left w:w="0" w:type="dxa"/>
              <w:bottom w:w="0" w:type="dxa"/>
              <w:right w:w="0" w:type="dxa"/>
            </w:tcMar>
            <w:vAlign w:val="center"/>
          </w:tcPr>
          <w:p w14:paraId="7780A24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基本满足停车需求</w:t>
            </w:r>
          </w:p>
        </w:tc>
        <w:tc>
          <w:tcPr>
            <w:tcW w:w="1374" w:type="dxa"/>
            <w:noWrap w:val="0"/>
            <w:tcMar>
              <w:top w:w="0" w:type="dxa"/>
              <w:left w:w="0" w:type="dxa"/>
              <w:bottom w:w="0" w:type="dxa"/>
              <w:right w:w="0" w:type="dxa"/>
            </w:tcMar>
            <w:vAlign w:val="center"/>
          </w:tcPr>
          <w:p w14:paraId="7C2B4E81">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基本满足停车</w:t>
            </w:r>
          </w:p>
        </w:tc>
      </w:tr>
      <w:tr w14:paraId="7E2154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30" w:hRule="atLeast"/>
        </w:trPr>
        <w:tc>
          <w:tcPr>
            <w:tcW w:w="785" w:type="pct"/>
            <w:vMerge w:val="continue"/>
            <w:noWrap w:val="0"/>
            <w:tcMar>
              <w:top w:w="0" w:type="dxa"/>
              <w:left w:w="0" w:type="dxa"/>
              <w:bottom w:w="0" w:type="dxa"/>
              <w:right w:w="0" w:type="dxa"/>
            </w:tcMar>
            <w:vAlign w:val="center"/>
          </w:tcPr>
          <w:p w14:paraId="24397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524FEC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99" w:type="dxa"/>
            <w:noWrap w:val="0"/>
            <w:tcMar>
              <w:top w:w="0" w:type="dxa"/>
              <w:left w:w="0" w:type="dxa"/>
              <w:bottom w:w="0" w:type="dxa"/>
              <w:right w:w="0" w:type="dxa"/>
            </w:tcMar>
            <w:vAlign w:val="center"/>
          </w:tcPr>
          <w:p w14:paraId="6224D66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58" w:type="dxa"/>
            <w:noWrap w:val="0"/>
            <w:tcMar>
              <w:top w:w="0" w:type="dxa"/>
              <w:left w:w="0" w:type="dxa"/>
              <w:bottom w:w="0" w:type="dxa"/>
              <w:right w:w="0" w:type="dxa"/>
            </w:tcMar>
            <w:vAlign w:val="center"/>
          </w:tcPr>
          <w:p w14:paraId="6C294115">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91" w:type="dxa"/>
            <w:noWrap w:val="0"/>
            <w:tcMar>
              <w:top w:w="0" w:type="dxa"/>
              <w:left w:w="0" w:type="dxa"/>
              <w:bottom w:w="0" w:type="dxa"/>
              <w:right w:w="0" w:type="dxa"/>
            </w:tcMar>
            <w:vAlign w:val="center"/>
          </w:tcPr>
          <w:p w14:paraId="259188D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c>
          <w:tcPr>
            <w:tcW w:w="1374" w:type="dxa"/>
            <w:noWrap w:val="0"/>
            <w:tcMar>
              <w:top w:w="0" w:type="dxa"/>
              <w:left w:w="0" w:type="dxa"/>
              <w:bottom w:w="0" w:type="dxa"/>
              <w:right w:w="0" w:type="dxa"/>
            </w:tcMar>
            <w:vAlign w:val="center"/>
          </w:tcPr>
          <w:p w14:paraId="28ECF1D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无</w:t>
            </w:r>
          </w:p>
        </w:tc>
      </w:tr>
      <w:tr w14:paraId="4B1642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12" w:hRule="atLeast"/>
        </w:trPr>
        <w:tc>
          <w:tcPr>
            <w:tcW w:w="785" w:type="pct"/>
            <w:vMerge w:val="continue"/>
            <w:noWrap w:val="0"/>
            <w:tcMar>
              <w:top w:w="0" w:type="dxa"/>
              <w:left w:w="0" w:type="dxa"/>
              <w:bottom w:w="0" w:type="dxa"/>
              <w:right w:w="0" w:type="dxa"/>
            </w:tcMar>
            <w:vAlign w:val="center"/>
          </w:tcPr>
          <w:p w14:paraId="35BD403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967" w:type="pct"/>
            <w:noWrap w:val="0"/>
            <w:tcMar>
              <w:top w:w="0" w:type="dxa"/>
              <w:left w:w="0" w:type="dxa"/>
              <w:bottom w:w="0" w:type="dxa"/>
              <w:right w:w="0" w:type="dxa"/>
            </w:tcMar>
            <w:vAlign w:val="center"/>
          </w:tcPr>
          <w:p w14:paraId="1F6ED6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99" w:type="dxa"/>
            <w:noWrap w:val="0"/>
            <w:tcMar>
              <w:top w:w="0" w:type="dxa"/>
              <w:left w:w="0" w:type="dxa"/>
              <w:bottom w:w="0" w:type="dxa"/>
              <w:right w:w="0" w:type="dxa"/>
            </w:tcMar>
            <w:vAlign w:val="center"/>
          </w:tcPr>
          <w:p w14:paraId="30B9AF8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58" w:type="dxa"/>
            <w:noWrap w:val="0"/>
            <w:tcMar>
              <w:top w:w="0" w:type="dxa"/>
              <w:left w:w="0" w:type="dxa"/>
              <w:bottom w:w="0" w:type="dxa"/>
              <w:right w:w="0" w:type="dxa"/>
            </w:tcMar>
            <w:vAlign w:val="center"/>
          </w:tcPr>
          <w:p w14:paraId="3829D566">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91" w:type="dxa"/>
            <w:noWrap w:val="0"/>
            <w:tcMar>
              <w:top w:w="0" w:type="dxa"/>
              <w:left w:w="0" w:type="dxa"/>
              <w:bottom w:w="0" w:type="dxa"/>
              <w:right w:w="0" w:type="dxa"/>
            </w:tcMar>
            <w:vAlign w:val="center"/>
          </w:tcPr>
          <w:p w14:paraId="018B66E8">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c>
          <w:tcPr>
            <w:tcW w:w="1374" w:type="dxa"/>
            <w:noWrap w:val="0"/>
            <w:tcMar>
              <w:top w:w="0" w:type="dxa"/>
              <w:left w:w="0" w:type="dxa"/>
              <w:bottom w:w="0" w:type="dxa"/>
              <w:right w:w="0" w:type="dxa"/>
            </w:tcMar>
            <w:vAlign w:val="center"/>
          </w:tcPr>
          <w:p w14:paraId="46F35BB3">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auto"/>
                <w:kern w:val="2"/>
                <w:sz w:val="20"/>
                <w:szCs w:val="20"/>
                <w:highlight w:val="none"/>
                <w:lang w:val="en-US" w:eastAsia="zh-CN" w:bidi="ar-SA"/>
              </w:rPr>
            </w:pPr>
            <w:r>
              <w:rPr>
                <w:rFonts w:hint="eastAsia" w:ascii="仿宋_GB2312" w:hAnsi="仿宋_GB2312" w:eastAsia="仿宋_GB2312" w:cs="仿宋_GB2312"/>
                <w:i w:val="0"/>
                <w:iCs w:val="0"/>
                <w:color w:val="auto"/>
                <w:kern w:val="0"/>
                <w:sz w:val="20"/>
                <w:szCs w:val="20"/>
                <w:u w:val="none"/>
                <w:lang w:val="en-US" w:eastAsia="zh-CN" w:bidi="ar"/>
              </w:rPr>
              <w:t>优</w:t>
            </w:r>
          </w:p>
        </w:tc>
      </w:tr>
    </w:tbl>
    <w:p w14:paraId="70C32AE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租金的比较因素修正说明：</w:t>
      </w:r>
    </w:p>
    <w:p w14:paraId="0E5560CF">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A、用途修正：估价对象与三个比较案例用途都为住宅楼，因此不用做修正；</w:t>
      </w:r>
    </w:p>
    <w:p w14:paraId="221C20A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B、交易时间修正，估价对象与三个比较案例交易时间接近，因此不需要做时间修正;</w:t>
      </w:r>
    </w:p>
    <w:p w14:paraId="0FABF52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C、交易情况：估价对象与三个比较案例均是在正常情况下交易的，因此不做交易情况修正；</w:t>
      </w:r>
    </w:p>
    <w:p w14:paraId="3ABE2375">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D、区域因素修正</w:t>
      </w:r>
    </w:p>
    <w:p w14:paraId="3146A8A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a、</w:t>
      </w:r>
      <w:r>
        <w:rPr>
          <w:rFonts w:hint="default" w:ascii="仿宋_GB2312" w:hAnsi="仿宋_GB2312" w:eastAsia="仿宋_GB2312" w:cs="仿宋_GB2312"/>
          <w:b w:val="0"/>
          <w:bCs w:val="0"/>
          <w:color w:val="000000"/>
          <w:kern w:val="2"/>
          <w:sz w:val="28"/>
          <w:szCs w:val="28"/>
          <w:highlight w:val="none"/>
          <w:lang w:val="en-US" w:eastAsia="zh-CN" w:bidi="ar-SA"/>
        </w:rPr>
        <w:t>商服繁华度：商服繁华度分为优、较优、一般、较劣、劣五个等级，以估价对象商服繁华度修正系数为100，每上升或下降一个级别，指数增加或减少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6248B0E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b、公交便捷度：交通便捷度分为优、较优、一般、较劣、劣五个等级，以估价对象交通便捷度修正系数为100，每上升或下降一个级别，指数增加或减少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2</w:t>
      </w:r>
      <w:r>
        <w:rPr>
          <w:rFonts w:hint="default" w:ascii="仿宋_GB2312" w:hAnsi="仿宋_GB2312" w:eastAsia="仿宋_GB2312" w:cs="仿宋_GB2312"/>
          <w:b w:val="0"/>
          <w:bCs w:val="0"/>
          <w:color w:val="000000"/>
          <w:kern w:val="2"/>
          <w:sz w:val="28"/>
          <w:szCs w:val="28"/>
          <w:highlight w:val="none"/>
          <w:lang w:val="en-US" w:eastAsia="zh-CN" w:bidi="ar-SA"/>
        </w:rPr>
        <w:t>；</w:t>
      </w:r>
    </w:p>
    <w:p w14:paraId="12BACB3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度分为通畅、较通畅、一般通畅、较不通畅、不通畅五个等级，以估价对象道路</w:t>
      </w:r>
      <w:r>
        <w:rPr>
          <w:rFonts w:hint="eastAsia" w:ascii="仿宋_GB2312" w:hAnsi="仿宋_GB2312" w:eastAsia="仿宋_GB2312" w:cs="仿宋_GB2312"/>
          <w:b w:val="0"/>
          <w:bCs w:val="0"/>
          <w:color w:val="000000"/>
          <w:kern w:val="2"/>
          <w:sz w:val="28"/>
          <w:szCs w:val="28"/>
          <w:highlight w:val="none"/>
          <w:lang w:val="en-US" w:eastAsia="zh-CN" w:bidi="ar-SA"/>
        </w:rPr>
        <w:t>通达</w:t>
      </w:r>
      <w:r>
        <w:rPr>
          <w:rFonts w:hint="default" w:ascii="仿宋_GB2312" w:hAnsi="仿宋_GB2312" w:eastAsia="仿宋_GB2312" w:cs="仿宋_GB2312"/>
          <w:b w:val="0"/>
          <w:bCs w:val="0"/>
          <w:color w:val="000000"/>
          <w:kern w:val="2"/>
          <w:sz w:val="28"/>
          <w:szCs w:val="28"/>
          <w:highlight w:val="none"/>
          <w:lang w:val="en-US" w:eastAsia="zh-CN" w:bidi="ar-SA"/>
        </w:rPr>
        <w:t>度修正系数为100，每上升或下降一个级别，指数增加或减少2；</w:t>
      </w:r>
    </w:p>
    <w:p w14:paraId="0D767F4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d、水电等基础设施综合保证率：水电等基础设施综合保证率分为≥95%、[90，95]、≤90%三个等级,以估价对象为100，每上升或下降一个级别，指数增加或减少2。</w:t>
      </w:r>
    </w:p>
    <w:p w14:paraId="464FBC66">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e、环境质量：环境质量分为好、较好、一般、较差、差五个等级，以估价对象为100, 每上升或下降一个级别，指数增加或减少2。</w:t>
      </w:r>
    </w:p>
    <w:p w14:paraId="7CE13308">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f、区域公共设施状况：区域公共设施状况分为齐全，较齐全，一般，较低，低5个等级，以估价对象为100,每上升或下降一个级别，指数增加或减少2。</w:t>
      </w:r>
    </w:p>
    <w:p w14:paraId="728692DE">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E、个别因素</w:t>
      </w:r>
    </w:p>
    <w:p w14:paraId="2A756B2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a、所临道路类型</w:t>
      </w:r>
      <w:r>
        <w:rPr>
          <w:rFonts w:hint="eastAsia" w:ascii="仿宋_GB2312" w:hAnsi="仿宋_GB2312" w:eastAsia="仿宋_GB2312" w:cs="仿宋_GB2312"/>
          <w:b w:val="0"/>
          <w:bCs w:val="0"/>
          <w:color w:val="000000"/>
          <w:kern w:val="2"/>
          <w:sz w:val="28"/>
          <w:szCs w:val="28"/>
          <w:highlight w:val="none"/>
          <w:lang w:val="en-US" w:eastAsia="zh-CN" w:bidi="ar-SA"/>
        </w:rPr>
        <w:t>：所临道路类型分为</w:t>
      </w:r>
      <w:r>
        <w:rPr>
          <w:rFonts w:hint="default" w:ascii="仿宋_GB2312" w:hAnsi="仿宋_GB2312" w:eastAsia="仿宋_GB2312" w:cs="仿宋_GB2312"/>
          <w:b w:val="0"/>
          <w:bCs w:val="0"/>
          <w:color w:val="000000"/>
          <w:kern w:val="2"/>
          <w:sz w:val="28"/>
          <w:szCs w:val="28"/>
          <w:highlight w:val="none"/>
          <w:lang w:val="en-US" w:eastAsia="zh-CN" w:bidi="ar-SA"/>
        </w:rPr>
        <w:t>临主干道、临次干道、临支路、不临路等级别。以估价对象指数为100，每上升或下降一个级别，指数增加或减少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689969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b、通风采光</w:t>
      </w:r>
      <w:r>
        <w:rPr>
          <w:rFonts w:hint="eastAsia" w:ascii="仿宋_GB2312" w:hAnsi="仿宋_GB2312" w:eastAsia="仿宋_GB2312" w:cs="仿宋_GB2312"/>
          <w:b w:val="0"/>
          <w:bCs w:val="0"/>
          <w:color w:val="000000"/>
          <w:kern w:val="2"/>
          <w:sz w:val="28"/>
          <w:szCs w:val="28"/>
          <w:highlight w:val="none"/>
          <w:lang w:val="en-US" w:eastAsia="zh-CN" w:bidi="ar-SA"/>
        </w:rPr>
        <w:t>：通风采光分为</w:t>
      </w:r>
      <w:r>
        <w:rPr>
          <w:rFonts w:hint="default" w:ascii="仿宋_GB2312" w:hAnsi="仿宋_GB2312" w:eastAsia="仿宋_GB2312" w:cs="仿宋_GB2312"/>
          <w:b w:val="0"/>
          <w:bCs w:val="0"/>
          <w:color w:val="000000"/>
          <w:kern w:val="2"/>
          <w:sz w:val="28"/>
          <w:szCs w:val="28"/>
          <w:highlight w:val="none"/>
          <w:lang w:val="en-US" w:eastAsia="zh-CN" w:bidi="ar-SA"/>
        </w:rPr>
        <w:t>好、较好、一般、较差、差五个等级，以估价对象条件指数为100, 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1</w:t>
      </w:r>
      <w:r>
        <w:rPr>
          <w:rFonts w:hint="default" w:ascii="仿宋_GB2312" w:hAnsi="仿宋_GB2312" w:eastAsia="仿宋_GB2312" w:cs="仿宋_GB2312"/>
          <w:b w:val="0"/>
          <w:bCs w:val="0"/>
          <w:color w:val="000000"/>
          <w:kern w:val="2"/>
          <w:sz w:val="28"/>
          <w:szCs w:val="28"/>
          <w:highlight w:val="none"/>
          <w:lang w:val="en-US" w:eastAsia="zh-CN" w:bidi="ar-SA"/>
        </w:rPr>
        <w:t>。</w:t>
      </w:r>
    </w:p>
    <w:p w14:paraId="07E351EB">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c、房屋成新度：以估价对象成新度为100，每上升或下降一个级别，指数增加或减少</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p>
    <w:p w14:paraId="6F408F2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d、建筑物结构</w:t>
      </w:r>
      <w:r>
        <w:rPr>
          <w:rFonts w:hint="eastAsia" w:ascii="仿宋_GB2312" w:hAnsi="仿宋_GB2312" w:eastAsia="仿宋_GB2312" w:cs="仿宋_GB2312"/>
          <w:b w:val="0"/>
          <w:bCs w:val="0"/>
          <w:color w:val="000000"/>
          <w:kern w:val="2"/>
          <w:sz w:val="28"/>
          <w:szCs w:val="28"/>
          <w:highlight w:val="none"/>
          <w:lang w:val="en-US" w:eastAsia="zh-CN" w:bidi="ar-SA"/>
        </w:rPr>
        <w:t>：建筑物结构分为</w:t>
      </w:r>
      <w:r>
        <w:rPr>
          <w:rFonts w:hint="default" w:ascii="仿宋_GB2312" w:hAnsi="仿宋_GB2312" w:eastAsia="仿宋_GB2312" w:cs="仿宋_GB2312"/>
          <w:b w:val="0"/>
          <w:bCs w:val="0"/>
          <w:color w:val="000000"/>
          <w:kern w:val="2"/>
          <w:sz w:val="28"/>
          <w:szCs w:val="28"/>
          <w:highlight w:val="none"/>
          <w:lang w:val="en-US" w:eastAsia="zh-CN" w:bidi="ar-SA"/>
        </w:rPr>
        <w:t>框架、钢混、砖混、砖木等4个等级,以估价对象为100, 每上升或下降一个级别，指数增加或减少2。</w:t>
      </w:r>
    </w:p>
    <w:p w14:paraId="29EC76C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e、</w:t>
      </w:r>
      <w:r>
        <w:rPr>
          <w:rFonts w:hint="eastAsia" w:ascii="仿宋_GB2312" w:hAnsi="仿宋_GB2312" w:eastAsia="仿宋_GB2312" w:cs="仿宋_GB2312"/>
          <w:b w:val="0"/>
          <w:bCs w:val="0"/>
          <w:color w:val="000000"/>
          <w:kern w:val="2"/>
          <w:sz w:val="28"/>
          <w:szCs w:val="28"/>
          <w:highlight w:val="none"/>
          <w:lang w:val="en-US" w:eastAsia="zh-CN" w:bidi="ar-SA"/>
        </w:rPr>
        <w:t>建筑物内部格局：</w:t>
      </w:r>
      <w:r>
        <w:rPr>
          <w:rFonts w:hint="default" w:ascii="仿宋_GB2312" w:hAnsi="仿宋_GB2312" w:eastAsia="仿宋_GB2312" w:cs="仿宋_GB2312"/>
          <w:b w:val="0"/>
          <w:bCs w:val="0"/>
          <w:color w:val="000000"/>
          <w:kern w:val="2"/>
          <w:sz w:val="28"/>
          <w:szCs w:val="28"/>
          <w:highlight w:val="none"/>
          <w:lang w:val="en-US" w:eastAsia="zh-CN" w:bidi="ar-SA"/>
        </w:rPr>
        <w:t>建筑物内部格局分为有合理、较合理、不合理三个等级,以估价对象为100, 每上升或下降一个级别，指数增加或减少1。</w:t>
      </w:r>
    </w:p>
    <w:p w14:paraId="3CAD1A3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f、</w:t>
      </w:r>
      <w:r>
        <w:rPr>
          <w:rFonts w:hint="eastAsia" w:ascii="仿宋_GB2312" w:hAnsi="仿宋_GB2312" w:eastAsia="仿宋_GB2312" w:cs="仿宋_GB2312"/>
          <w:b w:val="0"/>
          <w:bCs w:val="0"/>
          <w:color w:val="000000"/>
          <w:kern w:val="2"/>
          <w:sz w:val="28"/>
          <w:szCs w:val="28"/>
          <w:highlight w:val="none"/>
          <w:lang w:val="en-US" w:eastAsia="zh-CN" w:bidi="ar-SA"/>
        </w:rPr>
        <w:t>装修档次：</w:t>
      </w:r>
      <w:r>
        <w:rPr>
          <w:rFonts w:hint="default" w:ascii="仿宋_GB2312" w:hAnsi="仿宋_GB2312" w:eastAsia="仿宋_GB2312" w:cs="仿宋_GB2312"/>
          <w:b w:val="0"/>
          <w:bCs w:val="0"/>
          <w:color w:val="000000"/>
          <w:kern w:val="2"/>
          <w:sz w:val="28"/>
          <w:szCs w:val="28"/>
          <w:highlight w:val="none"/>
          <w:lang w:val="en-US" w:eastAsia="zh-CN" w:bidi="ar-SA"/>
        </w:rPr>
        <w:t>装修档次分为毛坯、简单装修、中档装修、中高档装修、高档装修等5个等级,以估价对象为100,每上升或下降一个级别，指数增加或减少2。</w:t>
      </w:r>
    </w:p>
    <w:p w14:paraId="3E984AB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g、</w:t>
      </w:r>
      <w:r>
        <w:rPr>
          <w:rFonts w:hint="eastAsia" w:ascii="仿宋_GB2312" w:hAnsi="仿宋_GB2312" w:eastAsia="仿宋_GB2312" w:cs="仿宋_GB2312"/>
          <w:b w:val="0"/>
          <w:bCs w:val="0"/>
          <w:color w:val="000000"/>
          <w:kern w:val="2"/>
          <w:sz w:val="28"/>
          <w:szCs w:val="28"/>
          <w:highlight w:val="none"/>
          <w:lang w:val="en-US" w:eastAsia="zh-CN" w:bidi="ar-SA"/>
        </w:rPr>
        <w:t>停车情况：</w:t>
      </w:r>
      <w:r>
        <w:rPr>
          <w:rFonts w:hint="default" w:ascii="仿宋_GB2312" w:hAnsi="仿宋_GB2312" w:eastAsia="仿宋_GB2312" w:cs="仿宋_GB2312"/>
          <w:b w:val="0"/>
          <w:bCs w:val="0"/>
          <w:color w:val="000000"/>
          <w:kern w:val="2"/>
          <w:sz w:val="28"/>
          <w:szCs w:val="28"/>
          <w:highlight w:val="none"/>
          <w:lang w:val="en-US" w:eastAsia="zh-CN" w:bidi="ar-SA"/>
        </w:rPr>
        <w:t>停车情况分为能满足停车需求、基本满足停车需求、不能满足停车需求三个等别，以估价对象条件指数为100,每上升或下降一个级别，指数增加或减少2。</w:t>
      </w:r>
    </w:p>
    <w:p w14:paraId="4482B4F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h、物业情况分为无物业管理、物业管理一般、物业管理较好等三个等级,以估价对象为100,每上升或下降一个级别，指数增加或减少2。</w:t>
      </w:r>
    </w:p>
    <w:p w14:paraId="3C2BD05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得到估价对象比较因素条件指数表和</w:t>
      </w:r>
      <w:r>
        <w:rPr>
          <w:rFonts w:hint="eastAsia" w:ascii="仿宋_GB2312" w:hAnsi="仿宋_GB2312" w:eastAsia="仿宋_GB2312" w:cs="仿宋_GB2312"/>
          <w:b w:val="0"/>
          <w:bCs/>
          <w:color w:val="auto"/>
          <w:kern w:val="2"/>
          <w:sz w:val="28"/>
          <w:szCs w:val="28"/>
          <w:highlight w:val="none"/>
          <w:lang w:val="en-US" w:eastAsia="zh-CN" w:bidi="ar-SA"/>
        </w:rPr>
        <w:t>比较因素条件修正系数表</w:t>
      </w:r>
    </w:p>
    <w:p w14:paraId="444BD2E8">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360" w:lineRule="auto"/>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12</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比较因素条件指数表</w:t>
      </w:r>
    </w:p>
    <w:tbl>
      <w:tblPr>
        <w:tblStyle w:val="12"/>
        <w:tblW w:w="5047"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5" w:type="dxa"/>
          <w:left w:w="15" w:type="dxa"/>
          <w:bottom w:w="15" w:type="dxa"/>
          <w:right w:w="15" w:type="dxa"/>
        </w:tblCellMar>
      </w:tblPr>
      <w:tblGrid>
        <w:gridCol w:w="1182"/>
        <w:gridCol w:w="1757"/>
        <w:gridCol w:w="1269"/>
        <w:gridCol w:w="1401"/>
        <w:gridCol w:w="1401"/>
        <w:gridCol w:w="1404"/>
      </w:tblGrid>
      <w:tr w14:paraId="6AA387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243" w:hRule="atLeast"/>
        </w:trPr>
        <w:tc>
          <w:tcPr>
            <w:tcW w:w="1746" w:type="pct"/>
            <w:gridSpan w:val="2"/>
            <w:tcBorders>
              <w:tl2br w:val="single" w:color="000000" w:sz="4" w:space="0"/>
            </w:tcBorders>
            <w:noWrap w:val="0"/>
            <w:vAlign w:val="center"/>
          </w:tcPr>
          <w:p w14:paraId="3F419F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估价对象及比较实例</w:t>
            </w:r>
          </w:p>
          <w:p w14:paraId="498A63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比较因素</w:t>
            </w:r>
          </w:p>
        </w:tc>
        <w:tc>
          <w:tcPr>
            <w:tcW w:w="754" w:type="pct"/>
            <w:noWrap w:val="0"/>
            <w:vAlign w:val="center"/>
          </w:tcPr>
          <w:p w14:paraId="29E6D42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估价对象</w:t>
            </w:r>
          </w:p>
        </w:tc>
        <w:tc>
          <w:tcPr>
            <w:tcW w:w="832" w:type="pct"/>
            <w:noWrap w:val="0"/>
            <w:vAlign w:val="center"/>
          </w:tcPr>
          <w:p w14:paraId="527AA01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案例A</w:t>
            </w:r>
          </w:p>
        </w:tc>
        <w:tc>
          <w:tcPr>
            <w:tcW w:w="832" w:type="pct"/>
            <w:noWrap w:val="0"/>
            <w:vAlign w:val="center"/>
          </w:tcPr>
          <w:p w14:paraId="75590A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案例B</w:t>
            </w:r>
          </w:p>
        </w:tc>
        <w:tc>
          <w:tcPr>
            <w:tcW w:w="834" w:type="pct"/>
            <w:noWrap w:val="0"/>
            <w:vAlign w:val="center"/>
          </w:tcPr>
          <w:p w14:paraId="73A4D38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案例C</w:t>
            </w:r>
          </w:p>
        </w:tc>
      </w:tr>
      <w:tr w14:paraId="4B9900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1746" w:type="pct"/>
            <w:gridSpan w:val="2"/>
            <w:noWrap w:val="0"/>
            <w:vAlign w:val="center"/>
          </w:tcPr>
          <w:p w14:paraId="3BEAD5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位置</w:t>
            </w:r>
          </w:p>
        </w:tc>
        <w:tc>
          <w:tcPr>
            <w:tcW w:w="1269" w:type="dxa"/>
            <w:noWrap w:val="0"/>
            <w:vAlign w:val="center"/>
          </w:tcPr>
          <w:p w14:paraId="19D8EB1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道州月岩西路皮革厂家属楼3栋4层404房</w:t>
            </w:r>
          </w:p>
        </w:tc>
        <w:tc>
          <w:tcPr>
            <w:tcW w:w="1401" w:type="dxa"/>
            <w:noWrap w:val="0"/>
            <w:vAlign w:val="center"/>
          </w:tcPr>
          <w:p w14:paraId="57718F1D">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401" w:type="dxa"/>
            <w:noWrap w:val="0"/>
            <w:vAlign w:val="center"/>
          </w:tcPr>
          <w:p w14:paraId="26A11C07">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404" w:type="dxa"/>
            <w:noWrap w:val="0"/>
            <w:vAlign w:val="center"/>
          </w:tcPr>
          <w:p w14:paraId="1B2537BA">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3A741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3E62D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住宅租金(元/m</w:t>
            </w:r>
            <w:r>
              <w:rPr>
                <w:rFonts w:hint="eastAsia" w:ascii="仿宋_GB2312" w:hAnsi="仿宋_GB2312" w:eastAsia="仿宋_GB2312" w:cs="仿宋_GB2312"/>
                <w:b w:val="0"/>
                <w:bCs w:val="0"/>
                <w:color w:val="000000"/>
                <w:kern w:val="2"/>
                <w:sz w:val="20"/>
                <w:szCs w:val="20"/>
                <w:highlight w:val="none"/>
                <w:vertAlign w:val="superscript"/>
                <w:lang w:val="en-US" w:eastAsia="zh-CN" w:bidi="ar-SA"/>
              </w:rPr>
              <w:t>2</w:t>
            </w:r>
            <w:r>
              <w:rPr>
                <w:rFonts w:hint="eastAsia" w:ascii="仿宋_GB2312" w:hAnsi="仿宋_GB2312" w:eastAsia="仿宋_GB2312" w:cs="仿宋_GB2312"/>
                <w:b w:val="0"/>
                <w:bCs w:val="0"/>
                <w:color w:val="000000"/>
                <w:kern w:val="2"/>
                <w:sz w:val="20"/>
                <w:szCs w:val="20"/>
                <w:highlight w:val="none"/>
                <w:lang w:val="en-US" w:eastAsia="zh-CN" w:bidi="ar-SA"/>
              </w:rPr>
              <w:t>·月)</w:t>
            </w:r>
          </w:p>
        </w:tc>
        <w:tc>
          <w:tcPr>
            <w:tcW w:w="1269" w:type="dxa"/>
            <w:noWrap w:val="0"/>
            <w:vAlign w:val="center"/>
          </w:tcPr>
          <w:p w14:paraId="73DA182C">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待估</w:t>
            </w:r>
          </w:p>
        </w:tc>
        <w:tc>
          <w:tcPr>
            <w:tcW w:w="1401" w:type="dxa"/>
            <w:noWrap w:val="0"/>
            <w:vAlign w:val="center"/>
          </w:tcPr>
          <w:p w14:paraId="7898EA63">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401" w:type="dxa"/>
            <w:noWrap w:val="0"/>
            <w:vAlign w:val="center"/>
          </w:tcPr>
          <w:p w14:paraId="7F66CDF7">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404" w:type="dxa"/>
            <w:noWrap w:val="0"/>
            <w:vAlign w:val="center"/>
          </w:tcPr>
          <w:p w14:paraId="460F1408">
            <w:pPr>
              <w:keepNext w:val="0"/>
              <w:keepLines w:val="0"/>
              <w:widowControl/>
              <w:suppressLineNumbers w:val="0"/>
              <w:jc w:val="center"/>
              <w:textAlignment w:val="center"/>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43FD00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5A96202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用途</w:t>
            </w:r>
          </w:p>
        </w:tc>
        <w:tc>
          <w:tcPr>
            <w:tcW w:w="754" w:type="pct"/>
            <w:noWrap w:val="0"/>
            <w:vAlign w:val="center"/>
          </w:tcPr>
          <w:p w14:paraId="529621B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6F1638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23D3D03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D0F3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0FDC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063DA5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交易时间</w:t>
            </w:r>
          </w:p>
        </w:tc>
        <w:tc>
          <w:tcPr>
            <w:tcW w:w="754" w:type="pct"/>
            <w:noWrap w:val="0"/>
            <w:vAlign w:val="center"/>
          </w:tcPr>
          <w:p w14:paraId="43C002E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010E4F7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2C061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1F9DE0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169D2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1746" w:type="pct"/>
            <w:gridSpan w:val="2"/>
            <w:noWrap w:val="0"/>
            <w:vAlign w:val="center"/>
          </w:tcPr>
          <w:p w14:paraId="7FF224A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交易情况</w:t>
            </w:r>
          </w:p>
        </w:tc>
        <w:tc>
          <w:tcPr>
            <w:tcW w:w="754" w:type="pct"/>
            <w:noWrap w:val="0"/>
            <w:vAlign w:val="center"/>
          </w:tcPr>
          <w:p w14:paraId="2927B2B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3D3F46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2" w:type="pct"/>
            <w:noWrap w:val="0"/>
            <w:vAlign w:val="center"/>
          </w:tcPr>
          <w:p w14:paraId="14610E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834" w:type="pct"/>
            <w:noWrap w:val="0"/>
            <w:vAlign w:val="center"/>
          </w:tcPr>
          <w:p w14:paraId="044F166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0AC1A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3561CC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区域因素</w:t>
            </w:r>
          </w:p>
        </w:tc>
        <w:tc>
          <w:tcPr>
            <w:tcW w:w="1043" w:type="pct"/>
            <w:noWrap w:val="0"/>
            <w:vAlign w:val="center"/>
          </w:tcPr>
          <w:p w14:paraId="5F802EF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商服繁华度</w:t>
            </w:r>
          </w:p>
        </w:tc>
        <w:tc>
          <w:tcPr>
            <w:tcW w:w="1269" w:type="dxa"/>
            <w:noWrap w:val="0"/>
            <w:vAlign w:val="center"/>
          </w:tcPr>
          <w:p w14:paraId="381E67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3FFD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09CE4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95CF4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DDC42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F70F1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6D675BA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公交便捷度</w:t>
            </w:r>
          </w:p>
        </w:tc>
        <w:tc>
          <w:tcPr>
            <w:tcW w:w="1269" w:type="dxa"/>
            <w:noWrap w:val="0"/>
            <w:vAlign w:val="center"/>
          </w:tcPr>
          <w:p w14:paraId="3F288A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C75EE2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BF961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4762DE3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02E7D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69E074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293CBA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道路通达度</w:t>
            </w:r>
          </w:p>
        </w:tc>
        <w:tc>
          <w:tcPr>
            <w:tcW w:w="1269" w:type="dxa"/>
            <w:noWrap w:val="0"/>
            <w:vAlign w:val="center"/>
          </w:tcPr>
          <w:p w14:paraId="68C2D12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B3E310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9F6553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7C6EC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05557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5ED0F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FDF9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水电综合保证率</w:t>
            </w:r>
          </w:p>
        </w:tc>
        <w:tc>
          <w:tcPr>
            <w:tcW w:w="1269" w:type="dxa"/>
            <w:noWrap w:val="0"/>
            <w:vAlign w:val="center"/>
          </w:tcPr>
          <w:p w14:paraId="56C3641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3D4B3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1EBAF7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F8A92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4FB5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31DC8F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1C12E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环境质量</w:t>
            </w:r>
          </w:p>
        </w:tc>
        <w:tc>
          <w:tcPr>
            <w:tcW w:w="1269" w:type="dxa"/>
            <w:noWrap w:val="0"/>
            <w:vAlign w:val="center"/>
          </w:tcPr>
          <w:p w14:paraId="7F2812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FCE05A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529B732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E73714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371159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43" w:hRule="atLeast"/>
        </w:trPr>
        <w:tc>
          <w:tcPr>
            <w:tcW w:w="702" w:type="pct"/>
            <w:vMerge w:val="continue"/>
            <w:noWrap w:val="0"/>
            <w:vAlign w:val="center"/>
          </w:tcPr>
          <w:p w14:paraId="01DBB4C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485D0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区域公共设施状况</w:t>
            </w:r>
          </w:p>
        </w:tc>
        <w:tc>
          <w:tcPr>
            <w:tcW w:w="1269" w:type="dxa"/>
            <w:noWrap w:val="0"/>
            <w:vAlign w:val="center"/>
          </w:tcPr>
          <w:p w14:paraId="11CDEB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B4949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1C7EC6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914842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702A1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restart"/>
            <w:noWrap w:val="0"/>
            <w:vAlign w:val="center"/>
          </w:tcPr>
          <w:p w14:paraId="1E1A38F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个别因素</w:t>
            </w:r>
          </w:p>
        </w:tc>
        <w:tc>
          <w:tcPr>
            <w:tcW w:w="1043" w:type="pct"/>
            <w:noWrap w:val="0"/>
            <w:vAlign w:val="center"/>
          </w:tcPr>
          <w:p w14:paraId="2635D1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所临道路类型</w:t>
            </w:r>
          </w:p>
        </w:tc>
        <w:tc>
          <w:tcPr>
            <w:tcW w:w="1269" w:type="dxa"/>
            <w:noWrap w:val="0"/>
            <w:vAlign w:val="center"/>
          </w:tcPr>
          <w:p w14:paraId="213CD59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C51D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1" w:type="dxa"/>
            <w:noWrap w:val="0"/>
            <w:vAlign w:val="center"/>
          </w:tcPr>
          <w:p w14:paraId="2DE651F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c>
          <w:tcPr>
            <w:tcW w:w="1404" w:type="dxa"/>
            <w:noWrap w:val="0"/>
            <w:vAlign w:val="center"/>
          </w:tcPr>
          <w:p w14:paraId="6C880E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102</w:t>
            </w:r>
          </w:p>
        </w:tc>
      </w:tr>
      <w:tr w14:paraId="61EF96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7D418F3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C87F36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通风采光</w:t>
            </w:r>
          </w:p>
        </w:tc>
        <w:tc>
          <w:tcPr>
            <w:tcW w:w="1269" w:type="dxa"/>
            <w:noWrap w:val="0"/>
            <w:vAlign w:val="center"/>
          </w:tcPr>
          <w:p w14:paraId="3C61639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A644B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60B196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EAB83C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4257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024750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0CF1E48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房屋成新度</w:t>
            </w:r>
          </w:p>
        </w:tc>
        <w:tc>
          <w:tcPr>
            <w:tcW w:w="1269" w:type="dxa"/>
            <w:noWrap w:val="0"/>
            <w:vAlign w:val="center"/>
          </w:tcPr>
          <w:p w14:paraId="6E41A20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2B3199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1" w:type="dxa"/>
            <w:noWrap w:val="0"/>
            <w:vAlign w:val="center"/>
          </w:tcPr>
          <w:p w14:paraId="5371F53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c>
          <w:tcPr>
            <w:tcW w:w="1404" w:type="dxa"/>
            <w:noWrap w:val="0"/>
            <w:vAlign w:val="center"/>
          </w:tcPr>
          <w:p w14:paraId="49C08B0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104</w:t>
            </w:r>
          </w:p>
        </w:tc>
      </w:tr>
      <w:tr w14:paraId="33EF02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510CBFA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04B5AE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建筑物结构</w:t>
            </w:r>
          </w:p>
        </w:tc>
        <w:tc>
          <w:tcPr>
            <w:tcW w:w="1269" w:type="dxa"/>
            <w:noWrap w:val="0"/>
            <w:vAlign w:val="center"/>
          </w:tcPr>
          <w:p w14:paraId="57EBB3F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9EC985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C7D18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69ECD3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61A0E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0615D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3C3F3C4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建筑物内部格局</w:t>
            </w:r>
          </w:p>
        </w:tc>
        <w:tc>
          <w:tcPr>
            <w:tcW w:w="1269" w:type="dxa"/>
            <w:noWrap w:val="0"/>
            <w:vAlign w:val="center"/>
          </w:tcPr>
          <w:p w14:paraId="3CE4CB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9EE8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28E59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4DBE9F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77447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8194A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572C63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装修档次</w:t>
            </w:r>
          </w:p>
        </w:tc>
        <w:tc>
          <w:tcPr>
            <w:tcW w:w="1269" w:type="dxa"/>
            <w:noWrap w:val="0"/>
            <w:vAlign w:val="center"/>
          </w:tcPr>
          <w:p w14:paraId="011A3D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153630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4ABE08B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3FA9487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1748C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25" w:hRule="atLeast"/>
        </w:trPr>
        <w:tc>
          <w:tcPr>
            <w:tcW w:w="702" w:type="pct"/>
            <w:vMerge w:val="continue"/>
            <w:noWrap w:val="0"/>
            <w:vAlign w:val="center"/>
          </w:tcPr>
          <w:p w14:paraId="27D8378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D4D5DB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停车情况</w:t>
            </w:r>
          </w:p>
        </w:tc>
        <w:tc>
          <w:tcPr>
            <w:tcW w:w="1269" w:type="dxa"/>
            <w:noWrap w:val="0"/>
            <w:vAlign w:val="center"/>
          </w:tcPr>
          <w:p w14:paraId="5092EDF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742396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3E79C18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166497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r w14:paraId="2A093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30" w:hRule="atLeast"/>
        </w:trPr>
        <w:tc>
          <w:tcPr>
            <w:tcW w:w="702" w:type="pct"/>
            <w:vMerge w:val="continue"/>
            <w:noWrap w:val="0"/>
            <w:vAlign w:val="center"/>
          </w:tcPr>
          <w:p w14:paraId="7CD469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p>
        </w:tc>
        <w:tc>
          <w:tcPr>
            <w:tcW w:w="1043" w:type="pct"/>
            <w:noWrap w:val="0"/>
            <w:vAlign w:val="center"/>
          </w:tcPr>
          <w:p w14:paraId="76FCA44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物业情况</w:t>
            </w:r>
          </w:p>
        </w:tc>
        <w:tc>
          <w:tcPr>
            <w:tcW w:w="1269" w:type="dxa"/>
            <w:noWrap w:val="0"/>
            <w:vAlign w:val="center"/>
          </w:tcPr>
          <w:p w14:paraId="548CE6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66658D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1" w:type="dxa"/>
            <w:noWrap w:val="0"/>
            <w:vAlign w:val="center"/>
          </w:tcPr>
          <w:p w14:paraId="087634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c>
          <w:tcPr>
            <w:tcW w:w="1404" w:type="dxa"/>
            <w:noWrap w:val="0"/>
            <w:vAlign w:val="center"/>
          </w:tcPr>
          <w:p w14:paraId="2ADFD1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0"/>
                <w:szCs w:val="20"/>
                <w:highlight w:val="none"/>
                <w:lang w:val="en-US" w:eastAsia="zh-CN" w:bidi="ar-SA"/>
              </w:rPr>
            </w:pPr>
            <w:r>
              <w:rPr>
                <w:rFonts w:hint="eastAsia" w:ascii="仿宋_GB2312" w:hAnsi="仿宋_GB2312" w:eastAsia="仿宋_GB2312" w:cs="仿宋_GB2312"/>
                <w:b w:val="0"/>
                <w:bCs w:val="0"/>
                <w:color w:val="000000"/>
                <w:kern w:val="2"/>
                <w:sz w:val="20"/>
                <w:szCs w:val="20"/>
                <w:highlight w:val="none"/>
                <w:lang w:val="en-US" w:eastAsia="zh-CN" w:bidi="ar-SA"/>
              </w:rPr>
              <w:t>100</w:t>
            </w:r>
          </w:p>
        </w:tc>
      </w:tr>
    </w:tbl>
    <w:p w14:paraId="35F53835">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 w:hAnsi="仿宋" w:eastAsia="仿宋" w:cs="仿宋"/>
          <w:sz w:val="28"/>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13</w:t>
      </w:r>
      <w:r>
        <w:rPr>
          <w:rFonts w:hint="eastAsia" w:ascii="仿宋_GB2312" w:hAnsi="仿宋_GB2312" w:eastAsia="仿宋_GB2312" w:cs="仿宋_GB2312"/>
          <w:b w:val="0"/>
          <w:bCs/>
          <w:color w:val="auto"/>
          <w:kern w:val="2"/>
          <w:sz w:val="28"/>
          <w:szCs w:val="28"/>
          <w:highlight w:val="none"/>
          <w:lang w:val="en-US" w:eastAsia="zh-CN" w:bidi="ar-SA"/>
        </w:rPr>
        <w:t xml:space="preserve"> 比较因素条件修正系数表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1659"/>
        <w:gridCol w:w="1661"/>
        <w:gridCol w:w="1658"/>
        <w:gridCol w:w="1660"/>
        <w:gridCol w:w="9"/>
        <w:gridCol w:w="1650"/>
      </w:tblGrid>
      <w:tr w14:paraId="4EE345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3320" w:type="dxa"/>
            <w:gridSpan w:val="2"/>
            <w:tcBorders>
              <w:tl2br w:val="single" w:color="000000" w:sz="4" w:space="0"/>
            </w:tcBorders>
            <w:noWrap w:val="0"/>
            <w:vAlign w:val="center"/>
          </w:tcPr>
          <w:p w14:paraId="378B4F4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估价对象及比较实例</w:t>
            </w:r>
          </w:p>
          <w:p w14:paraId="6D20375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比较因素</w:t>
            </w:r>
          </w:p>
        </w:tc>
        <w:tc>
          <w:tcPr>
            <w:tcW w:w="1658" w:type="dxa"/>
            <w:noWrap w:val="0"/>
            <w:vAlign w:val="center"/>
          </w:tcPr>
          <w:p w14:paraId="32A5779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案例A</w:t>
            </w:r>
          </w:p>
        </w:tc>
        <w:tc>
          <w:tcPr>
            <w:tcW w:w="1660" w:type="dxa"/>
            <w:noWrap w:val="0"/>
            <w:vAlign w:val="center"/>
          </w:tcPr>
          <w:p w14:paraId="71B8DC9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案例B</w:t>
            </w:r>
          </w:p>
        </w:tc>
        <w:tc>
          <w:tcPr>
            <w:tcW w:w="1659" w:type="dxa"/>
            <w:gridSpan w:val="2"/>
            <w:noWrap w:val="0"/>
            <w:vAlign w:val="center"/>
          </w:tcPr>
          <w:p w14:paraId="005973B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案例C</w:t>
            </w:r>
          </w:p>
        </w:tc>
      </w:tr>
      <w:tr w14:paraId="0F9BE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trPr>
        <w:tc>
          <w:tcPr>
            <w:tcW w:w="3320" w:type="dxa"/>
            <w:gridSpan w:val="2"/>
            <w:noWrap w:val="0"/>
            <w:vAlign w:val="center"/>
          </w:tcPr>
          <w:p w14:paraId="3E5779E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位置</w:t>
            </w:r>
          </w:p>
        </w:tc>
        <w:tc>
          <w:tcPr>
            <w:tcW w:w="1658" w:type="dxa"/>
            <w:noWrap w:val="0"/>
            <w:vAlign w:val="center"/>
          </w:tcPr>
          <w:p w14:paraId="02A6E179">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柒酒烤肉楼上住宅</w:t>
            </w:r>
          </w:p>
        </w:tc>
        <w:tc>
          <w:tcPr>
            <w:tcW w:w="1660" w:type="dxa"/>
            <w:noWrap w:val="0"/>
            <w:vAlign w:val="center"/>
          </w:tcPr>
          <w:p w14:paraId="2B388D3F">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哈牛士原切牛排楼上住宅</w:t>
            </w:r>
          </w:p>
        </w:tc>
        <w:tc>
          <w:tcPr>
            <w:tcW w:w="1659" w:type="dxa"/>
            <w:gridSpan w:val="2"/>
            <w:noWrap w:val="0"/>
            <w:vAlign w:val="center"/>
          </w:tcPr>
          <w:p w14:paraId="00559B4B">
            <w:pPr>
              <w:keepNext w:val="0"/>
              <w:keepLines w:val="0"/>
              <w:pageBreakBefore w:val="0"/>
              <w:widowControl/>
              <w:suppressLineNumbers w:val="0"/>
              <w:kinsoku/>
              <w:wordWrap/>
              <w:overflowPunct/>
              <w:topLinePunct w:val="0"/>
              <w:autoSpaceDE/>
              <w:autoSpaceDN/>
              <w:bidi w:val="0"/>
              <w:adjustRightInd/>
              <w:snapToGrid/>
              <w:spacing w:line="240" w:lineRule="exact"/>
              <w:jc w:val="center"/>
              <w:textAlignment w:val="center"/>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爷爷不泡茶楼上住宅</w:t>
            </w:r>
          </w:p>
        </w:tc>
      </w:tr>
      <w:tr w14:paraId="2CA1B7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FA5035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住宅租金(元/m</w:t>
            </w:r>
            <w:r>
              <w:rPr>
                <w:rFonts w:hint="eastAsia" w:ascii="仿宋_GB2312" w:hAnsi="仿宋_GB2312" w:eastAsia="仿宋_GB2312" w:cs="仿宋_GB2312"/>
                <w:b w:val="0"/>
                <w:bCs w:val="0"/>
                <w:color w:val="000000"/>
                <w:kern w:val="2"/>
                <w:sz w:val="21"/>
                <w:szCs w:val="21"/>
                <w:highlight w:val="none"/>
                <w:vertAlign w:val="superscript"/>
                <w:lang w:val="en-US" w:eastAsia="zh-CN" w:bidi="ar-SA"/>
              </w:rPr>
              <w:t>2</w:t>
            </w:r>
            <w:r>
              <w:rPr>
                <w:rFonts w:hint="eastAsia" w:ascii="仿宋_GB2312" w:hAnsi="仿宋_GB2312" w:eastAsia="仿宋_GB2312" w:cs="仿宋_GB2312"/>
                <w:b w:val="0"/>
                <w:bCs w:val="0"/>
                <w:color w:val="000000"/>
                <w:kern w:val="2"/>
                <w:sz w:val="21"/>
                <w:szCs w:val="21"/>
                <w:highlight w:val="none"/>
                <w:lang w:val="en-US" w:eastAsia="zh-CN" w:bidi="ar-SA"/>
              </w:rPr>
              <w:t>·月)</w:t>
            </w:r>
          </w:p>
        </w:tc>
        <w:tc>
          <w:tcPr>
            <w:tcW w:w="1658" w:type="dxa"/>
            <w:noWrap w:val="0"/>
            <w:vAlign w:val="center"/>
          </w:tcPr>
          <w:p w14:paraId="33A9C3CC">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c>
          <w:tcPr>
            <w:tcW w:w="1660" w:type="dxa"/>
            <w:noWrap w:val="0"/>
            <w:vAlign w:val="center"/>
          </w:tcPr>
          <w:p w14:paraId="590374B9">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11.99 </w:t>
            </w:r>
          </w:p>
        </w:tc>
        <w:tc>
          <w:tcPr>
            <w:tcW w:w="1659" w:type="dxa"/>
            <w:gridSpan w:val="2"/>
            <w:noWrap w:val="0"/>
            <w:vAlign w:val="center"/>
          </w:tcPr>
          <w:p w14:paraId="2A3E58B3">
            <w:pPr>
              <w:keepNext w:val="0"/>
              <w:keepLines w:val="0"/>
              <w:widowControl/>
              <w:suppressLineNumbers w:val="0"/>
              <w:jc w:val="center"/>
              <w:textAlignment w:val="center"/>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i w:val="0"/>
                <w:iCs w:val="0"/>
                <w:color w:val="000000"/>
                <w:kern w:val="0"/>
                <w:sz w:val="20"/>
                <w:szCs w:val="20"/>
                <w:u w:val="none"/>
                <w:lang w:val="en-US" w:eastAsia="zh-CN" w:bidi="ar"/>
              </w:rPr>
              <w:t xml:space="preserve">12.01 </w:t>
            </w:r>
          </w:p>
        </w:tc>
      </w:tr>
      <w:tr w14:paraId="00CF40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2A27D9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用途</w:t>
            </w:r>
          </w:p>
        </w:tc>
        <w:tc>
          <w:tcPr>
            <w:tcW w:w="1658" w:type="dxa"/>
            <w:noWrap w:val="0"/>
            <w:vAlign w:val="center"/>
          </w:tcPr>
          <w:p w14:paraId="1E7E5E0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7F15F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1E3EB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F45B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66675E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交易时间</w:t>
            </w:r>
          </w:p>
        </w:tc>
        <w:tc>
          <w:tcPr>
            <w:tcW w:w="1658" w:type="dxa"/>
            <w:noWrap w:val="0"/>
            <w:vAlign w:val="center"/>
          </w:tcPr>
          <w:p w14:paraId="4A7C4B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4E02DE3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3AB2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F246F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1EC98AF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交易情况</w:t>
            </w:r>
          </w:p>
        </w:tc>
        <w:tc>
          <w:tcPr>
            <w:tcW w:w="1658" w:type="dxa"/>
            <w:noWrap w:val="0"/>
            <w:vAlign w:val="center"/>
          </w:tcPr>
          <w:p w14:paraId="2BC00FD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D6C39F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77F873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22CE5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362C15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区域因素</w:t>
            </w:r>
          </w:p>
        </w:tc>
        <w:tc>
          <w:tcPr>
            <w:tcW w:w="1661" w:type="dxa"/>
            <w:noWrap w:val="0"/>
            <w:vAlign w:val="center"/>
          </w:tcPr>
          <w:p w14:paraId="41A4508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商服繁华度</w:t>
            </w:r>
          </w:p>
        </w:tc>
        <w:tc>
          <w:tcPr>
            <w:tcW w:w="1658" w:type="dxa"/>
            <w:noWrap w:val="0"/>
            <w:vAlign w:val="center"/>
          </w:tcPr>
          <w:p w14:paraId="67BEB5B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7ED842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7B23F1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4EE6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41D21E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9EE520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公交便捷度</w:t>
            </w:r>
          </w:p>
        </w:tc>
        <w:tc>
          <w:tcPr>
            <w:tcW w:w="1658" w:type="dxa"/>
            <w:noWrap w:val="0"/>
            <w:vAlign w:val="center"/>
          </w:tcPr>
          <w:p w14:paraId="4095430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B8D437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0071267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049E17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EDFE91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B28605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道路通达度</w:t>
            </w:r>
          </w:p>
        </w:tc>
        <w:tc>
          <w:tcPr>
            <w:tcW w:w="1658" w:type="dxa"/>
            <w:noWrap w:val="0"/>
            <w:vAlign w:val="center"/>
          </w:tcPr>
          <w:p w14:paraId="439995E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213CAF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AEB32E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056D3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37F98C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1F9B25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水电综合保证率</w:t>
            </w:r>
          </w:p>
        </w:tc>
        <w:tc>
          <w:tcPr>
            <w:tcW w:w="1658" w:type="dxa"/>
            <w:noWrap w:val="0"/>
            <w:vAlign w:val="center"/>
          </w:tcPr>
          <w:p w14:paraId="303207E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6A64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D6D53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1707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6BC1DCB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5BA38BC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环境质量</w:t>
            </w:r>
          </w:p>
        </w:tc>
        <w:tc>
          <w:tcPr>
            <w:tcW w:w="1658" w:type="dxa"/>
            <w:noWrap w:val="0"/>
            <w:vAlign w:val="center"/>
          </w:tcPr>
          <w:p w14:paraId="7EAE5D1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CEF20E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5453546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1B7AE6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6" w:hRule="atLeast"/>
        </w:trPr>
        <w:tc>
          <w:tcPr>
            <w:tcW w:w="1659" w:type="dxa"/>
            <w:vMerge w:val="continue"/>
            <w:noWrap w:val="0"/>
            <w:vAlign w:val="center"/>
          </w:tcPr>
          <w:p w14:paraId="0F63670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C87D82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区域公共设施状况</w:t>
            </w:r>
          </w:p>
        </w:tc>
        <w:tc>
          <w:tcPr>
            <w:tcW w:w="1658" w:type="dxa"/>
            <w:noWrap w:val="0"/>
            <w:vAlign w:val="center"/>
          </w:tcPr>
          <w:p w14:paraId="5C6B10A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136797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1A1B34A7">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7BBB3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restart"/>
            <w:noWrap w:val="0"/>
            <w:vAlign w:val="center"/>
          </w:tcPr>
          <w:p w14:paraId="7C96E64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个别因素</w:t>
            </w:r>
          </w:p>
        </w:tc>
        <w:tc>
          <w:tcPr>
            <w:tcW w:w="1661" w:type="dxa"/>
            <w:noWrap w:val="0"/>
            <w:vAlign w:val="center"/>
          </w:tcPr>
          <w:p w14:paraId="6496540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所临道路类型</w:t>
            </w:r>
          </w:p>
        </w:tc>
        <w:tc>
          <w:tcPr>
            <w:tcW w:w="1658" w:type="dxa"/>
            <w:noWrap w:val="0"/>
            <w:vAlign w:val="center"/>
          </w:tcPr>
          <w:p w14:paraId="6D30F73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60" w:type="dxa"/>
            <w:noWrap w:val="0"/>
            <w:vAlign w:val="center"/>
          </w:tcPr>
          <w:p w14:paraId="4E6C738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c>
          <w:tcPr>
            <w:tcW w:w="1659" w:type="dxa"/>
            <w:gridSpan w:val="2"/>
            <w:noWrap w:val="0"/>
            <w:vAlign w:val="center"/>
          </w:tcPr>
          <w:p w14:paraId="6892A58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100/102</w:t>
            </w:r>
          </w:p>
        </w:tc>
      </w:tr>
      <w:tr w14:paraId="5B31F6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407B81D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78AEFF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通风采光</w:t>
            </w:r>
          </w:p>
        </w:tc>
        <w:tc>
          <w:tcPr>
            <w:tcW w:w="1658" w:type="dxa"/>
            <w:noWrap w:val="0"/>
            <w:vAlign w:val="center"/>
          </w:tcPr>
          <w:p w14:paraId="56403BE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16B2591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025EFE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0309AB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1F0C82D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9B7C1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房屋成新度</w:t>
            </w:r>
          </w:p>
        </w:tc>
        <w:tc>
          <w:tcPr>
            <w:tcW w:w="1658" w:type="dxa"/>
            <w:noWrap w:val="0"/>
            <w:vAlign w:val="center"/>
          </w:tcPr>
          <w:p w14:paraId="6971D9E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3553B4B">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5858D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657C91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7299238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9F01544">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建筑物结构</w:t>
            </w:r>
          </w:p>
        </w:tc>
        <w:tc>
          <w:tcPr>
            <w:tcW w:w="1658" w:type="dxa"/>
            <w:noWrap w:val="0"/>
            <w:vAlign w:val="center"/>
          </w:tcPr>
          <w:p w14:paraId="43E3748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54B8FE5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23DB7396">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432C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39A50D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1EC5C1C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建筑物内部格局</w:t>
            </w:r>
          </w:p>
        </w:tc>
        <w:tc>
          <w:tcPr>
            <w:tcW w:w="1658" w:type="dxa"/>
            <w:noWrap w:val="0"/>
            <w:vAlign w:val="center"/>
          </w:tcPr>
          <w:p w14:paraId="05145B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60ACFA1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34379DE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36D05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3C2D648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414089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装修档次</w:t>
            </w:r>
          </w:p>
        </w:tc>
        <w:tc>
          <w:tcPr>
            <w:tcW w:w="1658" w:type="dxa"/>
            <w:noWrap w:val="0"/>
            <w:vAlign w:val="center"/>
          </w:tcPr>
          <w:p w14:paraId="11CAAE6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20E9A3A8">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0FA1766E">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A1AFC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5719FF61">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3438600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停车情况</w:t>
            </w:r>
          </w:p>
        </w:tc>
        <w:tc>
          <w:tcPr>
            <w:tcW w:w="1658" w:type="dxa"/>
            <w:noWrap w:val="0"/>
            <w:vAlign w:val="center"/>
          </w:tcPr>
          <w:p w14:paraId="325EDE6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324763DF">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4B1B703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4CEB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1659" w:type="dxa"/>
            <w:vMerge w:val="continue"/>
            <w:noWrap w:val="0"/>
            <w:vAlign w:val="center"/>
          </w:tcPr>
          <w:p w14:paraId="0DB522A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1661" w:type="dxa"/>
            <w:noWrap w:val="0"/>
            <w:vAlign w:val="center"/>
          </w:tcPr>
          <w:p w14:paraId="219F50F9">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物业情况</w:t>
            </w:r>
          </w:p>
        </w:tc>
        <w:tc>
          <w:tcPr>
            <w:tcW w:w="1658" w:type="dxa"/>
            <w:noWrap w:val="0"/>
            <w:vAlign w:val="center"/>
          </w:tcPr>
          <w:p w14:paraId="7EC7534C">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60" w:type="dxa"/>
            <w:noWrap w:val="0"/>
            <w:vAlign w:val="center"/>
          </w:tcPr>
          <w:p w14:paraId="08438355">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c>
          <w:tcPr>
            <w:tcW w:w="1659" w:type="dxa"/>
            <w:gridSpan w:val="2"/>
            <w:noWrap w:val="0"/>
            <w:vAlign w:val="center"/>
          </w:tcPr>
          <w:p w14:paraId="6109404D">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100/100</w:t>
            </w:r>
          </w:p>
        </w:tc>
      </w:tr>
      <w:tr w14:paraId="290C8A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85" w:hRule="atLeast"/>
        </w:trPr>
        <w:tc>
          <w:tcPr>
            <w:tcW w:w="3320" w:type="dxa"/>
            <w:gridSpan w:val="2"/>
            <w:noWrap w:val="0"/>
            <w:vAlign w:val="center"/>
          </w:tcPr>
          <w:p w14:paraId="77F5662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比准租金（元/平方米·天）</w:t>
            </w:r>
          </w:p>
        </w:tc>
        <w:tc>
          <w:tcPr>
            <w:tcW w:w="1658" w:type="dxa"/>
            <w:noWrap w:val="0"/>
            <w:vAlign w:val="center"/>
          </w:tcPr>
          <w:p w14:paraId="1248508A">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11.32 </w:t>
            </w:r>
          </w:p>
        </w:tc>
        <w:tc>
          <w:tcPr>
            <w:tcW w:w="1669" w:type="dxa"/>
            <w:gridSpan w:val="2"/>
            <w:noWrap w:val="0"/>
            <w:vAlign w:val="center"/>
          </w:tcPr>
          <w:p w14:paraId="5ABF40B2">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11.52 </w:t>
            </w:r>
          </w:p>
        </w:tc>
        <w:tc>
          <w:tcPr>
            <w:tcW w:w="1650" w:type="dxa"/>
            <w:noWrap w:val="0"/>
            <w:vAlign w:val="center"/>
          </w:tcPr>
          <w:p w14:paraId="04F3FF6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11.54 </w:t>
            </w:r>
          </w:p>
        </w:tc>
      </w:tr>
      <w:tr w14:paraId="582FCE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290" w:hRule="atLeast"/>
        </w:trPr>
        <w:tc>
          <w:tcPr>
            <w:tcW w:w="3320" w:type="dxa"/>
            <w:gridSpan w:val="2"/>
            <w:noWrap w:val="0"/>
            <w:vAlign w:val="center"/>
          </w:tcPr>
          <w:p w14:paraId="05983640">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算术平均值（元/平方米·天）</w:t>
            </w:r>
          </w:p>
        </w:tc>
        <w:tc>
          <w:tcPr>
            <w:tcW w:w="4977" w:type="dxa"/>
            <w:gridSpan w:val="4"/>
            <w:noWrap w:val="0"/>
            <w:vAlign w:val="center"/>
          </w:tcPr>
          <w:p w14:paraId="7ABCAD83">
            <w:pPr>
              <w:keepNext w:val="0"/>
              <w:keepLines w:val="0"/>
              <w:pageBreakBefore w:val="0"/>
              <w:widowControl/>
              <w:kinsoku/>
              <w:wordWrap/>
              <w:overflowPunct/>
              <w:topLinePunct w:val="0"/>
              <w:autoSpaceDE/>
              <w:autoSpaceDN/>
              <w:bidi w:val="0"/>
              <w:adjustRightInd/>
              <w:snapToGrid/>
              <w:spacing w:line="26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default" w:ascii="仿宋_GB2312" w:hAnsi="仿宋_GB2312" w:eastAsia="仿宋_GB2312" w:cs="仿宋_GB2312"/>
                <w:b w:val="0"/>
                <w:bCs w:val="0"/>
                <w:color w:val="000000"/>
                <w:kern w:val="2"/>
                <w:sz w:val="21"/>
                <w:szCs w:val="21"/>
                <w:highlight w:val="none"/>
                <w:lang w:val="en-US" w:eastAsia="zh-CN" w:bidi="ar-SA"/>
              </w:rPr>
              <w:t xml:space="preserve">11.46 </w:t>
            </w:r>
          </w:p>
        </w:tc>
      </w:tr>
    </w:tbl>
    <w:p w14:paraId="0367F22D">
      <w:pPr>
        <w:keepNext w:val="0"/>
        <w:keepLines w:val="0"/>
        <w:pageBreakBefore w:val="0"/>
        <w:widowControl w:val="0"/>
        <w:kinsoku/>
        <w:wordWrap/>
        <w:overflowPunct/>
        <w:topLinePunct w:val="0"/>
        <w:bidi w:val="0"/>
        <w:adjustRightInd w:val="0"/>
        <w:snapToGrid w:val="0"/>
        <w:spacing w:line="480" w:lineRule="exact"/>
        <w:ind w:firstLine="616"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Times New Roman" w:hAnsi="Times New Roman" w:eastAsia="仿宋" w:cs="Times New Roman"/>
          <w:spacing w:val="14"/>
          <w:sz w:val="28"/>
          <w:szCs w:val="28"/>
        </w:rPr>
        <w:t>通</w:t>
      </w:r>
      <w:r>
        <w:rPr>
          <w:rFonts w:hint="default" w:ascii="仿宋_GB2312" w:hAnsi="仿宋_GB2312" w:eastAsia="仿宋_GB2312" w:cs="仿宋_GB2312"/>
          <w:b w:val="0"/>
          <w:bCs w:val="0"/>
          <w:color w:val="000000"/>
          <w:kern w:val="2"/>
          <w:sz w:val="28"/>
          <w:szCs w:val="28"/>
          <w:highlight w:val="none"/>
          <w:lang w:val="en-US" w:eastAsia="zh-CN" w:bidi="ar-SA"/>
        </w:rPr>
        <w:t>过市场比较，3个比较实例的比准租金接近，所以采取3个比较实例的比准租金结果的算术平均值作为估价对象的租金。</w:t>
      </w:r>
    </w:p>
    <w:p w14:paraId="3EC3A9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住宅用房月租金</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（11.32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11.52</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11.54）/3</w:t>
      </w:r>
      <w:r>
        <w:rPr>
          <w:rFonts w:hint="eastAsia" w:ascii="仿宋_GB2312" w:hAnsi="仿宋_GB2312" w:eastAsia="仿宋_GB2312" w:cs="仿宋_GB2312"/>
          <w:b w:val="0"/>
          <w:bCs w:val="0"/>
          <w:color w:val="000000"/>
          <w:kern w:val="2"/>
          <w:sz w:val="28"/>
          <w:szCs w:val="28"/>
          <w:highlight w:val="none"/>
          <w:lang w:val="en-US" w:eastAsia="zh-CN" w:bidi="ar-SA"/>
        </w:rPr>
        <w:t>＝11.46</w:t>
      </w:r>
      <w:r>
        <w:rPr>
          <w:rFonts w:hint="default" w:ascii="仿宋_GB2312" w:hAnsi="仿宋_GB2312" w:eastAsia="仿宋_GB2312" w:cs="仿宋_GB2312"/>
          <w:b w:val="0"/>
          <w:bCs w:val="0"/>
          <w:color w:val="000000"/>
          <w:kern w:val="2"/>
          <w:sz w:val="28"/>
          <w:szCs w:val="28"/>
          <w:highlight w:val="none"/>
          <w:lang w:val="en-US" w:eastAsia="zh-CN" w:bidi="ar-SA"/>
        </w:rPr>
        <w:t>（元/平方米·月）</w:t>
      </w:r>
    </w:p>
    <w:p w14:paraId="33DDE93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fldChar w:fldCharType="begin"/>
      </w:r>
      <w:r>
        <w:rPr>
          <w:rFonts w:hint="default"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default" w:ascii="仿宋_GB2312" w:hAnsi="仿宋_GB2312" w:eastAsia="仿宋_GB2312" w:cs="仿宋_GB2312"/>
          <w:b w:val="0"/>
          <w:bCs w:val="0"/>
          <w:color w:val="000000"/>
          <w:kern w:val="2"/>
          <w:sz w:val="28"/>
          <w:szCs w:val="28"/>
          <w:highlight w:val="none"/>
          <w:lang w:val="en-US" w:eastAsia="zh-CN" w:bidi="ar-SA"/>
        </w:rPr>
        <w:fldChar w:fldCharType="separate"/>
      </w:r>
      <w:r>
        <w:rPr>
          <w:rFonts w:hint="default" w:ascii="仿宋_GB2312" w:hAnsi="仿宋_GB2312" w:eastAsia="仿宋_GB2312" w:cs="仿宋_GB2312"/>
          <w:b w:val="0"/>
          <w:bCs w:val="0"/>
          <w:color w:val="000000"/>
          <w:kern w:val="2"/>
          <w:sz w:val="28"/>
          <w:szCs w:val="28"/>
          <w:highlight w:val="none"/>
          <w:lang w:val="zh-CN" w:eastAsia="zh-CN" w:bidi="ar-SA"/>
        </w:rPr>
        <w:t>③</w:t>
      </w:r>
      <w:r>
        <w:rPr>
          <w:rFonts w:hint="default" w:ascii="仿宋_GB2312" w:hAnsi="仿宋_GB2312" w:eastAsia="仿宋_GB2312" w:cs="仿宋_GB2312"/>
          <w:b w:val="0"/>
          <w:bCs w:val="0"/>
          <w:color w:val="000000"/>
          <w:kern w:val="2"/>
          <w:sz w:val="28"/>
          <w:szCs w:val="28"/>
          <w:highlight w:val="none"/>
          <w:lang w:val="en-US" w:eastAsia="zh-CN" w:bidi="ar-SA"/>
        </w:rPr>
        <w:fldChar w:fldCharType="end"/>
      </w:r>
      <w:r>
        <w:rPr>
          <w:rFonts w:hint="default" w:ascii="仿宋_GB2312" w:hAnsi="仿宋_GB2312" w:eastAsia="仿宋_GB2312" w:cs="仿宋_GB2312"/>
          <w:b w:val="0"/>
          <w:bCs w:val="0"/>
          <w:color w:val="000000"/>
          <w:kern w:val="2"/>
          <w:sz w:val="28"/>
          <w:szCs w:val="28"/>
          <w:highlight w:val="none"/>
          <w:lang w:val="en-US" w:eastAsia="zh-CN" w:bidi="ar-SA"/>
        </w:rPr>
        <w:t>房地年总收益的确定</w:t>
      </w:r>
    </w:p>
    <w:p w14:paraId="2BF9477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估价人员通过对周边出租行情进行调查,区域内出租案例较多，根据市场调查区域商住房地产平均空置率为</w:t>
      </w:r>
      <w:r>
        <w:rPr>
          <w:rFonts w:hint="eastAsia" w:ascii="仿宋_GB2312" w:hAnsi="仿宋_GB2312" w:eastAsia="仿宋_GB2312" w:cs="仿宋_GB2312"/>
          <w:b w:val="0"/>
          <w:bCs w:val="0"/>
          <w:color w:val="000000"/>
          <w:kern w:val="2"/>
          <w:sz w:val="28"/>
          <w:szCs w:val="28"/>
          <w:highlight w:val="none"/>
          <w:lang w:val="en-US" w:eastAsia="zh-CN" w:bidi="ar-SA"/>
        </w:rPr>
        <w:t>3</w:t>
      </w:r>
      <w:r>
        <w:rPr>
          <w:rFonts w:hint="default" w:ascii="仿宋_GB2312" w:hAnsi="仿宋_GB2312" w:eastAsia="仿宋_GB2312" w:cs="仿宋_GB2312"/>
          <w:b w:val="0"/>
          <w:bCs w:val="0"/>
          <w:color w:val="000000"/>
          <w:kern w:val="2"/>
          <w:sz w:val="28"/>
          <w:szCs w:val="28"/>
          <w:highlight w:val="none"/>
          <w:lang w:val="en-US" w:eastAsia="zh-CN" w:bidi="ar-SA"/>
        </w:rPr>
        <w:t>%至</w:t>
      </w:r>
      <w:r>
        <w:rPr>
          <w:rFonts w:hint="eastAsia" w:ascii="仿宋_GB2312" w:hAnsi="仿宋_GB2312" w:eastAsia="仿宋_GB2312" w:cs="仿宋_GB2312"/>
          <w:b w:val="0"/>
          <w:bCs w:val="0"/>
          <w:color w:val="000000"/>
          <w:kern w:val="2"/>
          <w:sz w:val="28"/>
          <w:szCs w:val="28"/>
          <w:highlight w:val="none"/>
          <w:lang w:val="en-US" w:eastAsia="zh-CN" w:bidi="ar-SA"/>
        </w:rPr>
        <w:t>5</w:t>
      </w:r>
      <w:r>
        <w:rPr>
          <w:rFonts w:hint="default" w:ascii="仿宋_GB2312" w:hAnsi="仿宋_GB2312" w:eastAsia="仿宋_GB2312" w:cs="仿宋_GB2312"/>
          <w:b w:val="0"/>
          <w:bCs w:val="0"/>
          <w:color w:val="000000"/>
          <w:kern w:val="2"/>
          <w:sz w:val="28"/>
          <w:szCs w:val="28"/>
          <w:highlight w:val="none"/>
          <w:lang w:val="en-US" w:eastAsia="zh-CN" w:bidi="ar-SA"/>
        </w:rPr>
        <w:t>%，本次评估取平均空置率</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%。估价对象地上建筑物可出租房屋比例为96%。</w:t>
      </w:r>
    </w:p>
    <w:p w14:paraId="6C8F2BB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房地年总</w:t>
      </w:r>
      <w:r>
        <w:rPr>
          <w:rFonts w:hint="default" w:ascii="仿宋_GB2312" w:hAnsi="仿宋_GB2312" w:eastAsia="仿宋_GB2312" w:cs="仿宋_GB2312"/>
          <w:b w:val="0"/>
          <w:bCs w:val="0"/>
          <w:color w:val="000000"/>
          <w:kern w:val="2"/>
          <w:sz w:val="28"/>
          <w:szCs w:val="28"/>
          <w:highlight w:val="none"/>
          <w:lang w:val="en-US" w:eastAsia="zh-CN" w:bidi="ar-SA"/>
        </w:rPr>
        <w:t>收益</w:t>
      </w:r>
      <w:r>
        <w:rPr>
          <w:rFonts w:hint="eastAsia" w:ascii="仿宋_GB2312" w:hAnsi="仿宋_GB2312" w:eastAsia="仿宋_GB2312" w:cs="仿宋_GB2312"/>
          <w:b w:val="0"/>
          <w:bCs w:val="0"/>
          <w:color w:val="000000"/>
          <w:kern w:val="2"/>
          <w:sz w:val="28"/>
          <w:szCs w:val="28"/>
          <w:highlight w:val="none"/>
          <w:lang w:val="en-US" w:eastAsia="zh-CN" w:bidi="ar-SA"/>
        </w:rPr>
        <w:t>＝</w:t>
      </w:r>
      <w:r>
        <w:rPr>
          <w:rFonts w:hint="default" w:ascii="仿宋_GB2312" w:hAnsi="仿宋_GB2312" w:eastAsia="仿宋_GB2312" w:cs="仿宋_GB2312"/>
          <w:b w:val="0"/>
          <w:bCs w:val="0"/>
          <w:color w:val="000000"/>
          <w:kern w:val="2"/>
          <w:sz w:val="28"/>
          <w:szCs w:val="28"/>
          <w:highlight w:val="none"/>
          <w:lang w:val="en-US" w:eastAsia="zh-CN" w:bidi="ar-SA"/>
        </w:rPr>
        <w:t>住宅用房月租金×12×（1-空置率）×住宅用房</w:t>
      </w:r>
      <w:r>
        <w:rPr>
          <w:rFonts w:hint="eastAsia" w:ascii="仿宋_GB2312" w:hAnsi="仿宋_GB2312" w:eastAsia="仿宋_GB2312" w:cs="仿宋_GB2312"/>
          <w:b w:val="0"/>
          <w:bCs w:val="0"/>
          <w:color w:val="000000"/>
          <w:kern w:val="2"/>
          <w:sz w:val="28"/>
          <w:szCs w:val="28"/>
          <w:highlight w:val="none"/>
          <w:lang w:val="en-US" w:eastAsia="zh-CN" w:bidi="ar-SA"/>
        </w:rPr>
        <w:t>出租率＝11.46</w:t>
      </w:r>
      <w:r>
        <w:rPr>
          <w:rFonts w:hint="default" w:ascii="仿宋_GB2312" w:hAnsi="仿宋_GB2312" w:eastAsia="仿宋_GB2312" w:cs="仿宋_GB2312"/>
          <w:b w:val="0"/>
          <w:bCs w:val="0"/>
          <w:color w:val="000000"/>
          <w:kern w:val="2"/>
          <w:sz w:val="28"/>
          <w:szCs w:val="28"/>
          <w:highlight w:val="none"/>
          <w:lang w:val="en-US" w:eastAsia="zh-CN" w:bidi="ar-SA"/>
        </w:rPr>
        <w:t>×12×（1-</w:t>
      </w:r>
      <w:r>
        <w:rPr>
          <w:rFonts w:hint="eastAsia" w:ascii="仿宋_GB2312" w:hAnsi="仿宋_GB2312" w:eastAsia="仿宋_GB2312" w:cs="仿宋_GB2312"/>
          <w:b w:val="0"/>
          <w:bCs w:val="0"/>
          <w:color w:val="000000"/>
          <w:kern w:val="2"/>
          <w:sz w:val="28"/>
          <w:szCs w:val="28"/>
          <w:highlight w:val="none"/>
          <w:lang w:val="en-US" w:eastAsia="zh-CN" w:bidi="ar-SA"/>
        </w:rPr>
        <w:t>4%</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73.415</w:t>
      </w: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96</w:t>
      </w:r>
      <w:r>
        <w:rPr>
          <w:rFonts w:hint="default" w:ascii="仿宋_GB2312" w:hAnsi="仿宋_GB2312" w:eastAsia="仿宋_GB2312" w:cs="仿宋_GB2312"/>
          <w:b w:val="0"/>
          <w:bCs w:val="0"/>
          <w:color w:val="000000"/>
          <w:kern w:val="2"/>
          <w:sz w:val="28"/>
          <w:szCs w:val="28"/>
          <w:highlight w:val="none"/>
          <w:lang w:val="en-US" w:eastAsia="zh-CN" w:bidi="ar-SA"/>
        </w:rPr>
        <w:t>%÷1000</w:t>
      </w:r>
      <w:r>
        <w:rPr>
          <w:rFonts w:hint="eastAsia" w:ascii="仿宋_GB2312" w:hAnsi="仿宋_GB2312" w:eastAsia="仿宋_GB2312" w:cs="仿宋_GB2312"/>
          <w:b w:val="0"/>
          <w:bCs w:val="0"/>
          <w:color w:val="000000"/>
          <w:kern w:val="2"/>
          <w:sz w:val="28"/>
          <w:szCs w:val="28"/>
          <w:highlight w:val="none"/>
          <w:lang w:val="en-US" w:eastAsia="zh-CN" w:bidi="ar-SA"/>
        </w:rPr>
        <w:t>0＝0.9305（万元）</w:t>
      </w:r>
    </w:p>
    <w:p w14:paraId="65718552">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2、确定</w:t>
      </w:r>
      <w:r>
        <w:rPr>
          <w:rFonts w:hint="eastAsia" w:ascii="仿宋_GB2312" w:hAnsi="仿宋_GB2312" w:eastAsia="仿宋_GB2312" w:cs="仿宋_GB2312"/>
          <w:b w:val="0"/>
          <w:bCs w:val="0"/>
          <w:color w:val="000000"/>
          <w:kern w:val="2"/>
          <w:sz w:val="28"/>
          <w:szCs w:val="28"/>
          <w:highlight w:val="none"/>
          <w:lang w:val="en-US" w:eastAsia="zh-CN" w:bidi="ar-SA"/>
        </w:rPr>
        <w:t>房地</w:t>
      </w:r>
      <w:r>
        <w:rPr>
          <w:rFonts w:hint="default" w:ascii="仿宋_GB2312" w:hAnsi="仿宋_GB2312" w:eastAsia="仿宋_GB2312" w:cs="仿宋_GB2312"/>
          <w:b w:val="0"/>
          <w:bCs w:val="0"/>
          <w:color w:val="000000"/>
          <w:kern w:val="2"/>
          <w:sz w:val="28"/>
          <w:szCs w:val="28"/>
          <w:highlight w:val="none"/>
          <w:lang w:val="en-US" w:eastAsia="zh-CN" w:bidi="ar-SA"/>
        </w:rPr>
        <w:t>年总费用</w:t>
      </w:r>
    </w:p>
    <w:p w14:paraId="63F6A16C">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总费用是指利用土地进行经营活动时正常合理的必要年支出。</w:t>
      </w:r>
    </w:p>
    <w:p w14:paraId="78143A07">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（1）经营管理费：指对出租房屋进行的必要管理所需的费用。按年租金的2%～5%计，本次评估中根据估价对象地上建筑物管理难易程度确定为2%，则：</w:t>
      </w:r>
    </w:p>
    <w:p w14:paraId="7225B8FD">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经营管理费＝房地年总收益×2%</w:t>
      </w:r>
    </w:p>
    <w:p w14:paraId="7AEC1EB4">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0.9305</w:t>
      </w:r>
      <w:r>
        <w:rPr>
          <w:rFonts w:hint="default" w:ascii="仿宋_GB2312" w:hAnsi="仿宋_GB2312" w:eastAsia="仿宋_GB2312" w:cs="仿宋_GB2312"/>
          <w:b w:val="0"/>
          <w:bCs w:val="0"/>
          <w:color w:val="000000"/>
          <w:kern w:val="2"/>
          <w:sz w:val="28"/>
          <w:szCs w:val="28"/>
          <w:highlight w:val="none"/>
          <w:lang w:val="en-US" w:eastAsia="zh-CN" w:bidi="ar-SA"/>
        </w:rPr>
        <w:t>×2%</w:t>
      </w:r>
    </w:p>
    <w:p w14:paraId="15E473F9">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w:t>
      </w:r>
      <w:r>
        <w:rPr>
          <w:rFonts w:hint="eastAsia" w:ascii="仿宋_GB2312" w:hAnsi="仿宋_GB2312" w:eastAsia="仿宋_GB2312" w:cs="仿宋_GB2312"/>
          <w:b w:val="0"/>
          <w:bCs w:val="0"/>
          <w:color w:val="000000"/>
          <w:kern w:val="2"/>
          <w:sz w:val="28"/>
          <w:szCs w:val="28"/>
          <w:highlight w:val="none"/>
          <w:lang w:val="en-US" w:eastAsia="zh-CN" w:bidi="ar-SA"/>
        </w:rPr>
        <w:t>0.0186</w:t>
      </w:r>
      <w:r>
        <w:rPr>
          <w:rFonts w:hint="default" w:ascii="仿宋_GB2312" w:hAnsi="仿宋_GB2312" w:eastAsia="仿宋_GB2312" w:cs="仿宋_GB2312"/>
          <w:b w:val="0"/>
          <w:bCs w:val="0"/>
          <w:color w:val="000000"/>
          <w:kern w:val="2"/>
          <w:sz w:val="28"/>
          <w:szCs w:val="28"/>
          <w:highlight w:val="none"/>
          <w:lang w:val="en-US" w:eastAsia="zh-CN" w:bidi="ar-SA"/>
        </w:rPr>
        <w:t>（万元）</w:t>
      </w:r>
    </w:p>
    <w:p w14:paraId="6078E48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default" w:ascii="仿宋_GB2312" w:hAnsi="仿宋_GB2312" w:eastAsia="仿宋_GB2312" w:cs="仿宋_GB2312"/>
          <w:b w:val="0"/>
          <w:bCs w:val="0"/>
          <w:color w:val="000000"/>
          <w:kern w:val="2"/>
          <w:sz w:val="28"/>
          <w:szCs w:val="28"/>
          <w:highlight w:val="none"/>
          <w:lang w:val="en-US" w:eastAsia="zh-CN" w:bidi="ar-SA"/>
        </w:rPr>
        <w:t>（2）经营维修费：指为保障房屋正常使用每年需支付的修缮费。根据估价对象房屋的实际使用情况，按建筑物重置价格的2%计算。</w:t>
      </w:r>
    </w:p>
    <w:p w14:paraId="0D05F9B7">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szCs w:val="30"/>
          <w:lang w:val="en-US" w:eastAsia="zh-CN"/>
        </w:rPr>
      </w:pP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根据《湖南省房地产协会关于发布&lt;湖南省建筑物建设成本参考标准研究成果&gt;的通知》（编号：湘房协[2023]3号，2023年2月14日）中的“各类建筑物建设成本参考标准”，住宅类</w:t>
      </w:r>
      <w:r>
        <w:rPr>
          <w:rFonts w:hint="eastAsia" w:ascii="仿宋_GB2312" w:eastAsia="仿宋_GB2312" w:cs="Times New Roman"/>
          <w:sz w:val="28"/>
          <w:szCs w:val="30"/>
          <w:lang w:val="en-US" w:eastAsia="zh-CN"/>
        </w:rPr>
        <w:t>砖混</w:t>
      </w:r>
      <w:r>
        <w:rPr>
          <w:rFonts w:hint="eastAsia" w:ascii="仿宋_GB2312" w:hAnsi="Times New Roman" w:eastAsia="仿宋_GB2312" w:cs="Times New Roman"/>
          <w:sz w:val="28"/>
          <w:szCs w:val="30"/>
          <w:lang w:val="en-GB"/>
        </w:rPr>
        <w:t>结构</w:t>
      </w:r>
      <w:r>
        <w:rPr>
          <w:rFonts w:hint="eastAsia" w:ascii="仿宋_GB2312" w:eastAsia="仿宋_GB2312" w:cs="Times New Roman"/>
          <w:sz w:val="28"/>
          <w:szCs w:val="30"/>
          <w:lang w:val="en-US" w:eastAsia="zh-CN"/>
        </w:rPr>
        <w:t>二等</w:t>
      </w:r>
      <w:r>
        <w:rPr>
          <w:rFonts w:hint="eastAsia" w:ascii="仿宋_GB2312" w:hAnsi="Times New Roman" w:eastAsia="仿宋_GB2312" w:cs="Times New Roman"/>
          <w:sz w:val="28"/>
          <w:szCs w:val="30"/>
          <w:lang w:val="en-GB"/>
        </w:rPr>
        <w:t>建设成本价格在1</w:t>
      </w:r>
      <w:r>
        <w:rPr>
          <w:rFonts w:hint="eastAsia" w:ascii="仿宋_GB2312" w:eastAsia="仿宋_GB2312" w:cs="Times New Roman"/>
          <w:sz w:val="28"/>
          <w:szCs w:val="30"/>
          <w:lang w:val="en-US" w:eastAsia="zh-CN"/>
        </w:rPr>
        <w:t>2</w:t>
      </w:r>
      <w:r>
        <w:rPr>
          <w:rFonts w:hint="eastAsia" w:ascii="仿宋_GB2312" w:hAnsi="Times New Roman" w:eastAsia="仿宋_GB2312" w:cs="Times New Roman"/>
          <w:sz w:val="28"/>
          <w:szCs w:val="30"/>
          <w:lang w:val="en-GB"/>
        </w:rPr>
        <w:t>00-1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GB"/>
        </w:rPr>
        <w:t>00元/平方米</w:t>
      </w:r>
      <w:r>
        <w:rPr>
          <w:rFonts w:hint="eastAsia" w:ascii="仿宋_GB2312" w:hAnsi="Times New Roman" w:eastAsia="仿宋_GB2312" w:cs="Times New Roman"/>
          <w:sz w:val="28"/>
          <w:szCs w:val="30"/>
          <w:lang w:val="en-GB" w:eastAsia="zh-CN"/>
        </w:rPr>
        <w:t>，</w:t>
      </w:r>
      <w:r>
        <w:rPr>
          <w:rFonts w:hint="eastAsia" w:ascii="仿宋_GB2312" w:hAnsi="Times New Roman" w:eastAsia="仿宋_GB2312" w:cs="Times New Roman"/>
          <w:sz w:val="28"/>
          <w:szCs w:val="30"/>
          <w:lang w:val="en-GB"/>
        </w:rPr>
        <w:t>根据《湖南省房地产协会关于发布&lt;湖南省建筑物建设成本参考标准研究成果&gt;的通知》（编号：湘房协[2023]3号，2023年2月14日）中的“利用系数表”，估价对象位于</w:t>
      </w:r>
      <w:r>
        <w:rPr>
          <w:rFonts w:hint="eastAsia" w:ascii="仿宋_GB2312" w:hAnsi="Times New Roman" w:eastAsia="仿宋_GB2312" w:cs="Times New Roman"/>
          <w:sz w:val="28"/>
          <w:szCs w:val="30"/>
          <w:lang w:val="en-US" w:eastAsia="zh-CN"/>
        </w:rPr>
        <w:t>道县</w:t>
      </w:r>
      <w:r>
        <w:rPr>
          <w:rFonts w:hint="eastAsia" w:ascii="仿宋_GB2312" w:hAnsi="Times New Roman" w:eastAsia="仿宋_GB2312" w:cs="Times New Roman"/>
          <w:sz w:val="28"/>
          <w:szCs w:val="30"/>
          <w:lang w:val="en-GB"/>
        </w:rPr>
        <w:t>，应进行利用系数修正，修正系数为</w:t>
      </w:r>
      <w:r>
        <w:rPr>
          <w:rFonts w:hint="eastAsia" w:ascii="仿宋_GB2312" w:hAnsi="Times New Roman" w:eastAsia="仿宋_GB2312" w:cs="Times New Roman"/>
          <w:sz w:val="28"/>
          <w:szCs w:val="30"/>
          <w:lang w:val="en-US" w:eastAsia="zh-CN"/>
        </w:rPr>
        <w:t>0.90</w:t>
      </w:r>
      <w:r>
        <w:rPr>
          <w:rFonts w:hint="eastAsia" w:ascii="仿宋_GB2312" w:hAnsi="Times New Roman" w:eastAsia="仿宋_GB2312" w:cs="Times New Roman"/>
          <w:sz w:val="28"/>
          <w:szCs w:val="30"/>
          <w:lang w:val="en-GB"/>
        </w:rPr>
        <w:t>，取</w:t>
      </w:r>
      <w:r>
        <w:rPr>
          <w:rFonts w:hint="eastAsia" w:ascii="仿宋_GB2312" w:eastAsia="仿宋_GB2312" w:cs="Times New Roman"/>
          <w:sz w:val="28"/>
          <w:szCs w:val="30"/>
          <w:lang w:val="en-US" w:eastAsia="zh-CN"/>
        </w:rPr>
        <w:t>二等砖混</w:t>
      </w:r>
      <w:r>
        <w:rPr>
          <w:rFonts w:hint="eastAsia" w:ascii="仿宋_GB2312" w:hAnsi="Times New Roman" w:eastAsia="仿宋_GB2312" w:cs="Times New Roman"/>
          <w:sz w:val="28"/>
          <w:szCs w:val="30"/>
          <w:lang w:val="en-GB"/>
        </w:rPr>
        <w:t>结构住宅用房重置价格为</w:t>
      </w:r>
      <w:r>
        <w:rPr>
          <w:rFonts w:hint="eastAsia" w:ascii="仿宋_GB2312" w:hAnsi="Times New Roman" w:eastAsia="仿宋_GB2312" w:cs="Times New Roman"/>
          <w:sz w:val="28"/>
          <w:szCs w:val="30"/>
          <w:lang w:val="en-US" w:eastAsia="zh-CN"/>
        </w:rPr>
        <w:t>1</w:t>
      </w:r>
      <w:r>
        <w:rPr>
          <w:rFonts w:hint="eastAsia" w:ascii="仿宋_GB2312" w:eastAsia="仿宋_GB2312" w:cs="Times New Roman"/>
          <w:sz w:val="28"/>
          <w:szCs w:val="30"/>
          <w:lang w:val="en-US" w:eastAsia="zh-CN"/>
        </w:rPr>
        <w:t>3</w:t>
      </w:r>
      <w:r>
        <w:rPr>
          <w:rFonts w:hint="eastAsia" w:ascii="仿宋_GB2312" w:hAnsi="Times New Roman" w:eastAsia="仿宋_GB2312" w:cs="Times New Roman"/>
          <w:sz w:val="28"/>
          <w:szCs w:val="30"/>
          <w:lang w:val="en-US" w:eastAsia="zh-CN"/>
        </w:rPr>
        <w:t>00</w:t>
      </w:r>
      <w:r>
        <w:rPr>
          <w:rFonts w:hint="eastAsia" w:ascii="仿宋_GB2312" w:hAnsi="Times New Roman" w:eastAsia="仿宋_GB2312" w:cs="Times New Roman"/>
          <w:sz w:val="28"/>
          <w:szCs w:val="30"/>
          <w:lang w:val="en-GB"/>
        </w:rPr>
        <w:t>元/平方米，</w:t>
      </w:r>
      <w:r>
        <w:rPr>
          <w:rFonts w:hint="eastAsia" w:ascii="仿宋_GB2312" w:eastAsia="仿宋_GB2312" w:cs="Times New Roman"/>
          <w:sz w:val="28"/>
          <w:szCs w:val="30"/>
          <w:lang w:val="en-US" w:eastAsia="zh-CN"/>
        </w:rPr>
        <w:t>则道县类似混合结构住宅楼建筑物重置价为1300×0.9=</w:t>
      </w:r>
      <w:r>
        <w:rPr>
          <w:rFonts w:hint="eastAsia" w:ascii="仿宋_GB2312" w:hAnsi="仿宋_GB2312" w:eastAsia="仿宋_GB2312" w:cs="仿宋_GB2312"/>
          <w:sz w:val="28"/>
          <w:szCs w:val="30"/>
          <w:lang w:val="en-US" w:eastAsia="zh-CN"/>
        </w:rPr>
        <w:t>1170元/平方米。</w:t>
      </w:r>
    </w:p>
    <w:p w14:paraId="16EACBAC">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sz w:val="28"/>
        </w:rPr>
      </w:pPr>
      <w:r>
        <w:rPr>
          <w:rFonts w:hint="eastAsia" w:ascii="仿宋_GB2312" w:hAnsi="仿宋_GB2312" w:eastAsia="仿宋_GB2312" w:cs="仿宋_GB2312"/>
          <w:sz w:val="28"/>
          <w:szCs w:val="28"/>
        </w:rPr>
        <w:t>考虑近几年价格上涨水平，取砖混结构重置价格年增长率为</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Times New Roman" w:eastAsia="仿宋_GB2312" w:cs="Times New Roman"/>
          <w:sz w:val="28"/>
          <w:szCs w:val="30"/>
          <w:lang w:val="en-GB"/>
        </w:rPr>
        <w:t>《湖南省房地产协会关于发布&lt;湖南省建筑物建设成本参考标准研究成果&gt;的通知》（编号：湘房协[2023]3号，2023年2月14日）建筑物建设成本对应的价值时点为2023年1月</w:t>
      </w:r>
      <w:r>
        <w:rPr>
          <w:rFonts w:hint="eastAsia" w:ascii="仿宋_GB2312" w:hAnsi="仿宋_GB2312" w:eastAsia="仿宋_GB2312" w:cs="仿宋_GB2312"/>
          <w:sz w:val="28"/>
          <w:szCs w:val="30"/>
          <w:lang w:val="en-GB"/>
        </w:rPr>
        <w:t xml:space="preserve">1 </w:t>
      </w:r>
      <w:r>
        <w:rPr>
          <w:rFonts w:hint="eastAsia" w:ascii="仿宋_GB2312" w:hAnsi="仿宋_GB2312" w:eastAsia="仿宋_GB2312" w:cs="仿宋_GB2312"/>
          <w:b w:val="0"/>
          <w:bCs w:val="0"/>
          <w:color w:val="000000"/>
          <w:sz w:val="28"/>
          <w:szCs w:val="28"/>
        </w:rPr>
        <w:t>日</w:t>
      </w:r>
      <w:r>
        <w:rPr>
          <w:rFonts w:hint="eastAsia" w:ascii="仿宋_GB2312" w:hAnsi="仿宋_GB2312" w:eastAsia="仿宋_GB2312" w:cs="仿宋_GB2312"/>
          <w:sz w:val="28"/>
        </w:rPr>
        <w:t>，而本次评估的估价期日是</w:t>
      </w:r>
      <w:r>
        <w:rPr>
          <w:rFonts w:hint="eastAsia" w:ascii="仿宋_GB2312" w:hAnsi="仿宋_GB2312" w:eastAsia="仿宋_GB2312" w:cs="仿宋_GB2312"/>
          <w:sz w:val="28"/>
          <w:lang w:eastAsia="zh-CN"/>
        </w:rPr>
        <w:t>2026年</w:t>
      </w:r>
      <w:r>
        <w:rPr>
          <w:rFonts w:hint="eastAsia" w:ascii="仿宋_GB2312" w:hAnsi="仿宋_GB2312" w:eastAsia="仿宋_GB2312" w:cs="仿宋_GB2312"/>
          <w:sz w:val="28"/>
          <w:lang w:val="en-US" w:eastAsia="zh-CN"/>
        </w:rPr>
        <w:t>5</w:t>
      </w:r>
      <w:r>
        <w:rPr>
          <w:rFonts w:hint="eastAsia" w:ascii="仿宋_GB2312" w:hAnsi="仿宋_GB2312" w:eastAsia="仿宋_GB2312" w:cs="仿宋_GB2312"/>
          <w:sz w:val="28"/>
          <w:lang w:eastAsia="zh-CN"/>
        </w:rPr>
        <w:t>月</w:t>
      </w:r>
      <w:r>
        <w:rPr>
          <w:rFonts w:hint="eastAsia" w:ascii="仿宋_GB2312" w:hAnsi="仿宋_GB2312" w:eastAsia="仿宋_GB2312" w:cs="仿宋_GB2312"/>
          <w:sz w:val="28"/>
          <w:lang w:val="en-US" w:eastAsia="zh-CN"/>
        </w:rPr>
        <w:t>18</w:t>
      </w:r>
      <w:r>
        <w:rPr>
          <w:rFonts w:hint="eastAsia" w:ascii="仿宋_GB2312" w:hAnsi="仿宋_GB2312" w:eastAsia="仿宋_GB2312" w:cs="仿宋_GB2312"/>
          <w:sz w:val="28"/>
          <w:lang w:eastAsia="zh-CN"/>
        </w:rPr>
        <w:t>日</w:t>
      </w:r>
      <w:r>
        <w:rPr>
          <w:rFonts w:hint="eastAsia" w:ascii="仿宋_GB2312" w:hAnsi="仿宋_GB2312" w:eastAsia="仿宋_GB2312" w:cs="仿宋_GB2312"/>
          <w:sz w:val="28"/>
        </w:rPr>
        <w:t>，相距</w:t>
      </w:r>
      <w:r>
        <w:rPr>
          <w:rFonts w:hint="eastAsia" w:ascii="仿宋_GB2312" w:hAnsi="仿宋_GB2312" w:eastAsia="仿宋_GB2312" w:cs="仿宋_GB2312"/>
          <w:sz w:val="28"/>
          <w:lang w:val="en-US" w:eastAsia="zh-CN"/>
        </w:rPr>
        <w:t>3.38</w:t>
      </w:r>
      <w:r>
        <w:rPr>
          <w:rFonts w:hint="eastAsia" w:ascii="仿宋_GB2312" w:hAnsi="仿宋_GB2312" w:eastAsia="仿宋_GB2312" w:cs="仿宋_GB2312"/>
          <w:sz w:val="28"/>
        </w:rPr>
        <w:t>年。</w:t>
      </w:r>
    </w:p>
    <w:p w14:paraId="617891A6">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hint="eastAsia" w:ascii="仿宋_GB2312" w:hAnsi="仿宋_GB2312" w:eastAsia="仿宋_GB2312" w:cs="仿宋_GB2312"/>
          <w:lang w:val="en-US" w:eastAsia="zh-CN"/>
        </w:rPr>
      </w:pPr>
      <w:r>
        <w:rPr>
          <w:rFonts w:hint="eastAsia" w:ascii="仿宋_GB2312" w:hAnsi="仿宋_GB2312" w:eastAsia="仿宋_GB2312" w:cs="仿宋_GB2312"/>
          <w:sz w:val="28"/>
          <w:szCs w:val="28"/>
        </w:rPr>
        <w:t>可确定估价对象估价期日的房屋重置价格</w:t>
      </w:r>
      <w:r>
        <w:rPr>
          <w:rFonts w:hint="eastAsia" w:ascii="仿宋_GB2312" w:hAnsi="仿宋_GB2312" w:eastAsia="仿宋_GB2312" w:cs="仿宋_GB2312"/>
          <w:sz w:val="28"/>
          <w:szCs w:val="28"/>
          <w:lang w:val="en-US" w:eastAsia="zh-CN"/>
        </w:rPr>
        <w:t>单价</w:t>
      </w:r>
      <w:r>
        <w:rPr>
          <w:rFonts w:hint="eastAsia" w:ascii="仿宋_GB2312" w:hAnsi="仿宋_GB2312" w:eastAsia="仿宋_GB2312" w:cs="仿宋_GB2312"/>
          <w:sz w:val="28"/>
          <w:szCs w:val="28"/>
        </w:rPr>
        <w:t>为</w:t>
      </w:r>
      <w:r>
        <w:rPr>
          <w:rFonts w:hint="eastAsia" w:ascii="仿宋_GB2312" w:hAnsi="仿宋_GB2312" w:eastAsia="仿宋_GB2312" w:cs="仿宋_GB2312"/>
          <w:sz w:val="28"/>
          <w:szCs w:val="28"/>
          <w:lang w:val="en-US" w:eastAsia="zh-CN"/>
        </w:rPr>
        <w:t>1170</w:t>
      </w:r>
      <w:r>
        <w:rPr>
          <w:rFonts w:hint="eastAsia" w:ascii="仿宋_GB2312" w:hAnsi="仿宋_GB2312" w:eastAsia="仿宋_GB2312" w:cs="仿宋_GB2312"/>
          <w:sz w:val="28"/>
          <w:szCs w:val="28"/>
        </w:rPr>
        <w:t>×(1+</w:t>
      </w:r>
      <w:r>
        <w:rPr>
          <w:rFonts w:hint="eastAsia" w:ascii="仿宋_GB2312" w:hAnsi="仿宋_GB2312" w:eastAsia="仿宋_GB2312" w:cs="仿宋_GB2312"/>
          <w:sz w:val="28"/>
          <w:szCs w:val="28"/>
          <w:lang w:val="en-US" w:eastAsia="zh-CN"/>
        </w:rPr>
        <w:t>2.2</w:t>
      </w:r>
      <w:r>
        <w:rPr>
          <w:rFonts w:hint="eastAsia" w:ascii="仿宋_GB2312" w:hAnsi="仿宋_GB2312" w:eastAsia="仿宋_GB2312" w:cs="仿宋_GB2312"/>
          <w:sz w:val="28"/>
          <w:szCs w:val="28"/>
        </w:rPr>
        <w:t>%)</w:t>
      </w:r>
      <w:r>
        <w:rPr>
          <w:rFonts w:hint="eastAsia" w:ascii="仿宋_GB2312" w:hAnsi="仿宋_GB2312" w:eastAsia="仿宋_GB2312" w:cs="仿宋_GB2312"/>
          <w:sz w:val="28"/>
          <w:vertAlign w:val="superscript"/>
          <w:lang w:val="en-US" w:eastAsia="zh-CN"/>
        </w:rPr>
        <w:t>3.38</w:t>
      </w:r>
      <w:r>
        <w:rPr>
          <w:rFonts w:hint="eastAsia" w:ascii="仿宋_GB2312" w:hAnsi="仿宋_GB2312" w:eastAsia="仿宋_GB2312" w:cs="仿宋_GB2312"/>
          <w:sz w:val="28"/>
          <w:szCs w:val="28"/>
        </w:rPr>
        <w:t>=</w:t>
      </w:r>
      <w:r>
        <w:rPr>
          <w:rFonts w:hint="eastAsia" w:ascii="仿宋_GB2312" w:hAnsi="仿宋_GB2312" w:eastAsia="仿宋_GB2312" w:cs="仿宋_GB2312"/>
          <w:sz w:val="28"/>
          <w:szCs w:val="28"/>
          <w:lang w:val="en-US" w:eastAsia="zh-CN"/>
        </w:rPr>
        <w:t>1259</w:t>
      </w:r>
      <w:r>
        <w:rPr>
          <w:rFonts w:hint="eastAsia" w:ascii="仿宋_GB2312" w:hAnsi="仿宋_GB2312" w:eastAsia="仿宋_GB2312" w:cs="仿宋_GB2312"/>
          <w:sz w:val="28"/>
          <w:szCs w:val="28"/>
        </w:rPr>
        <w:t>元/平方米。</w:t>
      </w:r>
    </w:p>
    <w:p w14:paraId="2D225B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房屋重置价格＝重置单价×总建筑面积</w:t>
      </w:r>
    </w:p>
    <w:p w14:paraId="1751CC2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＝1259×73.415＝9.2429（万元）</w:t>
      </w:r>
    </w:p>
    <w:p w14:paraId="3E35FEA9">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则：经营维修费＝房屋重置价格×2%</w:t>
      </w:r>
    </w:p>
    <w:p w14:paraId="2B3444C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＝9.2429×2%</w:t>
      </w:r>
    </w:p>
    <w:p w14:paraId="413D9D3D">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＝0.1849（万元）</w:t>
      </w:r>
    </w:p>
    <w:p w14:paraId="6DD769B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（3）房屋年保险费：指房产所有人为使自己的房产避免意外损失而向保险公司支付的费用。按房屋现值乘以保险费率2‰计算，则：</w:t>
      </w:r>
    </w:p>
    <w:p w14:paraId="5BEAFAA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①</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计算房屋年折旧费：房屋年折旧费指房屋在使用过程中因损耗而在租金中补偿的那部分价值。</w:t>
      </w:r>
    </w:p>
    <w:p w14:paraId="417125C3">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估价对象建筑为混合结构，耐用年限为50年，残值率2%，估价对象地上房屋建成于2004年，已使用年限约为22年，剩余使用年限28年，此次评估设定出让土地使用权年限为70年，大于房屋剩余使用年限，根据孰短原则，折旧年限＝房屋已使用年限+房屋剩余使用年限。则年折旧费计算公式为：</w:t>
      </w:r>
    </w:p>
    <w:p w14:paraId="64AAAC8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年折旧费＝房屋重置价×（1-残值率）÷（房屋已使用年限+房屋剩余使用年限）</w:t>
      </w:r>
    </w:p>
    <w:p w14:paraId="253B825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＝9.2429×（1-2%）÷（22+28）</w:t>
      </w:r>
    </w:p>
    <w:p w14:paraId="43F0ECF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＝0.1812（万元）</w:t>
      </w:r>
    </w:p>
    <w:p w14:paraId="55DF112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2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②</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计算房屋现值</w:t>
      </w:r>
    </w:p>
    <w:p w14:paraId="2BF6FF0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房屋现值＝房屋重置价格-折旧总额</w:t>
      </w:r>
    </w:p>
    <w:p w14:paraId="3292E27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＝9.2429-年折旧费×已使用年限</w:t>
      </w:r>
    </w:p>
    <w:p w14:paraId="63B88B0A">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＝9.2429-0.1812×22</w:t>
      </w:r>
    </w:p>
    <w:p w14:paraId="7B3E59D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＝5.2565（万元）</w:t>
      </w:r>
    </w:p>
    <w:p w14:paraId="299E9477">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fldChar w:fldCharType="begin"/>
      </w:r>
      <w:r>
        <w:rPr>
          <w:rFonts w:hint="eastAsia" w:ascii="仿宋_GB2312" w:hAnsi="仿宋_GB2312" w:eastAsia="仿宋_GB2312" w:cs="仿宋_GB2312"/>
          <w:b w:val="0"/>
          <w:bCs w:val="0"/>
          <w:color w:val="000000"/>
          <w:kern w:val="2"/>
          <w:sz w:val="28"/>
          <w:szCs w:val="28"/>
          <w:highlight w:val="none"/>
          <w:lang w:val="en-US" w:eastAsia="zh-CN" w:bidi="ar-SA"/>
        </w:rPr>
        <w:instrText xml:space="preserve"> = 3 \* GB3 </w:instrText>
      </w:r>
      <w:r>
        <w:rPr>
          <w:rFonts w:hint="eastAsia" w:ascii="仿宋_GB2312" w:hAnsi="仿宋_GB2312" w:eastAsia="仿宋_GB2312" w:cs="仿宋_GB2312"/>
          <w:b w:val="0"/>
          <w:bCs w:val="0"/>
          <w:color w:val="000000"/>
          <w:kern w:val="2"/>
          <w:sz w:val="28"/>
          <w:szCs w:val="28"/>
          <w:highlight w:val="none"/>
          <w:lang w:val="en-US" w:eastAsia="zh-CN" w:bidi="ar-SA"/>
        </w:rPr>
        <w:fldChar w:fldCharType="separate"/>
      </w:r>
      <w:r>
        <w:rPr>
          <w:rFonts w:hint="eastAsia" w:ascii="仿宋_GB2312" w:hAnsi="仿宋_GB2312" w:eastAsia="仿宋_GB2312" w:cs="仿宋_GB2312"/>
          <w:b w:val="0"/>
          <w:bCs w:val="0"/>
          <w:color w:val="000000"/>
          <w:kern w:val="2"/>
          <w:sz w:val="28"/>
          <w:szCs w:val="28"/>
          <w:highlight w:val="none"/>
          <w:lang w:val="en-US" w:eastAsia="zh-CN" w:bidi="ar-SA"/>
        </w:rPr>
        <w:t>③</w:t>
      </w:r>
      <w:r>
        <w:rPr>
          <w:rFonts w:hint="eastAsia" w:ascii="仿宋_GB2312" w:hAnsi="仿宋_GB2312" w:eastAsia="仿宋_GB2312" w:cs="仿宋_GB2312"/>
          <w:b w:val="0"/>
          <w:bCs w:val="0"/>
          <w:color w:val="000000"/>
          <w:kern w:val="2"/>
          <w:sz w:val="28"/>
          <w:szCs w:val="28"/>
          <w:highlight w:val="none"/>
          <w:lang w:val="en-US"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计算房屋年保险费</w:t>
      </w:r>
    </w:p>
    <w:p w14:paraId="2BBEF3D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房屋年保险费＝房屋现值×2‰</w:t>
      </w:r>
    </w:p>
    <w:p w14:paraId="5642A7CE">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＝5.2565×2%</w:t>
      </w:r>
    </w:p>
    <w:p w14:paraId="033A52BC">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＝0.0105（万元）</w:t>
      </w:r>
    </w:p>
    <w:p w14:paraId="4127948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（4）出租年应交税金</w:t>
      </w:r>
    </w:p>
    <w:p w14:paraId="27578D64">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de-DE" w:eastAsia="zh-CN" w:bidi="ar-SA"/>
        </w:rPr>
        <w:fldChar w:fldCharType="begin"/>
      </w:r>
      <w:r>
        <w:rPr>
          <w:rFonts w:hint="eastAsia" w:ascii="仿宋_GB2312" w:hAnsi="仿宋_GB2312" w:eastAsia="仿宋_GB2312" w:cs="仿宋_GB2312"/>
          <w:b w:val="0"/>
          <w:bCs w:val="0"/>
          <w:color w:val="000000"/>
          <w:kern w:val="2"/>
          <w:sz w:val="28"/>
          <w:szCs w:val="28"/>
          <w:highlight w:val="none"/>
          <w:lang w:val="de-DE" w:eastAsia="zh-CN" w:bidi="ar-SA"/>
        </w:rPr>
        <w:instrText xml:space="preserve"> = 1 \* GB3 </w:instrText>
      </w:r>
      <w:r>
        <w:rPr>
          <w:rFonts w:hint="eastAsia" w:ascii="仿宋_GB2312" w:hAnsi="仿宋_GB2312" w:eastAsia="仿宋_GB2312" w:cs="仿宋_GB2312"/>
          <w:b w:val="0"/>
          <w:bCs w:val="0"/>
          <w:color w:val="000000"/>
          <w:kern w:val="2"/>
          <w:sz w:val="28"/>
          <w:szCs w:val="28"/>
          <w:highlight w:val="none"/>
          <w:lang w:val="de-DE" w:eastAsia="zh-CN" w:bidi="ar-SA"/>
        </w:rPr>
        <w:fldChar w:fldCharType="separate"/>
      </w:r>
      <w:r>
        <w:rPr>
          <w:rFonts w:hint="eastAsia" w:ascii="仿宋_GB2312" w:hAnsi="仿宋_GB2312" w:eastAsia="仿宋_GB2312" w:cs="仿宋_GB2312"/>
          <w:b w:val="0"/>
          <w:bCs w:val="0"/>
          <w:color w:val="000000"/>
          <w:kern w:val="2"/>
          <w:sz w:val="28"/>
          <w:szCs w:val="28"/>
          <w:highlight w:val="none"/>
          <w:lang w:val="de-DE" w:eastAsia="zh-CN" w:bidi="ar-SA"/>
        </w:rPr>
        <w:t>①</w:t>
      </w:r>
      <w:r>
        <w:rPr>
          <w:rFonts w:hint="eastAsia" w:ascii="仿宋_GB2312" w:hAnsi="仿宋_GB2312" w:eastAsia="仿宋_GB2312" w:cs="仿宋_GB2312"/>
          <w:b w:val="0"/>
          <w:bCs w:val="0"/>
          <w:color w:val="000000"/>
          <w:kern w:val="2"/>
          <w:sz w:val="28"/>
          <w:szCs w:val="28"/>
          <w:highlight w:val="none"/>
          <w:lang w:val="de-DE" w:eastAsia="zh-CN" w:bidi="ar-SA"/>
        </w:rPr>
        <w:fldChar w:fldCharType="end"/>
      </w:r>
      <w:r>
        <w:rPr>
          <w:rFonts w:hint="eastAsia" w:ascii="仿宋_GB2312" w:hAnsi="仿宋_GB2312" w:eastAsia="仿宋_GB2312" w:cs="仿宋_GB2312"/>
          <w:b w:val="0"/>
          <w:bCs w:val="0"/>
          <w:color w:val="000000"/>
          <w:kern w:val="2"/>
          <w:sz w:val="28"/>
          <w:szCs w:val="28"/>
          <w:highlight w:val="none"/>
          <w:lang w:val="en-US" w:eastAsia="zh-CN" w:bidi="ar-SA"/>
        </w:rPr>
        <w:t>增值税及城市建设维护税和教育费附加</w:t>
      </w:r>
    </w:p>
    <w:p w14:paraId="0FF08B9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关于全面推开营业税改征增值税试点有关税收征收管理事项的公告》（2016年第23号）、《国务院办公厅关于加快培育和发展住房租赁市场的若干意见》（国办发〔2016〕39号），落实营改增关于住房租赁的有关政策，对个人出租住房的，由按照5%的征收率减按1.5%计算缴纳增值税；根据《财政部税务总局关于增值税法施行后增值税优惠政策衔接事项的公告》（财政部 税务总局公告2026年第10号，2026年1月30日），小规模纳税人增值税起征点为月销售额10万元，估价对象平均月租金收入未超过10万元，免征增值税。</w:t>
      </w:r>
    </w:p>
    <w:p w14:paraId="20D36B83">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②附加税（城市维护建设税、教育费附加、地方教育附加）</w:t>
      </w:r>
    </w:p>
    <w:p w14:paraId="539696DD">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增值税附加是以缴纳的增值税为基数，估价对象免征增值税，因此增值税附加为0。</w:t>
      </w:r>
    </w:p>
    <w:p w14:paraId="2F356D76">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③印花税：根据《财政部 国家税务总局 关于廉租住房经济适用住房和住房租赁有关税收政策的通知》（财税〔2008〕24号），对个人出租、承租住房签订的租赁合同，免征印花税。</w:t>
      </w:r>
    </w:p>
    <w:p w14:paraId="65FB287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④房产税：根据《财政部 国家税务总局 关于廉租住房经济适用住房和住房租赁有关税收政策的通知》（财税〔2008〕24号），对个人出租住房，按4%的税率征收房产税。根据《财政部税务总局关于进一步支持小微企业和个体工商户发展有关税费政策的公告》（财政部 税务总局公告2023年第12号，2023年8月2日），对增值税小规模纳税人减半征收房产税。</w:t>
      </w:r>
    </w:p>
    <w:p w14:paraId="3A829260">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出租年应交税金＝年总收益×税率</w:t>
      </w:r>
    </w:p>
    <w:p w14:paraId="1BB057FF">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＝0.9305×4%×50%</w:t>
      </w:r>
    </w:p>
    <w:p w14:paraId="4CAB0B96">
      <w:pPr>
        <w:keepNext w:val="0"/>
        <w:keepLines w:val="0"/>
        <w:pageBreakBefore w:val="0"/>
        <w:widowControl w:val="0"/>
        <w:kinsoku/>
        <w:wordWrap/>
        <w:overflowPunct/>
        <w:topLinePunct w:val="0"/>
        <w:bidi w:val="0"/>
        <w:adjustRightInd w:val="0"/>
        <w:snapToGrid w:val="0"/>
        <w:spacing w:line="480" w:lineRule="exact"/>
        <w:ind w:firstLine="2520" w:firstLineChars="9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＝0.0186（万元）</w:t>
      </w:r>
    </w:p>
    <w:p w14:paraId="0F5FA4A2">
      <w:pPr>
        <w:keepNext w:val="0"/>
        <w:keepLines w:val="0"/>
        <w:pageBreakBefore w:val="0"/>
        <w:widowControl w:val="0"/>
        <w:kinsoku/>
        <w:wordWrap/>
        <w:overflowPunct/>
        <w:topLinePunct w:val="0"/>
        <w:bidi w:val="0"/>
        <w:adjustRightInd w:val="0"/>
        <w:snapToGrid w:val="0"/>
        <w:spacing w:line="480" w:lineRule="exact"/>
        <w:ind w:firstLine="560" w:firstLineChars="200"/>
        <w:jc w:val="left"/>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房地出租年总费用＝经营管理费+经营维修费+房屋年保险费+房屋出租年应交税金＝0.0186+0.1849+0.0105+0.0186＝0.2326（万元）</w:t>
      </w:r>
    </w:p>
    <w:p w14:paraId="43685971">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3、房地年纯收益</w:t>
      </w:r>
    </w:p>
    <w:p w14:paraId="3AF48718">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房地年纯收益＝房地年总收益-房地年总费用</w:t>
      </w:r>
    </w:p>
    <w:p w14:paraId="53D6B511">
      <w:pPr>
        <w:keepNext w:val="0"/>
        <w:keepLines w:val="0"/>
        <w:pageBreakBefore w:val="0"/>
        <w:widowControl w:val="0"/>
        <w:kinsoku/>
        <w:wordWrap/>
        <w:overflowPunct/>
        <w:topLinePunct w:val="0"/>
        <w:bidi w:val="0"/>
        <w:adjustRightInd w:val="0"/>
        <w:snapToGrid w:val="0"/>
        <w:spacing w:line="480" w:lineRule="exact"/>
        <w:ind w:firstLine="560" w:firstLineChars="200"/>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＝0.9305-0.2326</w:t>
      </w:r>
    </w:p>
    <w:p w14:paraId="57761BD1">
      <w:pPr>
        <w:keepNext w:val="0"/>
        <w:keepLines w:val="0"/>
        <w:pageBreakBefore w:val="0"/>
        <w:widowControl w:val="0"/>
        <w:kinsoku/>
        <w:wordWrap/>
        <w:overflowPunct/>
        <w:topLinePunct w:val="0"/>
        <w:bidi w:val="0"/>
        <w:adjustRightInd w:val="0"/>
        <w:snapToGrid w:val="0"/>
        <w:spacing w:line="480" w:lineRule="exact"/>
        <w:ind w:firstLine="2240" w:firstLineChars="8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＝0.6979（万元）</w:t>
      </w:r>
    </w:p>
    <w:p w14:paraId="6A17CAFF">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4、房屋年纯收益</w:t>
      </w:r>
    </w:p>
    <w:p w14:paraId="4910DC75">
      <w:pPr>
        <w:keepNext w:val="0"/>
        <w:keepLines w:val="0"/>
        <w:pageBreakBefore w:val="0"/>
        <w:widowControl w:val="0"/>
        <w:kinsoku/>
        <w:wordWrap/>
        <w:overflowPunct/>
        <w:topLinePunct w:val="0"/>
        <w:bidi w:val="0"/>
        <w:adjustRightInd w:val="0"/>
        <w:snapToGrid w:val="0"/>
        <w:spacing w:line="480" w:lineRule="exact"/>
        <w:ind w:firstLine="560" w:firstLineChars="200"/>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根据前文，采用土地纯收益与价格比率法、投资收益法测算确定土地和房屋的还原率，详见下表：</w:t>
      </w:r>
    </w:p>
    <w:p w14:paraId="3903085F">
      <w:pPr>
        <w:pStyle w:val="11"/>
        <w:keepNext w:val="0"/>
        <w:keepLines w:val="0"/>
        <w:pageBreakBefore w:val="0"/>
        <w:widowControl/>
        <w:kinsoku w:val="0"/>
        <w:wordWrap/>
        <w:overflowPunct/>
        <w:topLinePunct w:val="0"/>
        <w:autoSpaceDE w:val="0"/>
        <w:autoSpaceDN w:val="0"/>
        <w:bidi w:val="0"/>
        <w:adjustRightInd w:val="0"/>
        <w:snapToGrid w:val="0"/>
        <w:spacing w:before="157" w:beforeLines="50" w:after="10" w:line="480" w:lineRule="exact"/>
        <w:ind w:left="0" w:leftChars="0" w:firstLine="0" w:firstLineChars="0"/>
        <w:jc w:val="center"/>
        <w:textAlignment w:val="baseline"/>
        <w:rPr>
          <w:rFonts w:hint="eastAsia" w:ascii="仿宋_GB2312" w:hAnsi="仿宋_GB2312" w:eastAsia="仿宋_GB2312" w:cs="仿宋_GB2312"/>
          <w:b w:val="0"/>
          <w:bCs/>
          <w:color w:val="auto"/>
          <w:kern w:val="2"/>
          <w:sz w:val="28"/>
          <w:szCs w:val="28"/>
          <w:highlight w:val="none"/>
          <w:lang w:val="en-US" w:eastAsia="zh-CN" w:bidi="ar-SA"/>
        </w:rPr>
      </w:pPr>
      <w:r>
        <w:rPr>
          <w:rFonts w:hint="eastAsia" w:ascii="仿宋_GB2312" w:hAnsi="仿宋_GB2312" w:eastAsia="仿宋_GB2312" w:cs="仿宋_GB2312"/>
          <w:b w:val="0"/>
          <w:bCs/>
          <w:color w:val="auto"/>
          <w:kern w:val="2"/>
          <w:sz w:val="28"/>
          <w:szCs w:val="28"/>
          <w:highlight w:val="none"/>
          <w:lang w:val="en-US" w:eastAsia="zh-CN" w:bidi="ar-SA"/>
        </w:rPr>
        <w:t>表3-</w:t>
      </w:r>
      <w:r>
        <w:rPr>
          <w:rFonts w:hint="eastAsia" w:ascii="仿宋_GB2312" w:hAnsi="仿宋_GB2312" w:cs="仿宋_GB2312"/>
          <w:b w:val="0"/>
          <w:bCs/>
          <w:color w:val="auto"/>
          <w:kern w:val="2"/>
          <w:sz w:val="28"/>
          <w:szCs w:val="28"/>
          <w:highlight w:val="none"/>
          <w:lang w:val="en-US" w:eastAsia="zh-CN" w:bidi="ar-SA"/>
        </w:rPr>
        <w:t>14</w:t>
      </w:r>
      <w:r>
        <w:rPr>
          <w:rFonts w:hint="eastAsia" w:ascii="仿宋_GB2312" w:hAnsi="仿宋_GB2312" w:eastAsia="仿宋_GB2312" w:cs="仿宋_GB2312"/>
          <w:b w:val="0"/>
          <w:bCs/>
          <w:color w:val="auto"/>
          <w:kern w:val="2"/>
          <w:sz w:val="28"/>
          <w:szCs w:val="28"/>
          <w:highlight w:val="none"/>
          <w:lang w:val="en-US" w:eastAsia="zh-CN" w:bidi="ar-SA"/>
        </w:rPr>
        <w:t xml:space="preserve"> 道县土地和房屋还原利率表(%)</w:t>
      </w:r>
    </w:p>
    <w:tbl>
      <w:tblPr>
        <w:tblStyle w:val="12"/>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59"/>
        <w:gridCol w:w="6060"/>
      </w:tblGrid>
      <w:tr w14:paraId="5DC7F3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restart"/>
            <w:tcBorders>
              <w:top w:val="single" w:color="auto" w:sz="6" w:space="0"/>
              <w:left w:val="single" w:color="auto" w:sz="6" w:space="0"/>
              <w:bottom w:val="single" w:color="auto" w:sz="4" w:space="0"/>
              <w:right w:val="single" w:color="auto" w:sz="4" w:space="0"/>
            </w:tcBorders>
            <w:noWrap w:val="0"/>
            <w:vAlign w:val="center"/>
          </w:tcPr>
          <w:p w14:paraId="16B7F38B">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土地用途</w:t>
            </w:r>
          </w:p>
        </w:tc>
        <w:tc>
          <w:tcPr>
            <w:tcW w:w="3556" w:type="pct"/>
            <w:vMerge w:val="restart"/>
            <w:tcBorders>
              <w:top w:val="single" w:color="auto" w:sz="6" w:space="0"/>
              <w:left w:val="single" w:color="auto" w:sz="6" w:space="0"/>
              <w:right w:val="single" w:color="auto" w:sz="4" w:space="0"/>
            </w:tcBorders>
            <w:noWrap w:val="0"/>
            <w:vAlign w:val="center"/>
          </w:tcPr>
          <w:p w14:paraId="25B8E36A">
            <w:pPr>
              <w:keepNext w:val="0"/>
              <w:keepLines w:val="0"/>
              <w:pageBreakBefore w:val="0"/>
              <w:widowControl/>
              <w:kinsoku/>
              <w:wordWrap/>
              <w:overflowPunct w:val="0"/>
              <w:topLinePunct w:val="0"/>
              <w:autoSpaceDE w:val="0"/>
              <w:autoSpaceDN w:val="0"/>
              <w:bidi w:val="0"/>
              <w:adjustRightInd w:val="0"/>
              <w:snapToGrid w:val="0"/>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住宅用地</w:t>
            </w:r>
          </w:p>
        </w:tc>
      </w:tr>
      <w:tr w14:paraId="54DF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12" w:hRule="atLeast"/>
          <w:jc w:val="center"/>
        </w:trPr>
        <w:tc>
          <w:tcPr>
            <w:tcW w:w="1443" w:type="pct"/>
            <w:vMerge w:val="continue"/>
            <w:tcBorders>
              <w:top w:val="single" w:color="auto" w:sz="6" w:space="0"/>
              <w:left w:val="single" w:color="auto" w:sz="6" w:space="0"/>
              <w:bottom w:val="single" w:color="auto" w:sz="4" w:space="0"/>
              <w:right w:val="single" w:color="auto" w:sz="4" w:space="0"/>
            </w:tcBorders>
            <w:noWrap w:val="0"/>
            <w:vAlign w:val="center"/>
          </w:tcPr>
          <w:p w14:paraId="2BF22A8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c>
          <w:tcPr>
            <w:tcW w:w="3556" w:type="pct"/>
            <w:vMerge w:val="continue"/>
            <w:tcBorders>
              <w:left w:val="single" w:color="auto" w:sz="6" w:space="0"/>
              <w:bottom w:val="single" w:color="auto" w:sz="4" w:space="0"/>
              <w:right w:val="single" w:color="auto" w:sz="4" w:space="0"/>
            </w:tcBorders>
            <w:noWrap w:val="0"/>
            <w:vAlign w:val="center"/>
          </w:tcPr>
          <w:p w14:paraId="23CC3E85">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p>
        </w:tc>
      </w:tr>
      <w:tr w14:paraId="075462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4" w:space="0"/>
              <w:right w:val="single" w:color="auto" w:sz="4" w:space="0"/>
            </w:tcBorders>
            <w:noWrap w:val="0"/>
            <w:vAlign w:val="center"/>
          </w:tcPr>
          <w:p w14:paraId="1EA3ABA3">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土地还原利率</w:t>
            </w:r>
          </w:p>
        </w:tc>
        <w:tc>
          <w:tcPr>
            <w:tcW w:w="3556" w:type="pct"/>
            <w:tcBorders>
              <w:top w:val="single" w:color="auto" w:sz="4" w:space="0"/>
              <w:left w:val="single" w:color="auto" w:sz="6" w:space="0"/>
              <w:bottom w:val="single" w:color="auto" w:sz="4" w:space="0"/>
              <w:right w:val="single" w:color="auto" w:sz="4" w:space="0"/>
            </w:tcBorders>
            <w:noWrap w:val="0"/>
            <w:vAlign w:val="center"/>
          </w:tcPr>
          <w:p w14:paraId="1D20EE16">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6.5%</w:t>
            </w:r>
          </w:p>
        </w:tc>
      </w:tr>
      <w:tr w14:paraId="7FB9C5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443" w:type="pct"/>
            <w:tcBorders>
              <w:top w:val="single" w:color="auto" w:sz="4" w:space="0"/>
              <w:left w:val="single" w:color="auto" w:sz="6" w:space="0"/>
              <w:bottom w:val="single" w:color="auto" w:sz="6" w:space="0"/>
              <w:right w:val="single" w:color="auto" w:sz="4" w:space="0"/>
            </w:tcBorders>
            <w:noWrap w:val="0"/>
            <w:vAlign w:val="center"/>
          </w:tcPr>
          <w:p w14:paraId="76F73E0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eastAsia"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房屋还原利率</w:t>
            </w:r>
          </w:p>
        </w:tc>
        <w:tc>
          <w:tcPr>
            <w:tcW w:w="3556" w:type="pct"/>
            <w:tcBorders>
              <w:top w:val="single" w:color="auto" w:sz="4" w:space="0"/>
              <w:left w:val="single" w:color="auto" w:sz="6" w:space="0"/>
              <w:bottom w:val="single" w:color="auto" w:sz="6" w:space="0"/>
              <w:right w:val="single" w:color="auto" w:sz="4" w:space="0"/>
            </w:tcBorders>
            <w:noWrap w:val="0"/>
            <w:vAlign w:val="center"/>
          </w:tcPr>
          <w:p w14:paraId="6B87FBF4">
            <w:pPr>
              <w:keepNext w:val="0"/>
              <w:keepLines w:val="0"/>
              <w:pageBreakBefore w:val="0"/>
              <w:widowControl/>
              <w:kinsoku/>
              <w:wordWrap/>
              <w:overflowPunct/>
              <w:topLinePunct w:val="0"/>
              <w:autoSpaceDE/>
              <w:autoSpaceDN/>
              <w:bidi w:val="0"/>
              <w:adjustRightInd/>
              <w:snapToGrid/>
              <w:spacing w:line="240" w:lineRule="exact"/>
              <w:jc w:val="center"/>
              <w:textAlignment w:val="bottom"/>
              <w:rPr>
                <w:rFonts w:hint="default" w:ascii="仿宋_GB2312" w:hAnsi="仿宋_GB2312" w:eastAsia="仿宋_GB2312" w:cs="仿宋_GB2312"/>
                <w:b w:val="0"/>
                <w:bCs w:val="0"/>
                <w:color w:val="000000"/>
                <w:kern w:val="2"/>
                <w:sz w:val="21"/>
                <w:szCs w:val="21"/>
                <w:highlight w:val="none"/>
                <w:lang w:val="en-US" w:eastAsia="zh-CN" w:bidi="ar-SA"/>
              </w:rPr>
            </w:pPr>
            <w:r>
              <w:rPr>
                <w:rFonts w:hint="eastAsia" w:ascii="仿宋_GB2312" w:hAnsi="仿宋_GB2312" w:eastAsia="仿宋_GB2312" w:cs="仿宋_GB2312"/>
                <w:b w:val="0"/>
                <w:bCs w:val="0"/>
                <w:color w:val="000000"/>
                <w:kern w:val="2"/>
                <w:sz w:val="21"/>
                <w:szCs w:val="21"/>
                <w:highlight w:val="none"/>
                <w:lang w:val="en-US" w:eastAsia="zh-CN" w:bidi="ar-SA"/>
              </w:rPr>
              <w:t>8.5%</w:t>
            </w:r>
          </w:p>
        </w:tc>
      </w:tr>
    </w:tbl>
    <w:p w14:paraId="27EA69F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则，房屋年纯收益＝房屋现值×房屋还原利率</w:t>
      </w:r>
    </w:p>
    <w:p w14:paraId="2E47AF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＝5.2565×8.75%</w:t>
      </w:r>
    </w:p>
    <w:p w14:paraId="77B982C7">
      <w:pPr>
        <w:keepNext w:val="0"/>
        <w:keepLines w:val="0"/>
        <w:pageBreakBefore w:val="0"/>
        <w:widowControl w:val="0"/>
        <w:kinsoku/>
        <w:wordWrap/>
        <w:overflowPunct/>
        <w:topLinePunct w:val="0"/>
        <w:autoSpaceDE/>
        <w:autoSpaceDN/>
        <w:bidi w:val="0"/>
        <w:adjustRightInd w:val="0"/>
        <w:snapToGrid w:val="0"/>
        <w:spacing w:line="460" w:lineRule="exact"/>
        <w:ind w:firstLine="2800" w:firstLineChars="10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＝0.4468（万元）</w:t>
      </w:r>
    </w:p>
    <w:p w14:paraId="7F46D56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5、土地年纯收益</w:t>
      </w:r>
    </w:p>
    <w:p w14:paraId="60C1E0C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土地年纯收益＝房地年纯收益-房屋年纯收益</w:t>
      </w:r>
    </w:p>
    <w:p w14:paraId="1A764BB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＝0.6979-0.4468</w:t>
      </w:r>
    </w:p>
    <w:p w14:paraId="1B141CE7">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＝0.2511（万元）</w:t>
      </w:r>
    </w:p>
    <w:p w14:paraId="3038667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6、计算待估宗地总地价</w:t>
      </w:r>
    </w:p>
    <w:p w14:paraId="7E52E1FA">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总地价＝土地年纯收益÷r×[1-1/（1＋r）</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n</w:t>
      </w:r>
      <w:r>
        <w:rPr>
          <w:rFonts w:hint="eastAsia" w:ascii="仿宋_GB2312" w:hAnsi="仿宋_GB2312" w:eastAsia="仿宋_GB2312" w:cs="仿宋_GB2312"/>
          <w:b w:val="0"/>
          <w:bCs w:val="0"/>
          <w:color w:val="000000"/>
          <w:kern w:val="2"/>
          <w:sz w:val="28"/>
          <w:szCs w:val="28"/>
          <w:highlight w:val="none"/>
          <w:lang w:val="en-US" w:eastAsia="zh-CN" w:bidi="ar-SA"/>
        </w:rPr>
        <w:t>]</w:t>
      </w:r>
    </w:p>
    <w:p w14:paraId="5905851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其中：r—土地还原率6.5%。</w:t>
      </w:r>
    </w:p>
    <w:p w14:paraId="3A453CB2">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n—待估宗地土地使用年期</w:t>
      </w:r>
    </w:p>
    <w:p w14:paraId="5B2B4C61">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＝0.2511÷6.5%×[1-1/（1+6.5%）</w:t>
      </w:r>
      <w:r>
        <w:rPr>
          <w:rFonts w:hint="eastAsia" w:ascii="仿宋_GB2312" w:hAnsi="仿宋_GB2312" w:eastAsia="仿宋_GB2312" w:cs="仿宋_GB2312"/>
          <w:b w:val="0"/>
          <w:bCs w:val="0"/>
          <w:color w:val="000000"/>
          <w:kern w:val="2"/>
          <w:sz w:val="28"/>
          <w:szCs w:val="28"/>
          <w:highlight w:val="none"/>
          <w:vertAlign w:val="superscript"/>
          <w:lang w:val="en-US" w:eastAsia="zh-CN" w:bidi="ar-SA"/>
        </w:rPr>
        <w:t>70</w:t>
      </w:r>
      <w:r>
        <w:rPr>
          <w:rFonts w:hint="eastAsia" w:ascii="仿宋_GB2312" w:hAnsi="仿宋_GB2312" w:eastAsia="仿宋_GB2312" w:cs="仿宋_GB2312"/>
          <w:b w:val="0"/>
          <w:bCs w:val="0"/>
          <w:color w:val="000000"/>
          <w:kern w:val="2"/>
          <w:sz w:val="28"/>
          <w:szCs w:val="28"/>
          <w:highlight w:val="none"/>
          <w:lang w:val="en-US" w:eastAsia="zh-CN" w:bidi="ar-SA"/>
        </w:rPr>
        <w:t>]</w:t>
      </w:r>
    </w:p>
    <w:p w14:paraId="3AD7D1BF">
      <w:pPr>
        <w:keepNext w:val="0"/>
        <w:keepLines w:val="0"/>
        <w:pageBreakBefore w:val="0"/>
        <w:widowControl w:val="0"/>
        <w:kinsoku/>
        <w:wordWrap/>
        <w:overflowPunct/>
        <w:topLinePunct w:val="0"/>
        <w:autoSpaceDE/>
        <w:autoSpaceDN/>
        <w:bidi w:val="0"/>
        <w:adjustRightInd w:val="0"/>
        <w:snapToGrid w:val="0"/>
        <w:spacing w:line="460" w:lineRule="exact"/>
        <w:ind w:firstLine="1400" w:firstLineChars="5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＝3.8159（万元）</w:t>
      </w:r>
    </w:p>
    <w:p w14:paraId="58CC3B7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7、计算宗地单位面积地价</w:t>
      </w:r>
    </w:p>
    <w:p w14:paraId="6BF47B7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单位面积地价＝总地价÷总用地面积</w:t>
      </w:r>
    </w:p>
    <w:p w14:paraId="2991523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 xml:space="preserve">            ＝3.8159×10000÷15.2</w:t>
      </w:r>
    </w:p>
    <w:p w14:paraId="224783B6">
      <w:pPr>
        <w:keepNext w:val="0"/>
        <w:keepLines w:val="0"/>
        <w:pageBreakBefore w:val="0"/>
        <w:widowControl w:val="0"/>
        <w:kinsoku/>
        <w:wordWrap/>
        <w:overflowPunct/>
        <w:topLinePunct w:val="0"/>
        <w:autoSpaceDE/>
        <w:autoSpaceDN/>
        <w:bidi w:val="0"/>
        <w:adjustRightInd w:val="0"/>
        <w:snapToGrid w:val="0"/>
        <w:spacing w:line="460" w:lineRule="exact"/>
        <w:ind w:firstLine="2240" w:firstLineChars="800"/>
        <w:textAlignment w:val="auto"/>
        <w:rPr>
          <w:rFonts w:hint="eastAsia" w:ascii="仿宋_GB2312" w:hAnsi="仿宋_GB2312" w:eastAsia="仿宋_GB2312" w:cs="仿宋_GB2312"/>
          <w:b w:val="0"/>
          <w:bCs w:val="0"/>
          <w:color w:val="000000"/>
          <w:kern w:val="2"/>
          <w:sz w:val="28"/>
          <w:szCs w:val="28"/>
          <w:highlight w:val="none"/>
          <w:lang w:val="en-US" w:eastAsia="zh-CN" w:bidi="ar-SA"/>
        </w:rPr>
      </w:pPr>
      <w:r>
        <w:rPr>
          <w:rFonts w:hint="eastAsia" w:ascii="仿宋_GB2312" w:hAnsi="仿宋_GB2312" w:eastAsia="仿宋_GB2312" w:cs="仿宋_GB2312"/>
          <w:b w:val="0"/>
          <w:bCs w:val="0"/>
          <w:color w:val="000000"/>
          <w:kern w:val="2"/>
          <w:sz w:val="28"/>
          <w:szCs w:val="28"/>
          <w:highlight w:val="none"/>
          <w:lang w:val="en-US" w:eastAsia="zh-CN" w:bidi="ar-SA"/>
        </w:rPr>
        <w:t>＝2510.5（元/平方米）</w:t>
      </w:r>
    </w:p>
    <w:p w14:paraId="10513B99">
      <w:pPr>
        <w:pStyle w:val="6"/>
        <w:keepNext w:val="0"/>
        <w:keepLines w:val="0"/>
        <w:pageBreakBefore w:val="0"/>
        <w:widowControl w:val="0"/>
        <w:kinsoku/>
        <w:wordWrap/>
        <w:topLinePunct w:val="0"/>
        <w:bidi w:val="0"/>
        <w:adjustRightInd w:val="0"/>
        <w:snapToGrid w:val="0"/>
        <w:spacing w:line="480" w:lineRule="exact"/>
        <w:ind w:left="0" w:leftChars="0" w:firstLine="560" w:firstLineChars="200"/>
        <w:textAlignment w:val="auto"/>
        <w:outlineLvl w:val="9"/>
        <w:rPr>
          <w:rFonts w:hint="eastAsia" w:ascii="仿宋_GB2312" w:hAnsi="Times New Roman" w:eastAsia="仿宋_GB2312" w:cs="Times New Roman"/>
          <w:sz w:val="28"/>
          <w:szCs w:val="30"/>
          <w:highlight w:val="none"/>
          <w:lang w:val="en-GB" w:eastAsia="zh-CN"/>
        </w:rPr>
      </w:pPr>
      <w:r>
        <w:rPr>
          <w:rFonts w:hint="eastAsia" w:ascii="仿宋_GB2312" w:hAnsi="仿宋_GB2312" w:eastAsia="仿宋_GB2312" w:cs="仿宋_GB2312"/>
          <w:b w:val="0"/>
          <w:bCs w:val="0"/>
          <w:color w:val="000000"/>
          <w:kern w:val="2"/>
          <w:sz w:val="28"/>
          <w:szCs w:val="28"/>
          <w:highlight w:val="none"/>
          <w:lang w:val="en-US" w:eastAsia="zh-CN" w:bidi="ar-SA"/>
        </w:rPr>
        <w:t>收益还原法法测算地价的结果为：估价对象于估价期日2026年</w:t>
      </w:r>
      <w:r>
        <w:rPr>
          <w:rFonts w:hint="eastAsia" w:ascii="仿宋_GB2312" w:hAnsi="仿宋_GB2312" w:cs="仿宋_GB2312"/>
          <w:b w:val="0"/>
          <w:bCs w:val="0"/>
          <w:color w:val="000000"/>
          <w:kern w:val="2"/>
          <w:sz w:val="28"/>
          <w:szCs w:val="28"/>
          <w:highlight w:val="none"/>
          <w:lang w:val="en-US" w:eastAsia="zh-CN" w:bidi="ar-SA"/>
        </w:rPr>
        <w:t>5</w:t>
      </w:r>
      <w:r>
        <w:rPr>
          <w:rFonts w:hint="eastAsia" w:ascii="仿宋_GB2312" w:hAnsi="仿宋_GB2312" w:eastAsia="仿宋_GB2312" w:cs="仿宋_GB2312"/>
          <w:b w:val="0"/>
          <w:bCs w:val="0"/>
          <w:color w:val="000000"/>
          <w:kern w:val="2"/>
          <w:sz w:val="28"/>
          <w:szCs w:val="28"/>
          <w:highlight w:val="none"/>
          <w:lang w:val="en-US" w:eastAsia="zh-CN" w:bidi="ar-SA"/>
        </w:rPr>
        <w:t>月</w:t>
      </w:r>
      <w:r>
        <w:rPr>
          <w:rFonts w:hint="eastAsia" w:ascii="仿宋_GB2312" w:hAnsi="仿宋_GB2312" w:cs="仿宋_GB2312"/>
          <w:b w:val="0"/>
          <w:bCs w:val="0"/>
          <w:color w:val="000000"/>
          <w:kern w:val="2"/>
          <w:sz w:val="28"/>
          <w:szCs w:val="28"/>
          <w:highlight w:val="none"/>
          <w:lang w:val="en-US" w:eastAsia="zh-CN" w:bidi="ar-SA"/>
        </w:rPr>
        <w:t>18</w:t>
      </w:r>
      <w:r>
        <w:rPr>
          <w:rFonts w:hint="eastAsia" w:ascii="仿宋_GB2312" w:hAnsi="仿宋_GB2312" w:eastAsia="仿宋_GB2312" w:cs="仿宋_GB2312"/>
          <w:b w:val="0"/>
          <w:bCs w:val="0"/>
          <w:color w:val="000000"/>
          <w:kern w:val="2"/>
          <w:sz w:val="28"/>
          <w:szCs w:val="28"/>
          <w:highlight w:val="none"/>
          <w:lang w:val="en-US" w:eastAsia="zh-CN" w:bidi="ar-SA"/>
        </w:rPr>
        <w:t>日，在设定土地用途，设定土地使用年限，设定土地开发程度，现状利用条件下的国有土地出让使用权价格为住宅用地</w:t>
      </w:r>
      <w:r>
        <w:rPr>
          <w:rFonts w:hint="eastAsia" w:ascii="仿宋_GB2312" w:hAnsi="仿宋_GB2312" w:cs="仿宋_GB2312"/>
          <w:b w:val="0"/>
          <w:bCs w:val="0"/>
          <w:color w:val="000000"/>
          <w:kern w:val="2"/>
          <w:sz w:val="28"/>
          <w:szCs w:val="28"/>
          <w:highlight w:val="none"/>
          <w:lang w:val="en-US" w:eastAsia="zh-CN" w:bidi="ar-SA"/>
        </w:rPr>
        <w:t>2510.5</w:t>
      </w:r>
      <w:r>
        <w:rPr>
          <w:rFonts w:hint="eastAsia" w:ascii="仿宋_GB2312" w:hAnsi="仿宋_GB2312" w:eastAsia="仿宋_GB2312" w:cs="仿宋_GB2312"/>
          <w:b w:val="0"/>
          <w:bCs w:val="0"/>
          <w:color w:val="000000"/>
          <w:kern w:val="2"/>
          <w:sz w:val="28"/>
          <w:szCs w:val="28"/>
          <w:highlight w:val="none"/>
          <w:lang w:val="en-US" w:eastAsia="zh-CN" w:bidi="ar-SA"/>
        </w:rPr>
        <w:t>元/平方米。</w:t>
      </w:r>
    </w:p>
    <w:p>
      <w:pPr>
        <w:spacing w:before="0" w:after="0"/>
      </w:pPr>
      <w:r>
        <w:t xml:space="preserve"/>
      </w:r>
    </w:p>
    <w:p w14:paraId="4A47F4FD">
      <w:pPr>
        <w:widowControl/>
        <w:spacing w:line="500" w:lineRule="exact"/>
        <w:ind w:firstLine="562" w:firstLineChars="200"/>
        <w:textAlignment w:val="baseline"/>
        <w:outlineLvl w:val="2"/>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pPr>
      <w:r>
        <w:rPr>
          <w:rFonts w:hint="eastAsia" w:ascii="仿宋_GB2312" w:hAnsi="仿宋_GB2312" w:eastAsia="仿宋_GB2312" w:cs="仿宋_GB2312"/>
          <w:b/>
          <w:bCs w:val="0"/>
          <w:color w:val="000000" w:themeColor="text1"/>
          <w:sz w:val="28"/>
          <w:szCs w:val="22"/>
          <w:highlight w:val="none"/>
          <w14:textFill>
            <w14:solidFill>
              <w14:schemeClr w14:val="tx1"/>
            </w14:solidFill>
          </w14:textFill>
        </w:rPr>
        <w:t>三、地价的确定</w:t>
      </w:r>
    </w:p>
    <w:p w14:paraId="3A56CC1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1.地价确定的方法</w:t>
      </w:r>
    </w:p>
    <w:p>
      <w:pPr>
        <w:spacing w:before="0" w:after="0" w:line="460" w:lineRule="exact"/>
        <w:ind w:left="561" w:firstLine="0"/>
      </w:pPr>
      <w:r>
        <w:rPr>
          <w:rFonts w:ascii="仿宋_GB2312" w:hAnsi="仿宋_GB2312" w:eastAsia="仿宋_GB2312" w:cs="仿宋_GB2312"/>
          <w:sz w:val="28"/>
        </w:rPr>
        <w:t>{{ final_price_determination }}</w:t>
      </w:r>
    </w:p>
    <w:p w14:paraId="11DF4AFC">
      <w:pPr>
        <w:spacing w:line="460" w:lineRule="exact"/>
        <w:jc w:val="center"/>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表3-15 估价对象地价结果表</w:t>
      </w:r>
    </w:p>
    <w:tbl>
      <w:tblPr>
        <w:tblStyle w:val="9"/>
        <w:tblW w:w="5021"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702"/>
        <w:gridCol w:w="1391"/>
        <w:gridCol w:w="781"/>
        <w:gridCol w:w="1144"/>
        <w:gridCol w:w="778"/>
        <w:gridCol w:w="1215"/>
        <w:gridCol w:w="1547"/>
      </w:tblGrid>
      <w:tr w14:paraId="15AE80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restart"/>
            <w:shd w:val="clear" w:color="auto" w:fill="auto"/>
            <w:vAlign w:val="center"/>
          </w:tcPr>
          <w:p w14:paraId="36FE622B">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宗地名称</w:t>
            </w:r>
          </w:p>
        </w:tc>
        <w:tc>
          <w:tcPr>
            <w:tcW w:w="2172" w:type="dxa"/>
            <w:gridSpan w:val="2"/>
            <w:shd w:val="clear" w:color="auto" w:fill="auto"/>
            <w:vAlign w:val="center"/>
          </w:tcPr>
          <w:p w14:paraId="78571F57">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成本逼近法</w:t>
            </w:r>
          </w:p>
        </w:tc>
        <w:tc>
          <w:tcPr>
            <w:tcW w:w="1922" w:type="dxa"/>
            <w:gridSpan w:val="2"/>
            <w:shd w:val="clear" w:color="auto" w:fill="auto"/>
            <w:vAlign w:val="center"/>
          </w:tcPr>
          <w:p w14:paraId="40D6C18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市场比较法</w:t>
            </w:r>
          </w:p>
        </w:tc>
        <w:tc>
          <w:tcPr>
            <w:tcW w:w="1215" w:type="dxa"/>
            <w:vMerge w:val="restart"/>
            <w:shd w:val="clear" w:color="auto" w:fill="auto"/>
            <w:vAlign w:val="center"/>
          </w:tcPr>
          <w:p w14:paraId="77F4F568">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最终评估地面单价（元/㎡）</w:t>
            </w:r>
          </w:p>
        </w:tc>
        <w:tc>
          <w:tcPr>
            <w:tcW w:w="1547" w:type="dxa"/>
            <w:vMerge w:val="restart"/>
            <w:shd w:val="clear" w:color="auto" w:fill="auto"/>
            <w:vAlign w:val="center"/>
          </w:tcPr>
          <w:p w14:paraId="1105B5B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总价（万元）</w:t>
            </w:r>
          </w:p>
        </w:tc>
      </w:tr>
      <w:tr w14:paraId="670923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147" w:hRule="atLeast"/>
          <w:jc w:val="center"/>
        </w:trPr>
        <w:tc>
          <w:tcPr>
            <w:tcW w:w="1702" w:type="dxa"/>
            <w:vMerge w:val="continue"/>
            <w:shd w:val="clear" w:color="auto" w:fill="auto"/>
            <w:vAlign w:val="center"/>
          </w:tcPr>
          <w:p w14:paraId="35D1D65D">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391" w:type="dxa"/>
            <w:shd w:val="clear" w:color="auto" w:fill="auto"/>
            <w:vAlign w:val="center"/>
          </w:tcPr>
          <w:p w14:paraId="37C6694C">
            <w:pPr>
              <w:keepNext w:val="0"/>
              <w:keepLines w:val="0"/>
              <w:suppressLineNumbers w:val="0"/>
              <w:spacing w:before="0" w:beforeAutospacing="0" w:after="0" w:afterAutospacing="0"/>
              <w:ind w:left="0" w:right="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w:t>
            </w:r>
          </w:p>
          <w:p w14:paraId="167E3BA0">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（元/㎡）</w:t>
            </w:r>
          </w:p>
        </w:tc>
        <w:tc>
          <w:tcPr>
            <w:tcW w:w="781" w:type="dxa"/>
            <w:shd w:val="clear" w:color="auto" w:fill="auto"/>
            <w:vAlign w:val="center"/>
          </w:tcPr>
          <w:p w14:paraId="348ED81C">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144" w:type="dxa"/>
            <w:shd w:val="clear" w:color="auto" w:fill="auto"/>
            <w:vAlign w:val="center"/>
          </w:tcPr>
          <w:p w14:paraId="545C8DD3">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地面单价（元/㎡）</w:t>
            </w:r>
          </w:p>
        </w:tc>
        <w:tc>
          <w:tcPr>
            <w:tcW w:w="778" w:type="dxa"/>
            <w:shd w:val="clear" w:color="auto" w:fill="auto"/>
            <w:vAlign w:val="center"/>
          </w:tcPr>
          <w:p w14:paraId="30F53B81">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权重</w:t>
            </w:r>
          </w:p>
        </w:tc>
        <w:tc>
          <w:tcPr>
            <w:tcW w:w="1215" w:type="dxa"/>
            <w:vMerge w:val="continue"/>
            <w:shd w:val="clear" w:color="auto" w:fill="auto"/>
            <w:vAlign w:val="center"/>
          </w:tcPr>
          <w:p w14:paraId="5233A959">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c>
          <w:tcPr>
            <w:tcW w:w="1547" w:type="dxa"/>
            <w:vMerge w:val="continue"/>
            <w:shd w:val="clear" w:color="auto" w:fill="auto"/>
            <w:vAlign w:val="center"/>
          </w:tcPr>
          <w:p w14:paraId="5164A0A2">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p>
        </w:tc>
      </w:tr>
      <w:tr w14:paraId="696748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294" w:hRule="atLeast"/>
          <w:jc w:val="center"/>
        </w:trPr>
        <w:tc>
          <w:tcPr>
            <w:tcW w:w="1702" w:type="dxa"/>
            <w:shd w:val="clear" w:color="auto" w:fill="auto"/>
            <w:vAlign w:val="center"/>
          </w:tcPr>
          <w:p w14:paraId="6A9762E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
              <w:rPr>
                <w:rFonts w:ascii="仿宋_GB2312" w:hAnsi="仿宋_GB2312" w:eastAsia="仿宋_GB2312" w:cs="仿宋_GB2312"/>
                <w:color w:val="000000"/>
              </w:rPr>
              <w:t>{{ land_location }}</w:t>
            </w:r>
          </w:p>
        </w:tc>
        <w:tc>
          <w:tcPr>
            <w:tcW w:w="1391" w:type="dxa"/>
            <w:shd w:val="clear" w:color="auto" w:fill="auto"/>
            <w:vAlign w:val="center"/>
          </w:tcPr>
          <w:p w14:paraId="1267EF5E">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cost_approx_price }}</w:t>
            </w:r>
          </w:p>
        </w:tc>
        <w:tc>
          <w:tcPr>
            <w:tcW w:w="781" w:type="dxa"/>
            <w:shd w:val="clear" w:color="auto" w:fill="auto"/>
            <w:vAlign w:val="center"/>
          </w:tcPr>
          <w:p w14:paraId="45C495F4">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144" w:type="dxa"/>
            <w:shd w:val="clear" w:color="auto" w:fill="auto"/>
            <w:vAlign w:val="center"/>
          </w:tcPr>
          <w:p w14:paraId="5CB8A432">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market_comp_price }}</w:t>
            </w:r>
          </w:p>
        </w:tc>
        <w:tc>
          <w:tcPr>
            <w:tcW w:w="778" w:type="dxa"/>
            <w:shd w:val="clear" w:color="auto" w:fill="auto"/>
            <w:vAlign w:val="center"/>
          </w:tcPr>
          <w:p w14:paraId="474D5C17">
            <w:pPr>
              <w:keepNext w:val="0"/>
              <w:keepLines w:val="0"/>
              <w:suppressLineNumbers w:val="0"/>
              <w:spacing w:before="0" w:beforeAutospacing="0" w:after="0" w:afterAutospacing="0"/>
              <w:ind w:left="0" w:leftChars="0" w:right="0" w:rightChars="0"/>
              <w:jc w:val="center"/>
              <w:rPr>
                <w:rFonts w:hint="eastAsia" w:ascii="仿宋" w:hAnsi="仿宋" w:eastAsia="仿宋" w:cs="仿宋"/>
                <w:bCs/>
                <w:color w:val="000000" w:themeColor="text1"/>
                <w:szCs w:val="21"/>
                <w:highlight w:val="none"/>
                <w:lang w:val="en-US" w:eastAsia="zh-CN"/>
                <w14:textFill>
                  <w14:solidFill>
                    <w14:schemeClr w14:val="tx1"/>
                  </w14:solidFill>
                </w14:textFill>
              </w:rPr>
            </w:pPr>
            <w:r>
              <w:rPr>
                <w:rFonts w:hint="eastAsia" w:ascii="仿宋" w:hAnsi="仿宋" w:eastAsia="仿宋" w:cs="仿宋"/>
                <w:bCs/>
                <w:color w:val="000000" w:themeColor="text1"/>
                <w:szCs w:val="21"/>
                <w:highlight w:val="none"/>
                <w:lang w:val="en-US" w:eastAsia="zh-CN"/>
                <w14:textFill>
                  <w14:solidFill>
                    <w14:schemeClr w14:val="tx1"/>
                  </w14:solidFill>
                </w14:textFill>
              </w:rPr>
              <w:t>50%</w:t>
            </w:r>
          </w:p>
        </w:tc>
        <w:tc>
          <w:tcPr>
            <w:tcW w:w="1215" w:type="dxa"/>
            <w:shd w:val="clear" w:color="auto" w:fill="auto"/>
            <w:vAlign w:val="center"/>
          </w:tcPr>
          <w:p w14:paraId="0C2B8619">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final_unit_price }}</w:t>
            </w:r>
          </w:p>
        </w:tc>
        <w:tc>
          <w:tcPr>
            <w:tcW w:w="1547" w:type="dxa"/>
            <w:shd w:val="clear" w:color="auto" w:fill="auto"/>
            <w:vAlign w:val="center"/>
          </w:tcPr>
          <w:p w14:paraId="7487E7C6">
            <w:pPr>
              <w:keepNext w:val="0"/>
              <w:keepLines w:val="0"/>
              <w:suppressLineNumbers w:val="0"/>
              <w:spacing w:before="0" w:beforeAutospacing="0" w:after="0" w:afterAutospacing="0"/>
              <w:ind w:left="0" w:leftChars="0" w:right="0" w:rightChars="0"/>
              <w:jc w:val="center"/>
              <w:rPr>
                <w:rFonts w:hint="default" w:ascii="仿宋" w:hAnsi="仿宋" w:eastAsia="仿宋" w:cs="仿宋"/>
                <w:bCs/>
                <w:color w:val="000000" w:themeColor="text1"/>
                <w:szCs w:val="21"/>
                <w:highlight w:val="none"/>
                <w:lang w:val="en-US" w:eastAsia="zh-CN"/>
                <w14:textFill>
                  <w14:solidFill>
                    <w14:schemeClr w14:val="tx1"/>
                  </w14:solidFill>
                </w14:textFill>
              </w:rPr>
            </w:pPr>
            <w:r>
              <w:rPr>
                <w:rFonts w:ascii="仿宋_GB2312" w:hAnsi="仿宋_GB2312" w:eastAsia="仿宋_GB2312" w:cs="仿宋_GB2312"/>
                <w:color w:val="000000"/>
              </w:rPr>
              <w:t>{{ final_total_price }}</w:t>
            </w:r>
          </w:p>
        </w:tc>
      </w:tr>
    </w:tbl>
    <w:p w14:paraId="196F8A4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2.确定估价结果</w:t>
      </w:r>
    </w:p>
    <w:p>
      <w:pPr>
        <w:spacing w:before="0" w:after="120" w:line="460" w:lineRule="exact"/>
        <w:ind w:left="561" w:firstLine="0"/>
      </w:pPr>
      <w:r>
        <w:rPr>
          <w:rFonts w:ascii="仿宋_GB2312" w:hAnsi="仿宋_GB2312" w:eastAsia="仿宋_GB2312" w:cs="仿宋_GB2312"/>
          <w:sz w:val="28"/>
        </w:rPr>
        <w:t>{{ valuation_result_statement }}</w:t>
      </w:r>
    </w:p>
    <w:p w14:paraId="414F5B82">
      <w:pPr>
        <w:pageBreakBefore/>
        <w:tabs>
          <w:tab w:val="left" w:pos="-105"/>
          <w:tab w:val="left" w:pos="735"/>
          <w:tab w:val="left" w:pos="1785"/>
        </w:tabs>
        <w:adjustRightInd w:val="0"/>
        <w:snapToGrid w:val="0"/>
        <w:spacing w:line="400" w:lineRule="exact" w:before="0" w:after="240"/>
        <w:jc w:val="center"/>
        <w:outlineLvl w:val="1"/>
        <w:rPr>
          <w:rFonts w:ascii="宋体" w:hAnsi="宋体" w:cs="仿宋_GB2312"/>
          <w:b/>
          <w:color w:val="000000" w:themeColor="text1"/>
          <w:sz w:val="32"/>
          <w:szCs w:val="3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第四部分    附   件</w:t>
      </w:r>
    </w:p>
    <w:p w14:paraId="532421ED">
      <w:pPr>
        <w:tabs>
          <w:tab w:val="left" w:pos="-105"/>
          <w:tab w:val="left" w:pos="735"/>
          <w:tab w:val="left" w:pos="1785"/>
        </w:tabs>
        <w:adjustRightInd w:val="0"/>
        <w:snapToGrid w:val="0"/>
        <w:spacing w:line="400" w:lineRule="exact"/>
        <w:rPr>
          <w:rFonts w:ascii="仿宋_GB2312" w:eastAsia="仿宋_GB2312"/>
          <w:bCs/>
          <w:color w:val="000000" w:themeColor="text1"/>
          <w:sz w:val="28"/>
          <w:szCs w:val="22"/>
          <w:highlight w:val="none"/>
          <w14:textFill>
            <w14:solidFill>
              <w14:schemeClr w14:val="tx1"/>
            </w14:solidFill>
          </w14:textFill>
        </w:rPr>
      </w:pPr>
      <w:r>
        <w:rPr>
          <w:rFonts w:hint="eastAsia" w:ascii="宋体" w:hAnsi="宋体" w:cs="仿宋_GB2312"/>
          <w:b/>
          <w:color w:val="000000" w:themeColor="text1"/>
          <w:sz w:val="32"/>
          <w:szCs w:val="32"/>
          <w:highlight w:val="none"/>
          <w14:textFill>
            <w14:solidFill>
              <w14:schemeClr w14:val="tx1"/>
            </w14:solidFill>
          </w14:textFill>
        </w:rPr>
        <w:t xml:space="preserve"> </w:t>
      </w:r>
    </w:p>
    <w:p w14:paraId="41DB3656">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1.《评估委托书》；</w:t>
      </w:r>
    </w:p>
    <w:p w14:paraId="4ABB72F8">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2.委托方《统一社会信用代码证书》复印件；</w:t>
      </w:r>
    </w:p>
    <w:p w14:paraId="1BD9A75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ascii="仿宋_GB2312" w:hAnsi="仿宋_GB2312" w:eastAsia="仿宋_GB2312" w:cs="仿宋_GB2312"/>
          <w:sz w:val="28"/>
        </w:rPr>
        <w:t>3.{{ basis_docs_rendered }}；</w:t>
      </w:r>
    </w:p>
    <w:p w14:paraId="2B0E6F27">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4.《关于国有建设用地的规划条件的函》（2025年9月11日）；</w:t>
      </w:r>
    </w:p>
    <w:p w14:paraId="549BA52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outlineLvl w:val="9"/>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t>5.《{{ county_name }}{{ land_plot_number }}号地块建设用地规划红线图》；</w:t>
      </w:r>
      <w:r>
        <w:rPr>
          <w:rFonts w:ascii="仿宋_GB2312" w:hAnsi="仿宋_GB2312" w:eastAsia="仿宋_GB2312" w:cs="仿宋_GB2312"/>
          <w:color w:val="000000"/>
          <w:sz w:val="28"/>
        </w:rPr>
      </w:r>
    </w:p>
    <w:p w14:paraId="1ABF9B84">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6.估价对象宗地区域位置示意图；</w:t>
      </w:r>
    </w:p>
    <w:p w14:paraId="2FCF6B5B">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default"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7.现场勘查照片；</w:t>
      </w:r>
    </w:p>
    <w:p w14:paraId="401D1AE5">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8.现场勘查记录表；</w:t>
      </w:r>
    </w:p>
    <w:p w14:paraId="285238A0">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9.土地评估中介机构企业营业执照；</w:t>
      </w:r>
    </w:p>
    <w:p w14:paraId="2C03AEC9">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10.土地评估中介机构备案证明；</w:t>
      </w:r>
    </w:p>
    <w:p w14:paraId="31128BA3">
      <w:pPr>
        <w:keepNext w:val="0"/>
        <w:keepLines w:val="0"/>
        <w:pageBreakBefore w:val="0"/>
        <w:widowControl w:val="0"/>
        <w:kinsoku/>
        <w:wordWrap/>
        <w:overflowPunct/>
        <w:topLinePunct w:val="0"/>
        <w:autoSpaceDE/>
        <w:autoSpaceDN/>
        <w:bidi w:val="0"/>
        <w:adjustRightInd w:val="0"/>
        <w:snapToGrid w:val="0"/>
        <w:spacing w:line="460" w:lineRule="exact"/>
        <w:ind w:firstLine="560" w:firstLineChars="200"/>
        <w:textAlignment w:val="auto"/>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Cs/>
          <w:color w:val="000000" w:themeColor="text1"/>
          <w:sz w:val="28"/>
          <w:szCs w:val="28"/>
          <w:highlight w:val="none"/>
          <w:lang w:val="en-US" w:eastAsia="zh-CN"/>
          <w14:textFill>
            <w14:solidFill>
              <w14:schemeClr w14:val="tx1"/>
            </w14:solidFill>
          </w14:textFill>
        </w:rPr>
        <w:t>11.土地估价师资质证书。</w:t>
      </w:r>
    </w:p>
    <w:p w14:paraId="5AF61568">
      <w:pPr>
        <w:jc w:val="right"/>
        <w:rPr>
          <w:color w:val="000000" w:themeColor="text1"/>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（以上资料均为复印件）</w:t>
      </w:r>
    </w:p>
    <w:p w14:paraId="562BE5F1">
      <w:pPr>
        <w:rPr>
          <w:highlight w:val="none"/>
        </w:rPr>
      </w:pPr>
    </w:p>
    <w:sectPr>
      <w:footerReference r:id="rId28" w:type="default"/>
      <w:pgSz w:w="11906" w:h="16838"/>
      <w:pgMar w:top="1440" w:right="1800" w:bottom="1440" w:left="1800" w:header="851" w:footer="992" w:gutter="0"/>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1"/>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昆仑仿宋">
    <w:altName w:val="仿宋"/>
    <w:panose1 w:val="00000000000000000000"/>
    <w:charset w:val="86"/>
    <w:family w:val="auto"/>
    <w:pitch w:val="default"/>
    <w:sig w:usb0="00000000" w:usb1="00000000" w:usb2="00000010" w:usb3="00000000" w:csb0="00040000" w:csb1="00000000"/>
  </w:font>
  <w:font w:name="仿宋">
    <w:panose1 w:val="02010609060101010101"/>
    <w:charset w:val="86"/>
    <w:family w:val="modern"/>
    <w:pitch w:val="default"/>
    <w:sig w:usb0="800002BF" w:usb1="38CF7CFA" w:usb2="00000016" w:usb3="00000000" w:csb0="00040001" w:csb1="00000000"/>
  </w:font>
  <w:font w:name="仿宋_GB2312">
    <w:altName w:val="仿宋"/>
    <w:panose1 w:val="02010609030101010101"/>
    <w:charset w:val="86"/>
    <w:family w:val="modern"/>
    <w:pitch w:val="default"/>
    <w:sig w:usb0="00000000" w:usb1="0000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楷体_GB2312">
    <w:altName w:val="楷体"/>
    <w:panose1 w:val="02010609030101010101"/>
    <w:charset w:val="86"/>
    <w:family w:val="modern"/>
    <w:pitch w:val="default"/>
    <w:sig w:usb0="00000000" w:usb1="00000000" w:usb2="00000000" w:usb3="00000000" w:csb0="00040000" w:csb1="00000000"/>
  </w:font>
  <w:font w:name="等线">
    <w:panose1 w:val="02010600030101010101"/>
    <w:charset w:val="86"/>
    <w:family w:val="auto"/>
    <w:pitch w:val="default"/>
    <w:sig w:usb0="A00002BF" w:usb1="3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KSOFE44F9426">
    <w:panose1 w:val="02010609060101010101"/>
    <w:charset w:val="86"/>
    <w:family w:val="auto"/>
    <w:pitch w:val="default"/>
    <w:sig w:usb0="00000001" w:usb1="00000000" w:usb2="00000000" w:usb3="00000000" w:csb0="00040001" w:csb1="00000000"/>
  </w:font>
  <w:font w:name="KSOFE4500885">
    <w:panose1 w:val="02010609060101010101"/>
    <w:charset w:val="86"/>
    <w:family w:val="auto"/>
    <w:pitch w:val="default"/>
    <w:sig w:usb0="00000001" w:usb1="00000000" w:usb2="00000000"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A7F603">
    <w:pPr>
      <w:pStyle w:val="7"/>
      <w:pBdr>
        <w:bottom w:val="single" w:color="auto" w:sz="6" w:space="1"/>
      </w:pBdr>
      <w:rPr>
        <w:rFonts w:ascii="仿宋_GB2312" w:eastAsia="仿宋_GB2312"/>
        <w:sz w:val="21"/>
        <w:szCs w:val="21"/>
      </w:rPr>
    </w:pPr>
  </w:p>
  <w:p w14:paraId="39535968">
    <w:pPr>
      <w:pStyle w:val="7"/>
    </w:pPr>
    <w:r/>
    <w:r>
      <w:rPr>
        <w:rFonts w:ascii="仿宋_GB2312" w:hAnsi="仿宋_GB2312" w:eastAsia="仿宋_GB2312" w:cs="仿宋_GB2312"/>
        <w:sz w:val="21"/>
      </w:rPr>
      <w:t xml:space="preserve"> {{ appraisal_org }}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07175C">
    <w:pPr>
      <w:pStyle w:val="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E25BEE">
    <w:pPr>
      <w:pStyle w:val="7"/>
    </w:pPr>
    <w:r>
      <w:rPr>
        <w:sz w:val="18"/>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39" name="文本框 3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E9A5A05">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JYzS4AzAgAAYwQAAA4AAAAAAAAAAQAgAAAAHwEAAGRycy9lMm9Eb2MueG1sUEsF&#10;BgAAAAAGAAYAWQEAAMQFAAAAAA==&#10;">
              <v:fill on="f" focussize="0,0"/>
              <v:stroke on="f" weight="0.5pt"/>
              <v:imagedata o:title=""/>
              <o:lock v:ext="edit" aspectratio="f"/>
              <v:textbox inset="0mm,0mm,0mm,0mm" style="mso-fit-shape-to-text:t;">
                <w:txbxContent>
                  <w:p w14:paraId="5E9A5A05">
                    <w:pPr>
                      <w:pStyle w:val="7"/>
                    </w:pPr>
                    <w:r>
                      <w:fldChar w:fldCharType="begin"/>
                    </w:r>
                    <w:r>
                      <w:instrText xml:space="preserve"> PAGE  \* MERGEFORMAT </w:instrText>
                    </w:r>
                    <w:r>
                      <w:fldChar w:fldCharType="separate"/>
                    </w:r>
                    <w:r>
                      <w:t>1</w:t>
                    </w:r>
                    <w:r>
                      <w:fldChar w:fldCharType="end"/>
                    </w:r>
                  </w:p>
                </w:txbxContent>
              </v:textbox>
            </v:shape>
          </w:pict>
        </mc:Fallback>
      </mc:AlternateContent>
    </w:r>
    <w:r>
      <mc:AlternateContent>
        <mc:Choice Requires="wps">
          <w:drawing>
            <wp:anchor distT="0" distB="0" distL="114300" distR="114300" simplePos="0" relativeHeight="251662336" behindDoc="0" locked="0" layoutInCell="1" allowOverlap="1">
              <wp:simplePos x="0" y="0"/>
              <wp:positionH relativeFrom="margin">
                <wp:align>right</wp:align>
              </wp:positionH>
              <wp:positionV relativeFrom="paragraph">
                <wp:posOffset>0</wp:posOffset>
              </wp:positionV>
              <wp:extent cx="57785" cy="131445"/>
              <wp:effectExtent l="0" t="0" r="0" b="0"/>
              <wp:wrapNone/>
              <wp:docPr id="9" name="文本框 13"/>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6D1EA53C">
                          <w:pPr>
                            <w:snapToGrid w:val="0"/>
                            <w:rPr>
                              <w:sz w:val="18"/>
                            </w:rPr>
                          </w:pPr>
                        </w:p>
                      </w:txbxContent>
                    </wps:txbx>
                    <wps:bodyPr wrap="square" lIns="0" tIns="0" rIns="0" bIns="0"/>
                  </wps:wsp>
                </a:graphicData>
              </a:graphic>
            </wp:anchor>
          </w:drawing>
        </mc:Choice>
        <mc:Fallback>
          <w:pict>
            <v:shape id="文本框 13" o:spid="_x0000_s1026" o:spt="202" type="#_x0000_t202" style="position:absolute;left:0pt;margin-top:0pt;height:10.35pt;width:4.55pt;mso-position-horizontal:right;mso-position-horizontal-relative:margin;z-index:25166233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OoCma+AQAAcwMAAA4AAAAAAAAAAQAgAAAAIgEAAGRycy9lMm9Eb2MueG1sUEsF&#10;BgAAAAAGAAYAWQEAAFIFAAAAAA==&#10;">
              <v:fill on="f" focussize="0,0"/>
              <v:stroke on="f"/>
              <v:imagedata o:title=""/>
              <o:lock v:ext="edit" aspectratio="f"/>
              <v:textbox inset="0mm,0mm,0mm,0mm">
                <w:txbxContent>
                  <w:p w14:paraId="6D1EA53C">
                    <w:pPr>
                      <w:snapToGrid w:val="0"/>
                      <w:rPr>
                        <w:sz w:val="18"/>
                      </w:rPr>
                    </w:pP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margin">
                <wp:posOffset>5715000</wp:posOffset>
              </wp:positionH>
              <wp:positionV relativeFrom="paragraph">
                <wp:posOffset>13335</wp:posOffset>
              </wp:positionV>
              <wp:extent cx="114935" cy="131445"/>
              <wp:effectExtent l="0" t="0" r="0" b="0"/>
              <wp:wrapNone/>
              <wp:docPr id="7" name="文本框 10"/>
              <wp:cNvGraphicFramePr/>
              <a:graphic xmlns:a="http://schemas.openxmlformats.org/drawingml/2006/main">
                <a:graphicData uri="http://schemas.microsoft.com/office/word/2010/wordprocessingShape">
                  <wps:wsp>
                    <wps:cNvSpPr txBox="1"/>
                    <wps:spPr>
                      <a:xfrm>
                        <a:off x="0" y="0"/>
                        <a:ext cx="114935" cy="131445"/>
                      </a:xfrm>
                      <a:prstGeom prst="rect">
                        <a:avLst/>
                      </a:prstGeom>
                      <a:noFill/>
                      <a:ln>
                        <a:noFill/>
                      </a:ln>
                    </wps:spPr>
                    <wps:txbx>
                      <w:txbxContent>
                        <w:p w14:paraId="793EDD3D">
                          <w:pPr>
                            <w:snapToGrid w:val="0"/>
                            <w:rPr>
                              <w:sz w:val="18"/>
                            </w:rPr>
                          </w:pPr>
                        </w:p>
                      </w:txbxContent>
                    </wps:txbx>
                    <wps:bodyPr wrap="square" lIns="0" tIns="0" rIns="0" bIns="0" upright="1"/>
                  </wps:wsp>
                </a:graphicData>
              </a:graphic>
            </wp:anchor>
          </w:drawing>
        </mc:Choice>
        <mc:Fallback>
          <w:pict>
            <v:shape id="文本框 10" o:spid="_x0000_s1026" o:spt="202" type="#_x0000_t202" style="position:absolute;left:0pt;margin-left:450pt;margin-top:1.05pt;height:10.35pt;width:9.05pt;mso-position-horizontal-relative:margin;z-index:251660288;mso-width-relative:page;mso-height-relative:page;" filled="f" stroked="f" coordsize="21600,21600" o:gfxdata="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">
              <v:fill on="f" focussize="0,0"/>
              <v:stroke on="f"/>
              <v:imagedata o:title=""/>
              <o:lock v:ext="edit" aspectratio="f"/>
              <v:textbox inset="0mm,0mm,0mm,0mm">
                <w:txbxContent>
                  <w:p w14:paraId="793EDD3D">
                    <w:pPr>
                      <w:snapToGrid w:val="0"/>
                      <w:rPr>
                        <w:sz w:val="18"/>
                      </w:rPr>
                    </w:pP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C7D12">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3360" behindDoc="0" locked="0" layoutInCell="1" allowOverlap="1">
              <wp:simplePos x="0" y="0"/>
              <wp:positionH relativeFrom="margin">
                <wp:align>right</wp:align>
              </wp:positionH>
              <wp:positionV relativeFrom="paragraph">
                <wp:posOffset>195580</wp:posOffset>
              </wp:positionV>
              <wp:extent cx="212090" cy="143510"/>
              <wp:effectExtent l="0" t="0" r="0" b="0"/>
              <wp:wrapNone/>
              <wp:docPr id="10" name="文本框 9"/>
              <wp:cNvGraphicFramePr/>
              <a:graphic xmlns:a="http://schemas.openxmlformats.org/drawingml/2006/main">
                <a:graphicData uri="http://schemas.microsoft.com/office/word/2010/wordprocessingShape">
                  <wps:wsp>
                    <wps:cNvSpPr txBox="1"/>
                    <wps:spPr>
                      <a:xfrm>
                        <a:off x="0" y="0"/>
                        <a:ext cx="212090" cy="143510"/>
                      </a:xfrm>
                      <a:prstGeom prst="rect">
                        <a:avLst/>
                      </a:prstGeom>
                      <a:noFill/>
                      <a:ln>
                        <a:noFill/>
                      </a:ln>
                    </wps:spPr>
                    <wps:txbx>
                      <w:txbxContent>
                        <w:p w14:paraId="0697E14A">
                          <w:pPr>
                            <w:snapToGrid w:val="0"/>
                            <w:rPr>
                              <w:sz w:val="18"/>
                            </w:rPr>
                          </w:pPr>
                        </w:p>
                      </w:txbxContent>
                    </wps:txbx>
                    <wps:bodyPr wrap="square" lIns="0" tIns="0" rIns="0" bIns="0"/>
                  </wps:wsp>
                </a:graphicData>
              </a:graphic>
            </wp:anchor>
          </w:drawing>
        </mc:Choice>
        <mc:Fallback>
          <w:pict>
            <v:shape id="文本框 9" o:spid="_x0000_s1026" o:spt="202" type="#_x0000_t202" style="position:absolute;left:0pt;margin-top:15.4pt;height:11.3pt;width:16.7pt;mso-position-horizontal:right;mso-position-horizontal-relative:margin;z-index:251663360;mso-width-relative:page;mso-height-relative:page;" filled="f" stroked="f" coordsize="21600,21600" o:gfxdata="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nWKSh1AAAAAUBAAAPAAAAAAAAAAEAIAAAACIAAABkcnMvZG93bnJldi54bWxQSwECFAAU&#10;AAAACACHTuJA83Oqc7wBAAB0AwAADgAAAAAAAAABACAAAAAjAQAAZHJzL2Uyb0RvYy54bWxQSwUG&#10;AAAAAAYABgBZAQAAUQUAAAAA&#10;">
              <v:fill on="f" focussize="0,0"/>
              <v:stroke on="f"/>
              <v:imagedata o:title=""/>
              <o:lock v:ext="edit" aspectratio="f"/>
              <v:textbox inset="0mm,0mm,0mm,0mm">
                <w:txbxContent>
                  <w:p w14:paraId="0697E14A">
                    <w:pPr>
                      <w:snapToGrid w:val="0"/>
                      <w:rPr>
                        <w:sz w:val="18"/>
                      </w:rPr>
                    </w:pPr>
                  </w:p>
                </w:txbxContent>
              </v:textbox>
            </v:shape>
          </w:pict>
        </mc:Fallback>
      </mc:AlternateContent>
    </w:r>
  </w:p>
  <w:p w14:paraId="68931304">
    <w:pPr>
      <w:pStyle w:val="7"/>
      <w:pBdr>
        <w:top w:val="none" w:color="auto" w:sz="0" w:space="0"/>
        <w:left w:val="none" w:color="auto" w:sz="0" w:space="0"/>
        <w:bottom w:val="none" w:color="auto" w:sz="0" w:space="0"/>
        <w:right w:val="none" w:color="auto" w:sz="0" w:space="0"/>
        <w:between w:val="none" w:color="auto" w:sz="0" w:space="0"/>
      </w:pBdr>
      <w:jc w:val="both"/>
    </w:pPr>
    <w:r>
      <w:rPr>
        <w:sz w:val="21"/>
      </w:rPr>
      <mc:AlternateContent>
        <mc:Choice Requires="wps">
          <w:drawing>
            <wp:anchor distT="0" distB="0" distL="114300" distR="114300" simplePos="0" relativeHeight="251673600" behindDoc="0" locked="0" layoutInCell="1" allowOverlap="1">
              <wp:simplePos x="0" y="0"/>
              <wp:positionH relativeFrom="margin">
                <wp:align>right</wp:align>
              </wp:positionH>
              <wp:positionV relativeFrom="paragraph">
                <wp:posOffset>0</wp:posOffset>
              </wp:positionV>
              <wp:extent cx="1828800" cy="1828800"/>
              <wp:effectExtent l="0" t="0" r="0" b="0"/>
              <wp:wrapNone/>
              <wp:docPr id="40" name="文本框 4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11EFC">
                          <w:pPr>
                            <w:pStyle w:val="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360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AAAAAGRycy9QSwECFAAUAAAA&#10;CACHTuJAs0lY7tAAAAAFAQAADwAAAAAAAAABACAAAAAiAAAAZHJzL2Rvd25yZXYueG1sUEsBAhQA&#10;FAAAAAgAh07iQC7J9wAzAgAAYwQAAA4AAAAAAAAAAQAgAAAAHwEAAGRycy9lMm9Eb2MueG1sUEsF&#10;BgAAAAAGAAYAWQEAAMQFAAAAAA==&#10;">
              <v:fill on="f" focussize="0,0"/>
              <v:stroke on="f" weight="0.5pt"/>
              <v:imagedata o:title=""/>
              <o:lock v:ext="edit" aspectratio="f"/>
              <v:textbox inset="0mm,0mm,0mm,0mm" style="mso-fit-shape-to-text:t;">
                <w:txbxContent>
                  <w:p w14:paraId="1CF11EFC">
                    <w:pPr>
                      <w:pStyle w:val="7"/>
                    </w:pPr>
                    <w:r>
                      <w:fldChar w:fldCharType="begin"/>
                    </w:r>
                    <w:r>
                      <w:instrText xml:space="preserve"> PAGE  \* MERGEFORMAT </w:instrText>
                    </w:r>
                    <w:r>
                      <w:fldChar w:fldCharType="separate"/>
                    </w:r>
                    <w:r>
                      <w:t>1</w:t>
                    </w:r>
                    <w:r>
                      <w:fldChar w:fldCharType="end"/>
                    </w:r>
                  </w:p>
                </w:txbxContent>
              </v:textbox>
            </v:shape>
          </w:pict>
        </mc:Fallback>
      </mc:AlternateContent>
    </w:r>
    <w:r>
      <w:rPr>
        <w:rFonts w:hint="eastAsia" w:ascii="仿宋_GB2312" w:hAnsi="仿宋_GB2312" w:eastAsia="仿宋_GB2312" w:cs="仿宋_GB2312"/>
        <w:spacing w:val="14"/>
        <w:sz w:val="21"/>
        <w:szCs w:val="21"/>
        <w:lang w:val="en-US" w:eastAsia="zh-CN"/>
      </w:rPr>
      <w:t>湖</w:t>
    </w:r>
    <w:r>
      <w:rPr>
        <w:rFonts w:hint="eastAsia" w:ascii="仿宋_GB2312" w:hAnsi="仿宋_GB2312" w:eastAsia="仿宋_GB2312" w:cs="仿宋_GB2312"/>
        <w:spacing w:val="14"/>
        <w:sz w:val="21"/>
        <w:szCs w:val="21"/>
        <w:lang w:eastAsia="zh-CN"/>
      </w:rPr>
      <w:t>南兆财不动产规划评估有限公司</w:t>
    </w:r>
    <w:r>
      <mc:AlternateContent>
        <mc:Choice Requires="wps">
          <w:drawing>
            <wp:anchor distT="0" distB="0" distL="114300" distR="114300" simplePos="0" relativeHeight="25166438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 name="文本框 9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15875">
                        <a:noFill/>
                      </a:ln>
                    </wps:spPr>
                    <wps:txbx>
                      <w:txbxContent>
                        <w:p w14:paraId="30FD40D0">
                          <w:pPr>
                            <w:pStyle w:val="7"/>
                            <w:jc w:val="left"/>
                          </w:pPr>
                          <w:r>
                            <w:rPr>
                              <w:rFonts w:hint="eastAsia" w:ascii="仿宋_GB2312" w:eastAsia="仿宋_GB2312"/>
                              <w:sz w:val="21"/>
                              <w:szCs w:val="21"/>
                            </w:rPr>
                            <w:t>　　</w:t>
                          </w:r>
                        </w:p>
                      </w:txbxContent>
                    </wps:txbx>
                    <wps:bodyPr vert="horz" wrap="none" lIns="0" tIns="0" rIns="0" bIns="0" anchor="t">
                      <a:spAutoFit/>
                    </wps:bodyPr>
                  </wps:wsp>
                </a:graphicData>
              </a:graphic>
            </wp:anchor>
          </w:drawing>
        </mc:Choice>
        <mc:Fallback>
          <w:pict>
            <v:shape id="文本框 93" o:spid="_x0000_s1026" o:spt="202" type="#_x0000_t202" style="position:absolute;left:0pt;margin-top:0pt;height:144pt;width:144pt;mso-position-horizontal:center;mso-position-horizontal-relative:margin;mso-wrap-style:none;z-index:251664384;mso-width-relative:page;mso-height-relative:page;" filled="f" stroked="f" coordsize="21600,21600" o:gfxdata="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hpgkvTAAAABQEAAA8AAAAAAAAAAQAg&#10;AAAAIgAAAGRycy9kb3ducmV2LnhtbFBLAQIUABQAAAAIAIdO4kB+9joV2gEAALADAAAOAAAAAAAA&#10;AAEAIAAAACIBAABkcnMvZTJvRG9jLnhtbFBLBQYAAAAABgAGAFkBAABuBQAAAAA=&#10;">
              <v:fill on="f" focussize="0,0"/>
              <v:stroke on="f" weight="1.25pt"/>
              <v:imagedata o:title=""/>
              <o:lock v:ext="edit" aspectratio="f"/>
              <v:textbox inset="0mm,0mm,0mm,0mm" style="mso-fit-shape-to-text:t;">
                <w:txbxContent>
                  <w:p w14:paraId="30FD40D0">
                    <w:pPr>
                      <w:pStyle w:val="7"/>
                      <w:jc w:val="left"/>
                    </w:pPr>
                    <w:r>
                      <w:rPr>
                        <w:rFonts w:hint="eastAsia" w:ascii="仿宋_GB2312" w:eastAsia="仿宋_GB2312"/>
                        <w:sz w:val="21"/>
                        <w:szCs w:val="21"/>
                      </w:rPr>
                      <w:t>　　</w:t>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A6C785">
    <w:pPr>
      <w:pStyle w:val="7"/>
      <w:pBdr>
        <w:bottom w:val="single" w:color="auto" w:sz="6" w:space="1"/>
      </w:pBdr>
      <w:rPr>
        <w:rFonts w:ascii="仿宋_GB2312" w:eastAsia="仿宋_GB2312"/>
        <w:sz w:val="21"/>
        <w:szCs w:val="21"/>
      </w:rPr>
    </w:pPr>
  </w:p>
  <w:p w14:paraId="21E1C8D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5"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YuouS+AQAAcgMAAA4AAAAAAAAAAQAgAAAAIgEAAGRycy9lMm9Eb2MueG1sUEsF&#10;BgAAAAAGAAYAWQEAAFIFAAAAAA==&#10;">
              <v:fill on="f" focussize="0,0"/>
              <v:stroke on="f"/>
              <v:imagedata o:title=""/>
              <o:lock v:ext="edit" aspectratio="f"/>
              <v:textbox inset="0mm,0mm,0mm,0mm">
                <w:txbxContent>
                  <w:p w14:paraId="72A5AB95">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8EF68C">
    <w:pPr>
      <w:pStyle w:val="7"/>
      <w:pBdr>
        <w:bottom w:val="single" w:color="auto" w:sz="6" w:space="1"/>
      </w:pBdr>
      <w:rPr>
        <w:rFonts w:ascii="仿宋_GB2312" w:eastAsia="仿宋_GB2312"/>
        <w:sz w:val="21"/>
        <w:szCs w:val="21"/>
      </w:rPr>
    </w:pPr>
  </w:p>
  <w:p w14:paraId="43511147">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0"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P7d5Y2+AQAAcwMAAA4AAAAAAAAAAQAgAAAAIgEAAGRycy9lMm9Eb2MueG1sUEsF&#10;BgAAAAAGAAYAWQEAAFIFAAAAAA==&#10;">
              <v:fill on="f" focussize="0,0"/>
              <v:stroke on="f"/>
              <v:imagedata o:title=""/>
              <o:lock v:ext="edit" aspectratio="f"/>
              <v:textbox inset="0mm,0mm,0mm,0mm">
                <w:txbxContent>
                  <w:p w14:paraId="20F7DCC7">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08D0CA">
    <w:pPr>
      <w:pStyle w:val="7"/>
      <w:pBdr>
        <w:bottom w:val="single" w:color="auto" w:sz="6" w:space="1"/>
      </w:pBdr>
      <w:rPr>
        <w:rFonts w:ascii="仿宋_GB2312" w:eastAsia="仿宋_GB2312"/>
        <w:sz w:val="21"/>
        <w:szCs w:val="21"/>
      </w:rPr>
    </w:pPr>
  </w:p>
  <w:p w14:paraId="40CDE9F3">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5408" behindDoc="0" locked="0" layoutInCell="1" allowOverlap="1">
              <wp:simplePos x="0" y="0"/>
              <wp:positionH relativeFrom="margin">
                <wp:align>center</wp:align>
              </wp:positionH>
              <wp:positionV relativeFrom="paragraph">
                <wp:posOffset>0</wp:posOffset>
              </wp:positionV>
              <wp:extent cx="57785" cy="131445"/>
              <wp:effectExtent l="0" t="0" r="0" b="0"/>
              <wp:wrapNone/>
              <wp:docPr id="11"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540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">
              <v:fill on="f" focussize="0,0"/>
              <v:stroke on="f"/>
              <v:imagedata o:title=""/>
              <o:lock v:ext="edit" aspectratio="f"/>
              <v:textbox inset="0mm,0mm,0mm,0mm">
                <w:txbxContent>
                  <w:p w14:paraId="4B06D9BE">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4F0B1">
    <w:pPr>
      <w:pStyle w:val="7"/>
      <w:pBdr>
        <w:bottom w:val="single" w:color="auto" w:sz="6" w:space="1"/>
      </w:pBdr>
      <w:rPr>
        <w:rFonts w:ascii="仿宋_GB2312" w:eastAsia="仿宋_GB2312"/>
        <w:sz w:val="21"/>
        <w:szCs w:val="21"/>
      </w:rPr>
    </w:pPr>
    <w:r>
      <w:rPr>
        <w:sz w:val="21"/>
      </w:rPr>
      <mc:AlternateContent>
        <mc:Choice Requires="wps">
          <w:drawing>
            <wp:anchor distT="0" distB="0" distL="114300" distR="114300" simplePos="0" relativeHeight="251660288" behindDoc="0" locked="0" layoutInCell="1" allowOverlap="1">
              <wp:simplePos x="0" y="0"/>
              <wp:positionH relativeFrom="margin">
                <wp:align>right</wp:align>
              </wp:positionH>
              <wp:positionV relativeFrom="paragraph">
                <wp:posOffset>0</wp:posOffset>
              </wp:positionV>
              <wp:extent cx="281305" cy="214630"/>
              <wp:effectExtent l="0" t="0" r="0" b="0"/>
              <wp:wrapNone/>
              <wp:docPr id="15" name="文本框 9"/>
              <wp:cNvGraphicFramePr/>
              <a:graphic xmlns:a="http://schemas.openxmlformats.org/drawingml/2006/main">
                <a:graphicData uri="http://schemas.microsoft.com/office/word/2010/wordprocessingShape">
                  <wps:wsp>
                    <wps:cNvSpPr txBox="1"/>
                    <wps:spPr>
                      <a:xfrm>
                        <a:off x="0" y="0"/>
                        <a:ext cx="281305" cy="214630"/>
                      </a:xfrm>
                      <a:prstGeom prst="rect">
                        <a:avLst/>
                      </a:prstGeom>
                      <a:noFill/>
                      <a:ln>
                        <a:noFill/>
                      </a:ln>
                    </wps:spPr>
                    <wps:txbx>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6.9pt;width:22.15pt;mso-position-horizontal:right;mso-position-horizontal-relative:margin;z-index:251660288;mso-width-relative:page;mso-height-relative:page;" filled="f" stroked="f" coordsize="21600,21600" o:gfxdata="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">
              <v:fill on="f" focussize="0,0"/>
              <v:stroke on="f"/>
              <v:imagedata o:title=""/>
              <o:lock v:ext="edit" aspectratio="f"/>
              <v:textbox inset="0mm,0mm,0mm,0mm">
                <w:txbxContent>
                  <w:p w14:paraId="515894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3</w:t>
                    </w:r>
                    <w:r>
                      <w:rPr>
                        <w:rFonts w:hint="eastAsia"/>
                        <w:sz w:val="18"/>
                      </w:rPr>
                      <w:fldChar w:fldCharType="end"/>
                    </w:r>
                  </w:p>
                </w:txbxContent>
              </v:textbox>
            </v:shape>
          </w:pict>
        </mc:Fallback>
      </mc:AlternateContent>
    </w:r>
  </w:p>
  <w:p w14:paraId="63E5D906">
    <w:pPr>
      <w:pStyle w:val="7"/>
    </w:pPr>
    <w:r/>
    <w:r>
      <w:rPr>
        <w:rFonts w:ascii="仿宋_GB2312" w:hAnsi="仿宋_GB2312" w:eastAsia="仿宋_GB2312" w:cs="仿宋_GB2312"/>
        <w:sz w:val="21"/>
      </w:rPr>
      <w:t xml:space="preserve"> {{ appraisal_org }}　　　　　　</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5CC552">
    <w:pPr>
      <w:pStyle w:val="7"/>
      <w:pBdr>
        <w:top w:val="none" w:color="auto" w:sz="0" w:space="0"/>
        <w:left w:val="none" w:color="auto" w:sz="0" w:space="0"/>
        <w:bottom w:val="none" w:color="auto" w:sz="0" w:space="1"/>
        <w:right w:val="none" w:color="auto" w:sz="0" w:space="0"/>
        <w:between w:val="none" w:color="auto" w:sz="0" w:space="0"/>
      </w:pBdr>
    </w:pPr>
    <w:r/>
    <w:r>
      <w:rPr>
        <w:rFonts w:ascii="仿宋_GB2312" w:hAnsi="仿宋_GB2312" w:eastAsia="仿宋_GB2312" w:cs="仿宋_GB2312"/>
        <w:sz w:val="18"/>
      </w:rPr>
      <w:t xml:space="preserve"> {{ appraisal_org }}</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A249C1">
    <w:pPr>
      <w:pStyle w:val="7"/>
    </w:pPr>
    <w:r/>
    <w:r>
      <w:rPr>
        <w:rFonts w:ascii="仿宋_GB2312" w:hAnsi="仿宋_GB2312" w:eastAsia="仿宋_GB2312" w:cs="仿宋_GB2312"/>
        <w:sz w:val="18"/>
      </w:rPr>
      <w:t>{{ appraisal_org }}</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6E49B3">
    <w:pPr>
      <w:pStyle w:val="7"/>
      <w:pBdr>
        <w:bottom w:val="single" w:color="auto" w:sz="6" w:space="1"/>
      </w:pBdr>
      <w:rPr>
        <w:rFonts w:ascii="仿宋_GB2312" w:eastAsia="仿宋_GB2312"/>
        <w:sz w:val="21"/>
        <w:szCs w:val="21"/>
      </w:rPr>
    </w:pPr>
  </w:p>
  <w:p w14:paraId="42053632">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57785" cy="131445"/>
              <wp:effectExtent l="0" t="0" r="0" b="0"/>
              <wp:wrapNone/>
              <wp:docPr id="18"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70528;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HVFfIG+AQAAcwMAAA4AAAAAAAAAAQAgAAAAIgEAAGRycy9lMm9Eb2MueG1sUEsF&#10;BgAAAAAGAAYAWQEAAFIFAAAAAA==&#10;">
              <v:fill on="f" focussize="0,0"/>
              <v:stroke on="f"/>
              <v:imagedata o:title=""/>
              <o:lock v:ext="edit" aspectratio="f"/>
              <v:textbox inset="0mm,0mm,0mm,0mm">
                <w:txbxContent>
                  <w:p w14:paraId="1E11956D">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6724A">
    <w:pPr>
      <w:pStyle w:val="7"/>
      <w:pBdr>
        <w:bottom w:val="single" w:color="auto" w:sz="6" w:space="1"/>
      </w:pBdr>
      <w:rPr>
        <w:rFonts w:ascii="仿宋_GB2312" w:eastAsia="仿宋_GB2312"/>
        <w:sz w:val="21"/>
        <w:szCs w:val="21"/>
      </w:rPr>
    </w:pPr>
  </w:p>
  <w:p w14:paraId="2783410E">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8480" behindDoc="0" locked="0" layoutInCell="1" allowOverlap="1">
              <wp:simplePos x="0" y="0"/>
              <wp:positionH relativeFrom="margin">
                <wp:align>center</wp:align>
              </wp:positionH>
              <wp:positionV relativeFrom="paragraph">
                <wp:posOffset>0</wp:posOffset>
              </wp:positionV>
              <wp:extent cx="57785" cy="131445"/>
              <wp:effectExtent l="0" t="0" r="0" b="0"/>
              <wp:wrapNone/>
              <wp:docPr id="34"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8480;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JH/J8q+AQAAcwMAAA4AAAAAAAAAAQAgAAAAIgEAAGRycy9lMm9Eb2MueG1sUEsF&#10;BgAAAAAGAAYAWQEAAFIFAAAAAA==&#10;">
              <v:fill on="f" focussize="0,0"/>
              <v:stroke on="f"/>
              <v:imagedata o:title=""/>
              <o:lock v:ext="edit" aspectratio="f"/>
              <v:textbox inset="0mm,0mm,0mm,0mm">
                <w:txbxContent>
                  <w:p w14:paraId="1292AE7C">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226F">
    <w:pPr>
      <w:pStyle w:val="7"/>
      <w:pBdr>
        <w:bottom w:val="single" w:color="auto" w:sz="6" w:space="1"/>
      </w:pBdr>
      <w:rPr>
        <w:rFonts w:ascii="仿宋_GB2312" w:eastAsia="仿宋_GB2312"/>
        <w:sz w:val="21"/>
        <w:szCs w:val="21"/>
      </w:rPr>
    </w:pPr>
  </w:p>
  <w:p w14:paraId="70C3430A">
    <w:pPr>
      <w:pStyle w:val="7"/>
    </w:pPr>
    <w:r>
      <w:rPr>
        <w:rFonts w:hint="eastAsia" w:ascii="仿宋_GB2312" w:eastAsia="仿宋_GB2312"/>
        <w:sz w:val="21"/>
        <w:szCs w:val="21"/>
      </w:rPr>
      <w:t xml:space="preserve">                                </w:t>
    </w:r>
    <w:r>
      <w:rPr>
        <w:sz w:val="21"/>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57785" cy="131445"/>
              <wp:effectExtent l="0" t="0" r="0" b="0"/>
              <wp:wrapNone/>
              <wp:docPr id="27" name="文本框 9"/>
              <wp:cNvGraphicFramePr/>
              <a:graphic xmlns:a="http://schemas.openxmlformats.org/drawingml/2006/main">
                <a:graphicData uri="http://schemas.microsoft.com/office/word/2010/wordprocessingShape">
                  <wps:wsp>
                    <wps:cNvSpPr txBox="1"/>
                    <wps:spPr>
                      <a:xfrm>
                        <a:off x="0" y="0"/>
                        <a:ext cx="57785" cy="131445"/>
                      </a:xfrm>
                      <a:prstGeom prst="rect">
                        <a:avLst/>
                      </a:prstGeom>
                      <a:noFill/>
                      <a:ln>
                        <a:noFill/>
                      </a:ln>
                    </wps:spPr>
                    <wps:txbx>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wps:txbx>
                    <wps:bodyPr wrap="square" lIns="0" tIns="0" rIns="0" bIns="0"/>
                  </wps:wsp>
                </a:graphicData>
              </a:graphic>
            </wp:anchor>
          </w:drawing>
        </mc:Choice>
        <mc:Fallback>
          <w:pict>
            <v:shape id="文本框 9" o:spid="_x0000_s1026" o:spt="202" type="#_x0000_t202" style="position:absolute;left:0pt;margin-top:0pt;height:10.35pt;width:4.55pt;mso-position-horizontal:center;mso-position-horizontal-relative:margin;z-index:251667456;mso-width-relative:page;mso-height-relative:page;" filled="f" stroked="f" coordsize="21600,21600" o:gfxdata="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">
              <v:fill on="f" focussize="0,0"/>
              <v:stroke on="f"/>
              <v:imagedata o:title=""/>
              <o:lock v:ext="edit" aspectratio="f"/>
              <v:textbox inset="0mm,0mm,0mm,0mm">
                <w:txbxContent>
                  <w:p w14:paraId="03158153">
                    <w:pPr>
                      <w:snapToGrid w:val="0"/>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5</w:t>
                    </w:r>
                    <w:r>
                      <w:rPr>
                        <w:rFonts w:hint="eastAsia"/>
                        <w:sz w:val="18"/>
                      </w:rPr>
                      <w:fldChar w:fldCharType="end"/>
                    </w:r>
                  </w:p>
                </w:txbxContent>
              </v:textbox>
            </v:shape>
          </w:pict>
        </mc:Fallback>
      </mc:AlternateContent>
    </w:r>
    <w:r>
      <w:rPr>
        <w:rFonts w:hint="eastAsia" w:ascii="仿宋_GB2312" w:eastAsia="仿宋_GB2312"/>
        <w:sz w:val="21"/>
        <w:szCs w:val="21"/>
      </w:rPr>
      <w:t xml:space="preserve">    </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A42AA8">
    <w:pPr>
      <w:pStyle w:val="7"/>
      <w:pBdr>
        <w:bottom w:val="single" w:color="auto" w:sz="6" w:space="1"/>
      </w:pBdr>
      <w:rPr>
        <w:rFonts w:ascii="仿宋_GB2312" w:eastAsia="仿宋_GB2312"/>
        <w:sz w:val="21"/>
        <w:szCs w:val="21"/>
      </w:rPr>
    </w:pPr>
  </w:p>
  <w:p w14:paraId="7B874CD7">
    <w:pPr>
      <w:pStyle w:val="7"/>
    </w:pPr>
    <w:r/>
    <w:r>
      <w:rPr>
        <w:rFonts w:ascii="仿宋_GB2312" w:hAnsi="仿宋_GB2312" w:eastAsia="仿宋_GB2312" w:cs="仿宋_GB2312"/>
        <w:sz w:val="21"/>
      </w:rPr>
      <w:t xml:space="preserve">{{ appraisal_org }}　　</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B3C14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3ABBC4BB">
    <w:pPr>
      <w:pStyle w:val="8"/>
      <w:pBdr>
        <w:top w:val="none" w:color="auto" w:sz="0" w:space="0"/>
        <w:left w:val="none" w:color="auto" w:sz="0" w:space="0"/>
        <w:bottom w:val="none" w:color="auto" w:sz="0" w:space="1"/>
        <w:right w:val="none" w:color="auto" w:sz="0" w:space="0"/>
        <w:between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F92CF">
    <w:pPr>
      <w:pStyle w:val="8"/>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E640FF">
    <w:pPr>
      <w:pStyle w:val="8"/>
      <w:pBdr>
        <w:bottom w:val="none" w:color="auto" w:sz="0" w:space="1"/>
      </w:pBd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AAD5A6">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hint="eastAsia" w:ascii="仿宋_GB2312" w:hAnsi="仿宋_GB2312" w:eastAsia="仿宋_GB2312" w:cs="仿宋_GB2312"/>
        <w:sz w:val="21"/>
        <w:szCs w:val="21"/>
        <w:lang w:val="en-US" w:eastAsia="zh-CN"/>
      </w:rPr>
      <w:t>土地估价报告编号：</w:t>
    </w:r>
    <w:r>
      <w:rPr>
        <w:rFonts w:hint="eastAsia" w:ascii="仿宋_GB2312" w:hAnsi="仿宋_GB2312" w:eastAsia="仿宋_GB2312" w:cs="仿宋_GB2312"/>
        <w:sz w:val="21"/>
        <w:szCs w:val="21"/>
      </w:rPr>
      <w:t>（湖南）湘兆财土地[2025]（</w:t>
    </w:r>
    <w:r>
      <w:rPr>
        <w:rFonts w:hint="eastAsia" w:ascii="仿宋_GB2312" w:hAnsi="仿宋_GB2312" w:eastAsia="仿宋_GB2312" w:cs="仿宋_GB2312"/>
        <w:sz w:val="21"/>
        <w:szCs w:val="21"/>
        <w:lang w:val="en-US" w:eastAsia="zh-CN"/>
      </w:rPr>
      <w:t>估</w:t>
    </w:r>
    <w:r>
      <w:rPr>
        <w:rFonts w:hint="eastAsia" w:ascii="仿宋_GB2312" w:hAnsi="仿宋_GB2312" w:eastAsia="仿宋_GB2312" w:cs="仿宋_GB2312"/>
        <w:sz w:val="21"/>
        <w:szCs w:val="21"/>
      </w:rPr>
      <w:t>）字第ZC00</w:t>
    </w:r>
    <w:r>
      <w:rPr>
        <w:rFonts w:hint="eastAsia" w:ascii="仿宋_GB2312" w:hAnsi="仿宋_GB2312" w:eastAsia="仿宋_GB2312" w:cs="仿宋_GB2312"/>
        <w:sz w:val="21"/>
        <w:szCs w:val="21"/>
        <w:lang w:val="en-US" w:eastAsia="zh-CN"/>
      </w:rPr>
      <w:t>34</w:t>
    </w:r>
    <w:r>
      <w:rPr>
        <w:rFonts w:hint="eastAsia" w:ascii="仿宋_GB2312" w:hAnsi="仿宋_GB2312" w:eastAsia="仿宋_GB2312" w:cs="仿宋_GB2312"/>
        <w:sz w:val="21"/>
        <w:szCs w:val="21"/>
      </w:rPr>
      <w:t>号</w:t>
    </w:r>
  </w:p>
  <w:p w14:paraId="603F9CA6">
    <w:pPr>
      <w:pStyle w:val="8"/>
      <w:pBdr>
        <w:top w:val="none" w:color="auto" w:sz="0" w:space="0"/>
        <w:left w:val="none" w:color="auto" w:sz="0" w:space="0"/>
        <w:bottom w:val="none" w:color="auto" w:sz="0" w:space="1"/>
        <w:right w:val="none" w:color="auto" w:sz="0" w:space="0"/>
        <w:between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B047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446AB9">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3FE18">
    <w:pPr>
      <w:pStyle w:val="8"/>
      <w:jc w:val="both"/>
    </w:pPr>
    <w:r>
      <w:drawing>
        <wp:anchor distT="0" distB="0" distL="114300" distR="114300" simplePos="0" relativeHeight="251666432"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3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DEBA5">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report_no }}</w:t>
    </w:r>
  </w:p>
  <w:p w14:paraId="1607CD45">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282A6F">
    <w:pPr>
      <w:pStyle w:val="8"/>
      <w:keepNext w:val="0"/>
      <w:keepLines w:val="0"/>
      <w:pageBreakBefore w:val="0"/>
      <w:widowControl w:val="0"/>
      <w:pBdr>
        <w:top w:val="none" w:color="auto" w:sz="0" w:space="0"/>
        <w:left w:val="none" w:color="auto" w:sz="0" w:space="0"/>
        <w:bottom w:val="single" w:color="auto" w:sz="4" w:space="1"/>
        <w:right w:val="none" w:color="auto" w:sz="0" w:space="0"/>
        <w:between w:val="none" w:color="auto" w:sz="0" w:space="0"/>
      </w:pBdr>
      <w:kinsoku/>
      <w:wordWrap/>
      <w:overflowPunct/>
      <w:topLinePunct w:val="0"/>
      <w:bidi w:val="0"/>
      <w:adjustRightInd/>
      <w:snapToGrid w:val="0"/>
      <w:spacing w:before="0" w:beforeLines="50"/>
      <w:jc w:val="center"/>
      <w:textAlignment w:val="auto"/>
    </w:pPr>
    <w:r>
      <w:rPr>
        <w:rFonts w:ascii="仿宋_GB2312" w:hAnsi="仿宋_GB2312" w:eastAsia="仿宋_GB2312" w:cs="仿宋_GB2312"/>
      </w:rPr>
      <w:t>土地估价报告编号：{{ technical_report_no }}</w:t>
    </w:r>
  </w:p>
  <w:p w14:paraId="16860AF1">
    <w:pPr>
      <w:pStyle w:val="8"/>
      <w:pBdr>
        <w:top w:val="none" w:color="auto" w:sz="0" w:space="0"/>
        <w:left w:val="none" w:color="auto" w:sz="0" w:space="0"/>
        <w:bottom w:val="none" w:color="auto" w:sz="0" w:space="0"/>
        <w:right w:val="none" w:color="auto" w:sz="0" w:space="0"/>
        <w:between w:val="none" w:color="auto" w:sz="0" w:space="0"/>
      </w:pBdr>
      <w:jc w:val="cent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E81DA0B">
    <w:pPr>
      <w:pStyle w:val="8"/>
      <w:jc w:val="both"/>
    </w:pPr>
    <w:r>
      <w:drawing>
        <wp:anchor distT="0" distB="0" distL="114300" distR="114300" simplePos="0" relativeHeight="251671552"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1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816DA">
    <w:pPr>
      <w:pStyle w:val="8"/>
      <w:jc w:val="both"/>
    </w:pPr>
    <w:r>
      <w:drawing>
        <wp:anchor distT="0" distB="0" distL="114300" distR="114300" simplePos="0" relativeHeight="251669504" behindDoc="0" locked="0" layoutInCell="1" allowOverlap="1">
          <wp:simplePos x="0" y="0"/>
          <wp:positionH relativeFrom="margin">
            <wp:posOffset>-364490</wp:posOffset>
          </wp:positionH>
          <wp:positionV relativeFrom="paragraph">
            <wp:posOffset>-56515</wp:posOffset>
          </wp:positionV>
          <wp:extent cx="391795" cy="354965"/>
          <wp:effectExtent l="0" t="0" r="8255" b="6985"/>
          <wp:wrapNone/>
          <wp:docPr id="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DCB22F">
    <w:pPr>
      <w:pStyle w:val="8"/>
      <w:jc w:val="both"/>
    </w:pPr>
    <w:r>
      <w:drawing>
        <wp:anchor distT="0" distB="0" distL="114300" distR="114300" simplePos="0" relativeHeight="251668480" behindDoc="0" locked="0" layoutInCell="1" allowOverlap="1">
          <wp:simplePos x="0" y="0"/>
          <wp:positionH relativeFrom="margin">
            <wp:posOffset>-364490</wp:posOffset>
          </wp:positionH>
          <wp:positionV relativeFrom="paragraph">
            <wp:posOffset>-56515</wp:posOffset>
          </wp:positionV>
          <wp:extent cx="391795" cy="354965"/>
          <wp:effectExtent l="0" t="0" r="4445" b="10795"/>
          <wp:wrapNone/>
          <wp:docPr id="2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
                  <pic:cNvPicPr>
                    <a:picLocks noChangeAspect="1"/>
                  </pic:cNvPicPr>
                </pic:nvPicPr>
                <pic:blipFill>
                  <a:blip r:embed="rId1"/>
                  <a:stretch>
                    <a:fillRect/>
                  </a:stretch>
                </pic:blipFill>
                <pic:spPr>
                  <a:xfrm>
                    <a:off x="0" y="0"/>
                    <a:ext cx="391795" cy="354965"/>
                  </a:xfrm>
                  <a:prstGeom prst="rect">
                    <a:avLst/>
                  </a:prstGeom>
                  <a:noFill/>
                  <a:ln>
                    <a:noFill/>
                  </a:ln>
                </pic:spPr>
              </pic:pic>
            </a:graphicData>
          </a:graphic>
        </wp:anchor>
      </w:drawing>
    </w:r>
    <w:r>
      <w:rPr>
        <w:rFonts w:hint="eastAsia"/>
      </w:rPr>
      <w:t xml:space="preserve">  </w:t>
    </w:r>
    <w:r>
      <w:rPr>
        <w:rFonts w:hint="eastAsia" w:ascii="仿宋" w:hAnsi="仿宋" w:eastAsia="仿宋" w:cs="仿宋"/>
        <w:lang w:eastAsia="zh-CN"/>
      </w:rPr>
      <w:t>湖南兆财不动产规划评估有限公司</w:t>
    </w:r>
    <w:r>
      <w:rPr>
        <w:rFonts w:hint="eastAsia" w:ascii="仿宋" w:hAnsi="仿宋" w:eastAsia="仿宋" w:cs="仿宋"/>
      </w:rPr>
      <w:t xml:space="preserve">                                                  土地估价报告</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endnotePr>
    <w:numFmt w:val="decimal"/>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6A0179B"/>
    <w:rsid w:val="01AA37AF"/>
    <w:rsid w:val="069833AA"/>
    <w:rsid w:val="0FB82485"/>
    <w:rsid w:val="11553800"/>
    <w:rsid w:val="12531C9B"/>
    <w:rsid w:val="1A6D6AE8"/>
    <w:rsid w:val="1E07311D"/>
    <w:rsid w:val="1F210279"/>
    <w:rsid w:val="1F4B28C0"/>
    <w:rsid w:val="205E3D7E"/>
    <w:rsid w:val="22DF7BFA"/>
    <w:rsid w:val="2D224A15"/>
    <w:rsid w:val="31CF685F"/>
    <w:rsid w:val="3A44225D"/>
    <w:rsid w:val="3AB62A61"/>
    <w:rsid w:val="3F282F28"/>
    <w:rsid w:val="3FBA0B4E"/>
    <w:rsid w:val="428A3831"/>
    <w:rsid w:val="44452090"/>
    <w:rsid w:val="46A0179B"/>
    <w:rsid w:val="50C86CD0"/>
    <w:rsid w:val="51027B59"/>
    <w:rsid w:val="56313756"/>
    <w:rsid w:val="5C9719EC"/>
    <w:rsid w:val="5F6841AD"/>
    <w:rsid w:val="5FCF78A6"/>
    <w:rsid w:val="64351986"/>
    <w:rsid w:val="670A5468"/>
    <w:rsid w:val="693B342C"/>
    <w:rsid w:val="6C5D6B7B"/>
    <w:rsid w:val="6D833554"/>
    <w:rsid w:val="729F57FE"/>
    <w:rsid w:val="78DA75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qFormat="1" w:unhideWhenUsed="0" w:uiPriority="99"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lang w:val="en-US" w:eastAsia="zh-CN" w:bidi="ar-SA"/>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99"/>
    <w:pPr>
      <w:spacing w:after="120"/>
      <w:ind w:left="420" w:leftChars="200" w:firstLine="420" w:firstLineChars="200"/>
    </w:pPr>
    <w:rPr>
      <w:sz w:val="21"/>
      <w:szCs w:val="24"/>
    </w:rPr>
  </w:style>
  <w:style w:type="paragraph" w:styleId="3">
    <w:name w:val="Body Text Indent"/>
    <w:basedOn w:val="1"/>
    <w:next w:val="4"/>
    <w:qFormat/>
    <w:uiPriority w:val="0"/>
    <w:pPr>
      <w:spacing w:line="520" w:lineRule="exact"/>
      <w:ind w:left="360"/>
    </w:pPr>
    <w:rPr>
      <w:sz w:val="28"/>
    </w:rPr>
  </w:style>
  <w:style w:type="paragraph" w:customStyle="1" w:styleId="4">
    <w:name w:val="标准"/>
    <w:basedOn w:val="1"/>
    <w:qFormat/>
    <w:uiPriority w:val="0"/>
    <w:pPr>
      <w:autoSpaceDE w:val="0"/>
      <w:autoSpaceDN w:val="0"/>
      <w:adjustRightInd w:val="0"/>
      <w:spacing w:line="480" w:lineRule="atLeast"/>
      <w:textAlignment w:val="bottom"/>
    </w:pPr>
    <w:rPr>
      <w:rFonts w:ascii="昆仑仿宋" w:eastAsia="昆仑仿宋"/>
      <w:spacing w:val="40"/>
      <w:kern w:val="0"/>
      <w:sz w:val="28"/>
      <w:szCs w:val="20"/>
    </w:rPr>
  </w:style>
  <w:style w:type="paragraph" w:styleId="5">
    <w:name w:val="annotation text"/>
    <w:basedOn w:val="1"/>
    <w:qFormat/>
    <w:uiPriority w:val="0"/>
    <w:pPr>
      <w:jc w:val="left"/>
    </w:pPr>
  </w:style>
  <w:style w:type="paragraph" w:styleId="6">
    <w:name w:val="Plain Text"/>
    <w:basedOn w:val="1"/>
    <w:qFormat/>
    <w:uiPriority w:val="0"/>
    <w:rPr>
      <w:rFonts w:ascii="宋体"/>
      <w:sz w:val="28"/>
    </w:r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qFormat/>
    <w:uiPriority w:val="0"/>
    <w:pPr>
      <w:pBdr>
        <w:bottom w:val="single" w:color="auto" w:sz="6" w:space="1"/>
      </w:pBdr>
      <w:tabs>
        <w:tab w:val="center" w:pos="4153"/>
        <w:tab w:val="right" w:pos="8306"/>
      </w:tabs>
      <w:snapToGrid w:val="0"/>
      <w:jc w:val="center"/>
    </w:pPr>
    <w:rPr>
      <w:sz w:val="18"/>
    </w:rPr>
  </w:style>
  <w:style w:type="table" w:styleId="10">
    <w:name w:val="Table Grid"/>
    <w:basedOn w:val="9"/>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2">
    <w:name w:val="1表格文字压缩"/>
    <w:basedOn w:val="1"/>
    <w:next w:val="1"/>
    <w:autoRedefine/>
    <w:qFormat/>
    <w:uiPriority w:val="0"/>
    <w:pPr>
      <w:widowControl/>
      <w:spacing w:line="260" w:lineRule="exact"/>
      <w:jc w:val="center"/>
      <w:textAlignment w:val="center"/>
    </w:pPr>
    <w:rPr>
      <w:rFonts w:ascii="仿宋_GB2312" w:hAnsi="宋体" w:eastAsia="仿宋_GB2312" w:cs="宋体"/>
      <w:spacing w:val="-20"/>
      <w:kern w:val="0"/>
      <w:szCs w:val="21"/>
    </w:rPr>
  </w:style>
  <w:style w:type="paragraph" w:customStyle="1" w:styleId="13">
    <w:name w:val="四号仿宋28磅"/>
    <w:basedOn w:val="1"/>
    <w:autoRedefine/>
    <w:qFormat/>
    <w:uiPriority w:val="0"/>
    <w:pPr>
      <w:spacing w:line="560" w:lineRule="exact"/>
      <w:ind w:firstLine="200" w:firstLineChars="200"/>
    </w:pPr>
    <w:rPr>
      <w:rFonts w:ascii="仿宋_GB2312" w:eastAsia="仿宋_GB2312"/>
      <w:sz w:val="28"/>
    </w:rPr>
  </w:style>
  <w:style w:type="paragraph" w:customStyle="1" w:styleId="14">
    <w:name w:val="列出段落1"/>
    <w:basedOn w:val="15"/>
    <w:autoRedefine/>
    <w:qFormat/>
    <w:uiPriority w:val="0"/>
    <w:pPr>
      <w:ind w:firstLine="420" w:firstLineChars="200"/>
    </w:pPr>
  </w:style>
  <w:style w:type="paragraph" w:customStyle="1" w:styleId="15">
    <w:name w:val="正文_10_43"/>
    <w:autoRedefine/>
    <w:qFormat/>
    <w:uiPriority w:val="0"/>
    <w:pPr>
      <w:widowControl w:val="0"/>
      <w:jc w:val="both"/>
    </w:pPr>
    <w:rPr>
      <w:rFonts w:ascii="Times New Roman" w:hAnsi="Times New Roman" w:eastAsia="宋体" w:cs="Times New Roman"/>
      <w:kern w:val="2"/>
      <w:sz w:val="21"/>
      <w:szCs w:val="24"/>
      <w:lang w:val="en-US" w:eastAsia="zh-CN" w:bidi="ar-SA"/>
    </w:rPr>
  </w:style>
  <w:style w:type="character" w:customStyle="1" w:styleId="16">
    <w:name w:val="font81"/>
    <w:basedOn w:val="11"/>
    <w:qFormat/>
    <w:uiPriority w:val="0"/>
    <w:rPr>
      <w:rFonts w:hint="eastAsia" w:ascii="仿宋" w:hAnsi="仿宋" w:eastAsia="仿宋" w:cs="仿宋"/>
      <w:color w:val="000000"/>
      <w:sz w:val="21"/>
      <w:szCs w:val="21"/>
      <w:u w:val="none"/>
    </w:rPr>
  </w:style>
  <w:style w:type="character" w:customStyle="1" w:styleId="17">
    <w:name w:val="font91"/>
    <w:basedOn w:val="11"/>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7" Type="http://schemas.openxmlformats.org/officeDocument/2006/relationships/fontTable" Target="fontTable.xml"/><Relationship Id="rId46" Type="http://schemas.openxmlformats.org/officeDocument/2006/relationships/customXml" Target="../customXml/item1.xml"/><Relationship Id="rId45" Type="http://schemas.openxmlformats.org/officeDocument/2006/relationships/image" Target="media/image13.jpeg"/><Relationship Id="rId44" Type="http://schemas.openxmlformats.org/officeDocument/2006/relationships/image" Target="media/image12.jpeg"/><Relationship Id="rId43" Type="http://schemas.openxmlformats.org/officeDocument/2006/relationships/image" Target="media/image11.png"/><Relationship Id="rId42" Type="http://schemas.openxmlformats.org/officeDocument/2006/relationships/image" Target="media/image10.jpeg"/><Relationship Id="rId41" Type="http://schemas.openxmlformats.org/officeDocument/2006/relationships/image" Target="media/image9.png"/><Relationship Id="rId40" Type="http://schemas.openxmlformats.org/officeDocument/2006/relationships/image" Target="media/image8.png"/><Relationship Id="rId4" Type="http://schemas.openxmlformats.org/officeDocument/2006/relationships/header" Target="header2.xml"/><Relationship Id="rId39" Type="http://schemas.openxmlformats.org/officeDocument/2006/relationships/image" Target="media/image7.jpeg"/><Relationship Id="rId38" Type="http://schemas.openxmlformats.org/officeDocument/2006/relationships/image" Target="media/image6.jpeg"/><Relationship Id="rId37" Type="http://schemas.openxmlformats.org/officeDocument/2006/relationships/image" Target="media/image5.png"/><Relationship Id="rId36" Type="http://schemas.openxmlformats.org/officeDocument/2006/relationships/chart" Target="charts/chart4.xml"/><Relationship Id="rId35" Type="http://schemas.openxmlformats.org/officeDocument/2006/relationships/chart" Target="charts/chart3.xml"/><Relationship Id="rId34" Type="http://schemas.openxmlformats.org/officeDocument/2006/relationships/chart" Target="charts/chart2.xml"/><Relationship Id="rId33" Type="http://schemas.openxmlformats.org/officeDocument/2006/relationships/image" Target="media/image4.emf"/><Relationship Id="rId32" Type="http://schemas.openxmlformats.org/officeDocument/2006/relationships/chart" Target="charts/chart1.xml"/><Relationship Id="rId31" Type="http://schemas.openxmlformats.org/officeDocument/2006/relationships/image" Target="media/image3.jpeg"/><Relationship Id="rId30" Type="http://schemas.openxmlformats.org/officeDocument/2006/relationships/image" Target="media/image2.png"/><Relationship Id="rId3" Type="http://schemas.openxmlformats.org/officeDocument/2006/relationships/header" Target="header1.xml"/><Relationship Id="rId29" Type="http://schemas.openxmlformats.org/officeDocument/2006/relationships/theme" Target="theme/theme1.xml"/><Relationship Id="rId28" Type="http://schemas.openxmlformats.org/officeDocument/2006/relationships/footer" Target="footer14.xml"/><Relationship Id="rId27" Type="http://schemas.openxmlformats.org/officeDocument/2006/relationships/footer" Target="footer13.xml"/><Relationship Id="rId26" Type="http://schemas.openxmlformats.org/officeDocument/2006/relationships/header" Target="header12.xml"/><Relationship Id="rId25" Type="http://schemas.openxmlformats.org/officeDocument/2006/relationships/footer" Target="footer12.xml"/><Relationship Id="rId24" Type="http://schemas.openxmlformats.org/officeDocument/2006/relationships/header" Target="header11.xml"/><Relationship Id="rId23" Type="http://schemas.openxmlformats.org/officeDocument/2006/relationships/footer" Target="footer11.xml"/><Relationship Id="rId22" Type="http://schemas.openxmlformats.org/officeDocument/2006/relationships/header" Target="header10.xml"/><Relationship Id="rId21" Type="http://schemas.openxmlformats.org/officeDocument/2006/relationships/footer" Target="footer10.xml"/><Relationship Id="rId20" Type="http://schemas.openxmlformats.org/officeDocument/2006/relationships/footer" Target="footer9.xml"/><Relationship Id="rId2" Type="http://schemas.openxmlformats.org/officeDocument/2006/relationships/settings" Target="settings.xml"/><Relationship Id="rId19" Type="http://schemas.openxmlformats.org/officeDocument/2006/relationships/header" Target="header9.xml"/><Relationship Id="rId18" Type="http://schemas.openxmlformats.org/officeDocument/2006/relationships/footer" Target="footer8.xml"/><Relationship Id="rId17" Type="http://schemas.openxmlformats.org/officeDocument/2006/relationships/header" Target="header8.xml"/><Relationship Id="rId16" Type="http://schemas.openxmlformats.org/officeDocument/2006/relationships/footer" Target="footer7.xml"/><Relationship Id="rId15" Type="http://schemas.openxmlformats.org/officeDocument/2006/relationships/header" Target="header7.xml"/><Relationship Id="rId14" Type="http://schemas.openxmlformats.org/officeDocument/2006/relationships/footer" Target="footer6.xml"/><Relationship Id="rId13" Type="http://schemas.openxmlformats.org/officeDocument/2006/relationships/header" Target="header6.xml"/><Relationship Id="rId12" Type="http://schemas.openxmlformats.org/officeDocument/2006/relationships/footer" Target="footer5.xml"/><Relationship Id="rId11" Type="http://schemas.openxmlformats.org/officeDocument/2006/relationships/header" Target="header5.xml"/><Relationship Id="rId10" Type="http://schemas.openxmlformats.org/officeDocument/2006/relationships/footer" Target="footer4.xml"/><Relationship Id="rId1" Type="http://schemas.openxmlformats.org/officeDocument/2006/relationships/styles" Target="styles.xml"/></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1.png"/></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E:\&#22303;&#22320;&#25151;&#20135;&#35780;&#20272;&#25253;&#21578;\&#36947;&#21439;&#36164;&#26009;\&#20854;&#20182;&#36164;&#26009;\&#36947;&#21439;&#22303;&#22320;&#24066;&#22330;&#20998;&#2651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36433056168336"/>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a:lstStyle/>
          <a:p>
            <a:pPr defTabSz="914400">
              <a:defRPr lang="zh-CN" sz="1400" b="1" i="0" u="none" strike="noStrike" kern="1200" baseline="0">
                <a:solidFill>
                  <a:schemeClr val="tx1">
                    <a:lumMod val="75000"/>
                    <a:lumOff val="25000"/>
                  </a:schemeClr>
                </a:solidFill>
                <a:latin typeface="+mn-lt"/>
                <a:ea typeface="+mn-ea"/>
                <a:cs typeface="+mn-cs"/>
              </a:defRPr>
            </a:pPr>
            <a:r>
              <a:t>土地供应总量</a:t>
            </a:r>
          </a:p>
        </c:rich>
      </c:tx>
      <c:layout/>
      <c:overlay val="0"/>
      <c:spPr>
        <a:noFill/>
        <a:ln>
          <a:noFill/>
        </a:ln>
        <a:effectLst/>
      </c:spPr>
    </c:title>
    <c:autoTitleDeleted val="0"/>
    <c:plotArea>
      <c:layout/>
      <c:barChart>
        <c:barDir val="col"/>
        <c:grouping val="clustered"/>
        <c:varyColors val="0"/>
        <c:ser>
          <c:idx val="0"/>
          <c:order val="0"/>
          <c:tx>
            <c:strRef>
              <c:f>"出让土地"</c:f>
              <c:strCache>
                <c:ptCount val="1"/>
                <c:pt idx="0">
                  <c:v>出让土地</c:v>
                </c:pt>
              </c:strCache>
            </c:strRef>
          </c:tx>
          <c:spPr>
            <a:solidFill>
              <a:schemeClr val="accent4">
                <a:lumMod val="75000"/>
              </a:schemeClr>
            </a:solidFill>
            <a:ln>
              <a:noFill/>
            </a:ln>
            <a:effectLst/>
          </c:spPr>
          <c:invertIfNegative val="0"/>
          <c:dLbls>
            <c:dLbl>
              <c:idx val="0"/>
              <c:layout>
                <c:manualLayout>
                  <c:x val="-0.0157894736842105"/>
                  <c:y val="0.0173611111111111"/>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157894736842105"/>
                  <c:y val="0.03125"/>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986842105263158"/>
                  <c:y val="0.0138888888888889"/>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0.0236842105263158"/>
                  <c:y val="0.0208333333333333"/>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97368421052632"/>
                  <c:y val="0"/>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[道县土地市场分析.xlsx]Sheet3!$B$22:$B$26</c:f>
              <c:numCache>
                <c:formatCode>0.00_ </c:formatCode>
                <c:ptCount val="5"/>
                <c:pt idx="0">
                  <c:v>91.77</c:v>
                </c:pt>
                <c:pt idx="1">
                  <c:v>100.84</c:v>
                </c:pt>
                <c:pt idx="2">
                  <c:v>67.23</c:v>
                </c:pt>
                <c:pt idx="3">
                  <c:v>20.42</c:v>
                </c:pt>
                <c:pt idx="4" c:formatCode="General">
                  <c:v>134.88</c:v>
                </c:pt>
              </c:numCache>
            </c:numRef>
          </c:val>
        </c:ser>
        <c:ser>
          <c:idx val="1"/>
          <c:order val="1"/>
          <c:tx>
            <c:strRef>
              <c:f>"划拨土地"</c:f>
              <c:strCache>
                <c:ptCount val="1"/>
                <c:pt idx="0">
                  <c:v>划拨土地</c:v>
                </c:pt>
              </c:strCache>
            </c:strRef>
          </c:tx>
          <c:spPr>
            <a:solidFill>
              <a:srgbClr val="C00000"/>
            </a:solidFill>
            <a:ln>
              <a:noFill/>
            </a:ln>
            <a:effectLst/>
          </c:spPr>
          <c:invertIfNegative val="0"/>
          <c:dLbls>
            <c:dLbl>
              <c:idx val="0"/>
              <c:layout>
                <c:manualLayout>
                  <c:x val="-0.0177631578947368"/>
                  <c:y val="0.0104166666666667"/>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1"/>
              <c:layout>
                <c:manualLayout>
                  <c:x val="-0.0060023751333861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2"/>
              <c:layout>
                <c:manualLayout>
                  <c:x val="0.00197368421052632"/>
                  <c:y val="0.0277777777777778"/>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3"/>
              <c:layout>
                <c:manualLayout>
                  <c:x val="5.80875012908208e-5"/>
                  <c:y val="0.0347222222222222"/>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dLbl>
              <c:idx val="4"/>
              <c:layout>
                <c:manualLayout>
                  <c:x val="-0.0177631578947368"/>
                  <c:y val="0.0243055555555556"/>
                </c:manualLayout>
              </c:layout>
              <c:dLblPos val="outEnd"/>
              <c:showLegendKey val="0"/>
              <c:showVal val="1"/>
              <c:showCatName val="0"/>
              <c:showSerName val="0"/>
              <c:showPercent val="0"/>
              <c:showBubbleSize val="0"/>
              <c:extLst>
                <c:ext xmlns:c15="http://schemas.microsoft.com/office/drawing/2012/chart" uri="{CE6537A1-D6FC-4f65-9D91-7224C49458BB}">
                  <c15:layout/>
                </c:ext>
              </c:extLst>
            </c:dLbl>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[道县土地市场分析.xlsx]Sheet3!$C$22:$C$26</c:f>
              <c:numCache>
                <c:formatCode>0.00_ </c:formatCode>
                <c:ptCount val="5"/>
                <c:pt idx="0">
                  <c:v>164.63</c:v>
                </c:pt>
                <c:pt idx="1">
                  <c:v>83.89</c:v>
                </c:pt>
                <c:pt idx="2">
                  <c:v>94.4</c:v>
                </c:pt>
                <c:pt idx="3">
                  <c:v>181.51</c:v>
                </c:pt>
                <c:pt idx="4" c:formatCode="General">
                  <c:v>32.85</c:v>
                </c:pt>
              </c:numCache>
            </c:numRef>
          </c:val>
        </c:ser>
        <c:ser>
          <c:idx val="2"/>
          <c:order val="2"/>
          <c:tx>
            <c:strRef>
              <c:f>"总面积"</c:f>
              <c:strCache>
                <c:ptCount val="1"/>
                <c:pt idx="0">
                  <c:v>总面积</c:v>
                </c:pt>
              </c:strCache>
            </c:strRef>
          </c:tx>
          <c:spPr>
            <a:solidFill>
              <a:schemeClr val="accent1">
                <a:lumMod val="75000"/>
              </a:schemeClr>
            </a:solidFill>
            <a:ln>
              <a:noFill/>
            </a:ln>
            <a:effectLst/>
          </c:spPr>
          <c:invertIfNegative val="0"/>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lumMod val="75000"/>
                        <a:lumOff val="25000"/>
                      </a:schemeClr>
                    </a:solidFill>
                    <a:latin typeface="+mn-lt"/>
                    <a:ea typeface="+mn-ea"/>
                    <a:cs typeface="+mn-cs"/>
                  </a:defRPr>
                </a:pPr>
              </a:p>
            </c:txPr>
            <c:dLblPos val="outEnd"/>
            <c:showLegendKey val="0"/>
            <c:showVal val="1"/>
            <c:showCatName val="0"/>
            <c:showSerName val="0"/>
            <c:showPercent val="0"/>
            <c:showBubbleSize val="0"/>
            <c:showLeaderLines val="0"/>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numRef>
              <c:f>[道县土地市场分析.xlsx]Sheet3!$A$22:$A$26</c:f>
              <c:numCache>
                <c:formatCode>General</c:formatCode>
                <c:ptCount val="5"/>
                <c:pt idx="0">
                  <c:v>2020</c:v>
                </c:pt>
                <c:pt idx="1">
                  <c:v>2021</c:v>
                </c:pt>
                <c:pt idx="2">
                  <c:v>2022</c:v>
                </c:pt>
                <c:pt idx="3">
                  <c:v>2023</c:v>
                </c:pt>
                <c:pt idx="4">
                  <c:v>2024</c:v>
                </c:pt>
              </c:numCache>
            </c:numRef>
          </c:cat>
          <c:val>
            <c:numRef>
              <c:f>[道县土地市场分析.xlsx]Sheet3!$D$22:$D$26</c:f>
              <c:numCache>
                <c:formatCode>0.00_ </c:formatCode>
                <c:ptCount val="5"/>
                <c:pt idx="0">
                  <c:v>256.4</c:v>
                </c:pt>
                <c:pt idx="1">
                  <c:v>184.73</c:v>
                </c:pt>
                <c:pt idx="2">
                  <c:v>161.63</c:v>
                </c:pt>
                <c:pt idx="3">
                  <c:v>201.93</c:v>
                </c:pt>
                <c:pt idx="4">
                  <c:v>167.73</c:v>
                </c:pt>
              </c:numCache>
            </c:numRef>
          </c:val>
        </c:ser>
        <c:dLbls>
          <c:showLegendKey val="0"/>
          <c:showVal val="1"/>
          <c:showCatName val="0"/>
          <c:showSerName val="0"/>
          <c:showPercent val="0"/>
          <c:showBubbleSize val="0"/>
        </c:dLbls>
        <c:gapWidth val="219"/>
        <c:overlap val="-27"/>
        <c:axId val="634919036"/>
        <c:axId val="120007239"/>
      </c:barChart>
      <c:catAx>
        <c:axId val="634919036"/>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120007239"/>
        <c:crosses val="autoZero"/>
        <c:auto val="1"/>
        <c:lblAlgn val="ctr"/>
        <c:lblOffset val="100"/>
        <c:noMultiLvlLbl val="0"/>
      </c:catAx>
      <c:valAx>
        <c:axId val="120007239"/>
        <c:scaling>
          <c:orientation val="minMax"/>
        </c:scaling>
        <c:delete val="0"/>
        <c:axPos val="l"/>
        <c:majorGridlines>
          <c:spPr>
            <a:ln w="9525" cap="flat" cmpd="sng" algn="ctr">
              <a:solidFill>
                <a:schemeClr val="lt1">
                  <a:lumMod val="90200"/>
                </a:schemeClr>
              </a:solidFill>
              <a:round/>
            </a:ln>
            <a:effectLst/>
          </c:spPr>
        </c:majorGridlines>
        <c:title>
          <c:tx>
            <c:rich>
              <a:bodyPr rot="-5400000" spcFirstLastPara="0" vertOverflow="ellipsis" vert="horz" wrap="square" anchor="ctr" anchorCtr="1"/>
              <a:lstStyle/>
              <a:p>
                <a:pPr defTabSz="914400">
                  <a:defRPr lang="zh-CN" sz="1000" b="0" i="0" u="none" strike="noStrike" kern="1200" baseline="0">
                    <a:solidFill>
                      <a:schemeClr val="tx1">
                        <a:lumMod val="65000"/>
                        <a:lumOff val="35000"/>
                      </a:schemeClr>
                    </a:solidFill>
                    <a:latin typeface="+mn-lt"/>
                    <a:ea typeface="+mn-ea"/>
                    <a:cs typeface="+mn-cs"/>
                  </a:defRPr>
                </a:pPr>
                <a:r>
                  <a:t>单位：公顷</a:t>
                </a:r>
              </a:p>
            </c:rich>
          </c:tx>
          <c:layout>
            <c:manualLayout>
              <c:xMode val="edge"/>
              <c:yMode val="edge"/>
              <c:x val="0.0230263157894737"/>
              <c:y val="0.155023148148148"/>
            </c:manualLayout>
          </c:layout>
          <c:overlay val="0"/>
          <c:spPr>
            <a:noFill/>
            <a:ln>
              <a:noFill/>
            </a:ln>
            <a:effectLst/>
          </c:spPr>
        </c:title>
        <c:numFmt formatCode="0.00_ " sourceLinked="1"/>
        <c:majorTickMark val="none"/>
        <c:minorTickMark val="none"/>
        <c:tickLblPos val="nextTo"/>
        <c:spPr>
          <a:noFill/>
          <a:ln>
            <a:noFill/>
          </a:ln>
          <a:effectLst/>
        </c:spPr>
        <c:txPr>
          <a:bodyPr rot="-6000000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crossAx val="634919036"/>
        <c:crosses val="autoZero"/>
        <c:crossBetween val="between"/>
      </c:valAx>
      <c:spPr>
        <a:noFill/>
        <a:ln>
          <a:noFill/>
        </a:ln>
        <a:effectLst/>
      </c:spPr>
    </c:plotArea>
    <c:legend>
      <c:legendPos val="b"/>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extLst>
      <c:ext uri="{0b15fc19-7d7d-44ad-8c2d-2c3a37ce22c3}">
        <chartProps xmlns="https://web.wps.cn/et/2018/main" chartId="{d914df3f-6393-4c6f-9afc-c3972d61cdb5}"/>
      </c:ext>
    </c:extLst>
  </c:chart>
  <c:spPr>
    <a:solidFill>
      <a:schemeClr val="bg1"/>
    </a:solidFill>
    <a:ln w="9525" cap="flat" cmpd="sng" algn="ctr">
      <a:solidFill>
        <a:schemeClr val="tx1">
          <a:lumMod val="15000"/>
          <a:lumOff val="85000"/>
        </a:schemeClr>
      </a:solidFill>
      <a:round/>
    </a:ln>
    <a:effectLst/>
  </c:spPr>
  <c:txPr>
    <a:bodyPr/>
    <a:lstStyle/>
    <a:p>
      <a:pPr>
        <a:defRPr lang="zh-CN"/>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0" vertOverflow="ellipsis" vert="horz" wrap="square" anchor="ctr" anchorCtr="1" forceAA="0"/>
          <a:lstStyle/>
          <a:p>
            <a:pPr defTabSz="914400">
              <a:defRPr lang="zh-CN" sz="1400" b="0" i="0" u="none" strike="noStrike" kern="1200" spc="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面积比例</a:t>
            </a:r>
          </a:p>
        </c:rich>
      </c:tx>
      <c:layout/>
      <c:overlay val="0"/>
      <c:spPr>
        <a:noFill/>
        <a:ln>
          <a:noFill/>
        </a:ln>
        <a:effectLst/>
      </c:spPr>
    </c:title>
    <c:autoTitleDeleted val="0"/>
    <c:plotArea>
      <c:layout>
        <c:manualLayout>
          <c:layoutTarget val="inner"/>
          <c:xMode val="edge"/>
          <c:yMode val="edge"/>
          <c:x val="0.145596470388597"/>
          <c:y val="0.152459954233409"/>
          <c:w val="0.497709146444935"/>
          <c:h val="0.83895881006865"/>
        </c:manualLayout>
      </c:layout>
      <c:doughnutChart>
        <c:varyColors val="1"/>
        <c:ser>
          <c:idx val="0"/>
          <c:order val="0"/>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manualLayout>
                  <c:x val="0.134979746504639"/>
                  <c:y val="-0.0253583241455347"/>
                </c:manualLayout>
              </c:layout>
              <c:showLegendKey val="0"/>
              <c:showVal val="0"/>
              <c:showCatName val="0"/>
              <c:showSerName val="0"/>
              <c:showPercent val="1"/>
              <c:showBubbleSize val="0"/>
              <c:extLst>
                <c:ext xmlns:c15="http://schemas.microsoft.com/office/drawing/2012/chart" uri="{CE6537A1-D6FC-4f65-9D91-7224C49458BB}">
                  <c15:layout/>
                </c:ext>
              </c:extLst>
            </c:dLbl>
            <c:dLbl>
              <c:idx val="1"/>
              <c:layout>
                <c:manualLayout>
                  <c:x val="0.145955834313341"/>
                  <c:y val="0.0873208379272326"/>
                </c:manualLayout>
              </c:layout>
              <c:showLegendKey val="0"/>
              <c:showVal val="0"/>
              <c:showCatName val="0"/>
              <c:showSerName val="0"/>
              <c:showPercent val="1"/>
              <c:showBubbleSize val="0"/>
              <c:extLst>
                <c:ext xmlns:c15="http://schemas.microsoft.com/office/drawing/2012/chart" uri="{CE6537A1-D6FC-4f65-9D91-7224C49458BB}">
                  <c15:layout/>
                </c:ext>
              </c:extLst>
            </c:dLbl>
            <c:dLbl>
              <c:idx val="2"/>
              <c:layout>
                <c:manualLayout>
                  <c:x val="-0.0790539657650594"/>
                  <c:y val="0.117309812568908"/>
                </c:manualLayout>
              </c:layout>
              <c:showLegendKey val="0"/>
              <c:showVal val="0"/>
              <c:showCatName val="0"/>
              <c:showSerName val="0"/>
              <c:showPercent val="1"/>
              <c:showBubbleSize val="0"/>
              <c:extLst>
                <c:ext xmlns:c15="http://schemas.microsoft.com/office/drawing/2012/chart" uri="{CE6537A1-D6FC-4f65-9D91-7224C49458BB}">
                  <c15:layout/>
                </c:ext>
              </c:extLst>
            </c:dLbl>
            <c:dLbl>
              <c:idx val="3"/>
              <c:layout>
                <c:manualLayout>
                  <c:x val="-0.110544884359075"/>
                  <c:y val="0.0482910694597574"/>
                </c:manualLayout>
              </c:layout>
              <c:showLegendKey val="0"/>
              <c:showVal val="0"/>
              <c:showCatName val="0"/>
              <c:showSerName val="0"/>
              <c:showPercent val="1"/>
              <c:showBubbleSize val="0"/>
              <c:extLst>
                <c:ext xmlns:c15="http://schemas.microsoft.com/office/drawing/2012/chart" uri="{CE6537A1-D6FC-4f65-9D91-7224C49458BB}">
                  <c15:layout/>
                </c:ext>
              </c:extLst>
            </c:dLbl>
            <c:dLbl>
              <c:idx val="4"/>
              <c:layout>
                <c:manualLayout>
                  <c:x val="-0.125441003528028"/>
                  <c:y val="-0.124145534729879"/>
                </c:manualLayout>
              </c:layout>
              <c:showLegendKey val="0"/>
              <c:showVal val="0"/>
              <c:showCatName val="0"/>
              <c:showSerName val="0"/>
              <c:showPercent val="1"/>
              <c:showBubbleSize val="0"/>
              <c:extLst>
                <c:ext xmlns:c15="http://schemas.microsoft.com/office/drawing/2012/chart" uri="{CE6537A1-D6FC-4f65-9D91-7224C49458BB}">
                  <c15:layout/>
                </c:ext>
              </c:extLst>
            </c:dLbl>
            <c:dLbl>
              <c:idx val="5"/>
              <c:layout>
                <c:manualLayout>
                  <c:x val="0.0763099438128838"/>
                  <c:y val="-0.12877618522602"/>
                </c:manualLayout>
              </c:layout>
              <c:showLegendKey val="0"/>
              <c:showVal val="0"/>
              <c:showCatName val="0"/>
              <c:showSerName val="0"/>
              <c:showPercent val="1"/>
              <c:showBubbleSize val="0"/>
              <c:extLst>
                <c:ext xmlns:c15="http://schemas.microsoft.com/office/drawing/2012/chart" uri="{CE6537A1-D6FC-4f65-9D91-7224C49458BB}">
                  <c15:layout/>
                </c:ext>
              </c:extLst>
            </c:dLbl>
            <c:numFmt formatCode="General" sourceLinked="1"/>
            <c:spPr>
              <a:noFill/>
              <a:ln>
                <a:noFill/>
              </a:ln>
              <a:effectLst/>
            </c:spPr>
            <c:txPr>
              <a:bodyPr rot="0" spcFirstLastPara="0" vertOverflow="ellipsis" vert="horz" wrap="square" lIns="38100" tIns="19050" rIns="38100" bIns="19050"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[道县土地市场分析.xlsx]Sheet3!$P$22:$P$27</c:f>
              <c:numCache>
                <c:formatCode>General</c:formatCode>
                <c:ptCount val="6"/>
              </c:numCache>
            </c:numRef>
          </c:val>
        </c:ser>
        <c:ser>
          <c:idx val="1"/>
          <c:order val="1"/>
          <c:spPr>
            <a:ln w="19050">
              <a:solidFill>
                <a:schemeClr val="bg1"/>
              </a:solidFill>
            </a:ln>
          </c:spPr>
          <c:explosion val="0"/>
          <c:dPt>
            <c:idx val="0"/>
            <c:bubble3D val="0"/>
            <c:spPr>
              <a:solidFill>
                <a:schemeClr val="accent6"/>
              </a:solidFill>
              <a:ln w="19050">
                <a:solidFill>
                  <a:schemeClr val="bg1"/>
                </a:solidFill>
              </a:ln>
              <a:effectLst/>
            </c:spPr>
          </c:dPt>
          <c:dPt>
            <c:idx val="1"/>
            <c:bubble3D val="0"/>
            <c:spPr>
              <a:solidFill>
                <a:schemeClr val="accent1"/>
              </a:solidFill>
              <a:ln w="19050">
                <a:solidFill>
                  <a:schemeClr val="bg1"/>
                </a:solidFill>
              </a:ln>
              <a:effectLst/>
            </c:spPr>
          </c:dPt>
          <c:dPt>
            <c:idx val="2"/>
            <c:bubble3D val="0"/>
            <c:spPr>
              <a:solidFill>
                <a:schemeClr val="accent2"/>
              </a:solidFill>
              <a:ln w="19050">
                <a:solidFill>
                  <a:schemeClr val="bg1"/>
                </a:solidFill>
              </a:ln>
              <a:effectLst/>
            </c:spPr>
          </c:dPt>
          <c:dPt>
            <c:idx val="3"/>
            <c:bubble3D val="0"/>
            <c:spPr>
              <a:solidFill>
                <a:schemeClr val="accent3"/>
              </a:solidFill>
              <a:ln w="19050">
                <a:solidFill>
                  <a:schemeClr val="bg1"/>
                </a:solidFill>
              </a:ln>
              <a:effectLst/>
            </c:spPr>
          </c:dPt>
          <c:dPt>
            <c:idx val="4"/>
            <c:bubble3D val="0"/>
            <c:spPr>
              <a:solidFill>
                <a:schemeClr val="accent4"/>
              </a:solidFill>
              <a:ln w="19050">
                <a:solidFill>
                  <a:schemeClr val="bg1"/>
                </a:solidFill>
              </a:ln>
              <a:effectLst/>
            </c:spPr>
          </c:dPt>
          <c:dPt>
            <c:idx val="5"/>
            <c:bubble3D val="0"/>
            <c:spPr>
              <a:solidFill>
                <a:schemeClr val="accent5"/>
              </a:solidFill>
              <a:ln w="19050">
                <a:solidFill>
                  <a:schemeClr val="bg1"/>
                </a:solidFill>
              </a:ln>
              <a:effectLst/>
            </c:spPr>
          </c:dPt>
          <c:dLbls>
            <c:dLbl>
              <c:idx val="0"/>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2.7</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1"/>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21</a:t>
                    </a:r>
                    <a:r>
                      <a:rPr lang="en-US" altLang="zh-CN"/>
                      <a:t>.42</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2"/>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10.6</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3"/>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t>26</a:t>
                    </a:r>
                    <a:r>
                      <a:rPr lang="en-US" altLang="zh-CN"/>
                      <a:t>.55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4"/>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0.75</a:t>
                    </a:r>
                    <a:r>
                      <a:t>%</a:t>
                    </a:r>
                  </a:p>
                </c:rich>
              </c:tx>
              <c:showLegendKey val="0"/>
              <c:showVal val="0"/>
              <c:showCatName val="0"/>
              <c:showSerName val="0"/>
              <c:showPercent val="1"/>
              <c:showBubbleSize val="0"/>
              <c:separator>
</c:separator>
              <c:extLst>
                <c:ext xmlns:c15="http://schemas.microsoft.com/office/drawing/2012/chart" uri="{CE6537A1-D6FC-4f65-9D91-7224C49458BB}"/>
              </c:extLst>
            </c:dLbl>
            <c:dLbl>
              <c:idx val="5"/>
              <c:layout/>
              <c:tx>
                <c:rich>
                  <a:bodyPr rot="0" spcFirstLastPara="0" vertOverflow="ellipsis" vert="horz" wrap="square" lIns="38100" tIns="19050" rIns="38100" bIns="19050" anchor="ctr" anchorCtr="1"/>
                  <a:lstStyle/>
                  <a:p>
                    <a:pPr defTabSz="914400">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r>
                      <a:rPr lang="en-US" altLang="zh-CN"/>
                      <a:t>37.98</a:t>
                    </a:r>
                    <a:r>
                      <a:t>%</a:t>
                    </a:r>
                  </a:p>
                </c:rich>
              </c:tx>
              <c:showLegendKey val="0"/>
              <c:showVal val="0"/>
              <c:showCatName val="0"/>
              <c:showSerName val="0"/>
              <c:showPercent val="1"/>
              <c:showBubbleSize val="0"/>
              <c:separator>
</c:separator>
              <c:extLst>
                <c:ext xmlns:c15="http://schemas.microsoft.com/office/drawing/2012/chart" uri="{CE6537A1-D6FC-4f65-9D91-7224C49458BB}"/>
              </c:extLst>
            </c:dLbl>
            <c:numFmt formatCode="General" sourceLinked="1"/>
            <c:spPr>
              <a:noFill/>
              <a:ln>
                <a:noFill/>
              </a:ln>
              <a:effectLst/>
            </c:spPr>
            <c:txPr>
              <a:bodyPr rot="0" spcFirstLastPara="0" vertOverflow="ellipsis" vert="horz" wrap="square" lIns="38100" tIns="19050" rIns="38100" bIns="19050" anchor="ctr" anchorCtr="1"/>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showLegendKey val="0"/>
            <c:showVal val="0"/>
            <c:showCatName val="0"/>
            <c:showSerName val="0"/>
            <c:showPercent val="1"/>
            <c:showBubbleSize val="0"/>
            <c:showLeaderLines val="1"/>
            <c:extLst>
              <c:ext xmlns:c15="http://schemas.microsoft.com/office/drawing/2012/char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Ref>
              <c:f>[道县土地市场分析.xlsx]Sheet3!$O$22:$O$27</c:f>
              <c:strCache>
                <c:ptCount val="6"/>
                <c:pt idx="0">
                  <c:v>商服用地</c:v>
                </c:pt>
                <c:pt idx="1">
                  <c:v>住宅用地</c:v>
                </c:pt>
                <c:pt idx="2">
                  <c:v>工矿仓储用地</c:v>
                </c:pt>
                <c:pt idx="3">
                  <c:v>公共管理与公共服务用地</c:v>
                </c:pt>
                <c:pt idx="4">
                  <c:v>特殊用地</c:v>
                </c:pt>
                <c:pt idx="5">
                  <c:v>交通运输用地</c:v>
                </c:pt>
              </c:strCache>
            </c:strRef>
          </c:cat>
          <c:val>
            <c:numRef>
              <c:f>[道县土地市场分析.xlsx]Sheet3!$Q$22:$Q$27</c:f>
              <c:numCache>
                <c:formatCode>0.00%</c:formatCode>
                <c:ptCount val="6"/>
                <c:pt idx="0">
                  <c:v>0.0325</c:v>
                </c:pt>
                <c:pt idx="1">
                  <c:v>0.1901</c:v>
                </c:pt>
                <c:pt idx="2">
                  <c:v>0.1224</c:v>
                </c:pt>
                <c:pt idx="3">
                  <c:v>0.295</c:v>
                </c:pt>
                <c:pt idx="4">
                  <c:v>0.009</c:v>
                </c:pt>
                <c:pt idx="5">
                  <c:v>0.351</c:v>
                </c:pt>
              </c:numCache>
            </c:numRef>
          </c:val>
        </c:ser>
        <c:dLbls>
          <c:showLegendKey val="0"/>
          <c:showVal val="1"/>
          <c:showCatName val="0"/>
          <c:showSerName val="0"/>
          <c:showPercent val="0"/>
          <c:showBubbleSize val="0"/>
          <c:showLeaderLines val="1"/>
        </c:dLbls>
        <c:firstSliceAng val="27"/>
        <c:holeSize val="52"/>
      </c:doughnutChart>
      <c:spPr>
        <a:noFill/>
        <a:ln>
          <a:noFill/>
        </a:ln>
        <a:effectLst/>
      </c:spPr>
    </c:plotArea>
    <c:legend>
      <c:legendPos val="b"/>
      <c:layout>
        <c:manualLayout>
          <c:xMode val="edge"/>
          <c:yMode val="edge"/>
          <c:x val="0.698625487866961"/>
          <c:y val="0.19279176201373"/>
          <c:w val="0.296283726455116"/>
          <c:h val="0.779462242562929"/>
        </c:manualLayout>
      </c:layout>
      <c:overlay val="0"/>
      <c:spPr>
        <a:noFill/>
        <a:ln>
          <a:noFill/>
        </a:ln>
        <a:effectLst/>
      </c:spPr>
      <c:txPr>
        <a:bodyPr rot="0" spcFirstLastPara="0" vertOverflow="ellipsis" vert="horz" wrap="square" anchor="ctr" anchorCtr="1" forceAA="0"/>
        <a:lstStyle/>
        <a:p>
          <a:pPr>
            <a:defRPr lang="zh-CN" sz="900" b="0" i="0" u="none" strike="noStrike" kern="1200" baseline="0">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legend>
    <c:plotVisOnly val="1"/>
    <c:dispBlanksAs val="gap"/>
    <c:showDLblsOverMax val="0"/>
    <c:extLst>
      <c:ext uri="{0b15fc19-7d7d-44ad-8c2d-2c3a37ce22c3}">
        <chartProps xmlns="https://web.wps.cn/et/2018/main" chartId="{f101004f-e116-4afe-a5f6-04c3ec9023ab}"/>
      </c:ext>
    </c:extLst>
  </c:chart>
  <c:spPr>
    <a:solidFill>
      <a:schemeClr val="bg1"/>
    </a:solidFill>
    <a:ln w="6350" cap="flat" cmpd="sng" algn="ctr">
      <a:solidFill>
        <a:schemeClr val="tx1">
          <a:lumMod val="50000"/>
          <a:lumOff val="50000"/>
          <a:alpha val="25000"/>
        </a:schemeClr>
      </a:solidFill>
      <a:round/>
    </a:ln>
    <a:effectLst/>
  </c:spPr>
  <c:txPr>
    <a:bodyPr/>
    <a:lstStyle/>
    <a:p>
      <a:pPr>
        <a:defRPr lang="zh-CN">
          <a:solidFill>
            <a:schemeClr val="tx1">
              <a:lumMod val="75000"/>
              <a:lumOff val="25000"/>
            </a:schemeClr>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119</Pages>
  <Words>9689</Words>
  <Characters>11224</Characters>
  <Lines>0</Lines>
  <Paragraphs>0</Paragraphs>
  <TotalTime>0</TotalTime>
  <ScaleCrop>false</ScaleCrop>
  <LinksUpToDate>false</LinksUpToDate>
  <CharactersWithSpaces>11728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2025-11-27T14:34:00Z</dcterms:created>
  <dc:creator>熙里处</dc:creator>
  <cp:lastModifiedBy>歪比八卜</cp:lastModifiedBy>
  <dcterms:modified xsi:type="dcterms:W3CDTF">2026-06-01T02:51:24Z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098284A2088F430A8E5A60FDD1D00DE4_13</vt:lpwstr>
  </property>
  <property fmtid="{D5CDD505-2E9C-101B-9397-08002B2CF9AE}" pid="4" name="KSOTemplateDocerSaveRecord">
    <vt:lpwstr>eyJoZGlkIjoiYzg2ZDFhZjAxODU1NmRlODQ1YThmY2VjYmViZjg0YjgiLCJ1c2VySWQiOiIyNTc4NTE1ODcifQ==</vt:lpwstr>
  </property>
</Properties>
</file>