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收益还原法动态报告视觉 QA</w:t>
      </w:r>
    </w:p>
    <w:p>
      <w:r>
        <w:t>本页标题用于确认收益法动态块边界；下方正文、表格和图片均由运行后处理器生成。</w:t>
      </w:r>
    </w:p>
    <w:p>
      <w:pPr>
        <w:keepNext/>
        <w:spacing w:before="0" w:after="0" w:line="480" w:lineRule="exact"/>
        <w:ind w:firstLine="561"/>
      </w:pPr>
      <w:r>
        <w:rPr>
          <w:rFonts w:ascii="仿宋_GB2312" w:hAnsi="仿宋_GB2312" w:eastAsia="仿宋_GB2312" w:cs="仿宋_GB2312"/>
          <w:b/>
          <w:sz w:val="28"/>
        </w:rPr>
        <w:t>★收益还原法</w:t>
      </w:r>
    </w:p>
    <w:p>
      <w:pPr>
        <w:spacing w:before="0" w:after="0" w:line="480" w:lineRule="exact"/>
        <w:ind w:firstLine="561"/>
      </w:pPr>
      <w:r>
        <w:rPr>
          <w:rFonts w:ascii="仿宋_GB2312" w:hAnsi="仿宋_GB2312" w:eastAsia="仿宋_GB2312" w:cs="仿宋_GB2312"/>
          <w:b w:val="0"/>
          <w:sz w:val="28"/>
        </w:rPr>
        <w:t>收益还原法是在估算估价对象在未来每年预期纯收益（正常年纯收益）的基础上，以一定的土地还原率，将评估对象在未来每年的纯收益折算为估价期日收益总和的一种方法。</w:t>
      </w:r>
    </w:p>
    <w:p>
      <w:pPr>
        <w:spacing w:before="0" w:after="0" w:line="480" w:lineRule="exact"/>
        <w:ind w:firstLine="561"/>
      </w:pPr>
      <w:r>
        <w:rPr>
          <w:rFonts w:ascii="仿宋_GB2312" w:hAnsi="仿宋_GB2312" w:eastAsia="仿宋_GB2312" w:cs="仿宋_GB2312"/>
          <w:b w:val="0"/>
          <w:sz w:val="28"/>
        </w:rPr>
        <w:t>法定有限年期的土地使用权价格计算公式为：</w:t>
      </w:r>
    </w:p>
    <w:p>
      <w:pPr>
        <w:spacing w:before="0" w:after="0" w:line="480" w:lineRule="exact"/>
        <w:ind w:firstLine="561"/>
      </w:pPr>
      <w:r>
        <w:rPr>
          <w:rFonts w:ascii="仿宋_GB2312" w:hAnsi="仿宋_GB2312" w:eastAsia="仿宋_GB2312" w:cs="仿宋_GB2312"/>
          <w:b w:val="0"/>
          <w:sz w:val="28"/>
        </w:rPr>
        <w:t>P＝A/r×[1－1/（1＋r）^n]</w:t>
      </w:r>
    </w:p>
    <w:p>
      <w:pPr>
        <w:spacing w:before="0" w:after="0" w:line="480" w:lineRule="exact"/>
        <w:ind w:firstLine="561"/>
      </w:pPr>
      <w:r>
        <w:rPr>
          <w:rFonts w:ascii="仿宋_GB2312" w:hAnsi="仿宋_GB2312" w:eastAsia="仿宋_GB2312" w:cs="仿宋_GB2312"/>
          <w:b w:val="0"/>
          <w:sz w:val="28"/>
        </w:rPr>
        <w:t>式中：</w:t>
      </w:r>
    </w:p>
    <w:p>
      <w:pPr>
        <w:spacing w:before="0" w:after="0" w:line="480" w:lineRule="exact"/>
        <w:ind w:firstLine="561"/>
      </w:pPr>
      <w:r>
        <w:rPr>
          <w:rFonts w:ascii="仿宋_GB2312" w:hAnsi="仿宋_GB2312" w:eastAsia="仿宋_GB2312" w:cs="仿宋_GB2312"/>
          <w:b w:val="0"/>
          <w:sz w:val="28"/>
        </w:rPr>
        <w:t>P——土地价格；</w:t>
      </w:r>
    </w:p>
    <w:p>
      <w:pPr>
        <w:spacing w:before="0" w:after="0" w:line="480" w:lineRule="exact"/>
        <w:ind w:firstLine="561"/>
      </w:pPr>
      <w:r>
        <w:rPr>
          <w:rFonts w:ascii="仿宋_GB2312" w:hAnsi="仿宋_GB2312" w:eastAsia="仿宋_GB2312" w:cs="仿宋_GB2312"/>
          <w:b w:val="0"/>
          <w:sz w:val="28"/>
        </w:rPr>
        <w:t>A——土地年纯收益；</w:t>
      </w:r>
    </w:p>
    <w:p>
      <w:pPr>
        <w:spacing w:before="0" w:after="0" w:line="480" w:lineRule="exact"/>
        <w:ind w:firstLine="561"/>
      </w:pPr>
      <w:r>
        <w:rPr>
          <w:rFonts w:ascii="仿宋_GB2312" w:hAnsi="仿宋_GB2312" w:eastAsia="仿宋_GB2312" w:cs="仿宋_GB2312"/>
          <w:b w:val="0"/>
          <w:sz w:val="28"/>
        </w:rPr>
        <w:t>r——土地还原利率；</w:t>
      </w:r>
    </w:p>
    <w:p>
      <w:pPr>
        <w:spacing w:before="0" w:after="0" w:line="480" w:lineRule="exact"/>
        <w:ind w:firstLine="561"/>
      </w:pPr>
      <w:r>
        <w:rPr>
          <w:rFonts w:ascii="仿宋_GB2312" w:hAnsi="仿宋_GB2312" w:eastAsia="仿宋_GB2312" w:cs="仿宋_GB2312"/>
          <w:b w:val="0"/>
          <w:sz w:val="28"/>
        </w:rPr>
        <w:t>n——使用土地的年期或有土地收益的年期。</w:t>
      </w:r>
    </w:p>
    <w:p>
      <w:pPr>
        <w:spacing w:before="0" w:after="0" w:line="480" w:lineRule="exact"/>
        <w:ind w:firstLine="561"/>
      </w:pPr>
      <w:r>
        <w:rPr>
          <w:rFonts w:ascii="仿宋_GB2312" w:hAnsi="仿宋_GB2312" w:eastAsia="仿宋_GB2312" w:cs="仿宋_GB2312"/>
          <w:b w:val="0"/>
          <w:sz w:val="28"/>
        </w:rPr>
        <w:t>具体测算思路是：</w:t>
      </w:r>
    </w:p>
    <w:p>
      <w:pPr>
        <w:spacing w:before="0" w:after="0" w:line="480" w:lineRule="exact"/>
        <w:ind w:firstLine="561"/>
      </w:pPr>
      <w:r>
        <w:rPr>
          <w:rFonts w:ascii="仿宋_GB2312" w:hAnsi="仿宋_GB2312" w:eastAsia="仿宋_GB2312" w:cs="仿宋_GB2312"/>
          <w:b w:val="0"/>
          <w:sz w:val="28"/>
        </w:rPr>
        <w:t>A、房地年总收益＝房地年租金＝月租金×12×收益总面积×出租率×有效使用面积比率。</w:t>
      </w:r>
    </w:p>
    <w:p>
      <w:pPr>
        <w:spacing w:before="0" w:after="0" w:line="480" w:lineRule="exact"/>
        <w:ind w:firstLine="561"/>
      </w:pPr>
      <w:r>
        <w:rPr>
          <w:rFonts w:ascii="仿宋_GB2312" w:hAnsi="仿宋_GB2312" w:eastAsia="仿宋_GB2312" w:cs="仿宋_GB2312"/>
          <w:b w:val="0"/>
          <w:sz w:val="28"/>
        </w:rPr>
        <w:t>B、房地出租年总费用＝维修费+管理费+保险费+税金。</w:t>
      </w:r>
    </w:p>
    <w:p>
      <w:pPr>
        <w:spacing w:before="0" w:after="0" w:line="480" w:lineRule="exact"/>
        <w:ind w:firstLine="561"/>
      </w:pPr>
      <w:r>
        <w:rPr>
          <w:rFonts w:ascii="仿宋_GB2312" w:hAnsi="仿宋_GB2312" w:eastAsia="仿宋_GB2312" w:cs="仿宋_GB2312"/>
          <w:b w:val="0"/>
          <w:sz w:val="28"/>
        </w:rPr>
        <w:t>C、房地年纯收益＝房地年总收益-房地出租年总费用。</w:t>
      </w:r>
    </w:p>
    <w:p>
      <w:pPr>
        <w:spacing w:before="0" w:after="0" w:line="480" w:lineRule="exact"/>
        <w:ind w:firstLine="561"/>
      </w:pPr>
      <w:r>
        <w:rPr>
          <w:rFonts w:ascii="仿宋_GB2312" w:hAnsi="仿宋_GB2312" w:eastAsia="仿宋_GB2312" w:cs="仿宋_GB2312"/>
          <w:b w:val="0"/>
          <w:sz w:val="28"/>
        </w:rPr>
        <w:t>D、房屋年纯收益＝房屋现值×房屋还原率。</w:t>
      </w:r>
    </w:p>
    <w:p>
      <w:pPr>
        <w:spacing w:before="0" w:after="0" w:line="480" w:lineRule="exact"/>
        <w:ind w:firstLine="561"/>
      </w:pPr>
      <w:r>
        <w:rPr>
          <w:rFonts w:ascii="仿宋_GB2312" w:hAnsi="仿宋_GB2312" w:eastAsia="仿宋_GB2312" w:cs="仿宋_GB2312"/>
          <w:b w:val="0"/>
          <w:sz w:val="28"/>
        </w:rPr>
        <w:t>房屋现值＝重置价-折旧总额＝重置成本-年折旧费×已使用年限。</w:t>
      </w:r>
    </w:p>
    <w:p>
      <w:pPr>
        <w:spacing w:before="0" w:after="0" w:line="480" w:lineRule="exact"/>
        <w:ind w:firstLine="561"/>
      </w:pPr>
      <w:r>
        <w:rPr>
          <w:rFonts w:ascii="仿宋_GB2312" w:hAnsi="仿宋_GB2312" w:eastAsia="仿宋_GB2312" w:cs="仿宋_GB2312"/>
          <w:b w:val="0"/>
          <w:sz w:val="28"/>
        </w:rPr>
        <w:t>E、土地年纯收益＝房地年纯收益-房屋年纯收益。</w:t>
      </w:r>
    </w:p>
    <w:p>
      <w:pPr>
        <w:spacing w:before="0" w:after="0" w:line="480" w:lineRule="exact"/>
        <w:ind w:firstLine="561"/>
      </w:pPr>
      <w:r>
        <w:rPr>
          <w:rFonts w:ascii="仿宋_GB2312" w:hAnsi="仿宋_GB2312" w:eastAsia="仿宋_GB2312" w:cs="仿宋_GB2312"/>
          <w:b w:val="0"/>
          <w:sz w:val="28"/>
        </w:rPr>
        <w:t>F、总地价＝土地年纯收益÷r×[1-1/（1+r）^n]。</w:t>
      </w:r>
    </w:p>
    <w:p>
      <w:pPr>
        <w:spacing w:before="0" w:after="0" w:line="480" w:lineRule="exact"/>
        <w:ind w:firstLine="561"/>
      </w:pPr>
      <w:r>
        <w:rPr>
          <w:rFonts w:ascii="仿宋_GB2312" w:hAnsi="仿宋_GB2312" w:eastAsia="仿宋_GB2312" w:cs="仿宋_GB2312"/>
          <w:b w:val="0"/>
          <w:sz w:val="28"/>
        </w:rPr>
        <w:t>G、单位面积地价＝总地价÷总用地面积。</w:t>
      </w:r>
    </w:p>
    <w:p>
      <w:pPr>
        <w:spacing w:before="0" w:after="0" w:line="480" w:lineRule="exact"/>
        <w:ind w:firstLine="561"/>
      </w:pPr>
      <w:r>
        <w:rPr>
          <w:rFonts w:ascii="仿宋_GB2312" w:hAnsi="仿宋_GB2312" w:eastAsia="仿宋_GB2312" w:cs="仿宋_GB2312"/>
          <w:b w:val="0"/>
          <w:sz w:val="28"/>
        </w:rPr>
        <w:t>收益还原法评估过程：</w:t>
      </w:r>
    </w:p>
    <w:p>
      <w:pPr>
        <w:spacing w:before="0" w:after="0" w:line="480" w:lineRule="exact"/>
        <w:ind w:firstLine="561"/>
      </w:pPr>
      <w:r>
        <w:rPr>
          <w:rFonts w:ascii="仿宋_GB2312" w:hAnsi="仿宋_GB2312" w:eastAsia="仿宋_GB2312" w:cs="仿宋_GB2312"/>
          <w:b w:val="0"/>
          <w:sz w:val="28"/>
        </w:rPr>
        <w:t>1、确定房地年总收益</w:t>
      </w:r>
    </w:p>
    <w:p>
      <w:pPr>
        <w:spacing w:before="0" w:after="0" w:line="480" w:lineRule="exact"/>
        <w:ind w:firstLine="561"/>
      </w:pPr>
      <w:r>
        <w:rPr>
          <w:rFonts w:ascii="仿宋_GB2312" w:hAnsi="仿宋_GB2312" w:eastAsia="仿宋_GB2312" w:cs="仿宋_GB2312"/>
          <w:b w:val="0"/>
          <w:sz w:val="28"/>
        </w:rPr>
        <w:t>根据受托估价人员现场勘察，估价对象位于道江镇濂溪山庄宝珍街南六栋九号，所在宗地上有独栋建筑物，建成年份为1998年，总层数为4层，业主房屋所在层数为1-4层，建筑物为混合结构，外墙双飞粉，不锈钢及木质入户门，塑钢窗户，铁艺防盗网，屋内地面地贴瓷砖，顶棚木质装饰吊顶，简单装修，维护保养状况一般，约七成新，房屋整体经济耐用年限为50年，已使用28年，剩余使用年限为22年。根据《评估委托书》，委托方拟按估价对象现状使用条件进行出让。根据《不动产测绘报告书》，建筑面积205.45平方米，根据《宗地图》，估价对象土地面积50平方米，则容积率为4.11，根据估价目的，本次评估设定土地容积率为4.11。</w:t>
      </w:r>
    </w:p>
    <w:p>
      <w:pPr>
        <w:spacing w:before="0" w:after="0" w:line="480" w:lineRule="exact"/>
        <w:ind w:firstLine="561"/>
      </w:pPr>
      <w:r>
        <w:rPr>
          <w:rFonts w:ascii="仿宋_GB2312" w:hAnsi="仿宋_GB2312" w:eastAsia="仿宋_GB2312" w:cs="仿宋_GB2312"/>
          <w:b w:val="0"/>
          <w:sz w:val="28"/>
        </w:rPr>
        <w:t>①月租金的确定</w:t>
      </w:r>
    </w:p>
    <w:p>
      <w:pPr>
        <w:spacing w:before="0" w:after="0" w:line="480" w:lineRule="exact"/>
        <w:ind w:firstLine="561"/>
      </w:pPr>
      <w:r>
        <w:rPr>
          <w:rFonts w:ascii="仿宋_GB2312" w:hAnsi="仿宋_GB2312" w:eastAsia="仿宋_GB2312" w:cs="仿宋_GB2312"/>
          <w:b w:val="0"/>
          <w:sz w:val="28"/>
        </w:rPr>
        <w:t>调查估价对象所处区域与估价对象条件相当的用于出租的住宅物业租金水平，确定估价对象房地产出租的总收益。经估价人员调查与估价对象在同一供需圈内的类似物业情况，选取了三个具有普遍性的物业的租金水平作为比较实例：</w:t>
      </w:r>
    </w:p>
    <w:p>
      <w:pPr>
        <w:spacing w:before="0" w:after="0" w:line="480" w:lineRule="exact"/>
        <w:ind w:firstLine="561"/>
      </w:pPr>
      <w:r>
        <w:rPr>
          <w:rFonts w:ascii="仿宋_GB2312" w:hAnsi="仿宋_GB2312" w:eastAsia="仿宋_GB2312" w:cs="仿宋_GB2312"/>
          <w:b w:val="0"/>
          <w:sz w:val="28"/>
        </w:rPr>
        <w:t>实例A：金欧雅陶瓷(道州中路店)楼上住宅，位于道州中路466号爱莲商业广场，商服繁华度较优，水电等基础设施综合保证率95%，区域内公交便捷度较优，道路通达度较通畅，环境质量好，公共设施齐全，临主干道，砖混结构，建筑物内部结构合理，房屋七成新，通风采光条件好，简单装修，基本满足停车需求，无物业管理，于2026年6月住宅平均租金为11.4元/平方米·月。</w:t>
      </w:r>
    </w:p>
    <w:p>
      <w:pPr>
        <w:spacing w:before="0" w:after="0" w:line="480" w:lineRule="exact"/>
        <w:ind w:firstLine="561"/>
      </w:pPr>
      <w:r>
        <w:rPr>
          <w:rFonts w:ascii="仿宋_GB2312" w:hAnsi="仿宋_GB2312" w:eastAsia="仿宋_GB2312" w:cs="仿宋_GB2312"/>
          <w:b w:val="0"/>
          <w:sz w:val="28"/>
        </w:rPr>
        <w:t>实例B：道州锁城楼上住宅，位于道州中路466号爱莲商业广场，商服繁华度较优，水电等基础设施综合保证率95%，区域内公交便捷度较优，道路通达度较通畅，环境质量好，公共设施齐全，临主干道，砖混结构，建筑物内部结构合理，房屋七成新，通风采光条件好，简单装修，基本满足停车需求，无物业管理，于2026年6月住宅平均租金为11.4元/平方米·月。</w:t>
      </w:r>
    </w:p>
    <w:p>
      <w:pPr>
        <w:spacing w:before="0" w:after="0" w:line="480" w:lineRule="exact"/>
        <w:ind w:firstLine="561"/>
      </w:pPr>
      <w:r>
        <w:rPr>
          <w:rFonts w:ascii="仿宋_GB2312" w:hAnsi="仿宋_GB2312" w:eastAsia="仿宋_GB2312" w:cs="仿宋_GB2312"/>
          <w:b w:val="0"/>
          <w:sz w:val="28"/>
        </w:rPr>
        <w:t>实例C：倩倩便利店(道州中路店)楼上住宅，位于道县道州中路397号，商服繁华度较优，水电等基础设施综合保证率95%，区域内公交便捷度较优，道路通达度较通畅，环境质量好，公共设施齐全，临主干道，砖混结构，建筑物内部结构合理，房屋七成新，通风采光条件好，简单装修，基本满足停车需求，无物业管理，于2026年6月住宅平均租金为11.5元/平方米·月。</w:t>
      </w:r>
    </w:p>
    <w:p>
      <w:pPr>
        <w:keepNext/>
        <w:spacing w:before="157" w:after="10" w:line="480" w:lineRule="exact"/>
        <w:ind w:firstLine="0" w:left="0" w:right="0"/>
        <w:jc w:val="center"/>
      </w:pPr>
      <w:r>
        <w:rPr>
          <w:rFonts w:ascii="仿宋_GB2312" w:hAnsi="仿宋_GB2312" w:eastAsia="仿宋_GB2312" w:cs="仿宋_GB2312"/>
          <w:b w:val="0"/>
          <w:sz w:val="28"/>
        </w:rPr>
        <w:t>租金比较实例照片及位置表</w:t>
      </w:r>
    </w:p>
    <w:tbl>
      <w:tblPr>
        <w:tblStyle w:val="TableGrid"/>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479"/>
        <w:gridCol w:w="4479"/>
      </w:tblGrid>
      <w:tr>
        <w:trPr>
          <w:tblHeader w:val="1"/>
          <w:cantSplit/>
        </w:trPr>
        <w:tc>
          <w:tcPr>
            <w:tcW w:type="dxa" w:w="4422"/>
            <w:vAlign w:val="center"/>
          </w:tcPr>
          <w:p>
            <w:pPr>
              <w:spacing w:before="0" w:after="0"/>
              <w:ind w:firstLine="0" w:left="0" w:right="0"/>
              <w:jc w:val="center"/>
            </w:pPr>
            <w:r>
              <w:rPr>
                <w:rFonts w:ascii="仿宋_GB2312" w:hAnsi="仿宋_GB2312" w:eastAsia="仿宋_GB2312" w:cs="仿宋_GB2312"/>
                <w:b w:val="0"/>
                <w:sz w:val="21"/>
              </w:rPr>
              <w:drawing>
                <wp:inline xmlns:a="http://schemas.openxmlformats.org/drawingml/2006/main" xmlns:pic="http://schemas.openxmlformats.org/drawingml/2006/picture">
                  <wp:extent cx="2520000" cy="1470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2520000" cy="1470000"/>
                          </a:xfrm>
                          <a:prstGeom prst="rect"/>
                        </pic:spPr>
                      </pic:pic>
                    </a:graphicData>
                  </a:graphic>
                </wp:inline>
              </w:drawing>
            </w:r>
            <w:r>
              <w:rPr>
                <w:rFonts w:ascii="仿宋_GB2312" w:hAnsi="仿宋_GB2312" w:eastAsia="仿宋_GB2312" w:cs="仿宋_GB2312"/>
                <w:b w:val="0"/>
                <w:sz w:val="21"/>
              </w:rPr>
              <w:br/>
              <w:t>实例A照片</w:t>
            </w:r>
          </w:p>
        </w:tc>
        <w:tc>
          <w:tcPr>
            <w:tcW w:type="dxa" w:w="4422"/>
            <w:vAlign w:val="center"/>
          </w:tcPr>
          <w:p>
            <w:pPr>
              <w:spacing w:before="0" w:after="0"/>
              <w:ind w:firstLine="0" w:left="0" w:right="0"/>
              <w:jc w:val="center"/>
            </w:pPr>
            <w:r>
              <w:rPr>
                <w:rFonts w:ascii="仿宋_GB2312" w:hAnsi="仿宋_GB2312" w:eastAsia="仿宋_GB2312" w:cs="仿宋_GB2312"/>
                <w:b w:val="0"/>
                <w:sz w:val="21"/>
              </w:rPr>
              <w:drawing>
                <wp:inline xmlns:a="http://schemas.openxmlformats.org/drawingml/2006/main" xmlns:pic="http://schemas.openxmlformats.org/drawingml/2006/picture">
                  <wp:extent cx="2520000" cy="14700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2520000" cy="1470000"/>
                          </a:xfrm>
                          <a:prstGeom prst="rect"/>
                        </pic:spPr>
                      </pic:pic>
                    </a:graphicData>
                  </a:graphic>
                </wp:inline>
              </w:drawing>
            </w:r>
            <w:r>
              <w:rPr>
                <w:rFonts w:ascii="仿宋_GB2312" w:hAnsi="仿宋_GB2312" w:eastAsia="仿宋_GB2312" w:cs="仿宋_GB2312"/>
                <w:b w:val="0"/>
                <w:sz w:val="21"/>
              </w:rPr>
              <w:br/>
              <w:t>实例A位置</w:t>
            </w:r>
          </w:p>
        </w:tc>
      </w:tr>
      <w:tr>
        <w:trPr>
          <w:cantSplit/>
        </w:trPr>
        <w:tc>
          <w:tcPr>
            <w:tcW w:type="dxa" w:w="4422"/>
            <w:vAlign w:val="center"/>
          </w:tcPr>
          <w:p>
            <w:pPr>
              <w:spacing w:before="0" w:after="0"/>
              <w:ind w:firstLine="0" w:left="0" w:right="0"/>
              <w:jc w:val="center"/>
            </w:pPr>
            <w:r>
              <w:rPr>
                <w:rFonts w:ascii="仿宋_GB2312" w:hAnsi="仿宋_GB2312" w:eastAsia="仿宋_GB2312" w:cs="仿宋_GB2312"/>
                <w:b w:val="0"/>
                <w:sz w:val="21"/>
              </w:rPr>
              <w:drawing>
                <wp:inline xmlns:a="http://schemas.openxmlformats.org/drawingml/2006/main" xmlns:pic="http://schemas.openxmlformats.org/drawingml/2006/picture">
                  <wp:extent cx="2520000" cy="147000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520000" cy="1470000"/>
                          </a:xfrm>
                          <a:prstGeom prst="rect"/>
                        </pic:spPr>
                      </pic:pic>
                    </a:graphicData>
                  </a:graphic>
                </wp:inline>
              </w:drawing>
            </w:r>
            <w:r>
              <w:rPr>
                <w:rFonts w:ascii="仿宋_GB2312" w:hAnsi="仿宋_GB2312" w:eastAsia="仿宋_GB2312" w:cs="仿宋_GB2312"/>
                <w:b w:val="0"/>
                <w:sz w:val="21"/>
              </w:rPr>
              <w:br/>
              <w:t>实例B照片</w:t>
            </w:r>
          </w:p>
        </w:tc>
        <w:tc>
          <w:tcPr>
            <w:tcW w:type="dxa" w:w="4422"/>
            <w:vAlign w:val="center"/>
          </w:tcPr>
          <w:p>
            <w:pPr>
              <w:spacing w:before="0" w:after="0"/>
              <w:ind w:firstLine="0" w:left="0" w:right="0"/>
              <w:jc w:val="center"/>
            </w:pPr>
            <w:r>
              <w:rPr>
                <w:rFonts w:ascii="仿宋_GB2312" w:hAnsi="仿宋_GB2312" w:eastAsia="仿宋_GB2312" w:cs="仿宋_GB2312"/>
                <w:b w:val="0"/>
                <w:sz w:val="21"/>
              </w:rPr>
              <w:drawing>
                <wp:inline xmlns:a="http://schemas.openxmlformats.org/drawingml/2006/main" xmlns:pic="http://schemas.openxmlformats.org/drawingml/2006/picture">
                  <wp:extent cx="2520000" cy="1470000"/>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2520000" cy="1470000"/>
                          </a:xfrm>
                          <a:prstGeom prst="rect"/>
                        </pic:spPr>
                      </pic:pic>
                    </a:graphicData>
                  </a:graphic>
                </wp:inline>
              </w:drawing>
            </w:r>
            <w:r>
              <w:rPr>
                <w:rFonts w:ascii="仿宋_GB2312" w:hAnsi="仿宋_GB2312" w:eastAsia="仿宋_GB2312" w:cs="仿宋_GB2312"/>
                <w:b w:val="0"/>
                <w:sz w:val="21"/>
              </w:rPr>
              <w:br/>
              <w:t>实例B位置</w:t>
            </w:r>
          </w:p>
        </w:tc>
      </w:tr>
      <w:tr>
        <w:trPr>
          <w:cantSplit/>
        </w:trPr>
        <w:tc>
          <w:tcPr>
            <w:tcW w:type="dxa" w:w="4422"/>
            <w:vAlign w:val="center"/>
          </w:tcPr>
          <w:p>
            <w:pPr>
              <w:spacing w:before="0" w:after="0"/>
              <w:ind w:firstLine="0" w:left="0" w:right="0"/>
              <w:jc w:val="center"/>
            </w:pPr>
            <w:r>
              <w:rPr>
                <w:rFonts w:ascii="仿宋_GB2312" w:hAnsi="仿宋_GB2312" w:eastAsia="仿宋_GB2312" w:cs="仿宋_GB2312"/>
                <w:b w:val="0"/>
                <w:sz w:val="21"/>
              </w:rPr>
              <w:drawing>
                <wp:inline xmlns:a="http://schemas.openxmlformats.org/drawingml/2006/main" xmlns:pic="http://schemas.openxmlformats.org/drawingml/2006/picture">
                  <wp:extent cx="2520000" cy="147000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2520000" cy="1470000"/>
                          </a:xfrm>
                          <a:prstGeom prst="rect"/>
                        </pic:spPr>
                      </pic:pic>
                    </a:graphicData>
                  </a:graphic>
                </wp:inline>
              </w:drawing>
            </w:r>
            <w:r>
              <w:rPr>
                <w:rFonts w:ascii="仿宋_GB2312" w:hAnsi="仿宋_GB2312" w:eastAsia="仿宋_GB2312" w:cs="仿宋_GB2312"/>
                <w:b w:val="0"/>
                <w:sz w:val="21"/>
              </w:rPr>
              <w:br/>
              <w:t>实例C照片</w:t>
            </w:r>
          </w:p>
        </w:tc>
        <w:tc>
          <w:tcPr>
            <w:tcW w:type="dxa" w:w="4422"/>
            <w:vAlign w:val="center"/>
          </w:tcPr>
          <w:p>
            <w:pPr>
              <w:spacing w:before="0" w:after="0"/>
              <w:ind w:firstLine="0" w:left="0" w:right="0"/>
              <w:jc w:val="center"/>
            </w:pPr>
            <w:r>
              <w:rPr>
                <w:rFonts w:ascii="仿宋_GB2312" w:hAnsi="仿宋_GB2312" w:eastAsia="仿宋_GB2312" w:cs="仿宋_GB2312"/>
                <w:b w:val="0"/>
                <w:sz w:val="21"/>
              </w:rPr>
              <w:drawing>
                <wp:inline xmlns:a="http://schemas.openxmlformats.org/drawingml/2006/main" xmlns:pic="http://schemas.openxmlformats.org/drawingml/2006/picture">
                  <wp:extent cx="2520000" cy="1470000"/>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2520000" cy="1470000"/>
                          </a:xfrm>
                          <a:prstGeom prst="rect"/>
                        </pic:spPr>
                      </pic:pic>
                    </a:graphicData>
                  </a:graphic>
                </wp:inline>
              </w:drawing>
            </w:r>
            <w:r>
              <w:rPr>
                <w:rFonts w:ascii="仿宋_GB2312" w:hAnsi="仿宋_GB2312" w:eastAsia="仿宋_GB2312" w:cs="仿宋_GB2312"/>
                <w:b w:val="0"/>
                <w:sz w:val="21"/>
              </w:rPr>
              <w:br/>
              <w:t>实例C位置</w:t>
            </w:r>
          </w:p>
        </w:tc>
      </w:tr>
    </w:tbl>
    <w:p>
      <w:pPr>
        <w:spacing w:before="0" w:after="0" w:line="480" w:lineRule="exact"/>
        <w:ind w:firstLine="561"/>
      </w:pPr>
      <w:r>
        <w:rPr>
          <w:rFonts w:ascii="仿宋_GB2312" w:hAnsi="仿宋_GB2312" w:eastAsia="仿宋_GB2312" w:cs="仿宋_GB2312"/>
          <w:b w:val="0"/>
          <w:sz w:val="28"/>
        </w:rPr>
        <w:t>②编制租金案例比较因素表</w:t>
      </w:r>
    </w:p>
    <w:p>
      <w:pPr>
        <w:spacing w:before="0" w:after="0" w:line="480" w:lineRule="exact"/>
        <w:ind w:firstLine="561"/>
      </w:pPr>
      <w:r>
        <w:rPr>
          <w:rFonts w:ascii="仿宋_GB2312" w:hAnsi="仿宋_GB2312" w:eastAsia="仿宋_GB2312" w:cs="仿宋_GB2312"/>
          <w:b w:val="0"/>
          <w:sz w:val="28"/>
        </w:rPr>
        <w:t>结合影响房屋租金的主要因素，以估价对象因素为100进行租金修正，估价对象与实例比较因素情况详见下表。</w:t>
      </w:r>
    </w:p>
    <w:p>
      <w:pPr>
        <w:keepNext/>
        <w:spacing w:before="157" w:after="10" w:line="480" w:lineRule="exact"/>
        <w:ind w:firstLine="0" w:left="0" w:right="0"/>
        <w:jc w:val="center"/>
      </w:pPr>
      <w:r>
        <w:rPr>
          <w:rFonts w:ascii="仿宋_GB2312" w:hAnsi="仿宋_GB2312" w:eastAsia="仿宋_GB2312" w:cs="仿宋_GB2312"/>
          <w:b w:val="0"/>
          <w:sz w:val="28"/>
        </w:rPr>
        <w:t>表3-13 比较因素条件说明表</w:t>
      </w:r>
    </w:p>
    <w:tbl>
      <w:tblPr>
        <w:tblStyle w:val="TableGrid"/>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93"/>
        <w:gridCol w:w="1493"/>
        <w:gridCol w:w="1493"/>
        <w:gridCol w:w="1493"/>
        <w:gridCol w:w="1493"/>
        <w:gridCol w:w="1493"/>
      </w:tblGrid>
      <w:tr>
        <w:trPr>
          <w:tblHeader w:val="1"/>
          <w:cantSplit/>
        </w:trPr>
        <w:tc>
          <w:tcPr>
            <w:tcW w:type="dxa" w:w="1247"/>
            <w:vAlign w:val="center"/>
          </w:tcPr>
          <w:p>
            <w:pPr>
              <w:spacing w:before="0" w:after="0" w:line="260" w:lineRule="exact"/>
              <w:ind w:firstLine="0" w:left="0" w:right="0"/>
              <w:jc w:val="center"/>
            </w:pPr>
            <w:r>
              <w:rPr>
                <w:rFonts w:ascii="仿宋_GB2312" w:hAnsi="仿宋_GB2312" w:eastAsia="仿宋_GB2312" w:cs="仿宋_GB2312"/>
                <w:b w:val="0"/>
                <w:sz w:val="20"/>
              </w:rPr>
              <w:t>因素类别</w:t>
            </w:r>
          </w:p>
        </w:tc>
        <w:tc>
          <w:tcPr>
            <w:tcW w:type="dxa" w:w="1814"/>
            <w:vAlign w:val="center"/>
          </w:tcPr>
          <w:p>
            <w:pPr>
              <w:spacing w:before="0" w:after="0" w:line="260" w:lineRule="exact"/>
              <w:ind w:firstLine="0" w:left="0" w:right="0"/>
              <w:jc w:val="center"/>
            </w:pPr>
            <w:r>
              <w:rPr>
                <w:rFonts w:ascii="仿宋_GB2312" w:hAnsi="仿宋_GB2312" w:eastAsia="仿宋_GB2312" w:cs="仿宋_GB2312"/>
                <w:b w:val="0"/>
                <w:sz w:val="20"/>
              </w:rPr>
              <w:t>比较因素</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0"/>
              </w:rPr>
              <w:t>估价对象</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0"/>
              </w:rPr>
              <w:t>案例A</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0"/>
              </w:rPr>
              <w:t>案例B</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0"/>
              </w:rPr>
              <w:t>案例C</w:t>
            </w:r>
          </w:p>
        </w:tc>
      </w:tr>
      <w:tr>
        <w:trPr>
          <w:cantSplit/>
        </w:trPr>
        <w:tc>
          <w:tcPr>
            <w:tcW w:type="dxa" w:w="1247"/>
            <w:vAlign w:val="center"/>
          </w:tcPr>
          <w:p>
            <w:pPr>
              <w:spacing w:before="0" w:after="0" w:line="260" w:lineRule="exact"/>
              <w:ind w:firstLine="0" w:left="0" w:right="0"/>
              <w:jc w:val="center"/>
            </w:pPr>
            <w:r>
              <w:rPr>
                <w:rFonts w:ascii="仿宋_GB2312" w:hAnsi="仿宋_GB2312" w:eastAsia="仿宋_GB2312" w:cs="仿宋_GB2312"/>
                <w:b w:val="0"/>
                <w:sz w:val="20"/>
              </w:rPr>
              <w:t>基础情况</w:t>
            </w:r>
          </w:p>
        </w:tc>
        <w:tc>
          <w:tcPr>
            <w:tcW w:type="dxa" w:w="1814"/>
            <w:vAlign w:val="center"/>
          </w:tcPr>
          <w:p>
            <w:pPr>
              <w:spacing w:before="0" w:after="0" w:line="260" w:lineRule="exact"/>
              <w:ind w:firstLine="0" w:left="0" w:right="0"/>
              <w:jc w:val="center"/>
            </w:pPr>
            <w:r>
              <w:rPr>
                <w:rFonts w:ascii="仿宋_GB2312" w:hAnsi="仿宋_GB2312" w:eastAsia="仿宋_GB2312" w:cs="仿宋_GB2312"/>
                <w:b w:val="0"/>
                <w:sz w:val="20"/>
              </w:rPr>
              <w:t>位置</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0"/>
              </w:rPr>
              <w:t>道江镇濂溪山庄宝珍街南六栋九号</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0"/>
              </w:rPr>
              <w:t>道州中路466号爱莲商业广场</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0"/>
              </w:rPr>
              <w:t>道州中路466号爱莲商业广场</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0"/>
              </w:rPr>
              <w:t>道县道州中路397号</w:t>
            </w:r>
          </w:p>
        </w:tc>
      </w:tr>
      <w:tr>
        <w:trPr>
          <w:cantSplit/>
        </w:trPr>
        <w:tc>
          <w:tcPr>
            <w:tcW w:type="dxa" w:w="1247"/>
            <w:vAlign w:val="center"/>
          </w:tcPr>
          <w:p>
            <w:pPr>
              <w:spacing w:before="0" w:after="0" w:line="260" w:lineRule="exact"/>
              <w:ind w:firstLine="0" w:left="0" w:right="0"/>
              <w:jc w:val="center"/>
            </w:pPr>
            <w:r>
              <w:rPr>
                <w:rFonts w:ascii="仿宋_GB2312" w:hAnsi="仿宋_GB2312" w:eastAsia="仿宋_GB2312" w:cs="仿宋_GB2312"/>
                <w:b w:val="0"/>
                <w:sz w:val="20"/>
              </w:rPr>
              <w:t>基础情况</w:t>
            </w:r>
          </w:p>
        </w:tc>
        <w:tc>
          <w:tcPr>
            <w:tcW w:type="dxa" w:w="1814"/>
            <w:vAlign w:val="center"/>
          </w:tcPr>
          <w:p>
            <w:pPr>
              <w:spacing w:before="0" w:after="0" w:line="260" w:lineRule="exact"/>
              <w:ind w:firstLine="0" w:left="0" w:right="0"/>
              <w:jc w:val="center"/>
            </w:pPr>
            <w:r>
              <w:rPr>
                <w:rFonts w:ascii="仿宋_GB2312" w:hAnsi="仿宋_GB2312" w:eastAsia="仿宋_GB2312" w:cs="仿宋_GB2312"/>
                <w:b w:val="0"/>
                <w:sz w:val="20"/>
              </w:rPr>
              <w:t>住宅租金(元/m2·月)</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0"/>
              </w:rPr>
              <w:t>待估</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0"/>
              </w:rPr>
              <w:t>11.4</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0"/>
              </w:rPr>
              <w:t>11.4</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0"/>
              </w:rPr>
              <w:t>11.5</w:t>
            </w:r>
          </w:p>
        </w:tc>
      </w:tr>
      <w:tr>
        <w:trPr>
          <w:cantSplit/>
        </w:trPr>
        <w:tc>
          <w:tcPr>
            <w:tcW w:type="dxa" w:w="1247"/>
            <w:vAlign w:val="center"/>
          </w:tcPr>
          <w:p>
            <w:pPr>
              <w:spacing w:before="0" w:after="0" w:line="260" w:lineRule="exact"/>
              <w:ind w:firstLine="0" w:left="0" w:right="0"/>
              <w:jc w:val="center"/>
            </w:pPr>
            <w:r>
              <w:rPr>
                <w:rFonts w:ascii="仿宋_GB2312" w:hAnsi="仿宋_GB2312" w:eastAsia="仿宋_GB2312" w:cs="仿宋_GB2312"/>
                <w:b w:val="0"/>
                <w:sz w:val="20"/>
              </w:rPr>
              <w:t>交易因素</w:t>
            </w:r>
          </w:p>
        </w:tc>
        <w:tc>
          <w:tcPr>
            <w:tcW w:type="dxa" w:w="1814"/>
            <w:vAlign w:val="center"/>
          </w:tcPr>
          <w:p>
            <w:pPr>
              <w:spacing w:before="0" w:after="0" w:line="260" w:lineRule="exact"/>
              <w:ind w:firstLine="0" w:left="0" w:right="0"/>
              <w:jc w:val="center"/>
            </w:pPr>
            <w:r>
              <w:rPr>
                <w:rFonts w:ascii="仿宋_GB2312" w:hAnsi="仿宋_GB2312" w:eastAsia="仿宋_GB2312" w:cs="仿宋_GB2312"/>
                <w:b w:val="0"/>
                <w:sz w:val="20"/>
              </w:rPr>
              <w:t>用途</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0"/>
              </w:rPr>
              <w:t>住宅用地</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0"/>
              </w:rPr>
              <w:t>住宅</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0"/>
              </w:rPr>
              <w:t>住宅</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0"/>
              </w:rPr>
              <w:t>住宅</w:t>
            </w:r>
          </w:p>
        </w:tc>
      </w:tr>
      <w:tr>
        <w:trPr>
          <w:cantSplit/>
        </w:trPr>
        <w:tc>
          <w:tcPr>
            <w:tcW w:type="dxa" w:w="1247"/>
            <w:vAlign w:val="center"/>
          </w:tcPr>
          <w:p>
            <w:pPr>
              <w:spacing w:before="0" w:after="0" w:line="260" w:lineRule="exact"/>
              <w:ind w:firstLine="0" w:left="0" w:right="0"/>
              <w:jc w:val="center"/>
            </w:pPr>
            <w:r>
              <w:rPr>
                <w:rFonts w:ascii="仿宋_GB2312" w:hAnsi="仿宋_GB2312" w:eastAsia="仿宋_GB2312" w:cs="仿宋_GB2312"/>
                <w:b w:val="0"/>
                <w:sz w:val="20"/>
              </w:rPr>
              <w:t>交易因素</w:t>
            </w:r>
          </w:p>
        </w:tc>
        <w:tc>
          <w:tcPr>
            <w:tcW w:type="dxa" w:w="1814"/>
            <w:vAlign w:val="center"/>
          </w:tcPr>
          <w:p>
            <w:pPr>
              <w:spacing w:before="0" w:after="0" w:line="260" w:lineRule="exact"/>
              <w:ind w:firstLine="0" w:left="0" w:right="0"/>
              <w:jc w:val="center"/>
            </w:pPr>
            <w:r>
              <w:rPr>
                <w:rFonts w:ascii="仿宋_GB2312" w:hAnsi="仿宋_GB2312" w:eastAsia="仿宋_GB2312" w:cs="仿宋_GB2312"/>
                <w:b w:val="0"/>
                <w:sz w:val="20"/>
              </w:rPr>
              <w:t>交易时间</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0"/>
              </w:rPr>
              <w:t>2026-06-01</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0"/>
              </w:rPr>
              <w:t>2026.06</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0"/>
              </w:rPr>
              <w:t>2026.06</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0"/>
              </w:rPr>
              <w:t>2026.06</w:t>
            </w:r>
          </w:p>
        </w:tc>
      </w:tr>
      <w:tr>
        <w:trPr>
          <w:cantSplit/>
        </w:trPr>
        <w:tc>
          <w:tcPr>
            <w:tcW w:type="dxa" w:w="1247"/>
            <w:vAlign w:val="center"/>
          </w:tcPr>
          <w:p>
            <w:pPr>
              <w:spacing w:before="0" w:after="0" w:line="260" w:lineRule="exact"/>
              <w:ind w:firstLine="0" w:left="0" w:right="0"/>
              <w:jc w:val="center"/>
            </w:pPr>
            <w:r>
              <w:rPr>
                <w:rFonts w:ascii="仿宋_GB2312" w:hAnsi="仿宋_GB2312" w:eastAsia="仿宋_GB2312" w:cs="仿宋_GB2312"/>
                <w:b w:val="0"/>
                <w:sz w:val="20"/>
              </w:rPr>
              <w:t>交易因素</w:t>
            </w:r>
          </w:p>
        </w:tc>
        <w:tc>
          <w:tcPr>
            <w:tcW w:type="dxa" w:w="1814"/>
            <w:vAlign w:val="center"/>
          </w:tcPr>
          <w:p>
            <w:pPr>
              <w:spacing w:before="0" w:after="0" w:line="260" w:lineRule="exact"/>
              <w:ind w:firstLine="0" w:left="0" w:right="0"/>
              <w:jc w:val="center"/>
            </w:pPr>
            <w:r>
              <w:rPr>
                <w:rFonts w:ascii="仿宋_GB2312" w:hAnsi="仿宋_GB2312" w:eastAsia="仿宋_GB2312" w:cs="仿宋_GB2312"/>
                <w:b w:val="0"/>
                <w:sz w:val="20"/>
              </w:rPr>
              <w:t>交易情况</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0"/>
              </w:rPr>
              <w:t>正常交易</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0"/>
              </w:rPr>
              <w:t>正常</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0"/>
              </w:rPr>
              <w:t>正常</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0"/>
              </w:rPr>
              <w:t>正常</w:t>
            </w:r>
          </w:p>
        </w:tc>
      </w:tr>
      <w:tr>
        <w:trPr>
          <w:cantSplit/>
        </w:trPr>
        <w:tc>
          <w:tcPr>
            <w:tcW w:type="dxa" w:w="1247"/>
            <w:vAlign w:val="center"/>
          </w:tcPr>
          <w:p>
            <w:pPr>
              <w:spacing w:before="0" w:after="0" w:line="260" w:lineRule="exact"/>
              <w:ind w:firstLine="0" w:left="0" w:right="0"/>
              <w:jc w:val="center"/>
            </w:pPr>
            <w:r>
              <w:rPr>
                <w:rFonts w:ascii="仿宋_GB2312" w:hAnsi="仿宋_GB2312" w:eastAsia="仿宋_GB2312" w:cs="仿宋_GB2312"/>
                <w:b w:val="0"/>
                <w:sz w:val="20"/>
              </w:rPr>
              <w:t>区域因素</w:t>
            </w:r>
          </w:p>
        </w:tc>
        <w:tc>
          <w:tcPr>
            <w:tcW w:type="dxa" w:w="1814"/>
            <w:vAlign w:val="center"/>
          </w:tcPr>
          <w:p>
            <w:pPr>
              <w:spacing w:before="0" w:after="0" w:line="260" w:lineRule="exact"/>
              <w:ind w:firstLine="0" w:left="0" w:right="0"/>
              <w:jc w:val="center"/>
            </w:pPr>
            <w:r>
              <w:rPr>
                <w:rFonts w:ascii="仿宋_GB2312" w:hAnsi="仿宋_GB2312" w:eastAsia="仿宋_GB2312" w:cs="仿宋_GB2312"/>
                <w:b w:val="0"/>
                <w:sz w:val="20"/>
              </w:rPr>
              <w:t>商服繁华度</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0"/>
              </w:rPr>
              <w:t>较优</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0"/>
              </w:rPr>
              <w:t>较优</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0"/>
              </w:rPr>
              <w:t>较优</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0"/>
              </w:rPr>
              <w:t>较优</w:t>
            </w:r>
          </w:p>
        </w:tc>
      </w:tr>
      <w:tr>
        <w:trPr>
          <w:cantSplit/>
        </w:trPr>
        <w:tc>
          <w:tcPr>
            <w:tcW w:type="dxa" w:w="1247"/>
            <w:vAlign w:val="center"/>
          </w:tcPr>
          <w:p>
            <w:pPr>
              <w:spacing w:before="0" w:after="0" w:line="260" w:lineRule="exact"/>
              <w:ind w:firstLine="0" w:left="0" w:right="0"/>
              <w:jc w:val="center"/>
            </w:pPr>
            <w:r>
              <w:rPr>
                <w:rFonts w:ascii="仿宋_GB2312" w:hAnsi="仿宋_GB2312" w:eastAsia="仿宋_GB2312" w:cs="仿宋_GB2312"/>
                <w:b w:val="0"/>
                <w:sz w:val="20"/>
              </w:rPr>
              <w:t>区域因素</w:t>
            </w:r>
          </w:p>
        </w:tc>
        <w:tc>
          <w:tcPr>
            <w:tcW w:type="dxa" w:w="1814"/>
            <w:vAlign w:val="center"/>
          </w:tcPr>
          <w:p>
            <w:pPr>
              <w:spacing w:before="0" w:after="0" w:line="260" w:lineRule="exact"/>
              <w:ind w:firstLine="0" w:left="0" w:right="0"/>
              <w:jc w:val="center"/>
            </w:pPr>
            <w:r>
              <w:rPr>
                <w:rFonts w:ascii="仿宋_GB2312" w:hAnsi="仿宋_GB2312" w:eastAsia="仿宋_GB2312" w:cs="仿宋_GB2312"/>
                <w:b w:val="0"/>
                <w:sz w:val="20"/>
              </w:rPr>
              <w:t>公交便捷度</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0"/>
              </w:rPr>
              <w:t>较优</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0"/>
              </w:rPr>
              <w:t>较优</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0"/>
              </w:rPr>
              <w:t>较优</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0"/>
              </w:rPr>
              <w:t>较优</w:t>
            </w:r>
          </w:p>
        </w:tc>
      </w:tr>
      <w:tr>
        <w:trPr>
          <w:cantSplit/>
        </w:trPr>
        <w:tc>
          <w:tcPr>
            <w:tcW w:type="dxa" w:w="1247"/>
            <w:vAlign w:val="center"/>
          </w:tcPr>
          <w:p>
            <w:pPr>
              <w:spacing w:before="0" w:after="0" w:line="260" w:lineRule="exact"/>
              <w:ind w:firstLine="0" w:left="0" w:right="0"/>
              <w:jc w:val="center"/>
            </w:pPr>
            <w:r>
              <w:rPr>
                <w:rFonts w:ascii="仿宋_GB2312" w:hAnsi="仿宋_GB2312" w:eastAsia="仿宋_GB2312" w:cs="仿宋_GB2312"/>
                <w:b w:val="0"/>
                <w:sz w:val="20"/>
              </w:rPr>
              <w:t>区域因素</w:t>
            </w:r>
          </w:p>
        </w:tc>
        <w:tc>
          <w:tcPr>
            <w:tcW w:type="dxa" w:w="1814"/>
            <w:vAlign w:val="center"/>
          </w:tcPr>
          <w:p>
            <w:pPr>
              <w:spacing w:before="0" w:after="0" w:line="260" w:lineRule="exact"/>
              <w:ind w:firstLine="0" w:left="0" w:right="0"/>
              <w:jc w:val="center"/>
            </w:pPr>
            <w:r>
              <w:rPr>
                <w:rFonts w:ascii="仿宋_GB2312" w:hAnsi="仿宋_GB2312" w:eastAsia="仿宋_GB2312" w:cs="仿宋_GB2312"/>
                <w:b w:val="0"/>
                <w:sz w:val="20"/>
              </w:rPr>
              <w:t>道路通达度</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0"/>
              </w:rPr>
              <w:t>较优</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0"/>
              </w:rPr>
              <w:t>较通畅</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0"/>
              </w:rPr>
              <w:t>较通畅</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0"/>
              </w:rPr>
              <w:t>较通畅</w:t>
            </w:r>
          </w:p>
        </w:tc>
      </w:tr>
      <w:tr>
        <w:trPr>
          <w:cantSplit/>
        </w:trPr>
        <w:tc>
          <w:tcPr>
            <w:tcW w:type="dxa" w:w="1247"/>
            <w:vAlign w:val="center"/>
          </w:tcPr>
          <w:p>
            <w:pPr>
              <w:spacing w:before="0" w:after="0" w:line="260" w:lineRule="exact"/>
              <w:ind w:firstLine="0" w:left="0" w:right="0"/>
              <w:jc w:val="center"/>
            </w:pPr>
            <w:r>
              <w:rPr>
                <w:rFonts w:ascii="仿宋_GB2312" w:hAnsi="仿宋_GB2312" w:eastAsia="仿宋_GB2312" w:cs="仿宋_GB2312"/>
                <w:b w:val="0"/>
                <w:sz w:val="20"/>
              </w:rPr>
              <w:t>区域因素</w:t>
            </w:r>
          </w:p>
        </w:tc>
        <w:tc>
          <w:tcPr>
            <w:tcW w:type="dxa" w:w="1814"/>
            <w:vAlign w:val="center"/>
          </w:tcPr>
          <w:p>
            <w:pPr>
              <w:spacing w:before="0" w:after="0" w:line="260" w:lineRule="exact"/>
              <w:ind w:firstLine="0" w:left="0" w:right="0"/>
              <w:jc w:val="center"/>
            </w:pPr>
            <w:r>
              <w:rPr>
                <w:rFonts w:ascii="仿宋_GB2312" w:hAnsi="仿宋_GB2312" w:eastAsia="仿宋_GB2312" w:cs="仿宋_GB2312"/>
                <w:b w:val="0"/>
                <w:sz w:val="20"/>
              </w:rPr>
              <w:t>水电等基础设施综合保证率</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0"/>
              </w:rPr>
              <w:t>95%</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0"/>
              </w:rPr>
              <w:t>95%</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0"/>
              </w:rPr>
              <w:t>95%</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0"/>
              </w:rPr>
              <w:t>95%</w:t>
            </w:r>
          </w:p>
        </w:tc>
      </w:tr>
      <w:tr>
        <w:trPr>
          <w:cantSplit/>
        </w:trPr>
        <w:tc>
          <w:tcPr>
            <w:tcW w:type="dxa" w:w="1247"/>
            <w:vAlign w:val="center"/>
          </w:tcPr>
          <w:p>
            <w:pPr>
              <w:spacing w:before="0" w:after="0" w:line="260" w:lineRule="exact"/>
              <w:ind w:firstLine="0" w:left="0" w:right="0"/>
              <w:jc w:val="center"/>
            </w:pPr>
            <w:r>
              <w:rPr>
                <w:rFonts w:ascii="仿宋_GB2312" w:hAnsi="仿宋_GB2312" w:eastAsia="仿宋_GB2312" w:cs="仿宋_GB2312"/>
                <w:b w:val="0"/>
                <w:sz w:val="20"/>
              </w:rPr>
              <w:t>区域因素</w:t>
            </w:r>
          </w:p>
        </w:tc>
        <w:tc>
          <w:tcPr>
            <w:tcW w:type="dxa" w:w="1814"/>
            <w:vAlign w:val="center"/>
          </w:tcPr>
          <w:p>
            <w:pPr>
              <w:spacing w:before="0" w:after="0" w:line="260" w:lineRule="exact"/>
              <w:ind w:firstLine="0" w:left="0" w:right="0"/>
              <w:jc w:val="center"/>
            </w:pPr>
            <w:r>
              <w:rPr>
                <w:rFonts w:ascii="仿宋_GB2312" w:hAnsi="仿宋_GB2312" w:eastAsia="仿宋_GB2312" w:cs="仿宋_GB2312"/>
                <w:b w:val="0"/>
                <w:sz w:val="20"/>
              </w:rPr>
              <w:t>环境质量</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0"/>
              </w:rPr>
              <w:t>好</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0"/>
              </w:rPr>
              <w:t>好</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0"/>
              </w:rPr>
              <w:t>好</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0"/>
              </w:rPr>
              <w:t>好</w:t>
            </w:r>
          </w:p>
        </w:tc>
      </w:tr>
      <w:tr>
        <w:trPr>
          <w:cantSplit/>
        </w:trPr>
        <w:tc>
          <w:tcPr>
            <w:tcW w:type="dxa" w:w="1247"/>
            <w:vAlign w:val="center"/>
          </w:tcPr>
          <w:p>
            <w:pPr>
              <w:spacing w:before="0" w:after="0" w:line="260" w:lineRule="exact"/>
              <w:ind w:firstLine="0" w:left="0" w:right="0"/>
              <w:jc w:val="center"/>
            </w:pPr>
            <w:r>
              <w:rPr>
                <w:rFonts w:ascii="仿宋_GB2312" w:hAnsi="仿宋_GB2312" w:eastAsia="仿宋_GB2312" w:cs="仿宋_GB2312"/>
                <w:b w:val="0"/>
                <w:sz w:val="20"/>
              </w:rPr>
              <w:t>区域因素</w:t>
            </w:r>
          </w:p>
        </w:tc>
        <w:tc>
          <w:tcPr>
            <w:tcW w:type="dxa" w:w="1814"/>
            <w:vAlign w:val="center"/>
          </w:tcPr>
          <w:p>
            <w:pPr>
              <w:spacing w:before="0" w:after="0" w:line="260" w:lineRule="exact"/>
              <w:ind w:firstLine="0" w:left="0" w:right="0"/>
              <w:jc w:val="center"/>
            </w:pPr>
            <w:r>
              <w:rPr>
                <w:rFonts w:ascii="仿宋_GB2312" w:hAnsi="仿宋_GB2312" w:eastAsia="仿宋_GB2312" w:cs="仿宋_GB2312"/>
                <w:b w:val="0"/>
                <w:sz w:val="20"/>
              </w:rPr>
              <w:t>区域公共设施状况</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0"/>
              </w:rPr>
              <w:t>齐全</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0"/>
              </w:rPr>
              <w:t>齐全</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0"/>
              </w:rPr>
              <w:t>齐全</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0"/>
              </w:rPr>
              <w:t>齐全</w:t>
            </w:r>
          </w:p>
        </w:tc>
      </w:tr>
      <w:tr>
        <w:trPr>
          <w:cantSplit/>
        </w:trPr>
        <w:tc>
          <w:tcPr>
            <w:tcW w:type="dxa" w:w="1247"/>
            <w:vAlign w:val="center"/>
          </w:tcPr>
          <w:p>
            <w:pPr>
              <w:spacing w:before="0" w:after="0" w:line="260" w:lineRule="exact"/>
              <w:ind w:firstLine="0" w:left="0" w:right="0"/>
              <w:jc w:val="center"/>
            </w:pPr>
            <w:r>
              <w:rPr>
                <w:rFonts w:ascii="仿宋_GB2312" w:hAnsi="仿宋_GB2312" w:eastAsia="仿宋_GB2312" w:cs="仿宋_GB2312"/>
                <w:b w:val="0"/>
                <w:sz w:val="20"/>
              </w:rPr>
              <w:t>个别因素</w:t>
            </w:r>
          </w:p>
        </w:tc>
        <w:tc>
          <w:tcPr>
            <w:tcW w:type="dxa" w:w="1814"/>
            <w:vAlign w:val="center"/>
          </w:tcPr>
          <w:p>
            <w:pPr>
              <w:spacing w:before="0" w:after="0" w:line="260" w:lineRule="exact"/>
              <w:ind w:firstLine="0" w:left="0" w:right="0"/>
              <w:jc w:val="center"/>
            </w:pPr>
            <w:r>
              <w:rPr>
                <w:rFonts w:ascii="仿宋_GB2312" w:hAnsi="仿宋_GB2312" w:eastAsia="仿宋_GB2312" w:cs="仿宋_GB2312"/>
                <w:b w:val="0"/>
                <w:sz w:val="20"/>
              </w:rPr>
              <w:t>所临道路类型</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0"/>
              </w:rPr>
              <w:t>临主干道</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0"/>
              </w:rPr>
              <w:t>临主干道</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0"/>
              </w:rPr>
              <w:t>临主干道</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0"/>
              </w:rPr>
              <w:t>临主干道</w:t>
            </w:r>
          </w:p>
        </w:tc>
      </w:tr>
      <w:tr>
        <w:trPr>
          <w:cantSplit/>
        </w:trPr>
        <w:tc>
          <w:tcPr>
            <w:tcW w:type="dxa" w:w="1247"/>
            <w:vAlign w:val="center"/>
          </w:tcPr>
          <w:p>
            <w:pPr>
              <w:spacing w:before="0" w:after="0" w:line="260" w:lineRule="exact"/>
              <w:ind w:firstLine="0" w:left="0" w:right="0"/>
              <w:jc w:val="center"/>
            </w:pPr>
            <w:r>
              <w:rPr>
                <w:rFonts w:ascii="仿宋_GB2312" w:hAnsi="仿宋_GB2312" w:eastAsia="仿宋_GB2312" w:cs="仿宋_GB2312"/>
                <w:b w:val="0"/>
                <w:sz w:val="20"/>
              </w:rPr>
              <w:t>个别因素</w:t>
            </w:r>
          </w:p>
        </w:tc>
        <w:tc>
          <w:tcPr>
            <w:tcW w:type="dxa" w:w="1814"/>
            <w:vAlign w:val="center"/>
          </w:tcPr>
          <w:p>
            <w:pPr>
              <w:spacing w:before="0" w:after="0" w:line="260" w:lineRule="exact"/>
              <w:ind w:firstLine="0" w:left="0" w:right="0"/>
              <w:jc w:val="center"/>
            </w:pPr>
            <w:r>
              <w:rPr>
                <w:rFonts w:ascii="仿宋_GB2312" w:hAnsi="仿宋_GB2312" w:eastAsia="仿宋_GB2312" w:cs="仿宋_GB2312"/>
                <w:b w:val="0"/>
                <w:sz w:val="20"/>
              </w:rPr>
              <w:t>通风采光</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0"/>
              </w:rPr>
              <w:t>好</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0"/>
              </w:rPr>
              <w:t>好</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0"/>
              </w:rPr>
              <w:t>好</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0"/>
              </w:rPr>
              <w:t>好</w:t>
            </w:r>
          </w:p>
        </w:tc>
      </w:tr>
      <w:tr>
        <w:trPr>
          <w:cantSplit/>
        </w:trPr>
        <w:tc>
          <w:tcPr>
            <w:tcW w:type="dxa" w:w="1247"/>
            <w:vAlign w:val="center"/>
          </w:tcPr>
          <w:p>
            <w:pPr>
              <w:spacing w:before="0" w:after="0" w:line="260" w:lineRule="exact"/>
              <w:ind w:firstLine="0" w:left="0" w:right="0"/>
              <w:jc w:val="center"/>
            </w:pPr>
            <w:r>
              <w:rPr>
                <w:rFonts w:ascii="仿宋_GB2312" w:hAnsi="仿宋_GB2312" w:eastAsia="仿宋_GB2312" w:cs="仿宋_GB2312"/>
                <w:b w:val="0"/>
                <w:sz w:val="20"/>
              </w:rPr>
              <w:t>个别因素</w:t>
            </w:r>
          </w:p>
        </w:tc>
        <w:tc>
          <w:tcPr>
            <w:tcW w:type="dxa" w:w="1814"/>
            <w:vAlign w:val="center"/>
          </w:tcPr>
          <w:p>
            <w:pPr>
              <w:spacing w:before="0" w:after="0" w:line="260" w:lineRule="exact"/>
              <w:ind w:firstLine="0" w:left="0" w:right="0"/>
              <w:jc w:val="center"/>
            </w:pPr>
            <w:r>
              <w:rPr>
                <w:rFonts w:ascii="仿宋_GB2312" w:hAnsi="仿宋_GB2312" w:eastAsia="仿宋_GB2312" w:cs="仿宋_GB2312"/>
                <w:b w:val="0"/>
                <w:sz w:val="20"/>
              </w:rPr>
              <w:t>房屋成新度</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0"/>
              </w:rPr>
              <w:t>七成新</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0"/>
              </w:rPr>
              <w:t>七成新</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0"/>
              </w:rPr>
              <w:t>七成新</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0"/>
              </w:rPr>
              <w:t>七成新</w:t>
            </w:r>
          </w:p>
        </w:tc>
      </w:tr>
      <w:tr>
        <w:trPr>
          <w:cantSplit/>
        </w:trPr>
        <w:tc>
          <w:tcPr>
            <w:tcW w:type="dxa" w:w="1247"/>
            <w:vAlign w:val="center"/>
          </w:tcPr>
          <w:p>
            <w:pPr>
              <w:spacing w:before="0" w:after="0" w:line="260" w:lineRule="exact"/>
              <w:ind w:firstLine="0" w:left="0" w:right="0"/>
              <w:jc w:val="center"/>
            </w:pPr>
            <w:r>
              <w:rPr>
                <w:rFonts w:ascii="仿宋_GB2312" w:hAnsi="仿宋_GB2312" w:eastAsia="仿宋_GB2312" w:cs="仿宋_GB2312"/>
                <w:b w:val="0"/>
                <w:sz w:val="20"/>
              </w:rPr>
              <w:t>个别因素</w:t>
            </w:r>
          </w:p>
        </w:tc>
        <w:tc>
          <w:tcPr>
            <w:tcW w:type="dxa" w:w="1814"/>
            <w:vAlign w:val="center"/>
          </w:tcPr>
          <w:p>
            <w:pPr>
              <w:spacing w:before="0" w:after="0" w:line="260" w:lineRule="exact"/>
              <w:ind w:firstLine="0" w:left="0" w:right="0"/>
              <w:jc w:val="center"/>
            </w:pPr>
            <w:r>
              <w:rPr>
                <w:rFonts w:ascii="仿宋_GB2312" w:hAnsi="仿宋_GB2312" w:eastAsia="仿宋_GB2312" w:cs="仿宋_GB2312"/>
                <w:b w:val="0"/>
                <w:sz w:val="20"/>
              </w:rPr>
              <w:t>建筑物结构</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0"/>
              </w:rPr>
              <w:t>砖混结构</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0"/>
              </w:rPr>
              <w:t>砖混结构</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0"/>
              </w:rPr>
              <w:t>砖混结构</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0"/>
              </w:rPr>
              <w:t>砖混结构</w:t>
            </w:r>
          </w:p>
        </w:tc>
      </w:tr>
      <w:tr>
        <w:trPr>
          <w:cantSplit/>
        </w:trPr>
        <w:tc>
          <w:tcPr>
            <w:tcW w:type="dxa" w:w="1247"/>
            <w:vAlign w:val="center"/>
          </w:tcPr>
          <w:p>
            <w:pPr>
              <w:spacing w:before="0" w:after="0" w:line="260" w:lineRule="exact"/>
              <w:ind w:firstLine="0" w:left="0" w:right="0"/>
              <w:jc w:val="center"/>
            </w:pPr>
            <w:r>
              <w:rPr>
                <w:rFonts w:ascii="仿宋_GB2312" w:hAnsi="仿宋_GB2312" w:eastAsia="仿宋_GB2312" w:cs="仿宋_GB2312"/>
                <w:b w:val="0"/>
                <w:sz w:val="20"/>
              </w:rPr>
              <w:t>个别因素</w:t>
            </w:r>
          </w:p>
        </w:tc>
        <w:tc>
          <w:tcPr>
            <w:tcW w:type="dxa" w:w="1814"/>
            <w:vAlign w:val="center"/>
          </w:tcPr>
          <w:p>
            <w:pPr>
              <w:spacing w:before="0" w:after="0" w:line="260" w:lineRule="exact"/>
              <w:ind w:firstLine="0" w:left="0" w:right="0"/>
              <w:jc w:val="center"/>
            </w:pPr>
            <w:r>
              <w:rPr>
                <w:rFonts w:ascii="仿宋_GB2312" w:hAnsi="仿宋_GB2312" w:eastAsia="仿宋_GB2312" w:cs="仿宋_GB2312"/>
                <w:b w:val="0"/>
                <w:sz w:val="20"/>
              </w:rPr>
              <w:t>建筑物内部格局</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0"/>
              </w:rPr>
              <w:t>合理</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0"/>
              </w:rPr>
              <w:t>合理</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0"/>
              </w:rPr>
              <w:t>合理</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0"/>
              </w:rPr>
              <w:t>合理</w:t>
            </w:r>
          </w:p>
        </w:tc>
      </w:tr>
      <w:tr>
        <w:trPr>
          <w:cantSplit/>
        </w:trPr>
        <w:tc>
          <w:tcPr>
            <w:tcW w:type="dxa" w:w="1247"/>
            <w:vAlign w:val="center"/>
          </w:tcPr>
          <w:p>
            <w:pPr>
              <w:spacing w:before="0" w:after="0" w:line="260" w:lineRule="exact"/>
              <w:ind w:firstLine="0" w:left="0" w:right="0"/>
              <w:jc w:val="center"/>
            </w:pPr>
            <w:r>
              <w:rPr>
                <w:rFonts w:ascii="仿宋_GB2312" w:hAnsi="仿宋_GB2312" w:eastAsia="仿宋_GB2312" w:cs="仿宋_GB2312"/>
                <w:b w:val="0"/>
                <w:sz w:val="20"/>
              </w:rPr>
              <w:t>个别因素</w:t>
            </w:r>
          </w:p>
        </w:tc>
        <w:tc>
          <w:tcPr>
            <w:tcW w:type="dxa" w:w="1814"/>
            <w:vAlign w:val="center"/>
          </w:tcPr>
          <w:p>
            <w:pPr>
              <w:spacing w:before="0" w:after="0" w:line="260" w:lineRule="exact"/>
              <w:ind w:firstLine="0" w:left="0" w:right="0"/>
              <w:jc w:val="center"/>
            </w:pPr>
            <w:r>
              <w:rPr>
                <w:rFonts w:ascii="仿宋_GB2312" w:hAnsi="仿宋_GB2312" w:eastAsia="仿宋_GB2312" w:cs="仿宋_GB2312"/>
                <w:b w:val="0"/>
                <w:sz w:val="20"/>
              </w:rPr>
              <w:t>装修档次</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0"/>
              </w:rPr>
              <w:t>简单装修</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0"/>
              </w:rPr>
              <w:t>简单装修</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0"/>
              </w:rPr>
              <w:t>简单装修</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0"/>
              </w:rPr>
              <w:t>简单装修</w:t>
            </w:r>
          </w:p>
        </w:tc>
      </w:tr>
      <w:tr>
        <w:trPr>
          <w:cantSplit/>
        </w:trPr>
        <w:tc>
          <w:tcPr>
            <w:tcW w:type="dxa" w:w="1247"/>
            <w:vAlign w:val="center"/>
          </w:tcPr>
          <w:p>
            <w:pPr>
              <w:spacing w:before="0" w:after="0" w:line="260" w:lineRule="exact"/>
              <w:ind w:firstLine="0" w:left="0" w:right="0"/>
              <w:jc w:val="center"/>
            </w:pPr>
            <w:r>
              <w:rPr>
                <w:rFonts w:ascii="仿宋_GB2312" w:hAnsi="仿宋_GB2312" w:eastAsia="仿宋_GB2312" w:cs="仿宋_GB2312"/>
                <w:b w:val="0"/>
                <w:sz w:val="20"/>
              </w:rPr>
              <w:t>个别因素</w:t>
            </w:r>
          </w:p>
        </w:tc>
        <w:tc>
          <w:tcPr>
            <w:tcW w:type="dxa" w:w="1814"/>
            <w:vAlign w:val="center"/>
          </w:tcPr>
          <w:p>
            <w:pPr>
              <w:spacing w:before="0" w:after="0" w:line="260" w:lineRule="exact"/>
              <w:ind w:firstLine="0" w:left="0" w:right="0"/>
              <w:jc w:val="center"/>
            </w:pPr>
            <w:r>
              <w:rPr>
                <w:rFonts w:ascii="仿宋_GB2312" w:hAnsi="仿宋_GB2312" w:eastAsia="仿宋_GB2312" w:cs="仿宋_GB2312"/>
                <w:b w:val="0"/>
                <w:sz w:val="20"/>
              </w:rPr>
              <w:t>停车情况</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0"/>
              </w:rPr>
              <w:t>基本满足停车</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0"/>
              </w:rPr>
              <w:t>基本满足停车需求</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0"/>
              </w:rPr>
              <w:t>基本满足停车需求</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0"/>
              </w:rPr>
              <w:t>基本满足停车需求</w:t>
            </w:r>
          </w:p>
        </w:tc>
      </w:tr>
      <w:tr>
        <w:trPr>
          <w:cantSplit/>
        </w:trPr>
        <w:tc>
          <w:tcPr>
            <w:tcW w:type="dxa" w:w="1247"/>
            <w:vAlign w:val="center"/>
          </w:tcPr>
          <w:p>
            <w:pPr>
              <w:spacing w:before="0" w:after="0" w:line="260" w:lineRule="exact"/>
              <w:ind w:firstLine="0" w:left="0" w:right="0"/>
              <w:jc w:val="center"/>
            </w:pPr>
            <w:r>
              <w:rPr>
                <w:rFonts w:ascii="仿宋_GB2312" w:hAnsi="仿宋_GB2312" w:eastAsia="仿宋_GB2312" w:cs="仿宋_GB2312"/>
                <w:b w:val="0"/>
                <w:sz w:val="20"/>
              </w:rPr>
              <w:t>个别因素</w:t>
            </w:r>
          </w:p>
        </w:tc>
        <w:tc>
          <w:tcPr>
            <w:tcW w:type="dxa" w:w="1814"/>
            <w:vAlign w:val="center"/>
          </w:tcPr>
          <w:p>
            <w:pPr>
              <w:spacing w:before="0" w:after="0" w:line="260" w:lineRule="exact"/>
              <w:ind w:firstLine="0" w:left="0" w:right="0"/>
              <w:jc w:val="center"/>
            </w:pPr>
            <w:r>
              <w:rPr>
                <w:rFonts w:ascii="仿宋_GB2312" w:hAnsi="仿宋_GB2312" w:eastAsia="仿宋_GB2312" w:cs="仿宋_GB2312"/>
                <w:b w:val="0"/>
                <w:sz w:val="20"/>
              </w:rPr>
              <w:t>物业情况</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0"/>
              </w:rPr>
              <w:t>无物业管理</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0"/>
              </w:rPr>
              <w:t>无物业管理</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0"/>
              </w:rPr>
              <w:t>无物业管理</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0"/>
              </w:rPr>
              <w:t>无物业管理</w:t>
            </w:r>
          </w:p>
        </w:tc>
      </w:tr>
    </w:tbl>
    <w:p>
      <w:pPr>
        <w:spacing w:before="0" w:after="0" w:line="480" w:lineRule="exact"/>
        <w:ind w:firstLine="561"/>
      </w:pPr>
      <w:r>
        <w:rPr>
          <w:rFonts w:ascii="仿宋_GB2312" w:hAnsi="仿宋_GB2312" w:eastAsia="仿宋_GB2312" w:cs="仿宋_GB2312"/>
          <w:b w:val="0"/>
          <w:sz w:val="28"/>
        </w:rPr>
        <w:t>租金的比较因素修正说明：</w:t>
      </w:r>
    </w:p>
    <w:p>
      <w:pPr>
        <w:spacing w:before="0" w:after="0" w:line="480" w:lineRule="exact"/>
        <w:ind w:firstLine="561"/>
      </w:pPr>
      <w:r>
        <w:rPr>
          <w:rFonts w:ascii="仿宋_GB2312" w:hAnsi="仿宋_GB2312" w:eastAsia="仿宋_GB2312" w:cs="仿宋_GB2312"/>
          <w:b w:val="0"/>
          <w:sz w:val="28"/>
        </w:rPr>
        <w:t>A、用途修正：估价对象与三个比较案例用途相同，因此不用做修正；</w:t>
      </w:r>
    </w:p>
    <w:p>
      <w:pPr>
        <w:spacing w:before="0" w:after="0" w:line="480" w:lineRule="exact"/>
        <w:ind w:firstLine="561"/>
      </w:pPr>
      <w:r>
        <w:rPr>
          <w:rFonts w:ascii="仿宋_GB2312" w:hAnsi="仿宋_GB2312" w:eastAsia="仿宋_GB2312" w:cs="仿宋_GB2312"/>
          <w:b w:val="0"/>
          <w:sz w:val="28"/>
        </w:rPr>
        <w:t>B、交易时间修正：估价对象与三个比较案例交易时间接近，因此不需要做时间修正；</w:t>
      </w:r>
    </w:p>
    <w:p>
      <w:pPr>
        <w:spacing w:before="0" w:after="0" w:line="480" w:lineRule="exact"/>
        <w:ind w:firstLine="561"/>
      </w:pPr>
      <w:r>
        <w:rPr>
          <w:rFonts w:ascii="仿宋_GB2312" w:hAnsi="仿宋_GB2312" w:eastAsia="仿宋_GB2312" w:cs="仿宋_GB2312"/>
          <w:b w:val="0"/>
          <w:sz w:val="28"/>
        </w:rPr>
        <w:t>C、交易情况修正：估价对象与三个比较案例均是在正常情况下交易的，因此不做交易情况修正；</w:t>
      </w:r>
    </w:p>
    <w:p>
      <w:pPr>
        <w:spacing w:before="0" w:after="0" w:line="480" w:lineRule="exact"/>
        <w:ind w:firstLine="561"/>
      </w:pPr>
      <w:r>
        <w:rPr>
          <w:rFonts w:ascii="仿宋_GB2312" w:hAnsi="仿宋_GB2312" w:eastAsia="仿宋_GB2312" w:cs="仿宋_GB2312"/>
          <w:b w:val="0"/>
          <w:sz w:val="28"/>
        </w:rPr>
        <w:t>D、区域因素修正</w:t>
      </w:r>
    </w:p>
    <w:p>
      <w:pPr>
        <w:spacing w:before="0" w:after="0" w:line="480" w:lineRule="exact"/>
        <w:ind w:firstLine="561"/>
      </w:pPr>
      <w:r>
        <w:rPr>
          <w:rFonts w:ascii="仿宋_GB2312" w:hAnsi="仿宋_GB2312" w:eastAsia="仿宋_GB2312" w:cs="仿宋_GB2312"/>
          <w:b w:val="0"/>
          <w:sz w:val="28"/>
        </w:rPr>
        <w:t>a、商服繁华度：商服繁华度分为优、较优、一般、较劣、劣五个等级，以估价对象商服繁华度修正系数为100，每上升或下降一个级别，指数增加或减少2；</w:t>
      </w:r>
    </w:p>
    <w:p>
      <w:pPr>
        <w:spacing w:before="0" w:after="0" w:line="480" w:lineRule="exact"/>
        <w:ind w:firstLine="561"/>
      </w:pPr>
      <w:r>
        <w:rPr>
          <w:rFonts w:ascii="仿宋_GB2312" w:hAnsi="仿宋_GB2312" w:eastAsia="仿宋_GB2312" w:cs="仿宋_GB2312"/>
          <w:b w:val="0"/>
          <w:sz w:val="28"/>
        </w:rPr>
        <w:t>b、公交便捷度：公交便捷度分为优、较优、一般、较劣、劣五个等级，以估价对象公交便捷度修正系数为100，每上升或下降一个级别，指数增加或减少2；</w:t>
      </w:r>
    </w:p>
    <w:p>
      <w:pPr>
        <w:spacing w:before="0" w:after="0" w:line="480" w:lineRule="exact"/>
        <w:ind w:firstLine="561"/>
      </w:pPr>
      <w:r>
        <w:rPr>
          <w:rFonts w:ascii="仿宋_GB2312" w:hAnsi="仿宋_GB2312" w:eastAsia="仿宋_GB2312" w:cs="仿宋_GB2312"/>
          <w:b w:val="0"/>
          <w:sz w:val="28"/>
        </w:rPr>
        <w:t>c、道路通达度：道路通达度分为通畅、较通畅、一般通畅、较不通畅、不通畅五个等级，以估价对象道路通达度修正系数为100，每上升或下降一个级别，指数增加或减少2；</w:t>
      </w:r>
    </w:p>
    <w:p>
      <w:pPr>
        <w:spacing w:before="0" w:after="0" w:line="480" w:lineRule="exact"/>
        <w:ind w:firstLine="561"/>
      </w:pPr>
      <w:r>
        <w:rPr>
          <w:rFonts w:ascii="仿宋_GB2312" w:hAnsi="仿宋_GB2312" w:eastAsia="仿宋_GB2312" w:cs="仿宋_GB2312"/>
          <w:b w:val="0"/>
          <w:sz w:val="28"/>
        </w:rPr>
        <w:t>d、水电等基础设施综合保证率：水电等基础设施综合保证率分为≥95%、[90，95]、≤90%三个等级，以估价对象为100，每上升或下降一个级别，指数增加或减少2；</w:t>
      </w:r>
    </w:p>
    <w:p>
      <w:pPr>
        <w:spacing w:before="0" w:after="0" w:line="480" w:lineRule="exact"/>
        <w:ind w:firstLine="561"/>
      </w:pPr>
      <w:r>
        <w:rPr>
          <w:rFonts w:ascii="仿宋_GB2312" w:hAnsi="仿宋_GB2312" w:eastAsia="仿宋_GB2312" w:cs="仿宋_GB2312"/>
          <w:b w:val="0"/>
          <w:sz w:val="28"/>
        </w:rPr>
        <w:t>e、环境质量：环境质量分为好、较好、一般、较差、差五个等级，以估价对象为100，每上升或下降一个级别，指数增加或减少2；</w:t>
      </w:r>
    </w:p>
    <w:p>
      <w:pPr>
        <w:spacing w:before="0" w:after="0" w:line="480" w:lineRule="exact"/>
        <w:ind w:firstLine="561"/>
      </w:pPr>
      <w:r>
        <w:rPr>
          <w:rFonts w:ascii="仿宋_GB2312" w:hAnsi="仿宋_GB2312" w:eastAsia="仿宋_GB2312" w:cs="仿宋_GB2312"/>
          <w:b w:val="0"/>
          <w:sz w:val="28"/>
        </w:rPr>
        <w:t>f、区域公共设施状况：区域公共设施状况分为齐全、较齐全、一般、较低、低五个等级，以估价对象为100，每上升或下降一个级别，指数增加或减少2；</w:t>
      </w:r>
    </w:p>
    <w:p>
      <w:pPr>
        <w:spacing w:before="0" w:after="0" w:line="480" w:lineRule="exact"/>
        <w:ind w:firstLine="561"/>
      </w:pPr>
      <w:r>
        <w:rPr>
          <w:rFonts w:ascii="仿宋_GB2312" w:hAnsi="仿宋_GB2312" w:eastAsia="仿宋_GB2312" w:cs="仿宋_GB2312"/>
          <w:b w:val="0"/>
          <w:sz w:val="28"/>
        </w:rPr>
        <w:t>E、个别因素修正</w:t>
      </w:r>
    </w:p>
    <w:p>
      <w:pPr>
        <w:spacing w:before="0" w:after="0" w:line="480" w:lineRule="exact"/>
        <w:ind w:firstLine="561"/>
      </w:pPr>
      <w:r>
        <w:rPr>
          <w:rFonts w:ascii="仿宋_GB2312" w:hAnsi="仿宋_GB2312" w:eastAsia="仿宋_GB2312" w:cs="仿宋_GB2312"/>
          <w:b w:val="0"/>
          <w:sz w:val="28"/>
        </w:rPr>
        <w:t>a、所临道路类型：所临道路类型分为临主干道、临次干道、临支路、不临路等级别，以估价对象指数为100，每上升或下降一个级别，指数增加或减少2；</w:t>
      </w:r>
    </w:p>
    <w:p>
      <w:pPr>
        <w:spacing w:before="0" w:after="0" w:line="480" w:lineRule="exact"/>
        <w:ind w:firstLine="561"/>
      </w:pPr>
      <w:r>
        <w:rPr>
          <w:rFonts w:ascii="仿宋_GB2312" w:hAnsi="仿宋_GB2312" w:eastAsia="仿宋_GB2312" w:cs="仿宋_GB2312"/>
          <w:b w:val="0"/>
          <w:sz w:val="28"/>
        </w:rPr>
        <w:t>b、通风采光：通风采光分为好、较好、一般、较差、差五个等级，以估价对象条件指数为100，每上升或下降一个级别，指数增加或减少1；</w:t>
      </w:r>
    </w:p>
    <w:p>
      <w:pPr>
        <w:spacing w:before="0" w:after="0" w:line="480" w:lineRule="exact"/>
        <w:ind w:firstLine="561"/>
      </w:pPr>
      <w:r>
        <w:rPr>
          <w:rFonts w:ascii="仿宋_GB2312" w:hAnsi="仿宋_GB2312" w:eastAsia="仿宋_GB2312" w:cs="仿宋_GB2312"/>
          <w:b w:val="0"/>
          <w:sz w:val="28"/>
        </w:rPr>
        <w:t>c、房屋成新度：以估价对象成新度为100，每上升或下降一个级别，指数增加或减少4；</w:t>
      </w:r>
    </w:p>
    <w:p>
      <w:pPr>
        <w:spacing w:before="0" w:after="0" w:line="480" w:lineRule="exact"/>
        <w:ind w:firstLine="561"/>
      </w:pPr>
      <w:r>
        <w:rPr>
          <w:rFonts w:ascii="仿宋_GB2312" w:hAnsi="仿宋_GB2312" w:eastAsia="仿宋_GB2312" w:cs="仿宋_GB2312"/>
          <w:b w:val="0"/>
          <w:sz w:val="28"/>
        </w:rPr>
        <w:t>d、建筑物结构：建筑物结构分为框架、钢混、砖混、砖木等四个等级，以估价对象为100，每上升或下降一个级别，指数增加或减少2；</w:t>
      </w:r>
    </w:p>
    <w:p>
      <w:pPr>
        <w:spacing w:before="0" w:after="0" w:line="480" w:lineRule="exact"/>
        <w:ind w:firstLine="561"/>
      </w:pPr>
      <w:r>
        <w:rPr>
          <w:rFonts w:ascii="仿宋_GB2312" w:hAnsi="仿宋_GB2312" w:eastAsia="仿宋_GB2312" w:cs="仿宋_GB2312"/>
          <w:b w:val="0"/>
          <w:sz w:val="28"/>
        </w:rPr>
        <w:t>e、建筑物内部格局：建筑物内部格局分为合理、较合理、不合理三个等级，以估价对象为100，每上升或下降一个级别，指数增加或减少1；</w:t>
      </w:r>
    </w:p>
    <w:p>
      <w:pPr>
        <w:spacing w:before="0" w:after="0" w:line="480" w:lineRule="exact"/>
        <w:ind w:firstLine="561"/>
      </w:pPr>
      <w:r>
        <w:rPr>
          <w:rFonts w:ascii="仿宋_GB2312" w:hAnsi="仿宋_GB2312" w:eastAsia="仿宋_GB2312" w:cs="仿宋_GB2312"/>
          <w:b w:val="0"/>
          <w:sz w:val="28"/>
        </w:rPr>
        <w:t>f、装修档次：装修档次分为毛坯、简单装修、中档装修、中高档装修、高档装修五个等级，以估价对象为100，每上升或下降一个级别，指数增加或减少2；</w:t>
      </w:r>
    </w:p>
    <w:p>
      <w:pPr>
        <w:spacing w:before="0" w:after="0" w:line="480" w:lineRule="exact"/>
        <w:ind w:firstLine="561"/>
      </w:pPr>
      <w:r>
        <w:rPr>
          <w:rFonts w:ascii="仿宋_GB2312" w:hAnsi="仿宋_GB2312" w:eastAsia="仿宋_GB2312" w:cs="仿宋_GB2312"/>
          <w:b w:val="0"/>
          <w:sz w:val="28"/>
        </w:rPr>
        <w:t>g、停车情况：停车情况分为能满足停车需求、基本满足停车需求、不能满足停车需求三个等级，以估价对象条件指数为100，每上升或下降一个级别，指数增加或减少2；</w:t>
      </w:r>
    </w:p>
    <w:p>
      <w:pPr>
        <w:spacing w:before="0" w:after="0" w:line="480" w:lineRule="exact"/>
        <w:ind w:firstLine="561"/>
      </w:pPr>
      <w:r>
        <w:rPr>
          <w:rFonts w:ascii="仿宋_GB2312" w:hAnsi="仿宋_GB2312" w:eastAsia="仿宋_GB2312" w:cs="仿宋_GB2312"/>
          <w:b w:val="0"/>
          <w:sz w:val="28"/>
        </w:rPr>
        <w:t>h、物业情况：物业情况分为无物业管理、物业管理一般、物业管理较好三个等级，以估价对象为100，每上升或下降一个级别，指数增加或减少2。</w:t>
      </w:r>
    </w:p>
    <w:p>
      <w:pPr>
        <w:spacing w:before="0" w:after="0" w:line="480" w:lineRule="exact"/>
        <w:ind w:firstLine="561"/>
      </w:pPr>
      <w:r>
        <w:rPr>
          <w:rFonts w:ascii="仿宋_GB2312" w:hAnsi="仿宋_GB2312" w:eastAsia="仿宋_GB2312" w:cs="仿宋_GB2312"/>
          <w:b w:val="0"/>
          <w:sz w:val="28"/>
        </w:rPr>
        <w:t>得到估价对象比较因素条件指数表和比较因素条件修正系数表。</w:t>
      </w:r>
    </w:p>
    <w:p>
      <w:pPr>
        <w:keepNext/>
        <w:spacing w:before="157" w:after="10" w:line="480" w:lineRule="exact"/>
        <w:ind w:firstLine="0" w:left="0" w:right="0"/>
        <w:jc w:val="center"/>
      </w:pPr>
      <w:r>
        <w:rPr>
          <w:rFonts w:ascii="仿宋_GB2312" w:hAnsi="仿宋_GB2312" w:eastAsia="仿宋_GB2312" w:cs="仿宋_GB2312"/>
          <w:b w:val="0"/>
          <w:sz w:val="28"/>
        </w:rPr>
        <w:t>表3-14 比较因素条件指数表</w:t>
      </w:r>
    </w:p>
    <w:tbl>
      <w:tblPr>
        <w:tblStyle w:val="TableGrid"/>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93"/>
        <w:gridCol w:w="1493"/>
        <w:gridCol w:w="1493"/>
        <w:gridCol w:w="1493"/>
        <w:gridCol w:w="1493"/>
        <w:gridCol w:w="1493"/>
      </w:tblGrid>
      <w:tr>
        <w:trPr>
          <w:tblHeader w:val="1"/>
          <w:cantSplit/>
        </w:trPr>
        <w:tc>
          <w:tcPr>
            <w:tcW w:type="dxa" w:w="1247"/>
            <w:vAlign w:val="center"/>
          </w:tcPr>
          <w:p>
            <w:pPr>
              <w:spacing w:before="0" w:after="0" w:line="260" w:lineRule="exact"/>
              <w:ind w:firstLine="0" w:left="0" w:right="0"/>
              <w:jc w:val="center"/>
            </w:pPr>
            <w:r>
              <w:rPr>
                <w:rFonts w:ascii="仿宋_GB2312" w:hAnsi="仿宋_GB2312" w:eastAsia="仿宋_GB2312" w:cs="仿宋_GB2312"/>
                <w:b w:val="0"/>
                <w:sz w:val="20"/>
              </w:rPr>
              <w:t>因素类别</w:t>
            </w:r>
          </w:p>
        </w:tc>
        <w:tc>
          <w:tcPr>
            <w:tcW w:type="dxa" w:w="1814"/>
            <w:vAlign w:val="center"/>
          </w:tcPr>
          <w:p>
            <w:pPr>
              <w:spacing w:before="0" w:after="0" w:line="260" w:lineRule="exact"/>
              <w:ind w:firstLine="0" w:left="0" w:right="0"/>
              <w:jc w:val="center"/>
            </w:pPr>
            <w:r>
              <w:rPr>
                <w:rFonts w:ascii="仿宋_GB2312" w:hAnsi="仿宋_GB2312" w:eastAsia="仿宋_GB2312" w:cs="仿宋_GB2312"/>
                <w:b w:val="0"/>
                <w:sz w:val="20"/>
              </w:rPr>
              <w:t>比较因素</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0"/>
              </w:rPr>
              <w:t>估价对象</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0"/>
              </w:rPr>
              <w:t>案例A</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0"/>
              </w:rPr>
              <w:t>案例B</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0"/>
              </w:rPr>
              <w:t>案例C</w:t>
            </w:r>
          </w:p>
        </w:tc>
      </w:tr>
      <w:tr>
        <w:trPr>
          <w:cantSplit/>
        </w:trPr>
        <w:tc>
          <w:tcPr>
            <w:tcW w:type="dxa" w:w="1247"/>
            <w:vAlign w:val="center"/>
          </w:tcPr>
          <w:p>
            <w:pPr>
              <w:spacing w:before="0" w:after="0" w:line="260" w:lineRule="exact"/>
              <w:ind w:firstLine="0" w:left="0" w:right="0"/>
              <w:jc w:val="center"/>
            </w:pPr>
            <w:r>
              <w:rPr>
                <w:rFonts w:ascii="仿宋_GB2312" w:hAnsi="仿宋_GB2312" w:eastAsia="仿宋_GB2312" w:cs="仿宋_GB2312"/>
                <w:b w:val="0"/>
                <w:sz w:val="20"/>
              </w:rPr>
              <w:t>基础情况</w:t>
            </w:r>
          </w:p>
        </w:tc>
        <w:tc>
          <w:tcPr>
            <w:tcW w:type="dxa" w:w="1814"/>
            <w:vAlign w:val="center"/>
          </w:tcPr>
          <w:p>
            <w:pPr>
              <w:spacing w:before="0" w:after="0" w:line="260" w:lineRule="exact"/>
              <w:ind w:firstLine="0" w:left="0" w:right="0"/>
              <w:jc w:val="center"/>
            </w:pPr>
            <w:r>
              <w:rPr>
                <w:rFonts w:ascii="仿宋_GB2312" w:hAnsi="仿宋_GB2312" w:eastAsia="仿宋_GB2312" w:cs="仿宋_GB2312"/>
                <w:b w:val="0"/>
                <w:sz w:val="20"/>
              </w:rPr>
              <w:t>位置</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0"/>
              </w:rPr>
              <w:t>道江镇濂溪山庄宝珍街南六栋九号</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0"/>
              </w:rPr>
              <w:t>道州中路466号爱莲商业广场</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0"/>
              </w:rPr>
              <w:t>道州中路466号爱莲商业广场</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0"/>
              </w:rPr>
              <w:t>道县道州中路397号</w:t>
            </w:r>
          </w:p>
        </w:tc>
      </w:tr>
      <w:tr>
        <w:trPr>
          <w:cantSplit/>
        </w:trPr>
        <w:tc>
          <w:tcPr>
            <w:tcW w:type="dxa" w:w="1247"/>
            <w:vAlign w:val="center"/>
          </w:tcPr>
          <w:p>
            <w:pPr>
              <w:spacing w:before="0" w:after="0" w:line="260" w:lineRule="exact"/>
              <w:ind w:firstLine="0" w:left="0" w:right="0"/>
              <w:jc w:val="center"/>
            </w:pPr>
            <w:r>
              <w:rPr>
                <w:rFonts w:ascii="仿宋_GB2312" w:hAnsi="仿宋_GB2312" w:eastAsia="仿宋_GB2312" w:cs="仿宋_GB2312"/>
                <w:b w:val="0"/>
                <w:sz w:val="20"/>
              </w:rPr>
              <w:t>基础情况</w:t>
            </w:r>
          </w:p>
        </w:tc>
        <w:tc>
          <w:tcPr>
            <w:tcW w:type="dxa" w:w="1814"/>
            <w:vAlign w:val="center"/>
          </w:tcPr>
          <w:p>
            <w:pPr>
              <w:spacing w:before="0" w:after="0" w:line="260" w:lineRule="exact"/>
              <w:ind w:firstLine="0" w:left="0" w:right="0"/>
              <w:jc w:val="center"/>
            </w:pPr>
            <w:r>
              <w:rPr>
                <w:rFonts w:ascii="仿宋_GB2312" w:hAnsi="仿宋_GB2312" w:eastAsia="仿宋_GB2312" w:cs="仿宋_GB2312"/>
                <w:b w:val="0"/>
                <w:sz w:val="20"/>
              </w:rPr>
              <w:t>住宅租金(元/m2·月)</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0"/>
              </w:rPr>
              <w:t>待估</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0"/>
              </w:rPr>
              <w:t>11.4</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0"/>
              </w:rPr>
              <w:t>11.4</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0"/>
              </w:rPr>
              <w:t>11.5</w:t>
            </w:r>
          </w:p>
        </w:tc>
      </w:tr>
      <w:tr>
        <w:trPr>
          <w:cantSplit/>
        </w:trPr>
        <w:tc>
          <w:tcPr>
            <w:tcW w:type="dxa" w:w="1247"/>
            <w:vAlign w:val="center"/>
          </w:tcPr>
          <w:p>
            <w:pPr>
              <w:spacing w:before="0" w:after="0" w:line="260" w:lineRule="exact"/>
              <w:ind w:firstLine="0" w:left="0" w:right="0"/>
              <w:jc w:val="center"/>
            </w:pPr>
            <w:r>
              <w:rPr>
                <w:rFonts w:ascii="仿宋_GB2312" w:hAnsi="仿宋_GB2312" w:eastAsia="仿宋_GB2312" w:cs="仿宋_GB2312"/>
                <w:b w:val="0"/>
                <w:sz w:val="20"/>
              </w:rPr>
              <w:t>交易因素</w:t>
            </w:r>
          </w:p>
        </w:tc>
        <w:tc>
          <w:tcPr>
            <w:tcW w:type="dxa" w:w="1814"/>
            <w:vAlign w:val="center"/>
          </w:tcPr>
          <w:p>
            <w:pPr>
              <w:spacing w:before="0" w:after="0" w:line="260" w:lineRule="exact"/>
              <w:ind w:firstLine="0" w:left="0" w:right="0"/>
              <w:jc w:val="center"/>
            </w:pPr>
            <w:r>
              <w:rPr>
                <w:rFonts w:ascii="仿宋_GB2312" w:hAnsi="仿宋_GB2312" w:eastAsia="仿宋_GB2312" w:cs="仿宋_GB2312"/>
                <w:b w:val="0"/>
                <w:sz w:val="20"/>
              </w:rPr>
              <w:t>用途</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0"/>
              </w:rPr>
              <w:t>100</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0"/>
              </w:rPr>
              <w:t>101.968</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0"/>
              </w:rPr>
              <w:t>101.968</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0"/>
              </w:rPr>
              <w:t>102.041</w:t>
            </w:r>
          </w:p>
        </w:tc>
      </w:tr>
      <w:tr>
        <w:trPr>
          <w:cantSplit/>
        </w:trPr>
        <w:tc>
          <w:tcPr>
            <w:tcW w:type="dxa" w:w="1247"/>
            <w:vAlign w:val="center"/>
          </w:tcPr>
          <w:p>
            <w:pPr>
              <w:spacing w:before="0" w:after="0" w:line="260" w:lineRule="exact"/>
              <w:ind w:firstLine="0" w:left="0" w:right="0"/>
              <w:jc w:val="center"/>
            </w:pPr>
            <w:r>
              <w:rPr>
                <w:rFonts w:ascii="仿宋_GB2312" w:hAnsi="仿宋_GB2312" w:eastAsia="仿宋_GB2312" w:cs="仿宋_GB2312"/>
                <w:b w:val="0"/>
                <w:sz w:val="20"/>
              </w:rPr>
              <w:t>交易因素</w:t>
            </w:r>
          </w:p>
        </w:tc>
        <w:tc>
          <w:tcPr>
            <w:tcW w:type="dxa" w:w="1814"/>
            <w:vAlign w:val="center"/>
          </w:tcPr>
          <w:p>
            <w:pPr>
              <w:spacing w:before="0" w:after="0" w:line="260" w:lineRule="exact"/>
              <w:ind w:firstLine="0" w:left="0" w:right="0"/>
              <w:jc w:val="center"/>
            </w:pPr>
            <w:r>
              <w:rPr>
                <w:rFonts w:ascii="仿宋_GB2312" w:hAnsi="仿宋_GB2312" w:eastAsia="仿宋_GB2312" w:cs="仿宋_GB2312"/>
                <w:b w:val="0"/>
                <w:sz w:val="20"/>
              </w:rPr>
              <w:t>交易时间</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0"/>
              </w:rPr>
              <w:t>100</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0"/>
              </w:rPr>
              <w:t>100</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0"/>
              </w:rPr>
              <w:t>100</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0"/>
              </w:rPr>
              <w:t>100</w:t>
            </w:r>
          </w:p>
        </w:tc>
      </w:tr>
      <w:tr>
        <w:trPr>
          <w:cantSplit/>
        </w:trPr>
        <w:tc>
          <w:tcPr>
            <w:tcW w:type="dxa" w:w="1247"/>
            <w:vAlign w:val="center"/>
          </w:tcPr>
          <w:p>
            <w:pPr>
              <w:spacing w:before="0" w:after="0" w:line="260" w:lineRule="exact"/>
              <w:ind w:firstLine="0" w:left="0" w:right="0"/>
              <w:jc w:val="center"/>
            </w:pPr>
            <w:r>
              <w:rPr>
                <w:rFonts w:ascii="仿宋_GB2312" w:hAnsi="仿宋_GB2312" w:eastAsia="仿宋_GB2312" w:cs="仿宋_GB2312"/>
                <w:b w:val="0"/>
                <w:sz w:val="20"/>
              </w:rPr>
              <w:t>交易因素</w:t>
            </w:r>
          </w:p>
        </w:tc>
        <w:tc>
          <w:tcPr>
            <w:tcW w:type="dxa" w:w="1814"/>
            <w:vAlign w:val="center"/>
          </w:tcPr>
          <w:p>
            <w:pPr>
              <w:spacing w:before="0" w:after="0" w:line="260" w:lineRule="exact"/>
              <w:ind w:firstLine="0" w:left="0" w:right="0"/>
              <w:jc w:val="center"/>
            </w:pPr>
            <w:r>
              <w:rPr>
                <w:rFonts w:ascii="仿宋_GB2312" w:hAnsi="仿宋_GB2312" w:eastAsia="仿宋_GB2312" w:cs="仿宋_GB2312"/>
                <w:b w:val="0"/>
                <w:sz w:val="20"/>
              </w:rPr>
              <w:t>交易情况</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0"/>
              </w:rPr>
              <w:t>100</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0"/>
              </w:rPr>
              <w:t>100</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0"/>
              </w:rPr>
              <w:t>100</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0"/>
              </w:rPr>
              <w:t>100</w:t>
            </w:r>
          </w:p>
        </w:tc>
      </w:tr>
      <w:tr>
        <w:trPr>
          <w:cantSplit/>
        </w:trPr>
        <w:tc>
          <w:tcPr>
            <w:tcW w:type="dxa" w:w="1247"/>
            <w:vAlign w:val="center"/>
          </w:tcPr>
          <w:p>
            <w:pPr>
              <w:spacing w:before="0" w:after="0" w:line="260" w:lineRule="exact"/>
              <w:ind w:firstLine="0" w:left="0" w:right="0"/>
              <w:jc w:val="center"/>
            </w:pPr>
            <w:r>
              <w:rPr>
                <w:rFonts w:ascii="仿宋_GB2312" w:hAnsi="仿宋_GB2312" w:eastAsia="仿宋_GB2312" w:cs="仿宋_GB2312"/>
                <w:b w:val="0"/>
                <w:sz w:val="20"/>
              </w:rPr>
              <w:t>区域因素</w:t>
            </w:r>
          </w:p>
        </w:tc>
        <w:tc>
          <w:tcPr>
            <w:tcW w:type="dxa" w:w="1814"/>
            <w:vAlign w:val="center"/>
          </w:tcPr>
          <w:p>
            <w:pPr>
              <w:spacing w:before="0" w:after="0" w:line="260" w:lineRule="exact"/>
              <w:ind w:firstLine="0" w:left="0" w:right="0"/>
              <w:jc w:val="center"/>
            </w:pPr>
            <w:r>
              <w:rPr>
                <w:rFonts w:ascii="仿宋_GB2312" w:hAnsi="仿宋_GB2312" w:eastAsia="仿宋_GB2312" w:cs="仿宋_GB2312"/>
                <w:b w:val="0"/>
                <w:sz w:val="20"/>
              </w:rPr>
              <w:t>商服繁华度</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0"/>
              </w:rPr>
              <w:t>100</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0"/>
              </w:rPr>
              <w:t>100</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0"/>
              </w:rPr>
              <w:t>100</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0"/>
              </w:rPr>
              <w:t>100</w:t>
            </w:r>
          </w:p>
        </w:tc>
      </w:tr>
      <w:tr>
        <w:trPr>
          <w:cantSplit/>
        </w:trPr>
        <w:tc>
          <w:tcPr>
            <w:tcW w:type="dxa" w:w="1247"/>
            <w:vAlign w:val="center"/>
          </w:tcPr>
          <w:p>
            <w:pPr>
              <w:spacing w:before="0" w:after="0" w:line="260" w:lineRule="exact"/>
              <w:ind w:firstLine="0" w:left="0" w:right="0"/>
              <w:jc w:val="center"/>
            </w:pPr>
            <w:r>
              <w:rPr>
                <w:rFonts w:ascii="仿宋_GB2312" w:hAnsi="仿宋_GB2312" w:eastAsia="仿宋_GB2312" w:cs="仿宋_GB2312"/>
                <w:b w:val="0"/>
                <w:sz w:val="20"/>
              </w:rPr>
              <w:t>区域因素</w:t>
            </w:r>
          </w:p>
        </w:tc>
        <w:tc>
          <w:tcPr>
            <w:tcW w:type="dxa" w:w="1814"/>
            <w:vAlign w:val="center"/>
          </w:tcPr>
          <w:p>
            <w:pPr>
              <w:spacing w:before="0" w:after="0" w:line="260" w:lineRule="exact"/>
              <w:ind w:firstLine="0" w:left="0" w:right="0"/>
              <w:jc w:val="center"/>
            </w:pPr>
            <w:r>
              <w:rPr>
                <w:rFonts w:ascii="仿宋_GB2312" w:hAnsi="仿宋_GB2312" w:eastAsia="仿宋_GB2312" w:cs="仿宋_GB2312"/>
                <w:b w:val="0"/>
                <w:sz w:val="20"/>
              </w:rPr>
              <w:t>公交便捷度</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0"/>
              </w:rPr>
              <w:t>100</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0"/>
              </w:rPr>
              <w:t>100</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0"/>
              </w:rPr>
              <w:t>100</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0"/>
              </w:rPr>
              <w:t>100</w:t>
            </w:r>
          </w:p>
        </w:tc>
      </w:tr>
      <w:tr>
        <w:trPr>
          <w:cantSplit/>
        </w:trPr>
        <w:tc>
          <w:tcPr>
            <w:tcW w:type="dxa" w:w="1247"/>
            <w:vAlign w:val="center"/>
          </w:tcPr>
          <w:p>
            <w:pPr>
              <w:spacing w:before="0" w:after="0" w:line="260" w:lineRule="exact"/>
              <w:ind w:firstLine="0" w:left="0" w:right="0"/>
              <w:jc w:val="center"/>
            </w:pPr>
            <w:r>
              <w:rPr>
                <w:rFonts w:ascii="仿宋_GB2312" w:hAnsi="仿宋_GB2312" w:eastAsia="仿宋_GB2312" w:cs="仿宋_GB2312"/>
                <w:b w:val="0"/>
                <w:sz w:val="20"/>
              </w:rPr>
              <w:t>区域因素</w:t>
            </w:r>
          </w:p>
        </w:tc>
        <w:tc>
          <w:tcPr>
            <w:tcW w:type="dxa" w:w="1814"/>
            <w:vAlign w:val="center"/>
          </w:tcPr>
          <w:p>
            <w:pPr>
              <w:spacing w:before="0" w:after="0" w:line="260" w:lineRule="exact"/>
              <w:ind w:firstLine="0" w:left="0" w:right="0"/>
              <w:jc w:val="center"/>
            </w:pPr>
            <w:r>
              <w:rPr>
                <w:rFonts w:ascii="仿宋_GB2312" w:hAnsi="仿宋_GB2312" w:eastAsia="仿宋_GB2312" w:cs="仿宋_GB2312"/>
                <w:b w:val="0"/>
                <w:sz w:val="20"/>
              </w:rPr>
              <w:t>道路通达度</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0"/>
              </w:rPr>
              <w:t>100</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0"/>
              </w:rPr>
              <w:t>100</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0"/>
              </w:rPr>
              <w:t>100</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0"/>
              </w:rPr>
              <w:t>100</w:t>
            </w:r>
          </w:p>
        </w:tc>
      </w:tr>
      <w:tr>
        <w:trPr>
          <w:cantSplit/>
        </w:trPr>
        <w:tc>
          <w:tcPr>
            <w:tcW w:type="dxa" w:w="1247"/>
            <w:vAlign w:val="center"/>
          </w:tcPr>
          <w:p>
            <w:pPr>
              <w:spacing w:before="0" w:after="0" w:line="260" w:lineRule="exact"/>
              <w:ind w:firstLine="0" w:left="0" w:right="0"/>
              <w:jc w:val="center"/>
            </w:pPr>
            <w:r>
              <w:rPr>
                <w:rFonts w:ascii="仿宋_GB2312" w:hAnsi="仿宋_GB2312" w:eastAsia="仿宋_GB2312" w:cs="仿宋_GB2312"/>
                <w:b w:val="0"/>
                <w:sz w:val="20"/>
              </w:rPr>
              <w:t>区域因素</w:t>
            </w:r>
          </w:p>
        </w:tc>
        <w:tc>
          <w:tcPr>
            <w:tcW w:type="dxa" w:w="1814"/>
            <w:vAlign w:val="center"/>
          </w:tcPr>
          <w:p>
            <w:pPr>
              <w:spacing w:before="0" w:after="0" w:line="260" w:lineRule="exact"/>
              <w:ind w:firstLine="0" w:left="0" w:right="0"/>
              <w:jc w:val="center"/>
            </w:pPr>
            <w:r>
              <w:rPr>
                <w:rFonts w:ascii="仿宋_GB2312" w:hAnsi="仿宋_GB2312" w:eastAsia="仿宋_GB2312" w:cs="仿宋_GB2312"/>
                <w:b w:val="0"/>
                <w:sz w:val="20"/>
              </w:rPr>
              <w:t>水电等基础设施综合保证率</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0"/>
              </w:rPr>
              <w:t>100</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0"/>
              </w:rPr>
              <w:t>100</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0"/>
              </w:rPr>
              <w:t>100</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0"/>
              </w:rPr>
              <w:t>100</w:t>
            </w:r>
          </w:p>
        </w:tc>
      </w:tr>
      <w:tr>
        <w:trPr>
          <w:cantSplit/>
        </w:trPr>
        <w:tc>
          <w:tcPr>
            <w:tcW w:type="dxa" w:w="1247"/>
            <w:vAlign w:val="center"/>
          </w:tcPr>
          <w:p>
            <w:pPr>
              <w:spacing w:before="0" w:after="0" w:line="260" w:lineRule="exact"/>
              <w:ind w:firstLine="0" w:left="0" w:right="0"/>
              <w:jc w:val="center"/>
            </w:pPr>
            <w:r>
              <w:rPr>
                <w:rFonts w:ascii="仿宋_GB2312" w:hAnsi="仿宋_GB2312" w:eastAsia="仿宋_GB2312" w:cs="仿宋_GB2312"/>
                <w:b w:val="0"/>
                <w:sz w:val="20"/>
              </w:rPr>
              <w:t>区域因素</w:t>
            </w:r>
          </w:p>
        </w:tc>
        <w:tc>
          <w:tcPr>
            <w:tcW w:type="dxa" w:w="1814"/>
            <w:vAlign w:val="center"/>
          </w:tcPr>
          <w:p>
            <w:pPr>
              <w:spacing w:before="0" w:after="0" w:line="260" w:lineRule="exact"/>
              <w:ind w:firstLine="0" w:left="0" w:right="0"/>
              <w:jc w:val="center"/>
            </w:pPr>
            <w:r>
              <w:rPr>
                <w:rFonts w:ascii="仿宋_GB2312" w:hAnsi="仿宋_GB2312" w:eastAsia="仿宋_GB2312" w:cs="仿宋_GB2312"/>
                <w:b w:val="0"/>
                <w:sz w:val="20"/>
              </w:rPr>
              <w:t>环境质量</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0"/>
              </w:rPr>
              <w:t>100</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0"/>
              </w:rPr>
              <w:t>100</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0"/>
              </w:rPr>
              <w:t>100</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0"/>
              </w:rPr>
              <w:t>100</w:t>
            </w:r>
          </w:p>
        </w:tc>
      </w:tr>
      <w:tr>
        <w:trPr>
          <w:cantSplit/>
        </w:trPr>
        <w:tc>
          <w:tcPr>
            <w:tcW w:type="dxa" w:w="1247"/>
            <w:vAlign w:val="center"/>
          </w:tcPr>
          <w:p>
            <w:pPr>
              <w:spacing w:before="0" w:after="0" w:line="260" w:lineRule="exact"/>
              <w:ind w:firstLine="0" w:left="0" w:right="0"/>
              <w:jc w:val="center"/>
            </w:pPr>
            <w:r>
              <w:rPr>
                <w:rFonts w:ascii="仿宋_GB2312" w:hAnsi="仿宋_GB2312" w:eastAsia="仿宋_GB2312" w:cs="仿宋_GB2312"/>
                <w:b w:val="0"/>
                <w:sz w:val="20"/>
              </w:rPr>
              <w:t>区域因素</w:t>
            </w:r>
          </w:p>
        </w:tc>
        <w:tc>
          <w:tcPr>
            <w:tcW w:type="dxa" w:w="1814"/>
            <w:vAlign w:val="center"/>
          </w:tcPr>
          <w:p>
            <w:pPr>
              <w:spacing w:before="0" w:after="0" w:line="260" w:lineRule="exact"/>
              <w:ind w:firstLine="0" w:left="0" w:right="0"/>
              <w:jc w:val="center"/>
            </w:pPr>
            <w:r>
              <w:rPr>
                <w:rFonts w:ascii="仿宋_GB2312" w:hAnsi="仿宋_GB2312" w:eastAsia="仿宋_GB2312" w:cs="仿宋_GB2312"/>
                <w:b w:val="0"/>
                <w:sz w:val="20"/>
              </w:rPr>
              <w:t>区域公共设施状况</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0"/>
              </w:rPr>
              <w:t>100</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0"/>
              </w:rPr>
              <w:t>100</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0"/>
              </w:rPr>
              <w:t>100</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0"/>
              </w:rPr>
              <w:t>100</w:t>
            </w:r>
          </w:p>
        </w:tc>
      </w:tr>
      <w:tr>
        <w:trPr>
          <w:cantSplit/>
        </w:trPr>
        <w:tc>
          <w:tcPr>
            <w:tcW w:type="dxa" w:w="1247"/>
            <w:vAlign w:val="center"/>
          </w:tcPr>
          <w:p>
            <w:pPr>
              <w:spacing w:before="0" w:after="0" w:line="260" w:lineRule="exact"/>
              <w:ind w:firstLine="0" w:left="0" w:right="0"/>
              <w:jc w:val="center"/>
            </w:pPr>
            <w:r>
              <w:rPr>
                <w:rFonts w:ascii="仿宋_GB2312" w:hAnsi="仿宋_GB2312" w:eastAsia="仿宋_GB2312" w:cs="仿宋_GB2312"/>
                <w:b w:val="0"/>
                <w:sz w:val="20"/>
              </w:rPr>
              <w:t>个别因素</w:t>
            </w:r>
          </w:p>
        </w:tc>
        <w:tc>
          <w:tcPr>
            <w:tcW w:type="dxa" w:w="1814"/>
            <w:vAlign w:val="center"/>
          </w:tcPr>
          <w:p>
            <w:pPr>
              <w:spacing w:before="0" w:after="0" w:line="260" w:lineRule="exact"/>
              <w:ind w:firstLine="0" w:left="0" w:right="0"/>
              <w:jc w:val="center"/>
            </w:pPr>
            <w:r>
              <w:rPr>
                <w:rFonts w:ascii="仿宋_GB2312" w:hAnsi="仿宋_GB2312" w:eastAsia="仿宋_GB2312" w:cs="仿宋_GB2312"/>
                <w:b w:val="0"/>
                <w:sz w:val="20"/>
              </w:rPr>
              <w:t>所临道路类型</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0"/>
              </w:rPr>
              <w:t>100</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0"/>
              </w:rPr>
              <w:t>100</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0"/>
              </w:rPr>
              <w:t>100</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0"/>
              </w:rPr>
              <w:t>100</w:t>
            </w:r>
          </w:p>
        </w:tc>
      </w:tr>
      <w:tr>
        <w:trPr>
          <w:cantSplit/>
        </w:trPr>
        <w:tc>
          <w:tcPr>
            <w:tcW w:type="dxa" w:w="1247"/>
            <w:vAlign w:val="center"/>
          </w:tcPr>
          <w:p>
            <w:pPr>
              <w:spacing w:before="0" w:after="0" w:line="260" w:lineRule="exact"/>
              <w:ind w:firstLine="0" w:left="0" w:right="0"/>
              <w:jc w:val="center"/>
            </w:pPr>
            <w:r>
              <w:rPr>
                <w:rFonts w:ascii="仿宋_GB2312" w:hAnsi="仿宋_GB2312" w:eastAsia="仿宋_GB2312" w:cs="仿宋_GB2312"/>
                <w:b w:val="0"/>
                <w:sz w:val="20"/>
              </w:rPr>
              <w:t>个别因素</w:t>
            </w:r>
          </w:p>
        </w:tc>
        <w:tc>
          <w:tcPr>
            <w:tcW w:type="dxa" w:w="1814"/>
            <w:vAlign w:val="center"/>
          </w:tcPr>
          <w:p>
            <w:pPr>
              <w:spacing w:before="0" w:after="0" w:line="260" w:lineRule="exact"/>
              <w:ind w:firstLine="0" w:left="0" w:right="0"/>
              <w:jc w:val="center"/>
            </w:pPr>
            <w:r>
              <w:rPr>
                <w:rFonts w:ascii="仿宋_GB2312" w:hAnsi="仿宋_GB2312" w:eastAsia="仿宋_GB2312" w:cs="仿宋_GB2312"/>
                <w:b w:val="0"/>
                <w:sz w:val="20"/>
              </w:rPr>
              <w:t>通风采光</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0"/>
              </w:rPr>
              <w:t>100</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0"/>
              </w:rPr>
              <w:t>100</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0"/>
              </w:rPr>
              <w:t>100</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0"/>
              </w:rPr>
              <w:t>100</w:t>
            </w:r>
          </w:p>
        </w:tc>
      </w:tr>
      <w:tr>
        <w:trPr>
          <w:cantSplit/>
        </w:trPr>
        <w:tc>
          <w:tcPr>
            <w:tcW w:type="dxa" w:w="1247"/>
            <w:vAlign w:val="center"/>
          </w:tcPr>
          <w:p>
            <w:pPr>
              <w:spacing w:before="0" w:after="0" w:line="260" w:lineRule="exact"/>
              <w:ind w:firstLine="0" w:left="0" w:right="0"/>
              <w:jc w:val="center"/>
            </w:pPr>
            <w:r>
              <w:rPr>
                <w:rFonts w:ascii="仿宋_GB2312" w:hAnsi="仿宋_GB2312" w:eastAsia="仿宋_GB2312" w:cs="仿宋_GB2312"/>
                <w:b w:val="0"/>
                <w:sz w:val="20"/>
              </w:rPr>
              <w:t>个别因素</w:t>
            </w:r>
          </w:p>
        </w:tc>
        <w:tc>
          <w:tcPr>
            <w:tcW w:type="dxa" w:w="1814"/>
            <w:vAlign w:val="center"/>
          </w:tcPr>
          <w:p>
            <w:pPr>
              <w:spacing w:before="0" w:after="0" w:line="260" w:lineRule="exact"/>
              <w:ind w:firstLine="0" w:left="0" w:right="0"/>
              <w:jc w:val="center"/>
            </w:pPr>
            <w:r>
              <w:rPr>
                <w:rFonts w:ascii="仿宋_GB2312" w:hAnsi="仿宋_GB2312" w:eastAsia="仿宋_GB2312" w:cs="仿宋_GB2312"/>
                <w:b w:val="0"/>
                <w:sz w:val="20"/>
              </w:rPr>
              <w:t>房屋成新度</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0"/>
              </w:rPr>
              <w:t>100</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0"/>
              </w:rPr>
              <w:t>100</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0"/>
              </w:rPr>
              <w:t>100</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0"/>
              </w:rPr>
              <w:t>100</w:t>
            </w:r>
          </w:p>
        </w:tc>
      </w:tr>
      <w:tr>
        <w:trPr>
          <w:cantSplit/>
        </w:trPr>
        <w:tc>
          <w:tcPr>
            <w:tcW w:type="dxa" w:w="1247"/>
            <w:vAlign w:val="center"/>
          </w:tcPr>
          <w:p>
            <w:pPr>
              <w:spacing w:before="0" w:after="0" w:line="260" w:lineRule="exact"/>
              <w:ind w:firstLine="0" w:left="0" w:right="0"/>
              <w:jc w:val="center"/>
            </w:pPr>
            <w:r>
              <w:rPr>
                <w:rFonts w:ascii="仿宋_GB2312" w:hAnsi="仿宋_GB2312" w:eastAsia="仿宋_GB2312" w:cs="仿宋_GB2312"/>
                <w:b w:val="0"/>
                <w:sz w:val="20"/>
              </w:rPr>
              <w:t>个别因素</w:t>
            </w:r>
          </w:p>
        </w:tc>
        <w:tc>
          <w:tcPr>
            <w:tcW w:type="dxa" w:w="1814"/>
            <w:vAlign w:val="center"/>
          </w:tcPr>
          <w:p>
            <w:pPr>
              <w:spacing w:before="0" w:after="0" w:line="260" w:lineRule="exact"/>
              <w:ind w:firstLine="0" w:left="0" w:right="0"/>
              <w:jc w:val="center"/>
            </w:pPr>
            <w:r>
              <w:rPr>
                <w:rFonts w:ascii="仿宋_GB2312" w:hAnsi="仿宋_GB2312" w:eastAsia="仿宋_GB2312" w:cs="仿宋_GB2312"/>
                <w:b w:val="0"/>
                <w:sz w:val="20"/>
              </w:rPr>
              <w:t>建筑物结构</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0"/>
              </w:rPr>
              <w:t>100</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0"/>
              </w:rPr>
              <w:t>100</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0"/>
              </w:rPr>
              <w:t>100</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0"/>
              </w:rPr>
              <w:t>100</w:t>
            </w:r>
          </w:p>
        </w:tc>
      </w:tr>
      <w:tr>
        <w:trPr>
          <w:cantSplit/>
        </w:trPr>
        <w:tc>
          <w:tcPr>
            <w:tcW w:type="dxa" w:w="1247"/>
            <w:vAlign w:val="center"/>
          </w:tcPr>
          <w:p>
            <w:pPr>
              <w:spacing w:before="0" w:after="0" w:line="260" w:lineRule="exact"/>
              <w:ind w:firstLine="0" w:left="0" w:right="0"/>
              <w:jc w:val="center"/>
            </w:pPr>
            <w:r>
              <w:rPr>
                <w:rFonts w:ascii="仿宋_GB2312" w:hAnsi="仿宋_GB2312" w:eastAsia="仿宋_GB2312" w:cs="仿宋_GB2312"/>
                <w:b w:val="0"/>
                <w:sz w:val="20"/>
              </w:rPr>
              <w:t>个别因素</w:t>
            </w:r>
          </w:p>
        </w:tc>
        <w:tc>
          <w:tcPr>
            <w:tcW w:type="dxa" w:w="1814"/>
            <w:vAlign w:val="center"/>
          </w:tcPr>
          <w:p>
            <w:pPr>
              <w:spacing w:before="0" w:after="0" w:line="260" w:lineRule="exact"/>
              <w:ind w:firstLine="0" w:left="0" w:right="0"/>
              <w:jc w:val="center"/>
            </w:pPr>
            <w:r>
              <w:rPr>
                <w:rFonts w:ascii="仿宋_GB2312" w:hAnsi="仿宋_GB2312" w:eastAsia="仿宋_GB2312" w:cs="仿宋_GB2312"/>
                <w:b w:val="0"/>
                <w:sz w:val="20"/>
              </w:rPr>
              <w:t>建筑物内部格局</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0"/>
              </w:rPr>
              <w:t>100</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0"/>
              </w:rPr>
              <w:t>100</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0"/>
              </w:rPr>
              <w:t>100</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0"/>
              </w:rPr>
              <w:t>100</w:t>
            </w:r>
          </w:p>
        </w:tc>
      </w:tr>
      <w:tr>
        <w:trPr>
          <w:cantSplit/>
        </w:trPr>
        <w:tc>
          <w:tcPr>
            <w:tcW w:type="dxa" w:w="1247"/>
            <w:vAlign w:val="center"/>
          </w:tcPr>
          <w:p>
            <w:pPr>
              <w:spacing w:before="0" w:after="0" w:line="260" w:lineRule="exact"/>
              <w:ind w:firstLine="0" w:left="0" w:right="0"/>
              <w:jc w:val="center"/>
            </w:pPr>
            <w:r>
              <w:rPr>
                <w:rFonts w:ascii="仿宋_GB2312" w:hAnsi="仿宋_GB2312" w:eastAsia="仿宋_GB2312" w:cs="仿宋_GB2312"/>
                <w:b w:val="0"/>
                <w:sz w:val="20"/>
              </w:rPr>
              <w:t>个别因素</w:t>
            </w:r>
          </w:p>
        </w:tc>
        <w:tc>
          <w:tcPr>
            <w:tcW w:type="dxa" w:w="1814"/>
            <w:vAlign w:val="center"/>
          </w:tcPr>
          <w:p>
            <w:pPr>
              <w:spacing w:before="0" w:after="0" w:line="260" w:lineRule="exact"/>
              <w:ind w:firstLine="0" w:left="0" w:right="0"/>
              <w:jc w:val="center"/>
            </w:pPr>
            <w:r>
              <w:rPr>
                <w:rFonts w:ascii="仿宋_GB2312" w:hAnsi="仿宋_GB2312" w:eastAsia="仿宋_GB2312" w:cs="仿宋_GB2312"/>
                <w:b w:val="0"/>
                <w:sz w:val="20"/>
              </w:rPr>
              <w:t>装修档次</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0"/>
              </w:rPr>
              <w:t>100</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0"/>
              </w:rPr>
              <w:t>100</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0"/>
              </w:rPr>
              <w:t>100</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0"/>
              </w:rPr>
              <w:t>100</w:t>
            </w:r>
          </w:p>
        </w:tc>
      </w:tr>
      <w:tr>
        <w:trPr>
          <w:cantSplit/>
        </w:trPr>
        <w:tc>
          <w:tcPr>
            <w:tcW w:type="dxa" w:w="1247"/>
            <w:vAlign w:val="center"/>
          </w:tcPr>
          <w:p>
            <w:pPr>
              <w:spacing w:before="0" w:after="0" w:line="260" w:lineRule="exact"/>
              <w:ind w:firstLine="0" w:left="0" w:right="0"/>
              <w:jc w:val="center"/>
            </w:pPr>
            <w:r>
              <w:rPr>
                <w:rFonts w:ascii="仿宋_GB2312" w:hAnsi="仿宋_GB2312" w:eastAsia="仿宋_GB2312" w:cs="仿宋_GB2312"/>
                <w:b w:val="0"/>
                <w:sz w:val="20"/>
              </w:rPr>
              <w:t>个别因素</w:t>
            </w:r>
          </w:p>
        </w:tc>
        <w:tc>
          <w:tcPr>
            <w:tcW w:type="dxa" w:w="1814"/>
            <w:vAlign w:val="center"/>
          </w:tcPr>
          <w:p>
            <w:pPr>
              <w:spacing w:before="0" w:after="0" w:line="260" w:lineRule="exact"/>
              <w:ind w:firstLine="0" w:left="0" w:right="0"/>
              <w:jc w:val="center"/>
            </w:pPr>
            <w:r>
              <w:rPr>
                <w:rFonts w:ascii="仿宋_GB2312" w:hAnsi="仿宋_GB2312" w:eastAsia="仿宋_GB2312" w:cs="仿宋_GB2312"/>
                <w:b w:val="0"/>
                <w:sz w:val="20"/>
              </w:rPr>
              <w:t>停车情况</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0"/>
              </w:rPr>
              <w:t>100</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0"/>
              </w:rPr>
              <w:t>100</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0"/>
              </w:rPr>
              <w:t>100</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0"/>
              </w:rPr>
              <w:t>100</w:t>
            </w:r>
          </w:p>
        </w:tc>
      </w:tr>
      <w:tr>
        <w:trPr>
          <w:cantSplit/>
        </w:trPr>
        <w:tc>
          <w:tcPr>
            <w:tcW w:type="dxa" w:w="1247"/>
            <w:vAlign w:val="center"/>
          </w:tcPr>
          <w:p>
            <w:pPr>
              <w:spacing w:before="0" w:after="0" w:line="260" w:lineRule="exact"/>
              <w:ind w:firstLine="0" w:left="0" w:right="0"/>
              <w:jc w:val="center"/>
            </w:pPr>
            <w:r>
              <w:rPr>
                <w:rFonts w:ascii="仿宋_GB2312" w:hAnsi="仿宋_GB2312" w:eastAsia="仿宋_GB2312" w:cs="仿宋_GB2312"/>
                <w:b w:val="0"/>
                <w:sz w:val="20"/>
              </w:rPr>
              <w:t>个别因素</w:t>
            </w:r>
          </w:p>
        </w:tc>
        <w:tc>
          <w:tcPr>
            <w:tcW w:type="dxa" w:w="1814"/>
            <w:vAlign w:val="center"/>
          </w:tcPr>
          <w:p>
            <w:pPr>
              <w:spacing w:before="0" w:after="0" w:line="260" w:lineRule="exact"/>
              <w:ind w:firstLine="0" w:left="0" w:right="0"/>
              <w:jc w:val="center"/>
            </w:pPr>
            <w:r>
              <w:rPr>
                <w:rFonts w:ascii="仿宋_GB2312" w:hAnsi="仿宋_GB2312" w:eastAsia="仿宋_GB2312" w:cs="仿宋_GB2312"/>
                <w:b w:val="0"/>
                <w:sz w:val="20"/>
              </w:rPr>
              <w:t>物业情况</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0"/>
              </w:rPr>
              <w:t>100</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0"/>
              </w:rPr>
              <w:t>100</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0"/>
              </w:rPr>
              <w:t>100</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0"/>
              </w:rPr>
              <w:t>100</w:t>
            </w:r>
          </w:p>
        </w:tc>
      </w:tr>
    </w:tbl>
    <w:p>
      <w:pPr>
        <w:keepNext/>
        <w:spacing w:before="157" w:after="10" w:line="480" w:lineRule="exact"/>
        <w:ind w:firstLine="0" w:left="0" w:right="0"/>
        <w:jc w:val="center"/>
      </w:pPr>
      <w:r>
        <w:rPr>
          <w:rFonts w:ascii="仿宋_GB2312" w:hAnsi="仿宋_GB2312" w:eastAsia="仿宋_GB2312" w:cs="仿宋_GB2312"/>
          <w:b w:val="0"/>
          <w:sz w:val="28"/>
        </w:rPr>
        <w:t>表3-15 比较因素条件修正系数表</w:t>
      </w:r>
    </w:p>
    <w:tbl>
      <w:tblPr>
        <w:tblStyle w:val="TableGrid"/>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92"/>
        <w:gridCol w:w="1792"/>
        <w:gridCol w:w="1792"/>
        <w:gridCol w:w="1792"/>
        <w:gridCol w:w="1792"/>
      </w:tblGrid>
      <w:tr>
        <w:trPr>
          <w:tblHeader w:val="1"/>
          <w:cantSplit/>
        </w:trPr>
        <w:tc>
          <w:tcPr>
            <w:tcW w:type="dxa" w:w="1361"/>
            <w:vAlign w:val="center"/>
          </w:tcPr>
          <w:p>
            <w:pPr>
              <w:spacing w:before="0" w:after="0" w:line="260" w:lineRule="exact"/>
              <w:ind w:firstLine="0" w:left="0" w:right="0"/>
              <w:jc w:val="center"/>
            </w:pPr>
            <w:r>
              <w:rPr>
                <w:rFonts w:ascii="仿宋_GB2312" w:hAnsi="仿宋_GB2312" w:eastAsia="仿宋_GB2312" w:cs="仿宋_GB2312"/>
                <w:b w:val="0"/>
                <w:sz w:val="21"/>
              </w:rPr>
              <w:t>因素类别</w:t>
            </w:r>
          </w:p>
        </w:tc>
        <w:tc>
          <w:tcPr>
            <w:tcW w:type="dxa" w:w="2041"/>
            <w:vAlign w:val="center"/>
          </w:tcPr>
          <w:p>
            <w:pPr>
              <w:spacing w:before="0" w:after="0" w:line="260" w:lineRule="exact"/>
              <w:ind w:firstLine="0" w:left="0" w:right="0"/>
              <w:jc w:val="center"/>
            </w:pPr>
            <w:r>
              <w:rPr>
                <w:rFonts w:ascii="仿宋_GB2312" w:hAnsi="仿宋_GB2312" w:eastAsia="仿宋_GB2312" w:cs="仿宋_GB2312"/>
                <w:b w:val="0"/>
                <w:sz w:val="21"/>
              </w:rPr>
              <w:t>比较因素</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案例A</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案例B</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案例C</w:t>
            </w:r>
          </w:p>
        </w:tc>
      </w:tr>
      <w:tr>
        <w:trPr>
          <w:cantSplit/>
        </w:trPr>
        <w:tc>
          <w:tcPr>
            <w:tcW w:type="dxa" w:w="1361"/>
            <w:vAlign w:val="center"/>
          </w:tcPr>
          <w:p>
            <w:pPr>
              <w:spacing w:before="0" w:after="0" w:line="260" w:lineRule="exact"/>
              <w:ind w:firstLine="0" w:left="0" w:right="0"/>
              <w:jc w:val="center"/>
            </w:pPr>
            <w:r>
              <w:rPr>
                <w:rFonts w:ascii="仿宋_GB2312" w:hAnsi="仿宋_GB2312" w:eastAsia="仿宋_GB2312" w:cs="仿宋_GB2312"/>
                <w:b w:val="0"/>
                <w:sz w:val="21"/>
              </w:rPr>
              <w:t>基础情况</w:t>
            </w:r>
          </w:p>
        </w:tc>
        <w:tc>
          <w:tcPr>
            <w:tcW w:type="dxa" w:w="2041"/>
            <w:vAlign w:val="center"/>
          </w:tcPr>
          <w:p>
            <w:pPr>
              <w:spacing w:before="0" w:after="0" w:line="260" w:lineRule="exact"/>
              <w:ind w:firstLine="0" w:left="0" w:right="0"/>
              <w:jc w:val="center"/>
            </w:pPr>
            <w:r>
              <w:rPr>
                <w:rFonts w:ascii="仿宋_GB2312" w:hAnsi="仿宋_GB2312" w:eastAsia="仿宋_GB2312" w:cs="仿宋_GB2312"/>
                <w:b w:val="0"/>
                <w:sz w:val="21"/>
              </w:rPr>
              <w:t>位置</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道州中路466号爱莲商业广场</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道州中路466号爱莲商业广场</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道县道州中路397号</w:t>
            </w:r>
          </w:p>
        </w:tc>
      </w:tr>
      <w:tr>
        <w:trPr>
          <w:cantSplit/>
        </w:trPr>
        <w:tc>
          <w:tcPr>
            <w:tcW w:type="dxa" w:w="1361"/>
            <w:vAlign w:val="center"/>
          </w:tcPr>
          <w:p>
            <w:pPr>
              <w:spacing w:before="0" w:after="0" w:line="260" w:lineRule="exact"/>
              <w:ind w:firstLine="0" w:left="0" w:right="0"/>
              <w:jc w:val="center"/>
            </w:pPr>
            <w:r>
              <w:rPr>
                <w:rFonts w:ascii="仿宋_GB2312" w:hAnsi="仿宋_GB2312" w:eastAsia="仿宋_GB2312" w:cs="仿宋_GB2312"/>
                <w:b w:val="0"/>
                <w:sz w:val="21"/>
              </w:rPr>
              <w:t>基础情况</w:t>
            </w:r>
          </w:p>
        </w:tc>
        <w:tc>
          <w:tcPr>
            <w:tcW w:type="dxa" w:w="2041"/>
            <w:vAlign w:val="center"/>
          </w:tcPr>
          <w:p>
            <w:pPr>
              <w:spacing w:before="0" w:after="0" w:line="260" w:lineRule="exact"/>
              <w:ind w:firstLine="0" w:left="0" w:right="0"/>
              <w:jc w:val="center"/>
            </w:pPr>
            <w:r>
              <w:rPr>
                <w:rFonts w:ascii="仿宋_GB2312" w:hAnsi="仿宋_GB2312" w:eastAsia="仿宋_GB2312" w:cs="仿宋_GB2312"/>
                <w:b w:val="0"/>
                <w:sz w:val="21"/>
              </w:rPr>
              <w:t>住宅租金(元/m2·月)</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11.40</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11.40</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11.50</w:t>
            </w:r>
          </w:p>
        </w:tc>
      </w:tr>
      <w:tr>
        <w:trPr>
          <w:cantSplit/>
        </w:trPr>
        <w:tc>
          <w:tcPr>
            <w:tcW w:type="dxa" w:w="1361"/>
            <w:vAlign w:val="center"/>
          </w:tcPr>
          <w:p>
            <w:pPr>
              <w:spacing w:before="0" w:after="0" w:line="260" w:lineRule="exact"/>
              <w:ind w:firstLine="0" w:left="0" w:right="0"/>
              <w:jc w:val="center"/>
            </w:pPr>
            <w:r>
              <w:rPr>
                <w:rFonts w:ascii="仿宋_GB2312" w:hAnsi="仿宋_GB2312" w:eastAsia="仿宋_GB2312" w:cs="仿宋_GB2312"/>
                <w:b w:val="0"/>
                <w:sz w:val="21"/>
              </w:rPr>
              <w:t>交易因素</w:t>
            </w:r>
          </w:p>
        </w:tc>
        <w:tc>
          <w:tcPr>
            <w:tcW w:type="dxa" w:w="2041"/>
            <w:vAlign w:val="center"/>
          </w:tcPr>
          <w:p>
            <w:pPr>
              <w:spacing w:before="0" w:after="0" w:line="260" w:lineRule="exact"/>
              <w:ind w:firstLine="0" w:left="0" w:right="0"/>
              <w:jc w:val="center"/>
            </w:pPr>
            <w:r>
              <w:rPr>
                <w:rFonts w:ascii="仿宋_GB2312" w:hAnsi="仿宋_GB2312" w:eastAsia="仿宋_GB2312" w:cs="仿宋_GB2312"/>
                <w:b w:val="0"/>
                <w:sz w:val="21"/>
              </w:rPr>
              <w:t>用途</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100/101.968</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100/101.968</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100/102.041</w:t>
            </w:r>
          </w:p>
        </w:tc>
      </w:tr>
      <w:tr>
        <w:trPr>
          <w:cantSplit/>
        </w:trPr>
        <w:tc>
          <w:tcPr>
            <w:tcW w:type="dxa" w:w="1361"/>
            <w:vAlign w:val="center"/>
          </w:tcPr>
          <w:p>
            <w:pPr>
              <w:spacing w:before="0" w:after="0" w:line="260" w:lineRule="exact"/>
              <w:ind w:firstLine="0" w:left="0" w:right="0"/>
              <w:jc w:val="center"/>
            </w:pPr>
            <w:r>
              <w:rPr>
                <w:rFonts w:ascii="仿宋_GB2312" w:hAnsi="仿宋_GB2312" w:eastAsia="仿宋_GB2312" w:cs="仿宋_GB2312"/>
                <w:b w:val="0"/>
                <w:sz w:val="21"/>
              </w:rPr>
              <w:t>交易因素</w:t>
            </w:r>
          </w:p>
        </w:tc>
        <w:tc>
          <w:tcPr>
            <w:tcW w:type="dxa" w:w="2041"/>
            <w:vAlign w:val="center"/>
          </w:tcPr>
          <w:p>
            <w:pPr>
              <w:spacing w:before="0" w:after="0" w:line="260" w:lineRule="exact"/>
              <w:ind w:firstLine="0" w:left="0" w:right="0"/>
              <w:jc w:val="center"/>
            </w:pPr>
            <w:r>
              <w:rPr>
                <w:rFonts w:ascii="仿宋_GB2312" w:hAnsi="仿宋_GB2312" w:eastAsia="仿宋_GB2312" w:cs="仿宋_GB2312"/>
                <w:b w:val="0"/>
                <w:sz w:val="21"/>
              </w:rPr>
              <w:t>交易时间</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100/100</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100/100</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100/100</w:t>
            </w:r>
          </w:p>
        </w:tc>
      </w:tr>
      <w:tr>
        <w:trPr>
          <w:cantSplit/>
        </w:trPr>
        <w:tc>
          <w:tcPr>
            <w:tcW w:type="dxa" w:w="1361"/>
            <w:vAlign w:val="center"/>
          </w:tcPr>
          <w:p>
            <w:pPr>
              <w:spacing w:before="0" w:after="0" w:line="260" w:lineRule="exact"/>
              <w:ind w:firstLine="0" w:left="0" w:right="0"/>
              <w:jc w:val="center"/>
            </w:pPr>
            <w:r>
              <w:rPr>
                <w:rFonts w:ascii="仿宋_GB2312" w:hAnsi="仿宋_GB2312" w:eastAsia="仿宋_GB2312" w:cs="仿宋_GB2312"/>
                <w:b w:val="0"/>
                <w:sz w:val="21"/>
              </w:rPr>
              <w:t>交易因素</w:t>
            </w:r>
          </w:p>
        </w:tc>
        <w:tc>
          <w:tcPr>
            <w:tcW w:type="dxa" w:w="2041"/>
            <w:vAlign w:val="center"/>
          </w:tcPr>
          <w:p>
            <w:pPr>
              <w:spacing w:before="0" w:after="0" w:line="260" w:lineRule="exact"/>
              <w:ind w:firstLine="0" w:left="0" w:right="0"/>
              <w:jc w:val="center"/>
            </w:pPr>
            <w:r>
              <w:rPr>
                <w:rFonts w:ascii="仿宋_GB2312" w:hAnsi="仿宋_GB2312" w:eastAsia="仿宋_GB2312" w:cs="仿宋_GB2312"/>
                <w:b w:val="0"/>
                <w:sz w:val="21"/>
              </w:rPr>
              <w:t>交易情况</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100/100</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100/100</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100/100</w:t>
            </w:r>
          </w:p>
        </w:tc>
      </w:tr>
      <w:tr>
        <w:trPr>
          <w:cantSplit/>
        </w:trPr>
        <w:tc>
          <w:tcPr>
            <w:tcW w:type="dxa" w:w="1361"/>
            <w:vAlign w:val="center"/>
          </w:tcPr>
          <w:p>
            <w:pPr>
              <w:spacing w:before="0" w:after="0" w:line="260" w:lineRule="exact"/>
              <w:ind w:firstLine="0" w:left="0" w:right="0"/>
              <w:jc w:val="center"/>
            </w:pPr>
            <w:r>
              <w:rPr>
                <w:rFonts w:ascii="仿宋_GB2312" w:hAnsi="仿宋_GB2312" w:eastAsia="仿宋_GB2312" w:cs="仿宋_GB2312"/>
                <w:b w:val="0"/>
                <w:sz w:val="21"/>
              </w:rPr>
              <w:t>区域因素</w:t>
            </w:r>
          </w:p>
        </w:tc>
        <w:tc>
          <w:tcPr>
            <w:tcW w:type="dxa" w:w="2041"/>
            <w:vAlign w:val="center"/>
          </w:tcPr>
          <w:p>
            <w:pPr>
              <w:spacing w:before="0" w:after="0" w:line="260" w:lineRule="exact"/>
              <w:ind w:firstLine="0" w:left="0" w:right="0"/>
              <w:jc w:val="center"/>
            </w:pPr>
            <w:r>
              <w:rPr>
                <w:rFonts w:ascii="仿宋_GB2312" w:hAnsi="仿宋_GB2312" w:eastAsia="仿宋_GB2312" w:cs="仿宋_GB2312"/>
                <w:b w:val="0"/>
                <w:sz w:val="21"/>
              </w:rPr>
              <w:t>商服繁华度</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100/100</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100/100</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100/100</w:t>
            </w:r>
          </w:p>
        </w:tc>
      </w:tr>
      <w:tr>
        <w:trPr>
          <w:cantSplit/>
        </w:trPr>
        <w:tc>
          <w:tcPr>
            <w:tcW w:type="dxa" w:w="1361"/>
            <w:vAlign w:val="center"/>
          </w:tcPr>
          <w:p>
            <w:pPr>
              <w:spacing w:before="0" w:after="0" w:line="260" w:lineRule="exact"/>
              <w:ind w:firstLine="0" w:left="0" w:right="0"/>
              <w:jc w:val="center"/>
            </w:pPr>
            <w:r>
              <w:rPr>
                <w:rFonts w:ascii="仿宋_GB2312" w:hAnsi="仿宋_GB2312" w:eastAsia="仿宋_GB2312" w:cs="仿宋_GB2312"/>
                <w:b w:val="0"/>
                <w:sz w:val="21"/>
              </w:rPr>
              <w:t>区域因素</w:t>
            </w:r>
          </w:p>
        </w:tc>
        <w:tc>
          <w:tcPr>
            <w:tcW w:type="dxa" w:w="2041"/>
            <w:vAlign w:val="center"/>
          </w:tcPr>
          <w:p>
            <w:pPr>
              <w:spacing w:before="0" w:after="0" w:line="260" w:lineRule="exact"/>
              <w:ind w:firstLine="0" w:left="0" w:right="0"/>
              <w:jc w:val="center"/>
            </w:pPr>
            <w:r>
              <w:rPr>
                <w:rFonts w:ascii="仿宋_GB2312" w:hAnsi="仿宋_GB2312" w:eastAsia="仿宋_GB2312" w:cs="仿宋_GB2312"/>
                <w:b w:val="0"/>
                <w:sz w:val="21"/>
              </w:rPr>
              <w:t>公交便捷度</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100/100</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100/100</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100/100</w:t>
            </w:r>
          </w:p>
        </w:tc>
      </w:tr>
      <w:tr>
        <w:trPr>
          <w:cantSplit/>
        </w:trPr>
        <w:tc>
          <w:tcPr>
            <w:tcW w:type="dxa" w:w="1361"/>
            <w:vAlign w:val="center"/>
          </w:tcPr>
          <w:p>
            <w:pPr>
              <w:spacing w:before="0" w:after="0" w:line="260" w:lineRule="exact"/>
              <w:ind w:firstLine="0" w:left="0" w:right="0"/>
              <w:jc w:val="center"/>
            </w:pPr>
            <w:r>
              <w:rPr>
                <w:rFonts w:ascii="仿宋_GB2312" w:hAnsi="仿宋_GB2312" w:eastAsia="仿宋_GB2312" w:cs="仿宋_GB2312"/>
                <w:b w:val="0"/>
                <w:sz w:val="21"/>
              </w:rPr>
              <w:t>区域因素</w:t>
            </w:r>
          </w:p>
        </w:tc>
        <w:tc>
          <w:tcPr>
            <w:tcW w:type="dxa" w:w="2041"/>
            <w:vAlign w:val="center"/>
          </w:tcPr>
          <w:p>
            <w:pPr>
              <w:spacing w:before="0" w:after="0" w:line="260" w:lineRule="exact"/>
              <w:ind w:firstLine="0" w:left="0" w:right="0"/>
              <w:jc w:val="center"/>
            </w:pPr>
            <w:r>
              <w:rPr>
                <w:rFonts w:ascii="仿宋_GB2312" w:hAnsi="仿宋_GB2312" w:eastAsia="仿宋_GB2312" w:cs="仿宋_GB2312"/>
                <w:b w:val="0"/>
                <w:sz w:val="21"/>
              </w:rPr>
              <w:t>道路通达度</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100/100</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100/100</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100/100</w:t>
            </w:r>
          </w:p>
        </w:tc>
      </w:tr>
      <w:tr>
        <w:trPr>
          <w:cantSplit/>
        </w:trPr>
        <w:tc>
          <w:tcPr>
            <w:tcW w:type="dxa" w:w="1361"/>
            <w:vAlign w:val="center"/>
          </w:tcPr>
          <w:p>
            <w:pPr>
              <w:spacing w:before="0" w:after="0" w:line="260" w:lineRule="exact"/>
              <w:ind w:firstLine="0" w:left="0" w:right="0"/>
              <w:jc w:val="center"/>
            </w:pPr>
            <w:r>
              <w:rPr>
                <w:rFonts w:ascii="仿宋_GB2312" w:hAnsi="仿宋_GB2312" w:eastAsia="仿宋_GB2312" w:cs="仿宋_GB2312"/>
                <w:b w:val="0"/>
                <w:sz w:val="21"/>
              </w:rPr>
              <w:t>区域因素</w:t>
            </w:r>
          </w:p>
        </w:tc>
        <w:tc>
          <w:tcPr>
            <w:tcW w:type="dxa" w:w="2041"/>
            <w:vAlign w:val="center"/>
          </w:tcPr>
          <w:p>
            <w:pPr>
              <w:spacing w:before="0" w:after="0" w:line="260" w:lineRule="exact"/>
              <w:ind w:firstLine="0" w:left="0" w:right="0"/>
              <w:jc w:val="center"/>
            </w:pPr>
            <w:r>
              <w:rPr>
                <w:rFonts w:ascii="仿宋_GB2312" w:hAnsi="仿宋_GB2312" w:eastAsia="仿宋_GB2312" w:cs="仿宋_GB2312"/>
                <w:b w:val="0"/>
                <w:sz w:val="21"/>
              </w:rPr>
              <w:t>水电等基础设施综合保证率</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100/100</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100/100</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100/100</w:t>
            </w:r>
          </w:p>
        </w:tc>
      </w:tr>
      <w:tr>
        <w:trPr>
          <w:cantSplit/>
        </w:trPr>
        <w:tc>
          <w:tcPr>
            <w:tcW w:type="dxa" w:w="1361"/>
            <w:vAlign w:val="center"/>
          </w:tcPr>
          <w:p>
            <w:pPr>
              <w:spacing w:before="0" w:after="0" w:line="260" w:lineRule="exact"/>
              <w:ind w:firstLine="0" w:left="0" w:right="0"/>
              <w:jc w:val="center"/>
            </w:pPr>
            <w:r>
              <w:rPr>
                <w:rFonts w:ascii="仿宋_GB2312" w:hAnsi="仿宋_GB2312" w:eastAsia="仿宋_GB2312" w:cs="仿宋_GB2312"/>
                <w:b w:val="0"/>
                <w:sz w:val="21"/>
              </w:rPr>
              <w:t>区域因素</w:t>
            </w:r>
          </w:p>
        </w:tc>
        <w:tc>
          <w:tcPr>
            <w:tcW w:type="dxa" w:w="2041"/>
            <w:vAlign w:val="center"/>
          </w:tcPr>
          <w:p>
            <w:pPr>
              <w:spacing w:before="0" w:after="0" w:line="260" w:lineRule="exact"/>
              <w:ind w:firstLine="0" w:left="0" w:right="0"/>
              <w:jc w:val="center"/>
            </w:pPr>
            <w:r>
              <w:rPr>
                <w:rFonts w:ascii="仿宋_GB2312" w:hAnsi="仿宋_GB2312" w:eastAsia="仿宋_GB2312" w:cs="仿宋_GB2312"/>
                <w:b w:val="0"/>
                <w:sz w:val="21"/>
              </w:rPr>
              <w:t>环境质量</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100/100</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100/100</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100/100</w:t>
            </w:r>
          </w:p>
        </w:tc>
      </w:tr>
      <w:tr>
        <w:trPr>
          <w:cantSplit/>
        </w:trPr>
        <w:tc>
          <w:tcPr>
            <w:tcW w:type="dxa" w:w="1361"/>
            <w:vAlign w:val="center"/>
          </w:tcPr>
          <w:p>
            <w:pPr>
              <w:spacing w:before="0" w:after="0" w:line="260" w:lineRule="exact"/>
              <w:ind w:firstLine="0" w:left="0" w:right="0"/>
              <w:jc w:val="center"/>
            </w:pPr>
            <w:r>
              <w:rPr>
                <w:rFonts w:ascii="仿宋_GB2312" w:hAnsi="仿宋_GB2312" w:eastAsia="仿宋_GB2312" w:cs="仿宋_GB2312"/>
                <w:b w:val="0"/>
                <w:sz w:val="21"/>
              </w:rPr>
              <w:t>区域因素</w:t>
            </w:r>
          </w:p>
        </w:tc>
        <w:tc>
          <w:tcPr>
            <w:tcW w:type="dxa" w:w="2041"/>
            <w:vAlign w:val="center"/>
          </w:tcPr>
          <w:p>
            <w:pPr>
              <w:spacing w:before="0" w:after="0" w:line="260" w:lineRule="exact"/>
              <w:ind w:firstLine="0" w:left="0" w:right="0"/>
              <w:jc w:val="center"/>
            </w:pPr>
            <w:r>
              <w:rPr>
                <w:rFonts w:ascii="仿宋_GB2312" w:hAnsi="仿宋_GB2312" w:eastAsia="仿宋_GB2312" w:cs="仿宋_GB2312"/>
                <w:b w:val="0"/>
                <w:sz w:val="21"/>
              </w:rPr>
              <w:t>区域公共设施状况</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100/100</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100/100</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100/100</w:t>
            </w:r>
          </w:p>
        </w:tc>
      </w:tr>
      <w:tr>
        <w:trPr>
          <w:cantSplit/>
        </w:trPr>
        <w:tc>
          <w:tcPr>
            <w:tcW w:type="dxa" w:w="1361"/>
            <w:vAlign w:val="center"/>
          </w:tcPr>
          <w:p>
            <w:pPr>
              <w:spacing w:before="0" w:after="0" w:line="260" w:lineRule="exact"/>
              <w:ind w:firstLine="0" w:left="0" w:right="0"/>
              <w:jc w:val="center"/>
            </w:pPr>
            <w:r>
              <w:rPr>
                <w:rFonts w:ascii="仿宋_GB2312" w:hAnsi="仿宋_GB2312" w:eastAsia="仿宋_GB2312" w:cs="仿宋_GB2312"/>
                <w:b w:val="0"/>
                <w:sz w:val="21"/>
              </w:rPr>
              <w:t>个别因素</w:t>
            </w:r>
          </w:p>
        </w:tc>
        <w:tc>
          <w:tcPr>
            <w:tcW w:type="dxa" w:w="2041"/>
            <w:vAlign w:val="center"/>
          </w:tcPr>
          <w:p>
            <w:pPr>
              <w:spacing w:before="0" w:after="0" w:line="260" w:lineRule="exact"/>
              <w:ind w:firstLine="0" w:left="0" w:right="0"/>
              <w:jc w:val="center"/>
            </w:pPr>
            <w:r>
              <w:rPr>
                <w:rFonts w:ascii="仿宋_GB2312" w:hAnsi="仿宋_GB2312" w:eastAsia="仿宋_GB2312" w:cs="仿宋_GB2312"/>
                <w:b w:val="0"/>
                <w:sz w:val="21"/>
              </w:rPr>
              <w:t>所临道路类型</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100/100</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100/100</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100/100</w:t>
            </w:r>
          </w:p>
        </w:tc>
      </w:tr>
      <w:tr>
        <w:trPr>
          <w:cantSplit/>
        </w:trPr>
        <w:tc>
          <w:tcPr>
            <w:tcW w:type="dxa" w:w="1361"/>
            <w:vAlign w:val="center"/>
          </w:tcPr>
          <w:p>
            <w:pPr>
              <w:spacing w:before="0" w:after="0" w:line="260" w:lineRule="exact"/>
              <w:ind w:firstLine="0" w:left="0" w:right="0"/>
              <w:jc w:val="center"/>
            </w:pPr>
            <w:r>
              <w:rPr>
                <w:rFonts w:ascii="仿宋_GB2312" w:hAnsi="仿宋_GB2312" w:eastAsia="仿宋_GB2312" w:cs="仿宋_GB2312"/>
                <w:b w:val="0"/>
                <w:sz w:val="21"/>
              </w:rPr>
              <w:t>个别因素</w:t>
            </w:r>
          </w:p>
        </w:tc>
        <w:tc>
          <w:tcPr>
            <w:tcW w:type="dxa" w:w="2041"/>
            <w:vAlign w:val="center"/>
          </w:tcPr>
          <w:p>
            <w:pPr>
              <w:spacing w:before="0" w:after="0" w:line="260" w:lineRule="exact"/>
              <w:ind w:firstLine="0" w:left="0" w:right="0"/>
              <w:jc w:val="center"/>
            </w:pPr>
            <w:r>
              <w:rPr>
                <w:rFonts w:ascii="仿宋_GB2312" w:hAnsi="仿宋_GB2312" w:eastAsia="仿宋_GB2312" w:cs="仿宋_GB2312"/>
                <w:b w:val="0"/>
                <w:sz w:val="21"/>
              </w:rPr>
              <w:t>通风采光</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100/100</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100/100</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100/100</w:t>
            </w:r>
          </w:p>
        </w:tc>
      </w:tr>
      <w:tr>
        <w:trPr>
          <w:cantSplit/>
        </w:trPr>
        <w:tc>
          <w:tcPr>
            <w:tcW w:type="dxa" w:w="1361"/>
            <w:vAlign w:val="center"/>
          </w:tcPr>
          <w:p>
            <w:pPr>
              <w:spacing w:before="0" w:after="0" w:line="260" w:lineRule="exact"/>
              <w:ind w:firstLine="0" w:left="0" w:right="0"/>
              <w:jc w:val="center"/>
            </w:pPr>
            <w:r>
              <w:rPr>
                <w:rFonts w:ascii="仿宋_GB2312" w:hAnsi="仿宋_GB2312" w:eastAsia="仿宋_GB2312" w:cs="仿宋_GB2312"/>
                <w:b w:val="0"/>
                <w:sz w:val="21"/>
              </w:rPr>
              <w:t>个别因素</w:t>
            </w:r>
          </w:p>
        </w:tc>
        <w:tc>
          <w:tcPr>
            <w:tcW w:type="dxa" w:w="2041"/>
            <w:vAlign w:val="center"/>
          </w:tcPr>
          <w:p>
            <w:pPr>
              <w:spacing w:before="0" w:after="0" w:line="260" w:lineRule="exact"/>
              <w:ind w:firstLine="0" w:left="0" w:right="0"/>
              <w:jc w:val="center"/>
            </w:pPr>
            <w:r>
              <w:rPr>
                <w:rFonts w:ascii="仿宋_GB2312" w:hAnsi="仿宋_GB2312" w:eastAsia="仿宋_GB2312" w:cs="仿宋_GB2312"/>
                <w:b w:val="0"/>
                <w:sz w:val="21"/>
              </w:rPr>
              <w:t>房屋成新度</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100/100</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100/100</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100/100</w:t>
            </w:r>
          </w:p>
        </w:tc>
      </w:tr>
      <w:tr>
        <w:trPr>
          <w:cantSplit/>
        </w:trPr>
        <w:tc>
          <w:tcPr>
            <w:tcW w:type="dxa" w:w="1361"/>
            <w:vAlign w:val="center"/>
          </w:tcPr>
          <w:p>
            <w:pPr>
              <w:spacing w:before="0" w:after="0" w:line="260" w:lineRule="exact"/>
              <w:ind w:firstLine="0" w:left="0" w:right="0"/>
              <w:jc w:val="center"/>
            </w:pPr>
            <w:r>
              <w:rPr>
                <w:rFonts w:ascii="仿宋_GB2312" w:hAnsi="仿宋_GB2312" w:eastAsia="仿宋_GB2312" w:cs="仿宋_GB2312"/>
                <w:b w:val="0"/>
                <w:sz w:val="21"/>
              </w:rPr>
              <w:t>个别因素</w:t>
            </w:r>
          </w:p>
        </w:tc>
        <w:tc>
          <w:tcPr>
            <w:tcW w:type="dxa" w:w="2041"/>
            <w:vAlign w:val="center"/>
          </w:tcPr>
          <w:p>
            <w:pPr>
              <w:spacing w:before="0" w:after="0" w:line="260" w:lineRule="exact"/>
              <w:ind w:firstLine="0" w:left="0" w:right="0"/>
              <w:jc w:val="center"/>
            </w:pPr>
            <w:r>
              <w:rPr>
                <w:rFonts w:ascii="仿宋_GB2312" w:hAnsi="仿宋_GB2312" w:eastAsia="仿宋_GB2312" w:cs="仿宋_GB2312"/>
                <w:b w:val="0"/>
                <w:sz w:val="21"/>
              </w:rPr>
              <w:t>建筑物结构</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100/100</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100/100</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100/100</w:t>
            </w:r>
          </w:p>
        </w:tc>
      </w:tr>
      <w:tr>
        <w:trPr>
          <w:cantSplit/>
        </w:trPr>
        <w:tc>
          <w:tcPr>
            <w:tcW w:type="dxa" w:w="1361"/>
            <w:vAlign w:val="center"/>
          </w:tcPr>
          <w:p>
            <w:pPr>
              <w:spacing w:before="0" w:after="0" w:line="260" w:lineRule="exact"/>
              <w:ind w:firstLine="0" w:left="0" w:right="0"/>
              <w:jc w:val="center"/>
            </w:pPr>
            <w:r>
              <w:rPr>
                <w:rFonts w:ascii="仿宋_GB2312" w:hAnsi="仿宋_GB2312" w:eastAsia="仿宋_GB2312" w:cs="仿宋_GB2312"/>
                <w:b w:val="0"/>
                <w:sz w:val="21"/>
              </w:rPr>
              <w:t>个别因素</w:t>
            </w:r>
          </w:p>
        </w:tc>
        <w:tc>
          <w:tcPr>
            <w:tcW w:type="dxa" w:w="2041"/>
            <w:vAlign w:val="center"/>
          </w:tcPr>
          <w:p>
            <w:pPr>
              <w:spacing w:before="0" w:after="0" w:line="260" w:lineRule="exact"/>
              <w:ind w:firstLine="0" w:left="0" w:right="0"/>
              <w:jc w:val="center"/>
            </w:pPr>
            <w:r>
              <w:rPr>
                <w:rFonts w:ascii="仿宋_GB2312" w:hAnsi="仿宋_GB2312" w:eastAsia="仿宋_GB2312" w:cs="仿宋_GB2312"/>
                <w:b w:val="0"/>
                <w:sz w:val="21"/>
              </w:rPr>
              <w:t>建筑物内部格局</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100/100</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100/100</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100/100</w:t>
            </w:r>
          </w:p>
        </w:tc>
      </w:tr>
      <w:tr>
        <w:trPr>
          <w:cantSplit/>
        </w:trPr>
        <w:tc>
          <w:tcPr>
            <w:tcW w:type="dxa" w:w="1361"/>
            <w:vAlign w:val="center"/>
          </w:tcPr>
          <w:p>
            <w:pPr>
              <w:spacing w:before="0" w:after="0" w:line="260" w:lineRule="exact"/>
              <w:ind w:firstLine="0" w:left="0" w:right="0"/>
              <w:jc w:val="center"/>
            </w:pPr>
            <w:r>
              <w:rPr>
                <w:rFonts w:ascii="仿宋_GB2312" w:hAnsi="仿宋_GB2312" w:eastAsia="仿宋_GB2312" w:cs="仿宋_GB2312"/>
                <w:b w:val="0"/>
                <w:sz w:val="21"/>
              </w:rPr>
              <w:t>个别因素</w:t>
            </w:r>
          </w:p>
        </w:tc>
        <w:tc>
          <w:tcPr>
            <w:tcW w:type="dxa" w:w="2041"/>
            <w:vAlign w:val="center"/>
          </w:tcPr>
          <w:p>
            <w:pPr>
              <w:spacing w:before="0" w:after="0" w:line="260" w:lineRule="exact"/>
              <w:ind w:firstLine="0" w:left="0" w:right="0"/>
              <w:jc w:val="center"/>
            </w:pPr>
            <w:r>
              <w:rPr>
                <w:rFonts w:ascii="仿宋_GB2312" w:hAnsi="仿宋_GB2312" w:eastAsia="仿宋_GB2312" w:cs="仿宋_GB2312"/>
                <w:b w:val="0"/>
                <w:sz w:val="21"/>
              </w:rPr>
              <w:t>装修档次</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100/100</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100/100</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100/100</w:t>
            </w:r>
          </w:p>
        </w:tc>
      </w:tr>
      <w:tr>
        <w:trPr>
          <w:cantSplit/>
        </w:trPr>
        <w:tc>
          <w:tcPr>
            <w:tcW w:type="dxa" w:w="1361"/>
            <w:vAlign w:val="center"/>
          </w:tcPr>
          <w:p>
            <w:pPr>
              <w:spacing w:before="0" w:after="0" w:line="260" w:lineRule="exact"/>
              <w:ind w:firstLine="0" w:left="0" w:right="0"/>
              <w:jc w:val="center"/>
            </w:pPr>
            <w:r>
              <w:rPr>
                <w:rFonts w:ascii="仿宋_GB2312" w:hAnsi="仿宋_GB2312" w:eastAsia="仿宋_GB2312" w:cs="仿宋_GB2312"/>
                <w:b w:val="0"/>
                <w:sz w:val="21"/>
              </w:rPr>
              <w:t>个别因素</w:t>
            </w:r>
          </w:p>
        </w:tc>
        <w:tc>
          <w:tcPr>
            <w:tcW w:type="dxa" w:w="2041"/>
            <w:vAlign w:val="center"/>
          </w:tcPr>
          <w:p>
            <w:pPr>
              <w:spacing w:before="0" w:after="0" w:line="260" w:lineRule="exact"/>
              <w:ind w:firstLine="0" w:left="0" w:right="0"/>
              <w:jc w:val="center"/>
            </w:pPr>
            <w:r>
              <w:rPr>
                <w:rFonts w:ascii="仿宋_GB2312" w:hAnsi="仿宋_GB2312" w:eastAsia="仿宋_GB2312" w:cs="仿宋_GB2312"/>
                <w:b w:val="0"/>
                <w:sz w:val="21"/>
              </w:rPr>
              <w:t>停车情况</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100/100</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100/100</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100/100</w:t>
            </w:r>
          </w:p>
        </w:tc>
      </w:tr>
      <w:tr>
        <w:trPr>
          <w:cantSplit/>
        </w:trPr>
        <w:tc>
          <w:tcPr>
            <w:tcW w:type="dxa" w:w="1361"/>
            <w:vAlign w:val="center"/>
          </w:tcPr>
          <w:p>
            <w:pPr>
              <w:spacing w:before="0" w:after="0" w:line="260" w:lineRule="exact"/>
              <w:ind w:firstLine="0" w:left="0" w:right="0"/>
              <w:jc w:val="center"/>
            </w:pPr>
            <w:r>
              <w:rPr>
                <w:rFonts w:ascii="仿宋_GB2312" w:hAnsi="仿宋_GB2312" w:eastAsia="仿宋_GB2312" w:cs="仿宋_GB2312"/>
                <w:b w:val="0"/>
                <w:sz w:val="21"/>
              </w:rPr>
              <w:t>个别因素</w:t>
            </w:r>
          </w:p>
        </w:tc>
        <w:tc>
          <w:tcPr>
            <w:tcW w:type="dxa" w:w="2041"/>
            <w:vAlign w:val="center"/>
          </w:tcPr>
          <w:p>
            <w:pPr>
              <w:spacing w:before="0" w:after="0" w:line="260" w:lineRule="exact"/>
              <w:ind w:firstLine="0" w:left="0" w:right="0"/>
              <w:jc w:val="center"/>
            </w:pPr>
            <w:r>
              <w:rPr>
                <w:rFonts w:ascii="仿宋_GB2312" w:hAnsi="仿宋_GB2312" w:eastAsia="仿宋_GB2312" w:cs="仿宋_GB2312"/>
                <w:b w:val="0"/>
                <w:sz w:val="21"/>
              </w:rPr>
              <w:t>物业情况</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100/100</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100/100</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100/100</w:t>
            </w:r>
          </w:p>
        </w:tc>
      </w:tr>
      <w:tr>
        <w:trPr>
          <w:cantSplit/>
        </w:trPr>
        <w:tc>
          <w:tcPr>
            <w:tcW w:type="dxa" w:w="1361"/>
            <w:vAlign w:val="center"/>
          </w:tcPr>
          <w:p>
            <w:pPr>
              <w:spacing w:before="0" w:after="0" w:line="260" w:lineRule="exact"/>
              <w:ind w:firstLine="0" w:left="0" w:right="0"/>
              <w:jc w:val="center"/>
            </w:pPr>
            <w:r>
              <w:rPr>
                <w:rFonts w:ascii="仿宋_GB2312" w:hAnsi="仿宋_GB2312" w:eastAsia="仿宋_GB2312" w:cs="仿宋_GB2312"/>
                <w:b w:val="0"/>
                <w:sz w:val="21"/>
              </w:rPr>
              <w:t>测算结果</w:t>
            </w:r>
          </w:p>
        </w:tc>
        <w:tc>
          <w:tcPr>
            <w:tcW w:type="dxa" w:w="2041"/>
            <w:vAlign w:val="center"/>
          </w:tcPr>
          <w:p>
            <w:pPr>
              <w:spacing w:before="0" w:after="0" w:line="260" w:lineRule="exact"/>
              <w:ind w:firstLine="0" w:left="0" w:right="0"/>
              <w:jc w:val="center"/>
            </w:pPr>
            <w:r>
              <w:rPr>
                <w:rFonts w:ascii="仿宋_GB2312" w:hAnsi="仿宋_GB2312" w:eastAsia="仿宋_GB2312" w:cs="仿宋_GB2312"/>
                <w:b w:val="0"/>
                <w:sz w:val="21"/>
              </w:rPr>
              <w:t>比准租金(元/m2·月)</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11.18</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11.18</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11.27</w:t>
            </w:r>
          </w:p>
        </w:tc>
      </w:tr>
      <w:tr>
        <w:trPr>
          <w:cantSplit/>
        </w:trPr>
        <w:tc>
          <w:tcPr>
            <w:tcW w:type="dxa" w:w="1361"/>
            <w:vAlign w:val="center"/>
          </w:tcPr>
          <w:p>
            <w:pPr>
              <w:spacing w:before="0" w:after="0" w:line="260" w:lineRule="exact"/>
              <w:ind w:firstLine="0" w:left="0" w:right="0"/>
              <w:jc w:val="center"/>
            </w:pPr>
            <w:r>
              <w:rPr>
                <w:rFonts w:ascii="仿宋_GB2312" w:hAnsi="仿宋_GB2312" w:eastAsia="仿宋_GB2312" w:cs="仿宋_GB2312"/>
                <w:b w:val="0"/>
                <w:sz w:val="21"/>
              </w:rPr>
              <w:t>测算结果</w:t>
            </w:r>
          </w:p>
        </w:tc>
        <w:tc>
          <w:tcPr>
            <w:tcW w:type="dxa" w:w="2041"/>
            <w:vAlign w:val="center"/>
          </w:tcPr>
          <w:p>
            <w:pPr>
              <w:spacing w:before="0" w:after="0" w:line="260" w:lineRule="exact"/>
              <w:ind w:firstLine="0" w:left="0" w:right="0"/>
              <w:jc w:val="center"/>
            </w:pPr>
            <w:r>
              <w:rPr>
                <w:rFonts w:ascii="仿宋_GB2312" w:hAnsi="仿宋_GB2312" w:eastAsia="仿宋_GB2312" w:cs="仿宋_GB2312"/>
                <w:b w:val="0"/>
                <w:sz w:val="21"/>
              </w:rPr>
              <w:t>算术平均值(元/m2·月)</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11.21</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11.21</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11.21</w:t>
            </w:r>
          </w:p>
        </w:tc>
      </w:tr>
    </w:tbl>
    <w:p>
      <w:pPr>
        <w:spacing w:before="0" w:after="0" w:line="480" w:lineRule="exact"/>
        <w:ind w:firstLine="561"/>
      </w:pPr>
      <w:r>
        <w:rPr>
          <w:rFonts w:ascii="仿宋_GB2312" w:hAnsi="仿宋_GB2312" w:eastAsia="仿宋_GB2312" w:cs="仿宋_GB2312"/>
          <w:b w:val="0"/>
          <w:sz w:val="28"/>
        </w:rPr>
        <w:t>通过市场比较，3个比较实例的比准租金接近，故采取3个比较实例的比准租金结果的算术平均值作为估价对象的租金。案例A比准租金11.18元/平方米·月、案例B比准租金11.18元/平方米·月、案例C比准租金11.27元/平方米·月。</w:t>
      </w:r>
    </w:p>
    <w:p>
      <w:pPr>
        <w:spacing w:before="0" w:after="0" w:line="480" w:lineRule="exact"/>
        <w:ind w:firstLine="561"/>
      </w:pPr>
      <w:r>
        <w:rPr>
          <w:rFonts w:ascii="仿宋_GB2312" w:hAnsi="仿宋_GB2312" w:eastAsia="仿宋_GB2312" w:cs="仿宋_GB2312"/>
          <w:b w:val="0"/>
          <w:sz w:val="28"/>
        </w:rPr>
        <w:t>住宅用房月租金＝（11.18+11.18+11.27）/3＝11.21（元/平方米·月）。</w:t>
      </w:r>
    </w:p>
    <w:p>
      <w:pPr>
        <w:spacing w:before="0" w:after="0" w:line="480" w:lineRule="exact"/>
        <w:ind w:firstLine="561"/>
      </w:pPr>
      <w:r>
        <w:rPr>
          <w:rFonts w:ascii="仿宋_GB2312" w:hAnsi="仿宋_GB2312" w:eastAsia="仿宋_GB2312" w:cs="仿宋_GB2312"/>
          <w:b w:val="0"/>
          <w:sz w:val="28"/>
        </w:rPr>
        <w:t>③房地年总收益的确定</w:t>
      </w:r>
    </w:p>
    <w:p>
      <w:pPr>
        <w:spacing w:before="0" w:after="0" w:line="480" w:lineRule="exact"/>
        <w:ind w:firstLine="561"/>
      </w:pPr>
      <w:r>
        <w:rPr>
          <w:rFonts w:ascii="仿宋_GB2312" w:hAnsi="仿宋_GB2312" w:eastAsia="仿宋_GB2312" w:cs="仿宋_GB2312"/>
          <w:b w:val="0"/>
          <w:sz w:val="28"/>
        </w:rPr>
        <w:t>估价人员通过对周边出租行情进行调查，区域内出租案例较多，根据市场调查区域商住房地产平均空置率为3%至5%，本次评估取平均空置率4%。估价对象地上建筑物可出租房屋比例为96%。</w:t>
      </w:r>
    </w:p>
    <w:p>
      <w:pPr>
        <w:spacing w:before="0" w:after="0" w:line="480" w:lineRule="exact"/>
        <w:ind w:firstLine="561"/>
      </w:pPr>
      <w:r>
        <w:rPr>
          <w:rFonts w:ascii="仿宋_GB2312" w:hAnsi="仿宋_GB2312" w:eastAsia="仿宋_GB2312" w:cs="仿宋_GB2312"/>
          <w:b w:val="0"/>
          <w:sz w:val="28"/>
        </w:rPr>
        <w:t>房地年总收益＝住宅用房月租金×12×（1-空置率）×住宅用房出租率＝11.21×12×（1-4%）×205.45×96%÷10000＝2.5470（万元）。</w:t>
      </w:r>
    </w:p>
    <w:p>
      <w:pPr>
        <w:spacing w:before="0" w:after="0" w:line="480" w:lineRule="exact"/>
        <w:ind w:firstLine="561"/>
      </w:pPr>
      <w:r>
        <w:rPr>
          <w:rFonts w:ascii="仿宋_GB2312" w:hAnsi="仿宋_GB2312" w:eastAsia="仿宋_GB2312" w:cs="仿宋_GB2312"/>
          <w:b w:val="0"/>
          <w:sz w:val="28"/>
        </w:rPr>
        <w:t>2、确定房地年总费用</w:t>
      </w:r>
    </w:p>
    <w:p>
      <w:pPr>
        <w:spacing w:before="0" w:after="0" w:line="480" w:lineRule="exact"/>
        <w:ind w:firstLine="561"/>
      </w:pPr>
      <w:r>
        <w:rPr>
          <w:rFonts w:ascii="仿宋_GB2312" w:hAnsi="仿宋_GB2312" w:eastAsia="仿宋_GB2312" w:cs="仿宋_GB2312"/>
          <w:b w:val="0"/>
          <w:sz w:val="28"/>
        </w:rPr>
        <w:t>总费用是指利用土地进行经营活动时正常合理的必要年支出。</w:t>
      </w:r>
    </w:p>
    <w:p>
      <w:pPr>
        <w:spacing w:before="0" w:after="0" w:line="480" w:lineRule="exact"/>
        <w:ind w:firstLine="561"/>
      </w:pPr>
      <w:r>
        <w:rPr>
          <w:rFonts w:ascii="仿宋_GB2312" w:hAnsi="仿宋_GB2312" w:eastAsia="仿宋_GB2312" w:cs="仿宋_GB2312"/>
          <w:b w:val="0"/>
          <w:sz w:val="28"/>
        </w:rPr>
        <w:t>（1）经营管理费：指对出租房屋进行的必要管理所需的费用。按年租金的一定比例计取，本次评估中根据估价对象地上建筑物管理难易程度确定为2%，则：</w:t>
      </w:r>
    </w:p>
    <w:p>
      <w:pPr>
        <w:spacing w:before="0" w:after="0" w:line="480" w:lineRule="exact"/>
        <w:ind w:firstLine="561"/>
      </w:pPr>
      <w:r>
        <w:rPr>
          <w:rFonts w:ascii="仿宋_GB2312" w:hAnsi="仿宋_GB2312" w:eastAsia="仿宋_GB2312" w:cs="仿宋_GB2312"/>
          <w:b w:val="0"/>
          <w:sz w:val="28"/>
        </w:rPr>
        <w:t>经营管理费＝房地年总收益×2%</w:t>
      </w:r>
    </w:p>
    <w:p>
      <w:pPr>
        <w:spacing w:before="0" w:after="0" w:line="480" w:lineRule="exact"/>
        <w:ind w:firstLine="561"/>
      </w:pPr>
      <w:r>
        <w:rPr>
          <w:rFonts w:ascii="仿宋_GB2312" w:hAnsi="仿宋_GB2312" w:eastAsia="仿宋_GB2312" w:cs="仿宋_GB2312"/>
          <w:b w:val="0"/>
          <w:sz w:val="28"/>
        </w:rPr>
        <w:t>＝2.5470×2%</w:t>
      </w:r>
    </w:p>
    <w:p>
      <w:pPr>
        <w:spacing w:before="0" w:after="0" w:line="480" w:lineRule="exact"/>
        <w:ind w:firstLine="561"/>
      </w:pPr>
      <w:r>
        <w:rPr>
          <w:rFonts w:ascii="仿宋_GB2312" w:hAnsi="仿宋_GB2312" w:eastAsia="仿宋_GB2312" w:cs="仿宋_GB2312"/>
          <w:b w:val="0"/>
          <w:sz w:val="28"/>
        </w:rPr>
        <w:t>＝0.0509（万元）</w:t>
      </w:r>
    </w:p>
    <w:p>
      <w:pPr>
        <w:spacing w:before="0" w:after="0" w:line="480" w:lineRule="exact"/>
        <w:ind w:firstLine="561"/>
      </w:pPr>
      <w:r>
        <w:rPr>
          <w:rFonts w:ascii="仿宋_GB2312" w:hAnsi="仿宋_GB2312" w:eastAsia="仿宋_GB2312" w:cs="仿宋_GB2312"/>
          <w:b w:val="0"/>
          <w:sz w:val="28"/>
        </w:rPr>
        <w:t>（2）经营维修费：指为保障房屋正常使用每年需支付的修缮费。根据估价对象房屋的实际使用情况，按建筑物重置价格的2%计算。</w:t>
      </w:r>
    </w:p>
    <w:p>
      <w:pPr>
        <w:spacing w:before="0" w:after="0" w:line="480" w:lineRule="exact"/>
        <w:ind w:firstLine="561"/>
      </w:pPr>
      <w:r>
        <w:rPr>
          <w:rFonts w:ascii="仿宋_GB2312" w:hAnsi="仿宋_GB2312" w:eastAsia="仿宋_GB2312" w:cs="仿宋_GB2312"/>
          <w:b w:val="0"/>
          <w:sz w:val="28"/>
        </w:rPr>
        <w:t>根据《湖南省房地产协会关于发布&lt;湖南省建筑物建设成本参考标准研究成果&gt;的通知》（编号：湘房协[2023]3号，2023年2月14日）中的“各类建筑物建设成本参考标准”，住宅类砖混结构建设成本取1300元/平方米；根据该通知中的“利用系数表”，估价对象位于道县，应进行利用系数修正，修正系数为0.9，则道县类似住宅楼建筑物重置价为1300×0.9元/平方米。</w:t>
      </w:r>
    </w:p>
    <w:p>
      <w:pPr>
        <w:spacing w:before="0" w:after="0" w:line="480" w:lineRule="exact"/>
        <w:ind w:firstLine="561"/>
      </w:pPr>
      <w:r>
        <w:rPr>
          <w:rFonts w:ascii="仿宋_GB2312" w:hAnsi="仿宋_GB2312" w:eastAsia="仿宋_GB2312" w:cs="仿宋_GB2312"/>
          <w:b w:val="0"/>
          <w:sz w:val="28"/>
        </w:rPr>
        <w:t>考虑价格变化水平，取建筑物重置价格年增长率为2%。建筑物建设成本对应的价值时点为2023-01-01，本次评估的估价期日是2026-06-01，相距3.42年。</w:t>
      </w:r>
    </w:p>
    <w:p>
      <w:pPr>
        <w:spacing w:before="0" w:after="0" w:line="480" w:lineRule="exact"/>
        <w:ind w:firstLine="561"/>
      </w:pPr>
      <w:r>
        <w:rPr>
          <w:rFonts w:ascii="仿宋_GB2312" w:hAnsi="仿宋_GB2312" w:eastAsia="仿宋_GB2312" w:cs="仿宋_GB2312"/>
          <w:b w:val="0"/>
          <w:sz w:val="28"/>
        </w:rPr>
        <w:t>可确定估价对象估价期日的房屋重置价格单价为1300×0.9×(1+2%)3.42＝1252元/平方米。</w:t>
      </w:r>
    </w:p>
    <w:p>
      <w:pPr>
        <w:spacing w:before="0" w:after="0" w:line="480" w:lineRule="exact"/>
        <w:ind w:firstLine="561"/>
      </w:pPr>
      <w:r>
        <w:rPr>
          <w:rFonts w:ascii="仿宋_GB2312" w:hAnsi="仿宋_GB2312" w:eastAsia="仿宋_GB2312" w:cs="仿宋_GB2312"/>
          <w:b w:val="0"/>
          <w:sz w:val="28"/>
        </w:rPr>
        <w:t>房屋重置价格＝重置单价×总建筑面积</w:t>
      </w:r>
    </w:p>
    <w:p>
      <w:pPr>
        <w:spacing w:before="0" w:after="0" w:line="480" w:lineRule="exact"/>
        <w:ind w:firstLine="561"/>
      </w:pPr>
      <w:r>
        <w:rPr>
          <w:rFonts w:ascii="仿宋_GB2312" w:hAnsi="仿宋_GB2312" w:eastAsia="仿宋_GB2312" w:cs="仿宋_GB2312"/>
          <w:b w:val="0"/>
          <w:sz w:val="28"/>
        </w:rPr>
        <w:t>＝1252×205.45÷10000</w:t>
      </w:r>
    </w:p>
    <w:p>
      <w:pPr>
        <w:spacing w:before="0" w:after="0" w:line="480" w:lineRule="exact"/>
        <w:ind w:firstLine="561"/>
      </w:pPr>
      <w:r>
        <w:rPr>
          <w:rFonts w:ascii="仿宋_GB2312" w:hAnsi="仿宋_GB2312" w:eastAsia="仿宋_GB2312" w:cs="仿宋_GB2312"/>
          <w:b w:val="0"/>
          <w:sz w:val="28"/>
        </w:rPr>
        <w:t>＝25.7223（万元）</w:t>
      </w:r>
    </w:p>
    <w:p>
      <w:pPr>
        <w:spacing w:before="0" w:after="0" w:line="480" w:lineRule="exact"/>
        <w:ind w:firstLine="561"/>
      </w:pPr>
      <w:r>
        <w:rPr>
          <w:rFonts w:ascii="仿宋_GB2312" w:hAnsi="仿宋_GB2312" w:eastAsia="仿宋_GB2312" w:cs="仿宋_GB2312"/>
          <w:b w:val="0"/>
          <w:sz w:val="28"/>
        </w:rPr>
        <w:t>则：经营维修费＝房屋重置价格×2%</w:t>
      </w:r>
    </w:p>
    <w:p>
      <w:pPr>
        <w:spacing w:before="0" w:after="0" w:line="480" w:lineRule="exact"/>
        <w:ind w:firstLine="561"/>
      </w:pPr>
      <w:r>
        <w:rPr>
          <w:rFonts w:ascii="仿宋_GB2312" w:hAnsi="仿宋_GB2312" w:eastAsia="仿宋_GB2312" w:cs="仿宋_GB2312"/>
          <w:b w:val="0"/>
          <w:sz w:val="28"/>
        </w:rPr>
        <w:t>＝25.7223×2%</w:t>
      </w:r>
    </w:p>
    <w:p>
      <w:pPr>
        <w:spacing w:before="0" w:after="0" w:line="480" w:lineRule="exact"/>
        <w:ind w:firstLine="561"/>
      </w:pPr>
      <w:r>
        <w:rPr>
          <w:rFonts w:ascii="仿宋_GB2312" w:hAnsi="仿宋_GB2312" w:eastAsia="仿宋_GB2312" w:cs="仿宋_GB2312"/>
          <w:b w:val="0"/>
          <w:sz w:val="28"/>
        </w:rPr>
        <w:t>＝0.5144（万元）</w:t>
      </w:r>
    </w:p>
    <w:p>
      <w:pPr>
        <w:spacing w:before="0" w:after="0" w:line="480" w:lineRule="exact"/>
        <w:ind w:firstLine="561"/>
      </w:pPr>
      <w:r>
        <w:rPr>
          <w:rFonts w:ascii="仿宋_GB2312" w:hAnsi="仿宋_GB2312" w:eastAsia="仿宋_GB2312" w:cs="仿宋_GB2312"/>
          <w:b w:val="0"/>
          <w:sz w:val="28"/>
        </w:rPr>
        <w:t>（3）房屋年保险费：指房产所有人为使自己的房产避免意外损失而向保险公司支付的费用。按房屋现值乘以保险费率2‰计算，则：</w:t>
      </w:r>
    </w:p>
    <w:p>
      <w:pPr>
        <w:spacing w:before="0" w:after="0" w:line="480" w:lineRule="exact"/>
        <w:ind w:firstLine="561"/>
      </w:pPr>
      <w:r>
        <w:rPr>
          <w:rFonts w:ascii="仿宋_GB2312" w:hAnsi="仿宋_GB2312" w:eastAsia="仿宋_GB2312" w:cs="仿宋_GB2312"/>
          <w:b w:val="0"/>
          <w:sz w:val="28"/>
        </w:rPr>
        <w:t>①计算房屋年折旧费：房屋年折旧费指房屋在使用过程中因损耗而在租金中补偿的那部分价值。</w:t>
      </w:r>
    </w:p>
    <w:p>
      <w:pPr>
        <w:spacing w:before="0" w:after="0" w:line="480" w:lineRule="exact"/>
        <w:ind w:firstLine="561"/>
      </w:pPr>
      <w:r>
        <w:rPr>
          <w:rFonts w:ascii="仿宋_GB2312" w:hAnsi="仿宋_GB2312" w:eastAsia="仿宋_GB2312" w:cs="仿宋_GB2312"/>
          <w:b w:val="0"/>
          <w:sz w:val="28"/>
        </w:rPr>
        <w:t>估价对象建筑为混合结构，耐用年限为50年，残值率2%，估价对象地上房屋建成于1998年，已使用年限约为28年，剩余使用年限22年。根据孰短原则，折旧年限＝房屋已使用年限+房屋剩余使用年限。</w:t>
      </w:r>
    </w:p>
    <w:p>
      <w:pPr>
        <w:spacing w:before="0" w:after="0" w:line="480" w:lineRule="exact"/>
        <w:ind w:firstLine="561"/>
      </w:pPr>
      <w:r>
        <w:rPr>
          <w:rFonts w:ascii="仿宋_GB2312" w:hAnsi="仿宋_GB2312" w:eastAsia="仿宋_GB2312" w:cs="仿宋_GB2312"/>
          <w:b w:val="0"/>
          <w:sz w:val="28"/>
        </w:rPr>
        <w:t>年折旧费＝房屋重置价×（1-残值率）÷（房屋已使用年限+房屋剩余使用年限）</w:t>
      </w:r>
    </w:p>
    <w:p>
      <w:pPr>
        <w:spacing w:before="0" w:after="0" w:line="480" w:lineRule="exact"/>
        <w:ind w:firstLine="561"/>
      </w:pPr>
      <w:r>
        <w:rPr>
          <w:rFonts w:ascii="仿宋_GB2312" w:hAnsi="仿宋_GB2312" w:eastAsia="仿宋_GB2312" w:cs="仿宋_GB2312"/>
          <w:b w:val="0"/>
          <w:sz w:val="28"/>
        </w:rPr>
        <w:t>＝25.7223×（1-2%）÷（28+22）</w:t>
      </w:r>
    </w:p>
    <w:p>
      <w:pPr>
        <w:spacing w:before="0" w:after="0" w:line="480" w:lineRule="exact"/>
        <w:ind w:firstLine="561"/>
      </w:pPr>
      <w:r>
        <w:rPr>
          <w:rFonts w:ascii="仿宋_GB2312" w:hAnsi="仿宋_GB2312" w:eastAsia="仿宋_GB2312" w:cs="仿宋_GB2312"/>
          <w:b w:val="0"/>
          <w:sz w:val="28"/>
        </w:rPr>
        <w:t>＝0.5042（万元）</w:t>
      </w:r>
    </w:p>
    <w:p>
      <w:pPr>
        <w:spacing w:before="0" w:after="0" w:line="480" w:lineRule="exact"/>
        <w:ind w:firstLine="561"/>
      </w:pPr>
      <w:r>
        <w:rPr>
          <w:rFonts w:ascii="仿宋_GB2312" w:hAnsi="仿宋_GB2312" w:eastAsia="仿宋_GB2312" w:cs="仿宋_GB2312"/>
          <w:b w:val="0"/>
          <w:sz w:val="28"/>
        </w:rPr>
        <w:t>②计算房屋现值</w:t>
      </w:r>
    </w:p>
    <w:p>
      <w:pPr>
        <w:spacing w:before="0" w:after="0" w:line="480" w:lineRule="exact"/>
        <w:ind w:firstLine="561"/>
      </w:pPr>
      <w:r>
        <w:rPr>
          <w:rFonts w:ascii="仿宋_GB2312" w:hAnsi="仿宋_GB2312" w:eastAsia="仿宋_GB2312" w:cs="仿宋_GB2312"/>
          <w:b w:val="0"/>
          <w:sz w:val="28"/>
        </w:rPr>
        <w:t>房屋现值＝房屋重置价格-折旧总额</w:t>
      </w:r>
    </w:p>
    <w:p>
      <w:pPr>
        <w:spacing w:before="0" w:after="0" w:line="480" w:lineRule="exact"/>
        <w:ind w:firstLine="561"/>
      </w:pPr>
      <w:r>
        <w:rPr>
          <w:rFonts w:ascii="仿宋_GB2312" w:hAnsi="仿宋_GB2312" w:eastAsia="仿宋_GB2312" w:cs="仿宋_GB2312"/>
          <w:b w:val="0"/>
          <w:sz w:val="28"/>
        </w:rPr>
        <w:t>＝25.7223-年折旧费×已使用年限</w:t>
      </w:r>
    </w:p>
    <w:p>
      <w:pPr>
        <w:spacing w:before="0" w:after="0" w:line="480" w:lineRule="exact"/>
        <w:ind w:firstLine="561"/>
      </w:pPr>
      <w:r>
        <w:rPr>
          <w:rFonts w:ascii="仿宋_GB2312" w:hAnsi="仿宋_GB2312" w:eastAsia="仿宋_GB2312" w:cs="仿宋_GB2312"/>
          <w:b w:val="0"/>
          <w:sz w:val="28"/>
        </w:rPr>
        <w:t>＝25.7223-0.5042×28</w:t>
      </w:r>
    </w:p>
    <w:p>
      <w:pPr>
        <w:spacing w:before="0" w:after="0" w:line="480" w:lineRule="exact"/>
        <w:ind w:firstLine="561"/>
      </w:pPr>
      <w:r>
        <w:rPr>
          <w:rFonts w:ascii="仿宋_GB2312" w:hAnsi="仿宋_GB2312" w:eastAsia="仿宋_GB2312" w:cs="仿宋_GB2312"/>
          <w:b w:val="0"/>
          <w:sz w:val="28"/>
        </w:rPr>
        <w:t>＝11.6047（万元）</w:t>
      </w:r>
    </w:p>
    <w:p>
      <w:pPr>
        <w:spacing w:before="0" w:after="0" w:line="480" w:lineRule="exact"/>
        <w:ind w:firstLine="561"/>
      </w:pPr>
      <w:r>
        <w:rPr>
          <w:rFonts w:ascii="仿宋_GB2312" w:hAnsi="仿宋_GB2312" w:eastAsia="仿宋_GB2312" w:cs="仿宋_GB2312"/>
          <w:b w:val="0"/>
          <w:sz w:val="28"/>
        </w:rPr>
        <w:t>③计算房屋年保险费</w:t>
      </w:r>
    </w:p>
    <w:p>
      <w:pPr>
        <w:spacing w:before="0" w:after="0" w:line="480" w:lineRule="exact"/>
        <w:ind w:firstLine="561"/>
      </w:pPr>
      <w:r>
        <w:rPr>
          <w:rFonts w:ascii="仿宋_GB2312" w:hAnsi="仿宋_GB2312" w:eastAsia="仿宋_GB2312" w:cs="仿宋_GB2312"/>
          <w:b w:val="0"/>
          <w:sz w:val="28"/>
        </w:rPr>
        <w:t>房屋年保险费＝房屋现值×2‰</w:t>
      </w:r>
    </w:p>
    <w:p>
      <w:pPr>
        <w:spacing w:before="0" w:after="0" w:line="480" w:lineRule="exact"/>
        <w:ind w:firstLine="561"/>
      </w:pPr>
      <w:r>
        <w:rPr>
          <w:rFonts w:ascii="仿宋_GB2312" w:hAnsi="仿宋_GB2312" w:eastAsia="仿宋_GB2312" w:cs="仿宋_GB2312"/>
          <w:b w:val="0"/>
          <w:sz w:val="28"/>
        </w:rPr>
        <w:t>＝11.6047×2‰</w:t>
      </w:r>
    </w:p>
    <w:p>
      <w:pPr>
        <w:spacing w:before="0" w:after="0" w:line="480" w:lineRule="exact"/>
        <w:ind w:firstLine="561"/>
      </w:pPr>
      <w:r>
        <w:rPr>
          <w:rFonts w:ascii="仿宋_GB2312" w:hAnsi="仿宋_GB2312" w:eastAsia="仿宋_GB2312" w:cs="仿宋_GB2312"/>
          <w:b w:val="0"/>
          <w:sz w:val="28"/>
        </w:rPr>
        <w:t>＝0.0232（万元）</w:t>
      </w:r>
    </w:p>
    <w:p>
      <w:pPr>
        <w:spacing w:before="0" w:after="0" w:line="480" w:lineRule="exact"/>
        <w:ind w:firstLine="561"/>
      </w:pPr>
      <w:r>
        <w:rPr>
          <w:rFonts w:ascii="仿宋_GB2312" w:hAnsi="仿宋_GB2312" w:eastAsia="仿宋_GB2312" w:cs="仿宋_GB2312"/>
          <w:b w:val="0"/>
          <w:sz w:val="28"/>
        </w:rPr>
        <w:t>（4）出租年应交税金</w:t>
      </w:r>
    </w:p>
    <w:p>
      <w:pPr>
        <w:spacing w:before="0" w:after="0" w:line="480" w:lineRule="exact"/>
        <w:ind w:firstLine="561"/>
      </w:pPr>
      <w:r>
        <w:rPr>
          <w:rFonts w:ascii="仿宋_GB2312" w:hAnsi="仿宋_GB2312" w:eastAsia="仿宋_GB2312" w:cs="仿宋_GB2312"/>
          <w:b w:val="0"/>
          <w:sz w:val="28"/>
        </w:rPr>
        <w:t>①增值税及城市建设维护税和教育费附加</w:t>
      </w:r>
    </w:p>
    <w:p>
      <w:pPr>
        <w:spacing w:before="0" w:after="0" w:line="480" w:lineRule="exact"/>
        <w:ind w:firstLine="561"/>
      </w:pPr>
      <w:r>
        <w:rPr>
          <w:rFonts w:ascii="仿宋_GB2312" w:hAnsi="仿宋_GB2312" w:eastAsia="仿宋_GB2312" w:cs="仿宋_GB2312"/>
          <w:b w:val="0"/>
          <w:sz w:val="28"/>
        </w:rPr>
        <w:t>对个人出租住房的，按照现行住房租赁增值税政策计算缴纳增值税；估价对象平均月租金收入未超过小规模纳税人增值税起征点，本次免征增值税。</w:t>
      </w:r>
    </w:p>
    <w:p>
      <w:pPr>
        <w:spacing w:before="0" w:after="0" w:line="480" w:lineRule="exact"/>
        <w:ind w:firstLine="561"/>
      </w:pPr>
      <w:r>
        <w:rPr>
          <w:rFonts w:ascii="仿宋_GB2312" w:hAnsi="仿宋_GB2312" w:eastAsia="仿宋_GB2312" w:cs="仿宋_GB2312"/>
          <w:b w:val="0"/>
          <w:sz w:val="28"/>
        </w:rPr>
        <w:t>②附加税（城市维护建设税、教育费附加、地方教育附加）：增值税附加以缴纳的增值税为基数，估价对象免征增值税，因此增值税附加为0。</w:t>
      </w:r>
    </w:p>
    <w:p>
      <w:pPr>
        <w:spacing w:before="0" w:after="0" w:line="480" w:lineRule="exact"/>
        <w:ind w:firstLine="561"/>
      </w:pPr>
      <w:r>
        <w:rPr>
          <w:rFonts w:ascii="仿宋_GB2312" w:hAnsi="仿宋_GB2312" w:eastAsia="仿宋_GB2312" w:cs="仿宋_GB2312"/>
          <w:b w:val="0"/>
          <w:sz w:val="28"/>
        </w:rPr>
        <w:t>③印花税：对个人出租、承租住房签订的租赁合同，免征印花税。</w:t>
      </w:r>
    </w:p>
    <w:p>
      <w:pPr>
        <w:spacing w:before="0" w:after="0" w:line="480" w:lineRule="exact"/>
        <w:ind w:firstLine="561"/>
      </w:pPr>
      <w:r>
        <w:rPr>
          <w:rFonts w:ascii="仿宋_GB2312" w:hAnsi="仿宋_GB2312" w:eastAsia="仿宋_GB2312" w:cs="仿宋_GB2312"/>
          <w:b w:val="0"/>
          <w:sz w:val="28"/>
        </w:rPr>
        <w:t>④房产税：对个人出租住房，按4%的税率征收房产税；本次按50%计取。</w:t>
      </w:r>
    </w:p>
    <w:p>
      <w:pPr>
        <w:spacing w:before="0" w:after="0" w:line="480" w:lineRule="exact"/>
        <w:ind w:firstLine="561"/>
      </w:pPr>
      <w:r>
        <w:rPr>
          <w:rFonts w:ascii="仿宋_GB2312" w:hAnsi="仿宋_GB2312" w:eastAsia="仿宋_GB2312" w:cs="仿宋_GB2312"/>
          <w:b w:val="0"/>
          <w:sz w:val="28"/>
        </w:rPr>
        <w:t>出租年应交税金＝年总收益×税率</w:t>
      </w:r>
    </w:p>
    <w:p>
      <w:pPr>
        <w:spacing w:before="0" w:after="0" w:line="480" w:lineRule="exact"/>
        <w:ind w:firstLine="561"/>
      </w:pPr>
      <w:r>
        <w:rPr>
          <w:rFonts w:ascii="仿宋_GB2312" w:hAnsi="仿宋_GB2312" w:eastAsia="仿宋_GB2312" w:cs="仿宋_GB2312"/>
          <w:b w:val="0"/>
          <w:sz w:val="28"/>
        </w:rPr>
        <w:t>＝2.5470×4%×50%</w:t>
      </w:r>
    </w:p>
    <w:p>
      <w:pPr>
        <w:spacing w:before="0" w:after="0" w:line="480" w:lineRule="exact"/>
        <w:ind w:firstLine="561"/>
      </w:pPr>
      <w:r>
        <w:rPr>
          <w:rFonts w:ascii="仿宋_GB2312" w:hAnsi="仿宋_GB2312" w:eastAsia="仿宋_GB2312" w:cs="仿宋_GB2312"/>
          <w:b w:val="0"/>
          <w:sz w:val="28"/>
        </w:rPr>
        <w:t>＝0.0509（万元）</w:t>
      </w:r>
    </w:p>
    <w:p>
      <w:pPr>
        <w:spacing w:before="0" w:after="0" w:line="480" w:lineRule="exact"/>
        <w:ind w:firstLine="561"/>
      </w:pPr>
      <w:r>
        <w:rPr>
          <w:rFonts w:ascii="仿宋_GB2312" w:hAnsi="仿宋_GB2312" w:eastAsia="仿宋_GB2312" w:cs="仿宋_GB2312"/>
          <w:b w:val="0"/>
          <w:sz w:val="28"/>
        </w:rPr>
        <w:t>房地出租年总费用＝经营管理费+经营维修费+房屋年保险费+房屋出租年应交税金</w:t>
      </w:r>
    </w:p>
    <w:p>
      <w:pPr>
        <w:spacing w:before="0" w:after="0" w:line="480" w:lineRule="exact"/>
        <w:ind w:firstLine="561"/>
      </w:pPr>
      <w:r>
        <w:rPr>
          <w:rFonts w:ascii="仿宋_GB2312" w:hAnsi="仿宋_GB2312" w:eastAsia="仿宋_GB2312" w:cs="仿宋_GB2312"/>
          <w:b w:val="0"/>
          <w:sz w:val="28"/>
        </w:rPr>
        <w:t>＝0.0509+0.5144+0.0232+0.0509</w:t>
      </w:r>
    </w:p>
    <w:p>
      <w:pPr>
        <w:spacing w:before="0" w:after="0" w:line="480" w:lineRule="exact"/>
        <w:ind w:firstLine="561"/>
      </w:pPr>
      <w:r>
        <w:rPr>
          <w:rFonts w:ascii="仿宋_GB2312" w:hAnsi="仿宋_GB2312" w:eastAsia="仿宋_GB2312" w:cs="仿宋_GB2312"/>
          <w:b w:val="0"/>
          <w:sz w:val="28"/>
        </w:rPr>
        <w:t>＝0.6394（万元）</w:t>
      </w:r>
    </w:p>
    <w:p>
      <w:pPr>
        <w:spacing w:before="0" w:after="0" w:line="480" w:lineRule="exact"/>
        <w:ind w:firstLine="561"/>
      </w:pPr>
      <w:r>
        <w:rPr>
          <w:rFonts w:ascii="仿宋_GB2312" w:hAnsi="仿宋_GB2312" w:eastAsia="仿宋_GB2312" w:cs="仿宋_GB2312"/>
          <w:b w:val="0"/>
          <w:sz w:val="28"/>
        </w:rPr>
        <w:t>3、房地年纯收益</w:t>
      </w:r>
    </w:p>
    <w:p>
      <w:pPr>
        <w:spacing w:before="0" w:after="0" w:line="480" w:lineRule="exact"/>
        <w:ind w:firstLine="561"/>
      </w:pPr>
      <w:r>
        <w:rPr>
          <w:rFonts w:ascii="仿宋_GB2312" w:hAnsi="仿宋_GB2312" w:eastAsia="仿宋_GB2312" w:cs="仿宋_GB2312"/>
          <w:b w:val="0"/>
          <w:sz w:val="28"/>
        </w:rPr>
        <w:t>房地年纯收益＝房地年总收益-房地年总费用</w:t>
      </w:r>
    </w:p>
    <w:p>
      <w:pPr>
        <w:spacing w:before="0" w:after="0" w:line="480" w:lineRule="exact"/>
        <w:ind w:firstLine="561"/>
      </w:pPr>
      <w:r>
        <w:rPr>
          <w:rFonts w:ascii="仿宋_GB2312" w:hAnsi="仿宋_GB2312" w:eastAsia="仿宋_GB2312" w:cs="仿宋_GB2312"/>
          <w:b w:val="0"/>
          <w:sz w:val="28"/>
        </w:rPr>
        <w:t>＝2.5470-0.6394</w:t>
      </w:r>
    </w:p>
    <w:p>
      <w:pPr>
        <w:spacing w:before="0" w:after="0" w:line="480" w:lineRule="exact"/>
        <w:ind w:firstLine="561"/>
      </w:pPr>
      <w:r>
        <w:rPr>
          <w:rFonts w:ascii="仿宋_GB2312" w:hAnsi="仿宋_GB2312" w:eastAsia="仿宋_GB2312" w:cs="仿宋_GB2312"/>
          <w:b w:val="0"/>
          <w:sz w:val="28"/>
        </w:rPr>
        <w:t>＝1.9076（万元）</w:t>
      </w:r>
    </w:p>
    <w:p>
      <w:pPr>
        <w:spacing w:before="0" w:after="0" w:line="480" w:lineRule="exact"/>
        <w:ind w:firstLine="561"/>
      </w:pPr>
      <w:r>
        <w:rPr>
          <w:rFonts w:ascii="仿宋_GB2312" w:hAnsi="仿宋_GB2312" w:eastAsia="仿宋_GB2312" w:cs="仿宋_GB2312"/>
          <w:b w:val="0"/>
          <w:sz w:val="28"/>
        </w:rPr>
        <w:t>4、房屋年纯收益</w:t>
      </w:r>
    </w:p>
    <w:p>
      <w:pPr>
        <w:spacing w:before="0" w:after="0" w:line="480" w:lineRule="exact"/>
        <w:ind w:firstLine="561"/>
      </w:pPr>
      <w:r>
        <w:rPr>
          <w:rFonts w:ascii="仿宋_GB2312" w:hAnsi="仿宋_GB2312" w:eastAsia="仿宋_GB2312" w:cs="仿宋_GB2312"/>
          <w:b w:val="0"/>
          <w:sz w:val="28"/>
        </w:rPr>
        <w:t>根据前文，采用土地纯收益与价格比率法、投资收益法测算确定土地和房屋的还原率，详见下表：</w:t>
      </w:r>
    </w:p>
    <w:p>
      <w:pPr>
        <w:keepNext/>
        <w:spacing w:before="157" w:after="10" w:line="480" w:lineRule="exact"/>
        <w:ind w:firstLine="0" w:left="0" w:right="0"/>
        <w:jc w:val="center"/>
      </w:pPr>
      <w:r>
        <w:rPr>
          <w:rFonts w:ascii="仿宋_GB2312" w:hAnsi="仿宋_GB2312" w:eastAsia="仿宋_GB2312" w:cs="仿宋_GB2312"/>
          <w:b w:val="0"/>
          <w:sz w:val="28"/>
        </w:rPr>
        <w:t>表3-16 道县土地和房屋还原利率表(%)</w:t>
      </w:r>
    </w:p>
    <w:tbl>
      <w:tblPr>
        <w:tblStyle w:val="TableGrid"/>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479"/>
        <w:gridCol w:w="4479"/>
      </w:tblGrid>
      <w:tr>
        <w:trPr>
          <w:tblHeader w:val="1"/>
          <w:cantSplit/>
        </w:trPr>
        <w:tc>
          <w:tcPr>
            <w:tcW w:type="dxa" w:w="4422"/>
            <w:vAlign w:val="center"/>
          </w:tcPr>
          <w:p>
            <w:pPr>
              <w:spacing w:before="0" w:after="0" w:line="260" w:lineRule="exact"/>
              <w:ind w:firstLine="0" w:left="0" w:right="0"/>
              <w:jc w:val="center"/>
            </w:pPr>
            <w:r>
              <w:rPr>
                <w:rFonts w:ascii="仿宋_GB2312" w:hAnsi="仿宋_GB2312" w:eastAsia="仿宋_GB2312" w:cs="仿宋_GB2312"/>
                <w:b w:val="0"/>
                <w:sz w:val="21"/>
              </w:rPr>
              <w:t>土地用途</w:t>
            </w:r>
          </w:p>
        </w:tc>
        <w:tc>
          <w:tcPr>
            <w:tcW w:type="dxa" w:w="4422"/>
            <w:vAlign w:val="center"/>
          </w:tcPr>
          <w:p>
            <w:pPr>
              <w:spacing w:before="0" w:after="0" w:line="260" w:lineRule="exact"/>
              <w:ind w:firstLine="0" w:left="0" w:right="0"/>
              <w:jc w:val="center"/>
            </w:pPr>
            <w:r>
              <w:rPr>
                <w:rFonts w:ascii="仿宋_GB2312" w:hAnsi="仿宋_GB2312" w:eastAsia="仿宋_GB2312" w:cs="仿宋_GB2312"/>
                <w:b w:val="0"/>
                <w:sz w:val="21"/>
              </w:rPr>
              <w:t>住宅用地</w:t>
            </w:r>
          </w:p>
        </w:tc>
      </w:tr>
      <w:tr>
        <w:trPr>
          <w:cantSplit/>
        </w:trPr>
        <w:tc>
          <w:tcPr>
            <w:tcW w:type="dxa" w:w="4422"/>
            <w:vAlign w:val="center"/>
          </w:tcPr>
          <w:p>
            <w:pPr>
              <w:spacing w:before="0" w:after="0" w:line="260" w:lineRule="exact"/>
              <w:ind w:firstLine="0" w:left="0" w:right="0"/>
              <w:jc w:val="center"/>
            </w:pPr>
            <w:r>
              <w:rPr>
                <w:rFonts w:ascii="仿宋_GB2312" w:hAnsi="仿宋_GB2312" w:eastAsia="仿宋_GB2312" w:cs="仿宋_GB2312"/>
                <w:b w:val="0"/>
                <w:sz w:val="21"/>
              </w:rPr>
              <w:t>土地还原利率</w:t>
            </w:r>
          </w:p>
        </w:tc>
        <w:tc>
          <w:tcPr>
            <w:tcW w:type="dxa" w:w="4422"/>
            <w:vAlign w:val="center"/>
          </w:tcPr>
          <w:p>
            <w:pPr>
              <w:spacing w:before="0" w:after="0" w:line="260" w:lineRule="exact"/>
              <w:ind w:firstLine="0" w:left="0" w:right="0"/>
              <w:jc w:val="center"/>
            </w:pPr>
            <w:r>
              <w:rPr>
                <w:rFonts w:ascii="仿宋_GB2312" w:hAnsi="仿宋_GB2312" w:eastAsia="仿宋_GB2312" w:cs="仿宋_GB2312"/>
                <w:b w:val="0"/>
                <w:sz w:val="21"/>
              </w:rPr>
              <w:t>6.5%</w:t>
            </w:r>
          </w:p>
        </w:tc>
      </w:tr>
      <w:tr>
        <w:trPr>
          <w:cantSplit/>
        </w:trPr>
        <w:tc>
          <w:tcPr>
            <w:tcW w:type="dxa" w:w="4422"/>
            <w:vAlign w:val="center"/>
          </w:tcPr>
          <w:p>
            <w:pPr>
              <w:spacing w:before="0" w:after="0" w:line="260" w:lineRule="exact"/>
              <w:ind w:firstLine="0" w:left="0" w:right="0"/>
              <w:jc w:val="center"/>
            </w:pPr>
            <w:r>
              <w:rPr>
                <w:rFonts w:ascii="仿宋_GB2312" w:hAnsi="仿宋_GB2312" w:eastAsia="仿宋_GB2312" w:cs="仿宋_GB2312"/>
                <w:b w:val="0"/>
                <w:sz w:val="21"/>
              </w:rPr>
              <w:t>房屋还原利率</w:t>
            </w:r>
          </w:p>
        </w:tc>
        <w:tc>
          <w:tcPr>
            <w:tcW w:type="dxa" w:w="4422"/>
            <w:vAlign w:val="center"/>
          </w:tcPr>
          <w:p>
            <w:pPr>
              <w:spacing w:before="0" w:after="0" w:line="260" w:lineRule="exact"/>
              <w:ind w:firstLine="0" w:left="0" w:right="0"/>
              <w:jc w:val="center"/>
            </w:pPr>
            <w:r>
              <w:rPr>
                <w:rFonts w:ascii="仿宋_GB2312" w:hAnsi="仿宋_GB2312" w:eastAsia="仿宋_GB2312" w:cs="仿宋_GB2312"/>
                <w:b w:val="0"/>
                <w:sz w:val="21"/>
              </w:rPr>
              <w:t>8.5%</w:t>
            </w:r>
          </w:p>
        </w:tc>
      </w:tr>
    </w:tbl>
    <w:p>
      <w:pPr>
        <w:spacing w:before="0" w:after="0" w:line="480" w:lineRule="exact"/>
        <w:ind w:firstLine="561"/>
      </w:pPr>
      <w:r>
        <w:rPr>
          <w:rFonts w:ascii="仿宋_GB2312" w:hAnsi="仿宋_GB2312" w:eastAsia="仿宋_GB2312" w:cs="仿宋_GB2312"/>
          <w:b w:val="0"/>
          <w:sz w:val="28"/>
        </w:rPr>
        <w:t>则，房屋年纯收益＝房屋现值×房屋还原利率</w:t>
      </w:r>
    </w:p>
    <w:p>
      <w:pPr>
        <w:spacing w:before="0" w:after="0" w:line="480" w:lineRule="exact"/>
        <w:ind w:firstLine="561"/>
      </w:pPr>
      <w:r>
        <w:rPr>
          <w:rFonts w:ascii="仿宋_GB2312" w:hAnsi="仿宋_GB2312" w:eastAsia="仿宋_GB2312" w:cs="仿宋_GB2312"/>
          <w:b w:val="0"/>
          <w:sz w:val="28"/>
        </w:rPr>
        <w:t>＝11.6047×8.5%</w:t>
      </w:r>
    </w:p>
    <w:p>
      <w:pPr>
        <w:spacing w:before="0" w:after="0" w:line="480" w:lineRule="exact"/>
        <w:ind w:firstLine="561"/>
      </w:pPr>
      <w:r>
        <w:rPr>
          <w:rFonts w:ascii="仿宋_GB2312" w:hAnsi="仿宋_GB2312" w:eastAsia="仿宋_GB2312" w:cs="仿宋_GB2312"/>
          <w:b w:val="0"/>
          <w:sz w:val="28"/>
        </w:rPr>
        <w:t>＝0.9864（万元）</w:t>
      </w:r>
    </w:p>
    <w:p>
      <w:pPr>
        <w:spacing w:before="0" w:after="0" w:line="480" w:lineRule="exact"/>
        <w:ind w:firstLine="561"/>
      </w:pPr>
      <w:r>
        <w:rPr>
          <w:rFonts w:ascii="仿宋_GB2312" w:hAnsi="仿宋_GB2312" w:eastAsia="仿宋_GB2312" w:cs="仿宋_GB2312"/>
          <w:b w:val="0"/>
          <w:sz w:val="28"/>
        </w:rPr>
        <w:t>5、土地年纯收益</w:t>
      </w:r>
    </w:p>
    <w:p>
      <w:pPr>
        <w:spacing w:before="0" w:after="0" w:line="480" w:lineRule="exact"/>
        <w:ind w:firstLine="561"/>
      </w:pPr>
      <w:r>
        <w:rPr>
          <w:rFonts w:ascii="仿宋_GB2312" w:hAnsi="仿宋_GB2312" w:eastAsia="仿宋_GB2312" w:cs="仿宋_GB2312"/>
          <w:b w:val="0"/>
          <w:sz w:val="28"/>
        </w:rPr>
        <w:t>土地年纯收益＝房地年纯收益-房屋年纯收益</w:t>
      </w:r>
    </w:p>
    <w:p>
      <w:pPr>
        <w:spacing w:before="0" w:after="0" w:line="480" w:lineRule="exact"/>
        <w:ind w:firstLine="561"/>
      </w:pPr>
      <w:r>
        <w:rPr>
          <w:rFonts w:ascii="仿宋_GB2312" w:hAnsi="仿宋_GB2312" w:eastAsia="仿宋_GB2312" w:cs="仿宋_GB2312"/>
          <w:b w:val="0"/>
          <w:sz w:val="28"/>
        </w:rPr>
        <w:t>＝1.9076-0.9864</w:t>
      </w:r>
    </w:p>
    <w:p>
      <w:pPr>
        <w:spacing w:before="0" w:after="0" w:line="480" w:lineRule="exact"/>
        <w:ind w:firstLine="561"/>
      </w:pPr>
      <w:r>
        <w:rPr>
          <w:rFonts w:ascii="仿宋_GB2312" w:hAnsi="仿宋_GB2312" w:eastAsia="仿宋_GB2312" w:cs="仿宋_GB2312"/>
          <w:b w:val="0"/>
          <w:sz w:val="28"/>
        </w:rPr>
        <w:t>＝0.9212（万元）</w:t>
      </w:r>
    </w:p>
    <w:p>
      <w:pPr>
        <w:spacing w:before="0" w:after="0" w:line="480" w:lineRule="exact"/>
        <w:ind w:firstLine="561"/>
      </w:pPr>
      <w:r>
        <w:rPr>
          <w:rFonts w:ascii="仿宋_GB2312" w:hAnsi="仿宋_GB2312" w:eastAsia="仿宋_GB2312" w:cs="仿宋_GB2312"/>
          <w:b w:val="0"/>
          <w:sz w:val="28"/>
        </w:rPr>
        <w:t>6、计算待估宗地总地价</w:t>
      </w:r>
    </w:p>
    <w:p>
      <w:pPr>
        <w:spacing w:before="0" w:after="0" w:line="480" w:lineRule="exact"/>
        <w:ind w:firstLine="561"/>
      </w:pPr>
      <w:r>
        <w:rPr>
          <w:rFonts w:ascii="仿宋_GB2312" w:hAnsi="仿宋_GB2312" w:eastAsia="仿宋_GB2312" w:cs="仿宋_GB2312"/>
          <w:b w:val="0"/>
          <w:sz w:val="28"/>
        </w:rPr>
        <w:t>总地价＝土地年纯收益÷r×[1-1/（1＋r）^n]</w:t>
      </w:r>
    </w:p>
    <w:p>
      <w:pPr>
        <w:spacing w:before="0" w:after="0" w:line="480" w:lineRule="exact"/>
        <w:ind w:firstLine="561"/>
      </w:pPr>
      <w:r>
        <w:rPr>
          <w:rFonts w:ascii="仿宋_GB2312" w:hAnsi="仿宋_GB2312" w:eastAsia="仿宋_GB2312" w:cs="仿宋_GB2312"/>
          <w:b w:val="0"/>
          <w:sz w:val="28"/>
        </w:rPr>
        <w:t>其中：r——土地还原率6.5%。</w:t>
      </w:r>
    </w:p>
    <w:p>
      <w:pPr>
        <w:spacing w:before="0" w:after="0" w:line="480" w:lineRule="exact"/>
        <w:ind w:firstLine="561"/>
      </w:pPr>
      <w:r>
        <w:rPr>
          <w:rFonts w:ascii="仿宋_GB2312" w:hAnsi="仿宋_GB2312" w:eastAsia="仿宋_GB2312" w:cs="仿宋_GB2312"/>
          <w:b w:val="0"/>
          <w:sz w:val="28"/>
        </w:rPr>
        <w:t>n——待估宗地土地使用年期70年。</w:t>
      </w:r>
    </w:p>
    <w:p>
      <w:pPr>
        <w:spacing w:before="0" w:after="0" w:line="480" w:lineRule="exact"/>
        <w:ind w:firstLine="561"/>
      </w:pPr>
      <w:r>
        <w:rPr>
          <w:rFonts w:ascii="仿宋_GB2312" w:hAnsi="仿宋_GB2312" w:eastAsia="仿宋_GB2312" w:cs="仿宋_GB2312"/>
          <w:b w:val="0"/>
          <w:sz w:val="28"/>
        </w:rPr>
        <w:t>＝0.9212÷6.5%×[1-1/（1+6.5%）^70]</w:t>
      </w:r>
    </w:p>
    <w:p>
      <w:pPr>
        <w:spacing w:before="0" w:after="0" w:line="480" w:lineRule="exact"/>
        <w:ind w:firstLine="561"/>
      </w:pPr>
      <w:r>
        <w:rPr>
          <w:rFonts w:ascii="仿宋_GB2312" w:hAnsi="仿宋_GB2312" w:eastAsia="仿宋_GB2312" w:cs="仿宋_GB2312"/>
          <w:b w:val="0"/>
          <w:sz w:val="28"/>
        </w:rPr>
        <w:t>＝13.9997（万元）</w:t>
      </w:r>
    </w:p>
    <w:p>
      <w:pPr>
        <w:spacing w:before="0" w:after="0" w:line="480" w:lineRule="exact"/>
        <w:ind w:firstLine="561"/>
      </w:pPr>
      <w:r>
        <w:rPr>
          <w:rFonts w:ascii="仿宋_GB2312" w:hAnsi="仿宋_GB2312" w:eastAsia="仿宋_GB2312" w:cs="仿宋_GB2312"/>
          <w:b w:val="0"/>
          <w:sz w:val="28"/>
        </w:rPr>
        <w:t>7、计算宗地单位面积地价</w:t>
      </w:r>
    </w:p>
    <w:p>
      <w:pPr>
        <w:spacing w:before="0" w:after="0" w:line="480" w:lineRule="exact"/>
        <w:ind w:firstLine="561"/>
      </w:pPr>
      <w:r>
        <w:rPr>
          <w:rFonts w:ascii="仿宋_GB2312" w:hAnsi="仿宋_GB2312" w:eastAsia="仿宋_GB2312" w:cs="仿宋_GB2312"/>
          <w:b w:val="0"/>
          <w:sz w:val="28"/>
        </w:rPr>
        <w:t>单位面积地价＝总地价÷总用地面积</w:t>
      </w:r>
    </w:p>
    <w:p>
      <w:pPr>
        <w:spacing w:before="0" w:after="0" w:line="480" w:lineRule="exact"/>
        <w:ind w:firstLine="561"/>
      </w:pPr>
      <w:r>
        <w:rPr>
          <w:rFonts w:ascii="仿宋_GB2312" w:hAnsi="仿宋_GB2312" w:eastAsia="仿宋_GB2312" w:cs="仿宋_GB2312"/>
          <w:b w:val="0"/>
          <w:sz w:val="28"/>
        </w:rPr>
        <w:t>＝13.9997×10000÷50</w:t>
      </w:r>
    </w:p>
    <w:p>
      <w:pPr>
        <w:spacing w:before="0" w:after="0" w:line="480" w:lineRule="exact"/>
        <w:ind w:firstLine="561"/>
      </w:pPr>
      <w:r>
        <w:rPr>
          <w:rFonts w:ascii="仿宋_GB2312" w:hAnsi="仿宋_GB2312" w:eastAsia="仿宋_GB2312" w:cs="仿宋_GB2312"/>
          <w:b w:val="0"/>
          <w:sz w:val="28"/>
        </w:rPr>
        <w:t>＝2799.9（元/平方米）</w:t>
      </w:r>
    </w:p>
    <w:p>
      <w:pPr>
        <w:spacing w:before="0" w:after="0" w:line="480" w:lineRule="exact"/>
        <w:ind w:firstLine="561"/>
      </w:pPr>
      <w:r>
        <w:rPr>
          <w:rFonts w:ascii="仿宋_GB2312" w:hAnsi="仿宋_GB2312" w:eastAsia="仿宋_GB2312" w:cs="仿宋_GB2312"/>
          <w:b w:val="0"/>
          <w:sz w:val="28"/>
        </w:rPr>
        <w:t>收益还原法测算地价的结果为：估价对象于估价期日2026-06-01，在设定土地用途，设定土地使用年限，设定土地开发程度，现状利用条件下的国有土地出让使用权价格为住宅用地2799.9元/平方米。</w:t>
      </w:r>
    </w:p>
    <w:p>
      <w:r>
        <w:t>★基准地价系数修正法</w:t>
      </w:r>
    </w:p>
    <w:p>
      <w:r>
        <w:t>下一方法边界保留成功。</w:t>
      </w:r>
    </w:p>
    <w:sectPr w:rsidR="00FC693F" w:rsidRPr="0006063C" w:rsidSect="00034616">
      <w:pgSz w:w="11906" w:h="16838"/>
      <w:pgMar w:top="1361" w:right="1474" w:bottom="1361"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仿宋_GB2312" w:hAnsi="仿宋_GB231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