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BC51A">
      <w:pPr>
        <w:spacing w:line="520" w:lineRule="exact"/>
        <w:jc w:val="center"/>
        <w:rPr>
          <w:rFonts w:ascii="宋体"/>
          <w:b/>
          <w:color w:val="000000" w:themeColor="text1"/>
          <w:sz w:val="44"/>
          <w:szCs w:val="44"/>
          <w:highlight w:val="none"/>
          <w14:textFill>
            <w14:solidFill>
              <w14:schemeClr w14:val="tx1"/>
            </w14:solidFill>
          </w14:textFill>
        </w:rPr>
      </w:pPr>
      <w:bookmarkStart w:id="0" w:name="_GoBack"/>
      <w:bookmarkEnd w:id="0"/>
    </w:p>
    <w:p w14:paraId="6654ABD8">
      <w:pPr>
        <w:spacing w:line="520" w:lineRule="exact"/>
        <w:jc w:val="center"/>
        <w:rPr>
          <w:rFonts w:ascii="宋体"/>
          <w:b/>
          <w:color w:val="000000" w:themeColor="text1"/>
          <w:sz w:val="44"/>
          <w:szCs w:val="44"/>
          <w:highlight w:val="none"/>
          <w14:textFill>
            <w14:solidFill>
              <w14:schemeClr w14:val="tx1"/>
            </w14:solidFill>
          </w14:textFill>
        </w:rPr>
      </w:pPr>
    </w:p>
    <w:p w14:paraId="64D29931">
      <w:pPr>
        <w:spacing w:line="560" w:lineRule="exact" w:before="0" w:after="0"/>
        <w:jc w:val="center"/>
        <w:rPr>
          <w:rFonts w:ascii="宋体"/>
          <w:b/>
          <w:bCs/>
          <w:color w:val="000000" w:themeColor="text1"/>
          <w:sz w:val="44"/>
          <w:szCs w:val="44"/>
          <w:highlight w:val="none"/>
          <w14:textFill>
            <w14:solidFill>
              <w14:schemeClr w14:val="tx1"/>
            </w14:solidFill>
          </w14:textFill>
        </w:rPr>
      </w:pPr>
      <w:r>
        <w:rPr>
          <w:rFonts w:hint="eastAsia" w:ascii="宋体" w:hAnsi="宋体" w:eastAsia="宋体" w:cs="宋体"/>
          <w:b/>
          <w:bCs/>
          <w:color w:val="000000" w:themeColor="text1"/>
          <w:sz w:val="44"/>
          <w:szCs w:val="44"/>
          <w:highlight w:val="none"/>
          <w14:textFill>
            <w14:solidFill>
              <w14:schemeClr w14:val="tx1"/>
            </w14:solidFill>
          </w14:textFill>
        </w:rPr>
        <w:t>土 地 估 价 报 告</w:t>
      </w:r>
    </w:p>
    <w:p w14:paraId="76422A75">
      <w:pPr>
        <w:spacing w:line="520" w:lineRule="exact"/>
        <w:rPr>
          <w:color w:val="000000" w:themeColor="text1"/>
          <w:sz w:val="32"/>
          <w:highlight w:val="none"/>
          <w14:textFill>
            <w14:solidFill>
              <w14:schemeClr w14:val="tx1"/>
            </w14:solidFill>
          </w14:textFill>
        </w:rPr>
      </w:pPr>
    </w:p>
    <w:p w14:paraId="5BC0D033">
      <w:pPr>
        <w:spacing w:line="520" w:lineRule="exact"/>
        <w:rPr>
          <w:color w:val="000000" w:themeColor="text1"/>
          <w:sz w:val="32"/>
          <w:highlight w:val="none"/>
          <w14:textFill>
            <w14:solidFill>
              <w14:schemeClr w14:val="tx1"/>
            </w14:solidFill>
          </w14:textFill>
        </w:rPr>
      </w:pPr>
    </w:p>
    <w:p w14:paraId="6F2FBCBF">
      <w:pPr>
        <w:spacing w:line="520" w:lineRule="exact"/>
        <w:rPr>
          <w:color w:val="000000" w:themeColor="text1"/>
          <w:sz w:val="32"/>
          <w:highlight w:val="none"/>
          <w14:textFill>
            <w14:solidFill>
              <w14:schemeClr w14:val="tx1"/>
            </w14:solidFill>
          </w14:textFill>
        </w:rPr>
      </w:pPr>
    </w:p>
    <w:tbl>
      <w:tblPr>
        <w:tblStyle w:val="9"/>
        <w:tblW w:w="9560" w:type="dxa"/>
        <w:jc w:val="center"/>
        <w:tblLayout w:type="fixed"/>
        <w:tblCellMar>
          <w:top w:w="0" w:type="dxa"/>
          <w:left w:w="108" w:type="dxa"/>
          <w:bottom w:w="0" w:type="dxa"/>
          <w:right w:w="108" w:type="dxa"/>
        </w:tblCellMar>
      </w:tblPr>
      <w:tblGrid>
        <w:gridCol w:w="3364"/>
        <w:gridCol w:w="6196"/>
      </w:tblGrid>
      <w:tr w14:paraId="189AF926">
        <w:tblPrEx>
          <w:tblCellMar>
            <w:top w:w="0" w:type="dxa"/>
            <w:left w:w="108" w:type="dxa"/>
            <w:bottom w:w="0" w:type="dxa"/>
            <w:right w:w="108" w:type="dxa"/>
          </w:tblCellMar>
        </w:tblPrEx>
        <w:trPr>
          <w:trHeight w:val="1410" w:hRule="atLeast"/>
          <w:jc w:val="center"/>
        </w:trPr>
        <w:tc>
          <w:tcPr>
            <w:tcW w:w="3364" w:type="dxa"/>
            <w:vAlign w:val="center"/>
          </w:tcPr>
          <w:p w14:paraId="7922849E">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6196" w:type="dxa"/>
            <w:vAlign w:val="center"/>
          </w:tcPr>
          <w:p w14:paraId="574CB272">
            <w:pPr>
              <w:pStyle w:val="6"/>
              <w:keepNext w:val="0"/>
              <w:keepLines w:val="0"/>
              <w:suppressLineNumbers w:val="0"/>
              <w:tabs>
                <w:tab w:val="left" w:pos="0"/>
                <w:tab w:val="left" w:pos="2340"/>
              </w:tabs>
              <w:adjustRightInd w:val="0"/>
              <w:snapToGrid w:val="0"/>
              <w:spacing w:before="0" w:beforeAutospacing="0" w:after="0" w:afterAutospacing="0" w:line="0" w:lineRule="atLeast"/>
              <w:ind w:left="2" w:right="0" w:hanging="2"/>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project_name }}</w:t>
            </w:r>
          </w:p>
        </w:tc>
      </w:tr>
      <w:tr w14:paraId="08884643">
        <w:tblPrEx>
          <w:tblCellMar>
            <w:top w:w="0" w:type="dxa"/>
            <w:left w:w="108" w:type="dxa"/>
            <w:bottom w:w="0" w:type="dxa"/>
            <w:right w:w="108" w:type="dxa"/>
          </w:tblCellMar>
        </w:tblPrEx>
        <w:trPr>
          <w:trHeight w:val="1134" w:hRule="atLeast"/>
          <w:jc w:val="center"/>
        </w:trPr>
        <w:tc>
          <w:tcPr>
            <w:tcW w:w="3364" w:type="dxa"/>
            <w:vAlign w:val="center"/>
          </w:tcPr>
          <w:p w14:paraId="6713592C">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6196" w:type="dxa"/>
            <w:vAlign w:val="center"/>
          </w:tcPr>
          <w:p w14:paraId="55C85EB9">
            <w:pPr>
              <w:pStyle w:val="6"/>
              <w:keepNext w:val="0"/>
              <w:keepLines w:val="0"/>
              <w:suppressLineNumbers w:val="0"/>
              <w:tabs>
                <w:tab w:val="left" w:pos="0"/>
                <w:tab w:val="left" w:pos="2340"/>
              </w:tabs>
              <w:adjustRightInd w:val="0"/>
              <w:snapToGrid w:val="0"/>
              <w:spacing w:before="0" w:beforeAutospacing="0" w:after="0" w:afterAutospacing="0" w:line="0" w:lineRule="atLeast"/>
              <w:ind w:left="-6" w:leftChars="-3" w:right="0"/>
              <w:jc w:val="left"/>
              <w:rPr>
                <w:rFonts w:ascii="楷体" w:hAnsi="楷体" w:eastAsia="楷体"/>
                <w:color w:val="000000" w:themeColor="text1"/>
                <w:spacing w:val="14"/>
                <w:sz w:val="32"/>
                <w:szCs w:val="32"/>
                <w:highlight w:val="none"/>
                <w14:textFill>
                  <w14:solidFill>
                    <w14:schemeClr w14:val="tx1"/>
                  </w14:solidFill>
                </w14:textFill>
              </w:rPr>
            </w:pPr>
            <w:r/>
            <w:r>
              <w:rPr>
                <w:rFonts w:ascii="仿宋_GB2312" w:hAnsi="仿宋_GB2312" w:eastAsia="仿宋_GB2312" w:cs="仿宋_GB2312"/>
                <w:color w:val="000000"/>
                <w:sz w:val="32"/>
              </w:rPr>
              <w:t>{{ appraisal_org }}</w:t>
            </w:r>
          </w:p>
        </w:tc>
      </w:tr>
      <w:tr w14:paraId="011EDA8E">
        <w:tblPrEx>
          <w:tblCellMar>
            <w:top w:w="0" w:type="dxa"/>
            <w:left w:w="108" w:type="dxa"/>
            <w:bottom w:w="0" w:type="dxa"/>
            <w:right w:w="108" w:type="dxa"/>
          </w:tblCellMar>
        </w:tblPrEx>
        <w:trPr>
          <w:trHeight w:val="1134" w:hRule="atLeast"/>
          <w:jc w:val="center"/>
        </w:trPr>
        <w:tc>
          <w:tcPr>
            <w:tcW w:w="3364" w:type="dxa"/>
            <w:vAlign w:val="center"/>
          </w:tcPr>
          <w:p w14:paraId="742A7F66">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6196" w:type="dxa"/>
            <w:vAlign w:val="center"/>
          </w:tcPr>
          <w:p w14:paraId="770D2DD8">
            <w:pPr>
              <w:pStyle w:val="6"/>
              <w:keepNext w:val="0"/>
              <w:keepLines w:val="0"/>
              <w:suppressLineNumbers w:val="0"/>
              <w:tabs>
                <w:tab w:val="left" w:pos="0"/>
                <w:tab w:val="left" w:pos="234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report_no }}</w:t>
            </w:r>
          </w:p>
        </w:tc>
      </w:tr>
      <w:tr w14:paraId="06059496">
        <w:tblPrEx>
          <w:tblCellMar>
            <w:top w:w="0" w:type="dxa"/>
            <w:left w:w="108" w:type="dxa"/>
            <w:bottom w:w="0" w:type="dxa"/>
            <w:right w:w="108" w:type="dxa"/>
          </w:tblCellMar>
        </w:tblPrEx>
        <w:trPr>
          <w:trHeight w:val="1134" w:hRule="atLeast"/>
          <w:jc w:val="center"/>
        </w:trPr>
        <w:tc>
          <w:tcPr>
            <w:tcW w:w="3364" w:type="dxa"/>
            <w:vAlign w:val="center"/>
          </w:tcPr>
          <w:p w14:paraId="7549ABCC">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ascii="楷体" w:hAnsi="楷体" w:eastAsia="楷体" w:cs="Times New Roman"/>
                <w:b/>
                <w:bCs/>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6196" w:type="dxa"/>
            <w:vAlign w:val="center"/>
          </w:tcPr>
          <w:p w14:paraId="5B193721">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t>详见备案页</w:t>
            </w:r>
          </w:p>
        </w:tc>
      </w:tr>
      <w:tr w14:paraId="28305D6E">
        <w:tblPrEx>
          <w:tblCellMar>
            <w:top w:w="0" w:type="dxa"/>
            <w:left w:w="108" w:type="dxa"/>
            <w:bottom w:w="0" w:type="dxa"/>
            <w:right w:w="108" w:type="dxa"/>
          </w:tblCellMar>
        </w:tblPrEx>
        <w:trPr>
          <w:trHeight w:val="1134" w:hRule="atLeast"/>
          <w:jc w:val="center"/>
        </w:trPr>
        <w:tc>
          <w:tcPr>
            <w:tcW w:w="3364" w:type="dxa"/>
            <w:vAlign w:val="center"/>
          </w:tcPr>
          <w:p w14:paraId="42D8D80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left"/>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6196" w:type="dxa"/>
            <w:vAlign w:val="center"/>
          </w:tcPr>
          <w:p w14:paraId="42FEE57D">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report_date }}</w:t>
            </w:r>
          </w:p>
        </w:tc>
      </w:tr>
    </w:tbl>
    <w:p w14:paraId="7F67BAAE">
      <w:pPr>
        <w:spacing w:line="520" w:lineRule="exact"/>
        <w:rPr>
          <w:color w:val="000000" w:themeColor="text1"/>
          <w:sz w:val="32"/>
          <w:highlight w:val="none"/>
          <w14:textFill>
            <w14:solidFill>
              <w14:schemeClr w14:val="tx1"/>
            </w14:solidFill>
          </w14:textFill>
        </w:rPr>
      </w:pPr>
    </w:p>
    <w:p w14:paraId="5D1D63C7">
      <w:pPr>
        <w:spacing w:line="520" w:lineRule="exact"/>
        <w:rPr>
          <w:color w:val="000000" w:themeColor="text1"/>
          <w:sz w:val="32"/>
          <w:highlight w:val="none"/>
          <w14:textFill>
            <w14:solidFill>
              <w14:schemeClr w14:val="tx1"/>
            </w14:solidFill>
          </w14:textFill>
        </w:rPr>
      </w:pPr>
    </w:p>
    <w:p w14:paraId="7C4572D0">
      <w:pPr>
        <w:spacing w:line="520" w:lineRule="exact"/>
        <w:rPr>
          <w:color w:val="000000" w:themeColor="text1"/>
          <w:sz w:val="32"/>
          <w:highlight w:val="none"/>
          <w14:textFill>
            <w14:solidFill>
              <w14:schemeClr w14:val="tx1"/>
            </w14:solidFill>
          </w14:textFill>
        </w:rPr>
      </w:pPr>
    </w:p>
    <w:p w14:paraId="424CEEA7">
      <w:pPr>
        <w:spacing w:line="520" w:lineRule="exact"/>
        <w:rPr>
          <w:color w:val="000000" w:themeColor="text1"/>
          <w:sz w:val="32"/>
          <w:highlight w:val="none"/>
          <w14:textFill>
            <w14:solidFill>
              <w14:schemeClr w14:val="tx1"/>
            </w14:solidFill>
          </w14:textFill>
        </w:rPr>
      </w:pPr>
    </w:p>
    <w:p w14:paraId="5F1F0DED">
      <w:pPr>
        <w:spacing w:line="520" w:lineRule="exact"/>
        <w:rPr>
          <w:color w:val="000000" w:themeColor="text1"/>
          <w:sz w:val="32"/>
          <w:highlight w:val="none"/>
          <w14:textFill>
            <w14:solidFill>
              <w14:schemeClr w14:val="tx1"/>
            </w14:solidFill>
          </w14:textFill>
        </w:rPr>
      </w:pPr>
    </w:p>
    <w:p w14:paraId="45A7C87E">
      <w:pPr>
        <w:spacing w:line="360" w:lineRule="auto"/>
        <w:rPr>
          <w:rFonts w:ascii="楷体_GB2312" w:eastAsia="楷体_GB2312"/>
          <w:b/>
          <w:bCs/>
          <w:color w:val="000000" w:themeColor="text1"/>
          <w:sz w:val="32"/>
          <w:highlight w:val="none"/>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endnotePr>
            <w:numFmt w:val="decimal"/>
          </w:endnotePr>
          <w:pgSz w:w="11906" w:h="16838"/>
          <w:pgMar w:top="1440" w:right="1797" w:bottom="1440" w:left="1797" w:header="851" w:footer="992" w:gutter="0"/>
          <w:pgNumType w:fmt="decimal" w:start="1"/>
          <w:cols w:space="720" w:num="1"/>
          <w:titlePg/>
          <w:docGrid w:linePitch="312" w:charSpace="0"/>
        </w:sectPr>
      </w:pPr>
    </w:p>
    <w:p w14:paraId="768E58D4">
      <w:pPr>
        <w:pStyle w:val="12"/>
        <w:keepNext w:val="0"/>
        <w:keepLines w:val="0"/>
        <w:pageBreakBefore w:val="0"/>
        <w:kinsoku/>
        <w:wordWrap/>
        <w:overflowPunct/>
        <w:topLinePunct w:val="0"/>
        <w:autoSpaceDE/>
        <w:autoSpaceDN/>
        <w:bidi w:val="0"/>
        <w:adjustRightInd/>
        <w:snapToGrid w:val="0"/>
        <w:spacing w:line="560" w:lineRule="exact" w:before="0" w:after="0"/>
        <w:jc w:val="center"/>
        <w:outlineLvl w:val="0"/>
        <w:rPr>
          <w:rFonts w:ascii="宋体" w:eastAsia="宋体"/>
          <w:color w:val="000000" w:themeColor="text1"/>
          <w:sz w:val="32"/>
          <w:szCs w:val="32"/>
          <w:highlight w:val="none"/>
          <w14:textFill>
            <w14:solidFill>
              <w14:schemeClr w14:val="tx1"/>
            </w14:solidFill>
          </w14:textFill>
        </w:rPr>
      </w:pPr>
      <w:r>
        <w:rPr>
          <w:rFonts w:hint="eastAsia" w:ascii="宋体" w:eastAsia="宋体" w:hAnsi="宋体" w:cs="宋体"/>
          <w:b/>
          <w:bCs/>
          <w:color w:val="000000" w:themeColor="text1"/>
          <w:sz w:val="44"/>
          <w:szCs w:val="32"/>
          <w:highlight w:val="none"/>
          <w14:textFill>
            <w14:solidFill>
              <w14:schemeClr w14:val="tx1"/>
            </w14:solidFill>
          </w14:textFill>
        </w:rPr>
        <w:t>土 地 估 价 报 告</w:t>
      </w:r>
    </w:p>
    <w:p w14:paraId="0F89BD83">
      <w:pPr>
        <w:pStyle w:val="13"/>
        <w:keepNext w:val="0"/>
        <w:keepLines w:val="0"/>
        <w:pageBreakBefore w:val="0"/>
        <w:kinsoku/>
        <w:wordWrap/>
        <w:overflowPunct/>
        <w:topLinePunct w:val="0"/>
        <w:autoSpaceDE/>
        <w:autoSpaceDN/>
        <w:bidi w:val="0"/>
        <w:adjustRightInd/>
        <w:snapToGrid w:val="0"/>
        <w:spacing w:before="0" w:beforeLines="50" w:after="0" w:afterLines="100" w:line="560" w:lineRule="exact"/>
        <w:ind w:firstLine="0" w:firstLineChars="0"/>
        <w:jc w:val="center"/>
        <w:outlineLvl w:val="0"/>
        <w:rPr>
          <w:rFonts w:ascii="宋体" w:hAnsi="宋体" w:eastAsia="宋体" w:cs="宋体"/>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第一部分  摘要</w:t>
      </w:r>
    </w:p>
    <w:p w14:paraId="7A480F7C">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一、估价项目名称</w:t>
      </w:r>
    </w:p>
    <w:p w14:paraId="3263ECE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project_name }}</w:t>
      </w:r>
    </w:p>
    <w:p w14:paraId="0AB73EC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二、委托估价方</w:t>
      </w:r>
    </w:p>
    <w:p w14:paraId="377B17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client_name }}</w:t>
      </w:r>
    </w:p>
    <w:p w14:paraId="5A8AA14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bCs/>
          <w:color w:val="000000" w:themeColor="text1"/>
          <w:sz w:val="28"/>
          <w:szCs w:val="28"/>
          <w:highlight w:val="none"/>
          <w14:textFill>
            <w14:solidFill>
              <w14:schemeClr w14:val="tx1"/>
            </w14:solidFill>
          </w14:textFill>
        </w:rPr>
        <w:t>三、</w:t>
      </w:r>
      <w:r>
        <w:rPr>
          <w:rFonts w:hint="eastAsia" w:ascii="宋体" w:eastAsia="宋体" w:hAnsi="宋体" w:cs="宋体"/>
          <w:b/>
          <w:color w:val="000000" w:themeColor="text1"/>
          <w:sz w:val="28"/>
          <w:szCs w:val="28"/>
          <w:highlight w:val="none"/>
          <w14:textFill>
            <w14:solidFill>
              <w14:schemeClr w14:val="tx1"/>
            </w14:solidFill>
          </w14:textFill>
        </w:rPr>
        <w:t>估价目的</w:t>
      </w:r>
    </w:p>
    <w:p w14:paraId="7ADA03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sz w:val="28"/>
        </w:rPr>
        <w:t>{{ client_name }}拟按《关于国有建设用地的规划条件的函》（2025年9月11日）确定的规划条件，对位于{{ land_location_full }}的{{ parcel_count }}{{ land_usage }}国有建设用地使用权开展{{ transfer_purpose }}相关工作。</w:t>
      </w:r>
      <w:r>
        <w:rPr>
          <w:rFonts w:ascii="仿宋_GB2312" w:hAnsi="仿宋_GB2312" w:eastAsia="仿宋_GB2312" w:cs="仿宋_GB2312"/>
          <w:color w:val="000000"/>
          <w:sz w:val="28"/>
        </w:rPr>
      </w:r>
    </w:p>
    <w:p w14:paraId="3D67BCC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ascii="仿宋_GB2312" w:hAnsi="仿宋_GB2312" w:eastAsia="仿宋_GB2312" w:cs="仿宋_GB2312"/>
          <w:sz w:val="28"/>
        </w:rP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 client_name }}委托，为委托方办理{{ transfer_purpose }}相关事项提供设定条件下国有建设用地使用权正常市场价格参考依据。</w:t>
      </w:r>
      <w:r>
        <w:rPr>
          <w:rFonts w:ascii="仿宋_GB2312" w:hAnsi="仿宋_GB2312" w:eastAsia="仿宋_GB2312" w:cs="仿宋_GB2312"/>
          <w:color w:val="000000"/>
          <w:sz w:val="28"/>
        </w:rPr>
      </w:r>
    </w:p>
    <w:p w14:paraId="60B2B325">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四、估价期日</w:t>
      </w:r>
    </w:p>
    <w:p w14:paraId="0AF12F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}}，结合本次估价目的和委托估价方提供的《评估委托书》，本次估价设定估价期日为{{ valuation_date }}。</w:t>
      </w:r>
    </w:p>
    <w:p w14:paraId="20A7FB4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五、估价日期</w:t>
      </w:r>
    </w:p>
    <w:p w14:paraId="40E3E99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 valuation_work_date }}</w:t>
      </w:r>
    </w:p>
    <w:p w14:paraId="2CC98B2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六、地价定义</w:t>
      </w:r>
    </w:p>
    <w:p w14:paraId="1E93723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根据委托方出具的《关于国有建设用地的规划条件的函》（2025年9月11日）及现场勘查状况，估价对象总土地面积为{{ land_area }}平方米，估价对象规划用途为{{ land_usage }}，至估价期日，估价对象实际土地开发程度为{{ land_development_actual }}。</w:t>
      </w:r>
      <w:r>
        <w:rPr>
          <w:rFonts w:ascii="仿宋_GB2312" w:hAnsi="仿宋_GB2312" w:eastAsia="仿宋_GB2312" w:cs="仿宋_GB2312"/>
          <w:color w:val="000000"/>
          <w:sz w:val="28"/>
        </w:rPr>
      </w:r>
    </w:p>
    <w:p w14:paraId="483DD28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3A96644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7667C5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}}，本次估价设定估价期日为{{ valuation_date }}。</w:t>
      </w:r>
    </w:p>
    <w:p w14:paraId="1F017B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33E316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根据土地估价师现场勘查及委托方提供资料，估价对象现状用途及规划用途以委托方资料为准。根据《关于国有建设用地的规划条件的函》（2025年9月11日），估价对象规划用途为{{ land_usage }}，根据《土地利用现状分类》(GB/T21010-2017，2017年11月01日)和估价目的，本次评估设定土地用途为{{ land_usage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31B7B57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1A331AA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至估价期日止，估价对象原登记或现状权利类型为{{ registered_right_type }}，结合本次估价目的，本次评估设定土地使用权类型为{{ right_type }}。</w:t>
      </w:r>
    </w:p>
    <w:p w14:paraId="2FB19EA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5987A8B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根据《中华人民共和国城镇国有土地使用权出让和转让暂行条例》（1990年5月19日国务院令第55号）规定，并结合《评估委托书》约定和估价目的，估价对象土地使用权出让年限为{{ land_use_term }}，此次评估设定土地使用权年限为{{ land_use_term }}。</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6AC576E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2375872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根据土地估价师实地勘查，估价对象于估价期日{{ valuation_date }}实际开发程度为{{ land_development_actual }}。结合估价目的及实际情况，本次评估设定土地开发程度为{{ land_development_set }}。</w:t>
      </w:r>
    </w:p>
    <w:p w14:paraId="4BACEB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222F81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根据实地勘查和《关于国有建设用地的规划条件的函》（2025年9月11日），估价对象规划建筑密度{{ building_density_min }}-{{ building_density_max }}，容积率{{ plot_ratio_display }}，绿地率{{ greening_rate }}，建筑限高{{ building_height_limit }}。根据土地最有效利用原则，本次评估设定容积率为{{ plot_ratio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0C2DE8B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2FE76CB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337ACB1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综上所述，此次评估的地价内涵是指：估价对象在公开市场条件下，于估价期日{{ valuation_date }}，土地使用权面积{{ land_area }}平方米，土地用途设定为{{ land_usage }}，容积率设定为{{ plot_ratio }}，土地使用权类型设定为{{ right_type }}，出让年期为{{ land_use_term }}，土地开发程度设定为{{ land_development_set }}条件下的土地使用权市场价格。</w:t>
      </w:r>
    </w:p>
    <w:p w14:paraId="336FAC8E">
      <w:pPr>
        <w:keepNext w:val="0"/>
        <w:keepLines w:val="0"/>
        <w:pageBreakBefore w:val="0"/>
        <w:widowControl w:val="0"/>
        <w:numPr>
          <w:ilvl w:val="0"/>
          <w:numId w:val="0"/>
        </w:numPr>
        <w:kinsoku/>
        <w:wordWrap/>
        <w:overflowPunct/>
        <w:topLinePunct w:val="0"/>
        <w:autoSpaceDE/>
        <w:autoSpaceDN/>
        <w:bidi w:val="0"/>
        <w:spacing w:line="460" w:lineRule="exact"/>
        <w:ind w:firstLine="562" w:firstLineChars="200"/>
        <w:textAlignment w:val="auto"/>
        <w:outlineLvl w:val="9"/>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p>
    <w:p w14:paraId="15F1BAD4">
      <w:pP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br w:type="page"/>
      </w:r>
    </w:p>
    <w:p w14:paraId="6B18444E">
      <w:pPr>
        <w:keepNext w:val="0"/>
        <w:keepLines w:val="0"/>
        <w:pageBreakBefore w:val="0"/>
        <w:widowControl w:val="0"/>
        <w:numPr>
          <w:ilvl w:val="0"/>
          <w:numId w:val="0"/>
        </w:numPr>
        <w:kinsoku/>
        <w:wordWrap/>
        <w:overflowPunct/>
        <w:topLinePunct w:val="0"/>
        <w:autoSpaceDE/>
        <w:autoSpaceDN/>
        <w:bidi w:val="0"/>
        <w:spacing w:line="480" w:lineRule="exact" w:before="0" w:after="0"/>
        <w:ind w:firstLine="562" w:firstLineChars="200"/>
        <w:textAlignment w:val="auto"/>
        <w:outlineLvl w:val="1"/>
        <w:rPr>
          <w:rFonts w:hint="eastAsia" w:ascii="仿宋_GB2312" w:eastAsia="仿宋_GB2312"/>
          <w:b/>
          <w:color w:val="000000" w:themeColor="text1"/>
          <w:sz w:val="28"/>
          <w:szCs w:val="28"/>
          <w:highlight w:val="none"/>
          <w14:textFill>
            <w14:solidFill>
              <w14:schemeClr w14:val="tx1"/>
            </w14:solidFill>
          </w14:textFill>
        </w:rPr>
      </w:pPr>
      <w:r>
        <w:rPr>
          <w:rFonts w:hint="eastAsia" w:ascii="宋体" w:hAnsi="宋体" w:eastAsia="宋体" w:cs="宋体"/>
          <w:b/>
          <w:color w:val="000000" w:themeColor="text1"/>
          <w:kern w:val="2"/>
          <w:sz w:val="28"/>
          <w:szCs w:val="28"/>
          <w:highlight w:val="none"/>
          <w:lang w:val="en-US" w:eastAsia="zh-CN" w:bidi="ar-SA"/>
          <w14:textFill>
            <w14:solidFill>
              <w14:schemeClr w14:val="tx1"/>
            </w14:solidFill>
          </w14:textFill>
        </w:rPr>
        <w:t>七、</w:t>
      </w:r>
      <w:r>
        <w:rPr>
          <w:rFonts w:hint="eastAsia" w:ascii="宋体" w:eastAsia="宋体" w:hAnsi="宋体" w:cs="宋体"/>
          <w:b/>
          <w:color w:val="000000" w:themeColor="text1"/>
          <w:sz w:val="28"/>
          <w:szCs w:val="28"/>
          <w:highlight w:val="none"/>
          <w14:textFill>
            <w14:solidFill>
              <w14:schemeClr w14:val="tx1"/>
            </w14:solidFill>
          </w14:textFill>
        </w:rPr>
        <w:t>估价结果</w:t>
      </w:r>
    </w:p>
    <w:p w14:paraId="354B2AD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w:t>
      </w: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估价结论</w:t>
      </w:r>
    </w:p>
    <w:p>
      <w:pPr>
        <w:spacing w:before="0" w:after="0" w:line="480" w:lineRule="exact"/>
        <w:ind w:left="561" w:firstLine="0"/>
      </w:pPr>
      <w:r>
        <w:rPr>
          <w:rFonts w:ascii="仿宋_GB2312" w:hAnsi="仿宋_GB2312" w:eastAsia="仿宋_GB2312" w:cs="仿宋_GB2312"/>
          <w:sz w:val="28"/>
        </w:rPr>
        <w:t>{{ valuation_result_statement }}</w:t>
      </w:r>
    </w:p>
    <w:p w14:paraId="5E5DA2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（二）出让底价建议</w:t>
      </w:r>
    </w:p>
    <w:p w14:paraId="56C99E7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 county_name }}土地市场情况及有关法律法规和政策规定，该地区土地出让底价由选定的估价机构的估价结果水平及具体宗地的实际情况综合确定。建议估价对象出让底价与本次估价结果相一致，具体由出让方根据出让土地的实际情况综合确定。</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0283DC6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的简单算术平均值作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7FF80E8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38E2EB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2.通过湖南省国土资源网上交易系统、中国土地交易市场网查询，{{ county_name }}近期通过“招拍挂”途径出让的估价对象周边土地单位面积地价与估价结果较为接近，估价结果符合该区域规划发展的趋势。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5B77391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56E24D36">
      <w:pPr>
        <w:rPr>
          <w:rFonts w:hint="eastAsia" w:ascii="仿宋_GB2312" w:hAnsi="仿宋_GB2312" w:eastAsia="仿宋_GB2312" w:cs="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br w:type="page"/>
      </w:r>
    </w:p>
    <w:p w14:paraId="07E2B988">
      <w:pPr>
        <w:spacing w:before="0" w:beforeLines="-2147483648" w:line="480" w:lineRule="exact" w:after="0"/>
        <w:ind w:firstLine="562" w:firstLineChars="200"/>
        <w:outlineLvl w:val="9"/>
        <w:rPr>
          <w:rFonts w:ascii="仿宋_GB2312" w:eastAsia="仿宋_GB2312"/>
          <w:b/>
          <w:color w:val="000000" w:themeColor="text1"/>
          <w:szCs w:val="28"/>
          <w:highlight w:val="none"/>
          <w14:textFill>
            <w14:solidFill>
              <w14:schemeClr w14:val="tx1"/>
            </w14:solidFill>
          </w14:textFill>
        </w:rPr>
      </w:pPr>
      <w:r>
        <w:rPr>
          <w:rFonts w:hint="eastAsia" w:ascii="宋体" w:hAnsi="宋体" w:eastAsia="宋体" w:cs="宋体"/>
          <w:b/>
          <w:color w:val="000000" w:themeColor="text1"/>
          <w:sz w:val="28"/>
          <w:szCs w:val="28"/>
          <w:highlight w:val="none"/>
          <w14:textFill>
            <w14:solidFill>
              <w14:schemeClr w14:val="tx1"/>
            </w14:solidFill>
          </w14:textFill>
        </w:rPr>
        <w:t>八、土地估价师签字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2CD78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2DAC57FC">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6B5234F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6E9C668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7D123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7465A432">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5605A63A">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4CB171A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94F0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548710EB">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4B7C996E">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0C56E8FF">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5AAFD7C0">
      <w:pPr>
        <w:spacing w:line="480" w:lineRule="exact" w:before="0" w:after="0"/>
        <w:ind w:firstLine="562" w:firstLineChars="200"/>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九、土地估价机构</w:t>
      </w:r>
    </w:p>
    <w:p w14:paraId="53022D82">
      <w:pPr>
        <w:tabs>
          <w:tab w:val="left" w:pos="3780"/>
        </w:tabs>
        <w:spacing w:before="0" w:beforeLines="100" w:line="480" w:lineRule="exact" w:after="0"/>
        <w:jc w:val="left"/>
        <w:rPr>
          <w:rFonts w:ascii="仿宋_GB2312" w:eastAsia="仿宋_GB2312"/>
          <w:color w:val="000000" w:themeColor="text1"/>
          <w:sz w:val="28"/>
          <w:highlight w:val="none"/>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估价机构法定代表人签字：</w:t>
      </w:r>
    </w:p>
    <w:p w14:paraId="50444B32">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0EE88D38">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40DD68A0">
      <w:pPr>
        <w:keepNext w:val="0"/>
        <w:keepLines w:val="0"/>
        <w:pageBreakBefore w:val="0"/>
        <w:widowControl w:val="0"/>
        <w:kinsoku/>
        <w:wordWrap/>
        <w:overflowPunct/>
        <w:topLinePunct w:val="0"/>
        <w:autoSpaceDE/>
        <w:autoSpaceDN/>
        <w:bidi w:val="0"/>
        <w:spacing w:line="480" w:lineRule="exact" w:before="0" w:after="0"/>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appraisal_org }}</w:t>
      </w:r>
    </w:p>
    <w:p w14:paraId="1B0F9F6C">
      <w:pPr>
        <w:pStyle w:val="13"/>
        <w:keepNext w:val="0"/>
        <w:keepLines w:val="0"/>
        <w:pageBreakBefore w:val="0"/>
        <w:widowControl w:val="0"/>
        <w:kinsoku/>
        <w:wordWrap/>
        <w:overflowPunct/>
        <w:topLinePunct w:val="0"/>
        <w:autoSpaceDE/>
        <w:autoSpaceDN/>
        <w:bidi w:val="0"/>
        <w:spacing w:line="480" w:lineRule="exact" w:before="0" w:after="0"/>
        <w:ind w:firstLine="560"/>
        <w:textAlignment w:val="auto"/>
        <w:rPr>
          <w:rFonts w:hint="eastAsia" w:eastAsia="仿宋_GB2312"/>
          <w:color w:val="000000" w:themeColor="text1"/>
          <w:highlight w:val="none"/>
          <w:lang w:eastAsia="zh-CN"/>
          <w14:textFill>
            <w14:solidFill>
              <w14:schemeClr w14:val="tx1"/>
            </w14:solidFill>
          </w14:textFill>
        </w:rPr>
        <w:sectPr>
          <w:headerReference r:id="rId9" w:type="first"/>
          <w:footerReference r:id="rId10" w:type="first"/>
          <w:endnotePr>
            <w:numFmt w:val="decimal"/>
          </w:endnotePr>
          <w:pgSz w:w="11906" w:h="16838"/>
          <w:pgMar w:top="1440" w:right="1800" w:bottom="1440" w:left="1800" w:header="851" w:footer="992" w:gutter="0"/>
          <w:pgNumType w:fmt="decimal" w:start="1"/>
          <w:cols w:space="720" w:num="1"/>
          <w:titlePg/>
          <w:docGrid w:linePitch="312" w:charSpace="0"/>
        </w:sectPr>
      </w:pPr>
      <w:r>
        <w:rPr>
          <w:rFonts w:ascii="仿宋_GB2312" w:hAnsi="仿宋_GB2312" w:eastAsia="仿宋_GB2312" w:cs="仿宋_GB2312"/>
          <w:color w:val="000000"/>
          <w:sz w:val="28"/>
        </w:rPr>
        <w:t xml:space="preserve">                              {{ report_date }}</w:t>
      </w:r>
    </w:p>
    <w:p w14:paraId="11A4184C">
      <w:pPr>
        <w:keepNext w:val="0"/>
        <w:keepLines w:val="0"/>
        <w:pageBreakBefore w:val="0"/>
        <w:widowControl w:val="0"/>
        <w:kinsoku/>
        <w:wordWrap/>
        <w:overflowPunct/>
        <w:topLinePunct w:val="0"/>
        <w:autoSpaceDE/>
        <w:autoSpaceDN/>
        <w:bidi w:val="0"/>
        <w:adjustRightInd/>
        <w:snapToGrid/>
        <w:spacing w:line="200" w:lineRule="exact"/>
        <w:ind w:left="0" w:hanging="537" w:hangingChars="192"/>
        <w:jc w:val="center"/>
        <w:textAlignment w:val="auto"/>
        <w:outlineLvl w:val="9"/>
        <w:rPr>
          <w:rFonts w:hint="eastAsia" w:ascii="仿宋_GB2312" w:eastAsia="仿宋_GB2312"/>
          <w:b/>
          <w:bCs/>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w:t>
      </w:r>
      <w:r>
        <w:rPr>
          <w:rFonts w:hint="eastAsia" w:ascii="仿宋_GB2312" w:eastAsia="仿宋_GB2312"/>
          <w:b/>
          <w:bCs/>
          <w:color w:val="000000" w:themeColor="text1"/>
          <w:sz w:val="28"/>
          <w:highlight w:val="none"/>
          <w14:textFill>
            <w14:solidFill>
              <w14:schemeClr w14:val="tx1"/>
            </w14:solidFill>
          </w14:textFill>
        </w:rPr>
        <w:t xml:space="preserve"> </w:t>
      </w:r>
    </w:p>
    <w:p w14:paraId="0CF0DCC1">
      <w:pPr>
        <w:spacing w:line="480" w:lineRule="exact" w:before="0" w:after="0"/>
        <w:ind w:left="538" w:hanging="540" w:hangingChars="192"/>
        <w:jc w:val="center"/>
        <w:outlineLvl w:val="2"/>
        <w:rPr>
          <w:rFonts w:ascii="仿宋_GB2312" w:eastAsia="仿宋_GB2312"/>
          <w:b/>
          <w:bCs/>
          <w:color w:val="000000" w:themeColor="text1"/>
          <w:sz w:val="28"/>
          <w:highlight w:val="none"/>
          <w14:textFill>
            <w14:solidFill>
              <w14:schemeClr w14:val="tx1"/>
            </w14:solidFill>
          </w14:textFill>
        </w:rPr>
      </w:pPr>
      <w:r>
        <w:rPr>
          <w:rFonts w:hint="eastAsia" w:ascii="仿宋_GB2312" w:eastAsia="仿宋_GB2312" w:hAnsi="仿宋_GB2312" w:cs="仿宋_GB2312"/>
          <w:b/>
          <w:bCs/>
          <w:color w:val="000000" w:themeColor="text1"/>
          <w:sz w:val="28"/>
          <w:highlight w:val="none"/>
          <w14:textFill>
            <w14:solidFill>
              <w14:schemeClr w14:val="tx1"/>
            </w14:solidFill>
          </w14:textFill>
        </w:rPr>
        <w:t xml:space="preserve"> 土地估价结果一览表</w:t>
      </w:r>
    </w:p>
    <w:p w14:paraId="170F58C6">
      <w:pPr>
        <w:spacing w:line="480" w:lineRule="exact" w:before="0" w:after="0"/>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ascii="仿宋_GB2312" w:hAnsi="仿宋_GB2312" w:eastAsia="仿宋_GB2312" w:cs="仿宋_GB2312"/>
          <w:sz w:val="28"/>
        </w:rPr>
        <w:t>估价机构：{{ appraisal_org }}                                                          估价期日：{{ valuation_date }}</w:t>
      </w:r>
    </w:p>
    <w:p w14:paraId="44C42AC6">
      <w:pPr>
        <w:spacing w:line="480" w:lineRule="exact" w:before="0" w:after="0"/>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估价报告编号：{{ report_no }}           估价目的：{{ transfer_purpose }}                    估价期日的土地使用权性质：{{ right_type }}</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2"/>
        <w:gridCol w:w="975"/>
        <w:gridCol w:w="1127"/>
        <w:gridCol w:w="825"/>
        <w:gridCol w:w="809"/>
        <w:gridCol w:w="554"/>
        <w:gridCol w:w="607"/>
        <w:gridCol w:w="811"/>
        <w:gridCol w:w="466"/>
        <w:gridCol w:w="941"/>
        <w:gridCol w:w="1353"/>
        <w:gridCol w:w="1615"/>
        <w:gridCol w:w="840"/>
        <w:gridCol w:w="1007"/>
        <w:gridCol w:w="689"/>
        <w:gridCol w:w="724"/>
        <w:gridCol w:w="891"/>
        <w:gridCol w:w="683"/>
      </w:tblGrid>
      <w:tr w14:paraId="5C06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60" w:type="pct"/>
            <w:vMerge w:val="restart"/>
            <w:vAlign w:val="center"/>
            <w:tcMar>
              <w:top w:w="35" w:type="dxa"/>
              <w:left w:w="35" w:type="dxa"/>
              <w:bottom w:w="35" w:type="dxa"/>
              <w:right w:w="35" w:type="dxa"/>
            </w:tcMar>
          </w:tcPr>
          <w:p w14:paraId="4DFF3B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估价期日土地使用者</w:t>
            </w:r>
          </w:p>
        </w:tc>
        <w:tc>
          <w:tcPr>
            <w:tcW w:w="315" w:type="pct"/>
            <w:vMerge w:val="restart"/>
            <w:vAlign w:val="center"/>
            <w:tcMar>
              <w:top w:w="35" w:type="dxa"/>
              <w:left w:w="35" w:type="dxa"/>
              <w:bottom w:w="35" w:type="dxa"/>
              <w:right w:w="35" w:type="dxa"/>
            </w:tcMar>
          </w:tcPr>
          <w:p w14:paraId="1B4172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w:t>
            </w:r>
          </w:p>
          <w:p w14:paraId="5AE49D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编号</w:t>
            </w:r>
          </w:p>
        </w:tc>
        <w:tc>
          <w:tcPr>
            <w:tcW w:w="363" w:type="pct"/>
            <w:vMerge w:val="restart"/>
            <w:vAlign w:val="center"/>
            <w:tcMar>
              <w:top w:w="35" w:type="dxa"/>
              <w:left w:w="35" w:type="dxa"/>
              <w:bottom w:w="35" w:type="dxa"/>
              <w:right w:w="35" w:type="dxa"/>
            </w:tcMar>
          </w:tcPr>
          <w:p w14:paraId="52AEE5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宗地名称</w:t>
            </w:r>
          </w:p>
        </w:tc>
        <w:tc>
          <w:tcPr>
            <w:tcW w:w="267" w:type="pct"/>
            <w:vMerge w:val="restart"/>
            <w:vAlign w:val="center"/>
            <w:tcMar>
              <w:top w:w="35" w:type="dxa"/>
              <w:left w:w="35" w:type="dxa"/>
              <w:bottom w:w="35" w:type="dxa"/>
              <w:right w:w="35" w:type="dxa"/>
            </w:tcMar>
          </w:tcPr>
          <w:p w14:paraId="561DE0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土地使用证编号</w:t>
            </w:r>
          </w:p>
        </w:tc>
        <w:tc>
          <w:tcPr>
            <w:tcW w:w="641" w:type="pct"/>
            <w:gridSpan w:val="3"/>
            <w:vAlign w:val="center"/>
            <w:tcMar>
              <w:top w:w="35" w:type="dxa"/>
              <w:left w:w="35" w:type="dxa"/>
              <w:bottom w:w="35" w:type="dxa"/>
              <w:right w:w="35" w:type="dxa"/>
            </w:tcMar>
          </w:tcPr>
          <w:p w14:paraId="0B8DB7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估价期日的用途</w:t>
            </w:r>
          </w:p>
        </w:tc>
        <w:tc>
          <w:tcPr>
            <w:tcW w:w="628" w:type="pct"/>
            <w:gridSpan w:val="3"/>
            <w:vAlign w:val="center"/>
            <w:tcMar>
              <w:top w:w="35" w:type="dxa"/>
              <w:left w:w="35" w:type="dxa"/>
              <w:bottom w:w="35" w:type="dxa"/>
              <w:right w:w="35" w:type="dxa"/>
            </w:tcMar>
          </w:tcPr>
          <w:p w14:paraId="657402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容积率</w:t>
            </w:r>
          </w:p>
        </w:tc>
        <w:tc>
          <w:tcPr>
            <w:tcW w:w="435" w:type="pct"/>
            <w:vMerge w:val="restart"/>
            <w:vAlign w:val="center"/>
            <w:tcMar>
              <w:top w:w="35" w:type="dxa"/>
              <w:left w:w="35" w:type="dxa"/>
              <w:bottom w:w="35" w:type="dxa"/>
              <w:right w:w="35" w:type="dxa"/>
            </w:tcMar>
          </w:tcPr>
          <w:p w14:paraId="3E9CF4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估价期日实际土地开发程度</w:t>
            </w:r>
          </w:p>
        </w:tc>
        <w:tc>
          <w:tcPr>
            <w:tcW w:w="518" w:type="pct"/>
            <w:vMerge w:val="restart"/>
            <w:vAlign w:val="center"/>
            <w:tcMar>
              <w:top w:w="35" w:type="dxa"/>
              <w:left w:w="35" w:type="dxa"/>
              <w:bottom w:w="35" w:type="dxa"/>
              <w:right w:w="35" w:type="dxa"/>
            </w:tcMar>
          </w:tcPr>
          <w:p w14:paraId="60931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估价设定土地开发程度</w:t>
            </w:r>
          </w:p>
        </w:tc>
        <w:tc>
          <w:tcPr>
            <w:tcW w:w="272" w:type="pct"/>
            <w:vMerge w:val="restart"/>
            <w:vAlign w:val="center"/>
            <w:tcMar>
              <w:top w:w="35" w:type="dxa"/>
              <w:left w:w="35" w:type="dxa"/>
              <w:bottom w:w="35" w:type="dxa"/>
              <w:right w:w="35" w:type="dxa"/>
            </w:tcMar>
          </w:tcPr>
          <w:p w14:paraId="45052E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剩余土地使用权年期（年）</w:t>
            </w:r>
          </w:p>
        </w:tc>
        <w:tc>
          <w:tcPr>
            <w:tcW w:w="325" w:type="pct"/>
            <w:vMerge w:val="restart"/>
            <w:vAlign w:val="center"/>
            <w:tcMar>
              <w:top w:w="35" w:type="dxa"/>
              <w:left w:w="35" w:type="dxa"/>
              <w:bottom w:w="35" w:type="dxa"/>
              <w:right w:w="35" w:type="dxa"/>
            </w:tcMar>
          </w:tcPr>
          <w:p w14:paraId="7E5885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面积(㎡)</w:t>
            </w:r>
          </w:p>
        </w:tc>
        <w:tc>
          <w:tcPr>
            <w:tcW w:w="224" w:type="pct"/>
            <w:vMerge w:val="restart"/>
            <w:vAlign w:val="center"/>
            <w:tcMar>
              <w:top w:w="35" w:type="dxa"/>
              <w:left w:w="35" w:type="dxa"/>
              <w:bottom w:w="35" w:type="dxa"/>
              <w:right w:w="35" w:type="dxa"/>
            </w:tcMar>
          </w:tcPr>
          <w:p w14:paraId="3DF9A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地面地价(元/㎡)</w:t>
            </w:r>
          </w:p>
        </w:tc>
        <w:tc>
          <w:tcPr>
            <w:tcW w:w="235" w:type="pct"/>
            <w:vMerge w:val="restart"/>
            <w:vAlign w:val="center"/>
            <w:tcMar>
              <w:top w:w="35" w:type="dxa"/>
              <w:left w:w="35" w:type="dxa"/>
              <w:bottom w:w="35" w:type="dxa"/>
              <w:right w:w="35" w:type="dxa"/>
            </w:tcMar>
          </w:tcPr>
          <w:p w14:paraId="3CDEE8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楼面地价(元/㎡)</w:t>
            </w:r>
          </w:p>
        </w:tc>
        <w:tc>
          <w:tcPr>
            <w:tcW w:w="288" w:type="pct"/>
            <w:vMerge w:val="restart"/>
            <w:vAlign w:val="center"/>
            <w:tcMar>
              <w:top w:w="35" w:type="dxa"/>
              <w:left w:w="35" w:type="dxa"/>
              <w:bottom w:w="35" w:type="dxa"/>
              <w:right w:w="35" w:type="dxa"/>
            </w:tcMar>
          </w:tcPr>
          <w:p w14:paraId="2FA94C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总价</w:t>
            </w:r>
          </w:p>
          <w:p w14:paraId="2673F6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(万元)</w:t>
            </w:r>
          </w:p>
        </w:tc>
        <w:tc>
          <w:tcPr>
            <w:tcW w:w="222" w:type="pct"/>
            <w:vMerge w:val="restart"/>
            <w:vAlign w:val="center"/>
            <w:tcMar>
              <w:top w:w="35" w:type="dxa"/>
              <w:left w:w="35" w:type="dxa"/>
              <w:bottom w:w="35" w:type="dxa"/>
              <w:right w:w="35" w:type="dxa"/>
            </w:tcMar>
          </w:tcPr>
          <w:p w14:paraId="033E87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备注</w:t>
            </w:r>
          </w:p>
        </w:tc>
      </w:tr>
      <w:tr w14:paraId="6CC7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60" w:type="pct"/>
            <w:vMerge w:val="continue"/>
            <w:vAlign w:val="center"/>
          </w:tcPr>
          <w:p w14:paraId="24FAB2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5" w:type="pct"/>
            <w:vMerge w:val="continue"/>
            <w:vAlign w:val="center"/>
          </w:tcPr>
          <w:p w14:paraId="0A4C36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63" w:type="pct"/>
            <w:vMerge w:val="continue"/>
            <w:vAlign w:val="center"/>
          </w:tcPr>
          <w:p w14:paraId="05055C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140DF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Align w:val="center"/>
            <w:tcMar>
              <w:top w:w="35" w:type="dxa"/>
              <w:left w:w="35" w:type="dxa"/>
              <w:bottom w:w="35" w:type="dxa"/>
              <w:right w:w="35" w:type="dxa"/>
            </w:tcMar>
          </w:tcPr>
          <w:p w14:paraId="285EC9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证载（或批准）</w:t>
            </w:r>
          </w:p>
        </w:tc>
        <w:tc>
          <w:tcPr>
            <w:tcW w:w="181" w:type="pct"/>
            <w:vAlign w:val="center"/>
            <w:tcMar>
              <w:top w:w="35" w:type="dxa"/>
              <w:left w:w="35" w:type="dxa"/>
              <w:bottom w:w="35" w:type="dxa"/>
              <w:right w:w="35" w:type="dxa"/>
            </w:tcMar>
          </w:tcPr>
          <w:p w14:paraId="0D225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197" w:type="pct"/>
            <w:vAlign w:val="center"/>
            <w:tcMar>
              <w:top w:w="35" w:type="dxa"/>
              <w:left w:w="35" w:type="dxa"/>
              <w:bottom w:w="35" w:type="dxa"/>
              <w:right w:w="35" w:type="dxa"/>
            </w:tcMar>
          </w:tcPr>
          <w:p w14:paraId="4F974C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171" w:type="pct"/>
            <w:vAlign w:val="center"/>
            <w:tcMar>
              <w:top w:w="35" w:type="dxa"/>
              <w:left w:w="35" w:type="dxa"/>
              <w:bottom w:w="35" w:type="dxa"/>
              <w:right w:w="35" w:type="dxa"/>
            </w:tcMar>
          </w:tcPr>
          <w:p w14:paraId="2E6AEB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规划</w:t>
            </w:r>
          </w:p>
        </w:tc>
        <w:tc>
          <w:tcPr>
            <w:tcW w:w="153" w:type="pct"/>
            <w:vAlign w:val="center"/>
            <w:tcMar>
              <w:top w:w="35" w:type="dxa"/>
              <w:left w:w="35" w:type="dxa"/>
              <w:bottom w:w="35" w:type="dxa"/>
              <w:right w:w="35" w:type="dxa"/>
            </w:tcMar>
          </w:tcPr>
          <w:p w14:paraId="4961F4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303" w:type="pct"/>
            <w:vAlign w:val="center"/>
            <w:tcMar>
              <w:top w:w="35" w:type="dxa"/>
              <w:left w:w="35" w:type="dxa"/>
              <w:bottom w:w="35" w:type="dxa"/>
              <w:right w:w="35" w:type="dxa"/>
            </w:tcMar>
          </w:tcPr>
          <w:p w14:paraId="3A47FA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435" w:type="pct"/>
            <w:vMerge w:val="continue"/>
            <w:vAlign w:val="center"/>
          </w:tcPr>
          <w:p w14:paraId="10C4B6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8" w:type="pct"/>
            <w:vMerge w:val="continue"/>
            <w:vAlign w:val="center"/>
          </w:tcPr>
          <w:p w14:paraId="6092D3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72" w:type="pct"/>
            <w:vMerge w:val="continue"/>
            <w:vAlign w:val="center"/>
          </w:tcPr>
          <w:p w14:paraId="05E18C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5" w:type="pct"/>
            <w:vMerge w:val="continue"/>
            <w:vAlign w:val="center"/>
          </w:tcPr>
          <w:p w14:paraId="7B2B2A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4" w:type="pct"/>
            <w:vMerge w:val="continue"/>
            <w:vAlign w:val="center"/>
          </w:tcPr>
          <w:p w14:paraId="2FDEA4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35" w:type="pct"/>
            <w:vMerge w:val="continue"/>
            <w:vAlign w:val="center"/>
          </w:tcPr>
          <w:p w14:paraId="29F8A1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8" w:type="pct"/>
            <w:vMerge w:val="continue"/>
            <w:vAlign w:val="center"/>
          </w:tcPr>
          <w:p w14:paraId="58823D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2" w:type="pct"/>
            <w:vMerge w:val="continue"/>
            <w:vAlign w:val="center"/>
          </w:tcPr>
          <w:p w14:paraId="7BAF88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CD8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60" w:type="pct"/>
            <w:vAlign w:val="center"/>
            <w:tcMar>
              <w:top w:w="35" w:type="dxa"/>
              <w:left w:w="35" w:type="dxa"/>
              <w:bottom w:w="35" w:type="dxa"/>
              <w:right w:w="35" w:type="dxa"/>
            </w:tcMar>
          </w:tcPr>
          <w:p w14:paraId="683A53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land_user }}</w:t>
            </w:r>
          </w:p>
        </w:tc>
        <w:tc>
          <w:tcPr>
            <w:tcW w:w="315" w:type="pct"/>
            <w:vAlign w:val="center"/>
            <w:tcMar>
              <w:top w:w="35" w:type="dxa"/>
              <w:left w:w="35" w:type="dxa"/>
              <w:bottom w:w="35" w:type="dxa"/>
              <w:right w:w="35" w:type="dxa"/>
            </w:tcMar>
          </w:tcPr>
          <w:p w14:paraId="75AC02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land_plot_number }}</w:t>
            </w:r>
          </w:p>
        </w:tc>
        <w:tc>
          <w:tcPr>
            <w:tcW w:w="363" w:type="pct"/>
            <w:vAlign w:val="center"/>
            <w:tcMar>
              <w:top w:w="35" w:type="dxa"/>
              <w:left w:w="35" w:type="dxa"/>
              <w:bottom w:w="35" w:type="dxa"/>
              <w:right w:w="35" w:type="dxa"/>
            </w:tcMar>
          </w:tcPr>
          <w:p w14:paraId="0A0D7F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land_location }}{{ land_plot_number }}</w:t>
            </w:r>
          </w:p>
        </w:tc>
        <w:tc>
          <w:tcPr>
            <w:tcW w:w="267" w:type="pct"/>
            <w:vAlign w:val="center"/>
            <w:tcMar>
              <w:top w:w="35" w:type="dxa"/>
              <w:left w:w="35" w:type="dxa"/>
              <w:bottom w:w="35" w:type="dxa"/>
              <w:right w:w="35" w:type="dxa"/>
            </w:tcMar>
          </w:tcPr>
          <w:p w14:paraId="695D09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待办</w:t>
            </w:r>
          </w:p>
        </w:tc>
        <w:tc>
          <w:tcPr>
            <w:tcW w:w="262" w:type="pct"/>
            <w:vAlign w:val="center"/>
            <w:tcMar>
              <w:top w:w="35" w:type="dxa"/>
              <w:left w:w="35" w:type="dxa"/>
              <w:bottom w:w="35" w:type="dxa"/>
              <w:right w:w="35" w:type="dxa"/>
            </w:tcMar>
          </w:tcPr>
          <w:p w14:paraId="178012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81" w:type="pct"/>
            <w:vAlign w:val="center"/>
            <w:tcMar>
              <w:top w:w="35" w:type="dxa"/>
              <w:left w:w="35" w:type="dxa"/>
              <w:bottom w:w="35" w:type="dxa"/>
              <w:right w:w="35" w:type="dxa"/>
            </w:tcMar>
          </w:tcPr>
          <w:p w14:paraId="5C5964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197" w:type="pct"/>
            <w:vAlign w:val="center"/>
            <w:tcMar>
              <w:top w:w="35" w:type="dxa"/>
              <w:left w:w="35" w:type="dxa"/>
              <w:bottom w:w="35" w:type="dxa"/>
              <w:right w:w="35" w:type="dxa"/>
            </w:tcMar>
          </w:tcPr>
          <w:p w14:paraId="3B503D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71" w:type="pct"/>
            <w:vAlign w:val="center"/>
            <w:tcMar>
              <w:top w:w="35" w:type="dxa"/>
              <w:left w:w="35" w:type="dxa"/>
              <w:bottom w:w="35" w:type="dxa"/>
              <w:right w:w="35" w:type="dxa"/>
            </w:tcMar>
          </w:tcPr>
          <w:p w14:paraId="7695DB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plot_ratio_display }}</w:t>
            </w:r>
          </w:p>
        </w:tc>
        <w:tc>
          <w:tcPr>
            <w:tcW w:w="153" w:type="pct"/>
            <w:vAlign w:val="center"/>
            <w:tcMar>
              <w:top w:w="35" w:type="dxa"/>
              <w:left w:w="35" w:type="dxa"/>
              <w:bottom w:w="35" w:type="dxa"/>
              <w:right w:w="35" w:type="dxa"/>
            </w:tcMar>
          </w:tcPr>
          <w:p w14:paraId="46C1A9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303" w:type="pct"/>
            <w:vAlign w:val="center"/>
            <w:tcMar>
              <w:top w:w="35" w:type="dxa"/>
              <w:left w:w="35" w:type="dxa"/>
              <w:bottom w:w="35" w:type="dxa"/>
              <w:right w:w="35" w:type="dxa"/>
            </w:tcMar>
          </w:tcPr>
          <w:p w14:paraId="35A8B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 }}</w:t>
            </w:r>
          </w:p>
        </w:tc>
        <w:tc>
          <w:tcPr>
            <w:tcW w:w="435" w:type="pct"/>
            <w:vAlign w:val="center"/>
            <w:tcMar>
              <w:top w:w="35" w:type="dxa"/>
              <w:left w:w="35" w:type="dxa"/>
              <w:bottom w:w="35" w:type="dxa"/>
              <w:right w:w="35" w:type="dxa"/>
            </w:tcMar>
          </w:tcPr>
          <w:p w14:paraId="0DF97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land_development_actual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518" w:type="pct"/>
            <w:vAlign w:val="center"/>
            <w:tcMar>
              <w:top w:w="35" w:type="dxa"/>
              <w:left w:w="35" w:type="dxa"/>
              <w:bottom w:w="35" w:type="dxa"/>
              <w:right w:w="35" w:type="dxa"/>
            </w:tcMar>
          </w:tcPr>
          <w:p w14:paraId="44D12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land_development_set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272" w:type="pct"/>
            <w:vAlign w:val="center"/>
            <w:tcMar>
              <w:top w:w="35" w:type="dxa"/>
              <w:left w:w="35" w:type="dxa"/>
              <w:bottom w:w="35" w:type="dxa"/>
              <w:right w:w="35" w:type="dxa"/>
            </w:tcMar>
          </w:tcPr>
          <w:p w14:paraId="15C70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land_use_term_years }}</w:t>
            </w:r>
          </w:p>
        </w:tc>
        <w:tc>
          <w:tcPr>
            <w:tcW w:w="325" w:type="pct"/>
            <w:vAlign w:val="center"/>
            <w:tcMar>
              <w:top w:w="35" w:type="dxa"/>
              <w:left w:w="35" w:type="dxa"/>
              <w:bottom w:w="35" w:type="dxa"/>
              <w:right w:w="35" w:type="dxa"/>
            </w:tcMar>
          </w:tcPr>
          <w:p w14:paraId="197EBC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land_area }}</w:t>
            </w:r>
          </w:p>
        </w:tc>
        <w:tc>
          <w:tcPr>
            <w:tcW w:w="224" w:type="pct"/>
            <w:vAlign w:val="center"/>
            <w:tcMar>
              <w:top w:w="35" w:type="dxa"/>
              <w:left w:w="35" w:type="dxa"/>
              <w:bottom w:w="35" w:type="dxa"/>
              <w:right w:w="35" w:type="dxa"/>
            </w:tcMar>
          </w:tcPr>
          <w:p w14:paraId="4EF124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16"/>
              </w:rPr>
              <w:t>{{ final_unit_price }}</w:t>
            </w:r>
          </w:p>
        </w:tc>
        <w:tc>
          <w:tcPr>
            <w:tcW w:w="235" w:type="pct"/>
            <w:vAlign w:val="center"/>
            <w:tcMar>
              <w:top w:w="35" w:type="dxa"/>
              <w:left w:w="35" w:type="dxa"/>
              <w:bottom w:w="35" w:type="dxa"/>
              <w:right w:w="35" w:type="dxa"/>
            </w:tcMar>
          </w:tcPr>
          <w:p w14:paraId="6B11CD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w:t>
            </w:r>
          </w:p>
        </w:tc>
        <w:tc>
          <w:tcPr>
            <w:tcW w:w="288" w:type="pct"/>
            <w:shd w:val="clear" w:color="auto" w:fill="auto"/>
            <w:vAlign w:val="center"/>
            <w:tcMar>
              <w:top w:w="35" w:type="dxa"/>
              <w:left w:w="35" w:type="dxa"/>
              <w:bottom w:w="35" w:type="dxa"/>
              <w:right w:w="35" w:type="dxa"/>
            </w:tcMar>
          </w:tcPr>
          <w:p w14:paraId="3C51DF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ascii="仿宋_GB2312" w:hAnsi="仿宋_GB2312" w:eastAsia="仿宋_GB2312" w:cs="仿宋_GB2312"/>
                <w:color w:val="000000"/>
                <w:sz w:val="16"/>
              </w:rPr>
              <w:t>{{ final_total_price }}</w:t>
            </w:r>
          </w:p>
        </w:tc>
        <w:tc>
          <w:tcPr>
            <w:tcW w:w="222" w:type="pct"/>
            <w:vAlign w:val="center"/>
            <w:tcMar>
              <w:top w:w="35" w:type="dxa"/>
              <w:left w:w="35" w:type="dxa"/>
              <w:bottom w:w="35" w:type="dxa"/>
              <w:right w:w="35" w:type="dxa"/>
            </w:tcMar>
          </w:tcPr>
          <w:p w14:paraId="02E196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合</w:t>
            </w:r>
            <w:r>
              <w:rPr>
                <w:rFonts w:hint="eastAsia" w:ascii="宋体" w:hAnsi="宋体" w:eastAsia="宋体" w:cs="宋体"/>
                <w:color w:val="000000" w:themeColor="text1"/>
                <w:spacing w:val="0"/>
                <w:sz w:val="16"/>
                <w:szCs w:val="21"/>
                <w:highlight w:val="none"/>
                <w:lang w:val="en-US" w:eastAsia="zh-CN"/>
                <w14:textFill>
                  <w14:solidFill>
                    <w14:schemeClr w14:val="tx1"/>
                  </w14:solidFill>
                </w14:textFill>
              </w:rPr>
              <w:t>10.7</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万元/亩</w:t>
            </w:r>
          </w:p>
        </w:tc>
      </w:tr>
    </w:tbl>
    <w:p w14:paraId="7891DF7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排水、供水</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7F132A0A">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一、上述土地估价结果的限定条件</w:t>
      </w:r>
    </w:p>
    <w:p w14:paraId="370D3D0D">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1.根据《关于国有建设用地的规划条件的函》（2025年9月11日），估价对象位于{{ land_location_full }}，估价对象土地所有权为国有，本次评估设定土地使用权性质为{{ right_type }}，土地使用者为{{ land_user }}。根据委托方提供相关资料和估价人员调查结果，截至估价期日估价对象未有抵押权、地役权、租赁权等他项权利登记，本次评估设定估价对象地上无抵押权、地役权、租赁权等他项权利登记；</w:t>
      </w:r>
      <w:r>
        <w:rPr>
          <w:rFonts w:ascii="仿宋_GB2312" w:hAnsi="仿宋_GB2312" w:eastAsia="仿宋_GB2312" w:cs="仿宋_GB2312"/>
          <w:color w:val="000000"/>
          <w:sz w:val="28"/>
        </w:rPr>
      </w:r>
    </w:p>
    <w:p w14:paraId="7785B2A9">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2.基础设施条件：估价对象土地实际开发程度为{{ land_development_actual }}，详见下表。</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2322"/>
        <w:gridCol w:w="3011"/>
        <w:gridCol w:w="2048"/>
        <w:gridCol w:w="2448"/>
        <w:gridCol w:w="4194"/>
      </w:tblGrid>
      <w:tr w14:paraId="1E1D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1" w:type="pct"/>
            <w:noWrap w:val="0"/>
            <w:vAlign w:val="center"/>
          </w:tcPr>
          <w:p w14:paraId="44D543C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3A447DE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15C9E47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651" w:type="pct"/>
            <w:noWrap w:val="0"/>
            <w:vAlign w:val="center"/>
          </w:tcPr>
          <w:p w14:paraId="096C27E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778" w:type="pct"/>
            <w:noWrap w:val="0"/>
            <w:vAlign w:val="center"/>
          </w:tcPr>
          <w:p w14:paraId="6FB3AF1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333" w:type="pct"/>
            <w:noWrap w:val="0"/>
            <w:vAlign w:val="center"/>
          </w:tcPr>
          <w:p w14:paraId="7F48AD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42EB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41" w:type="pct"/>
            <w:noWrap w:val="0"/>
            <w:vAlign w:val="center"/>
          </w:tcPr>
          <w:p w14:paraId="7B088AAB">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22A5966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0B559232">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1072708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651" w:type="pct"/>
            <w:noWrap w:val="0"/>
            <w:vAlign w:val="center"/>
          </w:tcPr>
          <w:p w14:paraId="7E44F5B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778" w:type="pct"/>
            <w:noWrap w:val="0"/>
            <w:vAlign w:val="center"/>
          </w:tcPr>
          <w:p w14:paraId="1180883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333" w:type="pct"/>
            <w:noWrap w:val="0"/>
            <w:vAlign w:val="center"/>
          </w:tcPr>
          <w:p w14:paraId="1F929EE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5D89970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3.规划限制条件：根据《关于国有建设用地的规划条件的函》（2025年9月11日），估价对象位于{{ land_location_full }}，用地面积{{ land_area }}平方米。</w:t>
      </w:r>
      <w:r>
        <w:rPr>
          <w:rFonts w:ascii="仿宋_GB2312" w:hAnsi="仿宋_GB2312" w:eastAsia="仿宋_GB2312" w:cs="仿宋_GB2312"/>
          <w:color w:val="000000"/>
          <w:sz w:val="28"/>
        </w:rPr>
      </w:r>
    </w:p>
    <w:p w14:paraId="72DFE86F">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4.影响土地价值的其他限定条件：无。</w:t>
      </w:r>
    </w:p>
    <w:p w14:paraId="2B47F6B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 xml:space="preserve">二、其他需要说明的事项 </w:t>
      </w:r>
    </w:p>
    <w:p w14:paraId="7A3E6D39">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2BCEE574">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2.本估价报告有效期自提交估价报告日{{ report_date }}至{{ report_valid_until }}一年内有效。</w:t>
      </w:r>
    </w:p>
    <w:p w14:paraId="459F75BC">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3.估价结果按规定须报请自然资源主管部门备案。</w:t>
      </w:r>
    </w:p>
    <w:p w14:paraId="03091924">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4.本评估报告中涉及的土地面积、土地权属、土地用途、规划利用指标以委托方提供的《关于国有建设用地的规划条件的函》（2025年9月11日）和《{{ county_name }}{{ land_plot_number }}号地块建设用地规划红线图》为依据，本报告估价结果是在满足地价定义所设定条件下的使用权价格，若估价期日、土地利用方式、土地开发状况、土地面积等影响地价的任一因素发生变化，则该估价结果应作相应调整。</w:t>
      </w:r>
      <w:r>
        <w:rPr>
          <w:rFonts w:ascii="仿宋_GB2312" w:hAnsi="仿宋_GB2312" w:eastAsia="仿宋_GB2312" w:cs="仿宋_GB2312"/>
          <w:color w:val="000000"/>
          <w:sz w:val="28"/>
        </w:rPr>
      </w:r>
    </w:p>
    <w:p w14:paraId="329D4C3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5.依据{{ client_name }}《关于国有建设用地的规划条件的函》（2025年9月11日），用地面积{{ land_area }}平方米，本次评估面积以拟出让地块红线图的供应面积为准。</w:t>
      </w:r>
    </w:p>
    <w:p w14:paraId="7C2B4B6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099D94EF">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4682344D">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 appraisal_org }}                                                                                                                                                                                                                    </w:t>
      </w:r>
    </w:p>
    <w:p w14:paraId="2B90C411">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 report_date }}</w:t>
      </w:r>
    </w:p>
    <w:p w14:paraId="1890A5BA">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type w:val="continuous"/>
          <w:pgSz w:w="16838" w:h="11906" w:orient="landscape"/>
          <w:pgMar w:top="720" w:right="663" w:bottom="720" w:left="663" w:header="624" w:footer="624" w:gutter="0"/>
          <w:pgNumType w:fmt="decimal"/>
          <w:cols w:space="720" w:num="1"/>
          <w:docGrid w:linePitch="312" w:charSpace="0"/>
        </w:sectPr>
      </w:pPr>
    </w:p>
    <w:p w14:paraId="6BD788E0">
      <w:pPr>
        <w:spacing w:before="0" w:beforeLines="50" w:after="0" w:afterLines="100" w:line="560" w:lineRule="exact"/>
        <w:ind w:left="641" w:firstLine="180" w:firstLineChars="56"/>
        <w:jc w:val="center"/>
        <w:outlineLvl w:val="0"/>
        <w:rPr>
          <w:rFonts w:ascii="宋体" w:hAnsi="宋体"/>
          <w:b/>
          <w:color w:val="000000" w:themeColor="text1"/>
          <w:sz w:val="32"/>
          <w:szCs w:val="32"/>
          <w:highlight w:val="none"/>
          <w14:textFill>
            <w14:solidFill>
              <w14:schemeClr w14:val="tx1"/>
            </w14:solidFill>
          </w14:textFill>
        </w:rPr>
      </w:pPr>
      <w:r>
        <w:rPr>
          <w:rFonts w:hint="eastAsia" w:ascii="宋体" w:hAnsi="宋体" w:eastAsia="宋体" w:cs="宋体"/>
          <w:b/>
          <w:bCs/>
          <w:color w:val="000000" w:themeColor="text1"/>
          <w:sz w:val="32"/>
          <w:highlight w:val="none"/>
          <w14:textFill>
            <w14:solidFill>
              <w14:schemeClr w14:val="tx1"/>
            </w14:solidFill>
          </w14:textFill>
        </w:rPr>
        <w:t>第二部分    估价对象界定</w:t>
      </w:r>
    </w:p>
    <w:p w14:paraId="3CD27D98">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一、委托估价方</w:t>
      </w:r>
    </w:p>
    <w:p w14:paraId="222853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委托估价方：{{ client_name }} </w:t>
      </w:r>
    </w:p>
    <w:p w14:paraId="5210314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 client_org_code }}</w:t>
      </w:r>
    </w:p>
    <w:p w14:paraId="10EAE09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 client_principal }}</w:t>
      </w:r>
    </w:p>
    <w:p w14:paraId="0EA4EA1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 client_org_type }}</w:t>
      </w:r>
    </w:p>
    <w:p w14:paraId="023DBD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 client_address }}</w:t>
      </w:r>
    </w:p>
    <w:p w14:paraId="0507BE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联 系 人：{{ client_contact }}</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r>
      <w:r>
        <w:rPr>
          <w:rFonts w:hint="eastAsia" w:ascii="仿宋_GB2312" w:eastAsia="仿宋_GB2312" w:hAnsi="仿宋_GB2312" w:cs="仿宋_GB2312"/>
          <w:color w:val="000000" w:themeColor="text1"/>
          <w:sz w:val="28"/>
          <w:szCs w:val="30"/>
          <w:highlight w:val="none"/>
          <w14:textFill>
            <w14:solidFill>
              <w14:schemeClr w14:val="tx1"/>
            </w14:solidFill>
          </w14:textFill>
        </w:rPr>
      </w:r>
    </w:p>
    <w:p w14:paraId="556188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联系电话：{{ client_phone }}</w:t>
      </w:r>
    </w:p>
    <w:p w14:paraId="441D6F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 client_postcode }}</w:t>
      </w:r>
    </w:p>
    <w:p w14:paraId="5639949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与估价对象土地使用者之间的关系：委托方为本次估价委托方，土地使用者为{{ land_user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772789BC">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二、估价对象</w:t>
      </w:r>
    </w:p>
    <w:p w14:paraId="29E9AA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本次估价对象为{{ client_name }}{{ transfer_purpose }}涉及的位于{{ land_location_full }}的{{ parcel_count }}{{ land_usage }}国有建设用地使用权，根据《评估委托书》、{{ basis_docs_rendered }}、《{{ county_name }}{{ land_plot_number }}号地块建设用地规划红线图》等资料，估价对象土地面积为{{ land_area }}平方米，土地开发程度为{{ land_development_set }}，土地使用者为{{ land_user }}。</w:t>
      </w:r>
      <w:r>
        <w:rPr>
          <w:rFonts w:ascii="仿宋_GB2312" w:hAnsi="仿宋_GB2312" w:eastAsia="仿宋_GB2312" w:cs="仿宋_GB2312"/>
          <w:color w:val="000000"/>
          <w:sz w:val="28"/>
        </w:rPr>
      </w:r>
    </w:p>
    <w:p w14:paraId="5650E2D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估价对象仅为国有建设用地使用权，不包括其他土地附着物、动产、债权债务、特许经营权等其他财产或权益。</w:t>
      </w:r>
    </w:p>
    <w:p w14:paraId="066C5006">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三、估价对象概况</w:t>
      </w:r>
    </w:p>
    <w:p w14:paraId="403B3C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（一）土地登记状况</w:t>
      </w:r>
    </w:p>
    <w:p>
      <w:pPr>
        <w:spacing w:before="0" w:after="0" w:line="480" w:lineRule="exact"/>
        <w:ind w:left="561" w:firstLine="0"/>
      </w:pPr>
      <w:r>
        <w:rPr>
          <w:rFonts w:ascii="仿宋_GB2312" w:hAnsi="仿宋_GB2312" w:eastAsia="仿宋_GB2312" w:cs="仿宋_GB2312"/>
          <w:sz w:val="28"/>
        </w:rPr>
        <w:t>{{ land_registration_desc }}</w:t>
      </w:r>
    </w:p>
    <w:p w14:paraId="3A3D5A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（二）土地权利状况</w:t>
      </w:r>
    </w:p>
    <w:p>
      <w:pPr>
        <w:spacing w:before="0" w:after="0" w:line="480" w:lineRule="exact"/>
        <w:ind w:left="561" w:firstLine="0"/>
      </w:pPr>
      <w:r>
        <w:rPr>
          <w:rFonts w:ascii="仿宋_GB2312" w:hAnsi="仿宋_GB2312" w:eastAsia="仿宋_GB2312" w:cs="仿宋_GB2312"/>
          <w:sz w:val="28"/>
        </w:rPr>
        <w:t>{{ land_right_desc }}</w:t>
      </w:r>
    </w:p>
    <w:p w14:paraId="6EC8BC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（三）土地利用状况</w:t>
      </w:r>
    </w:p>
    <w:p w14:paraId="75B8A2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pPr>
        <w:spacing w:before="0" w:after="0" w:line="480" w:lineRule="exact"/>
        <w:ind w:left="561" w:firstLine="0"/>
      </w:pPr>
      <w:r>
        <w:rPr>
          <w:rFonts w:ascii="仿宋_GB2312" w:hAnsi="仿宋_GB2312" w:eastAsia="仿宋_GB2312" w:cs="仿宋_GB2312"/>
          <w:sz w:val="28"/>
        </w:rPr>
        <w:t>{{ land_use_status_desc }}</w:t>
      </w:r>
    </w:p>
    <w:p>
      <w:pPr>
        <w:spacing w:before="0" w:after="0" w:line="480" w:lineRule="exact"/>
        <w:ind w:left="561" w:firstLine="0"/>
      </w:pPr>
      <w:r>
        <w:rPr>
          <w:rFonts w:ascii="仿宋_GB2312" w:hAnsi="仿宋_GB2312" w:eastAsia="仿宋_GB2312" w:cs="仿宋_GB2312"/>
          <w:sz w:val="28"/>
        </w:rPr>
        <w:t>估价对象利用现状如下：</w:t>
      </w:r>
    </w:p>
    <w:p w14:paraId="3892FF0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34C703D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333228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FB5FD1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7F99139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p>
    <w:p w14:paraId="4D8F55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681B729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1D814087">
      <w:pPr>
        <w:keepNext w:val="0"/>
        <w:keepLines w:val="0"/>
        <w:pageBreakBefore w:val="0"/>
        <w:widowControl w:val="0"/>
        <w:tabs>
          <w:tab w:val="left" w:pos="1050"/>
        </w:tabs>
        <w:kinsoku/>
        <w:wordWrap/>
        <w:overflowPunct/>
        <w:topLinePunct w:val="0"/>
        <w:autoSpaceDE/>
        <w:autoSpaceDN/>
        <w:bidi w:val="0"/>
        <w:spacing w:line="480" w:lineRule="exact" w:before="0" w:after="0"/>
        <w:ind w:right="23" w:firstLine="562" w:firstLineChars="200"/>
        <w:textAlignment w:val="auto"/>
        <w:outlineLvl w:val="1"/>
        <w:rPr>
          <w:rFonts w:ascii="仿宋" w:hAnsi="仿宋" w:eastAsia="仿宋"/>
          <w:color w:val="000000" w:themeColor="text1"/>
          <w:sz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四、影响地价的因素说明</w:t>
      </w:r>
    </w:p>
    <w:p w14:paraId="4B572F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(一)一般因素</w:t>
      </w:r>
    </w:p>
    <w:p w14:paraId="4366BDE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422B526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2C42317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2895C41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00C9C0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6A6EA4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35009D3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48A7CD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791385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BA3D32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25152C2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758EAF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61AF73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359D6CA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2A3CC0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690BC0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2022年2月8日，道县第三次国土调查结果经县政府、永州市“三调”办审议并原则同意后，道县第三次国土调查领导小组办公室、{{ client_name }}、道县统计局印发了《道县第三次国土调查主要数据公报》，道县主要地类数据如下：</w:t>
      </w:r>
    </w:p>
    <w:p w14:paraId="1D4F5A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4B7DD3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435FC6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3AFFA5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2863155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3F986F8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26D1C2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5140AF5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D54A7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7E56D9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3CED0E1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69AA2A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0647595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58B98C2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566DB3B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6DF65C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7D4A512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0C1A436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3A92DB8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7E2A0F5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70412E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384E11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099965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17AF1EA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418ABB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5CEE065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4470CB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1F64BA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4DE428B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782FF9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7FF5A8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2EB033E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21F8B2B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1627E9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108631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29F31E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9FE85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A43D0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97222D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243AB6D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17811CF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2CC2199">
      <w:pPr>
        <w:keepLines w:val="0"/>
        <w:pageBreakBefore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0E950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A34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FE5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81C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09E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63D84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FA9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554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F56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B9A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1FA62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8D8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492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FDA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425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25BB6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F58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70B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894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EF8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1E0C1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36E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81D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1C5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D77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7888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B1E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CBA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AE5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B50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2740F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F19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1C9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F3C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31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596E0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5D8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B64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952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3FB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17A47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01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F62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6B8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9A8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1D04DA12">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547DD2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4654550" cy="2590800"/>
            <wp:effectExtent l="4445" t="4445" r="19685" b="10795"/>
            <wp:docPr id="63"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A26772A">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道县2020-2024年土地供应总量图</w:t>
      </w:r>
    </w:p>
    <w:p w14:paraId="7997F6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4DD3CD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3A34AC59">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道县2020-2024年土地供应情况表</w:t>
      </w:r>
    </w:p>
    <w:p w14:paraId="1646A79D">
      <w:pPr>
        <w:pStyle w:val="14"/>
        <w:spacing w:before="0" w:after="0" w:line="480" w:lineRule="exact"/>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p w14:paraId="08CB03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757545" cy="2015490"/>
            <wp:effectExtent l="0" t="0" r="3175" b="1143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inline>
        </w:drawing>
      </w:r>
    </w:p>
    <w:p w14:paraId="641D15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color w:val="000000" w:themeColor="text1"/>
          <w:highlight w:val="none"/>
          <w14:textFill>
            <w14:solidFill>
              <w14:schemeClr w14:val="tx1"/>
            </w14:solidFill>
          </w14:textFill>
        </w:rPr>
      </w:pPr>
    </w:p>
    <w:p w14:paraId="5FAE31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3742055" cy="2219960"/>
            <wp:effectExtent l="4445" t="4445" r="17780" b="15875"/>
            <wp:docPr id="64"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E715250">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道县2020-2024年土地供应结构图</w:t>
      </w:r>
    </w:p>
    <w:p w14:paraId="777A777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273227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32AE3E1A">
      <w:pPr>
        <w:keepLines w:val="0"/>
        <w:pageBreakBefore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道县2020-2024年土地供应方式情况表</w:t>
      </w:r>
    </w:p>
    <w:p w14:paraId="2508AB32">
      <w:pPr>
        <w:pStyle w:val="14"/>
        <w:spacing w:before="0" w:after="0" w:line="480" w:lineRule="exact"/>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5C47E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CF2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E7F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C15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41D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4B280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7E1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605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4A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5E8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484C9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06A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CCA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904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932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02B17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9227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9E1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9D4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4B2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7A63F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914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87A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926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DF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42F58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96F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09CF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4BF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AE3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4225C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7A7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836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4F4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A74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31B0D5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00ACBD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767141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35D638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045728A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F8377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0E950E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74FC75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284F8C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F16EE2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68FB6F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B47FC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13AF87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E56D8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08EED6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21A8A8A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6009B6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261B2C4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170778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1B190A2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36DE5F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19A1E75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1DFF65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4569ED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752D8D6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3CB2CF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2C482D6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1A178A7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4935300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6D6D9E5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2023年5月，{{ base_price_doc_authority }}关于印发《道县进一步促进房地产市场平稳健康发展的十条措施》的通知，结合道县实际，制定十条措施保障房地产市场健康发展：</w:t>
      </w:r>
    </w:p>
    <w:p w14:paraId="0121425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4D63031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4300DCA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53E7E0C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780B662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52F96E0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0AC076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01BC37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2CC2A0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4915A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4D58C2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18E2EAE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5C5841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64A9F2F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2506580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285AFE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13EC95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1EB3273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5AB957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7E2468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203B1A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66564A5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4717502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375509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01E50F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4686AF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374A230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687B82C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4187B9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431201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21A0AE5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53194B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209973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51ADAA4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19EE114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82951A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61C1328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477FD08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180E96D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1874895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2AE0A27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51F13C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51231C9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5D3D4DC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7FF10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458F9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3CDF9A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5D39204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66E929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158EAB8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62304E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6159FA4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01F1BC0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62A6B2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3DD93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7E663FD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1D47E46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77227A8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6386851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7A01944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3C96210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1BA8E4D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22F87B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339E2D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6C8C11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38DA4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6124C4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722C1C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3CA7E4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5F8DE56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6994D63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4FAB7E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6791673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AD583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367D1B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949A5E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2F22614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090B29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28FA135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0E8544C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215608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4F2952E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0286C68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C61EA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661AD1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44DA3D7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52F1821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0A4BE403">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7FAFBBA">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18B8BE7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276D25C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5CB6D88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284489C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05C1ABB">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 base_price_doc_authority }}网发布的消息，道县目前城市经济布局主要突出以下几个方面：</w:t>
      </w:r>
    </w:p>
    <w:p w14:paraId="4163C2F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71B0B69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3B65C784">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302882E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02ED6B67">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7E45BD32">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2F16459C">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330A78C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31B8B2C8">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4477E263">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0933A585">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75F2DA9C">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A5A03E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5970DA3E">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5B971D0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501ECDA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69E303B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(二)区域因素</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ab/>
      </w:r>
    </w:p>
    <w:p w14:paraId="72714E1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1D4C8D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37D86E7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0D70EA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6544F15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6403E6F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42DB945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2D1CC2E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64B7D7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county_name }}城镇基准地价的颁布实施时间为{{ base_price_publish_date }}，批准文号为{{ base_price_doc_no }}，文件名称为{{ base_price_doc_name }}（{{ base_price_doc_no }}，{{ base_price_publish_date }}），批准机关为{{ base_price_doc_authority }}，基准地价估价基准日为{{ base_price_base_date }}，距基准地价估价基准日已满{{ base_price_elapsed_years_text }}年，故暂无土地级别信息。</w:t>
      </w:r>
    </w:p>
    <w:p w14:paraId="56CB68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0900C5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6049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47C88F47">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（1）对内交通条件</w:t>
      </w:r>
    </w:p>
    <w:p w14:paraId="044D550C">
      <w:pPr>
        <w:spacing w:line="480" w:lineRule="exact" w:before="0" w:after="0"/>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境内有县城到</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CE0F72F">
      <w:pPr>
        <w:spacing w:line="480" w:lineRule="exact" w:before="0" w:after="0"/>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估价对象距四马桥镇客运站12km。</w:t>
      </w:r>
    </w:p>
    <w:p w14:paraId="089F9922">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（2）对外交通条件</w:t>
      </w:r>
    </w:p>
    <w:p w14:paraId="545AF4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hAnsi="仿宋_GB2312" w:cs="仿宋_GB2312"/>
          <w:color w:val="000000" w:themeColor="text1"/>
          <w:sz w:val="28"/>
          <w:szCs w:val="30"/>
          <w:highlight w:val="none"/>
          <w14:textFill>
            <w14:solidFill>
              <w14:schemeClr w14:val="tx1"/>
            </w14:solidFill>
          </w14:textFill>
        </w:rPr>
        <w:t>区域的外联道路主要</w:t>
      </w:r>
      <w:r>
        <w:rPr>
          <w:rFonts w:hint="default" w:ascii="仿宋_GB2312" w:eastAsia="仿宋_GB2312" w:hAnsi="仿宋_GB2312" w:cs="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等。</w:t>
      </w:r>
    </w:p>
    <w:p w14:paraId="4FFD9DF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709A43D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2F38F0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52E6987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510F37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2C2C6E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E41B4B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5A59E0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593BE6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113B5DA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11428BE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667DBA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1735F52D">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（1）人文环境</w:t>
      </w:r>
    </w:p>
    <w:p w14:paraId="2607F4A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536EBFB5">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（2）自然环境</w:t>
      </w:r>
    </w:p>
    <w:p w14:paraId="1BB2278B">
      <w:pPr>
        <w:spacing w:line="480" w:lineRule="exact" w:before="0" w:after="0"/>
        <w:ind w:firstLine="560" w:firstLineChars="200"/>
        <w:outlineLvl w:val="9"/>
        <w:rPr>
          <w:rFonts w:hint="default" w:ascii="仿宋_GB2312" w:eastAsia="仿宋_GB2312"/>
          <w:color w:val="auto"/>
          <w:sz w:val="28"/>
          <w:szCs w:val="30"/>
          <w:highlight w:val="none"/>
        </w:rPr>
      </w:pPr>
      <w:r>
        <w:rPr>
          <w:rFonts w:hint="default" w:ascii="仿宋_GB2312" w:eastAsia="仿宋_GB2312" w:hAnsi="仿宋_GB2312" w:cs="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22F4227B">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auto"/>
          <w:sz w:val="28"/>
          <w:szCs w:val="30"/>
          <w:highlight w:val="none"/>
        </w:rPr>
        <w:t>宗地所在区域，地质条</w:t>
      </w:r>
      <w:r>
        <w:rPr>
          <w:rFonts w:hint="eastAsia" w:ascii="仿宋_GB2312" w:eastAsia="仿宋_GB2312" w:hAnsi="仿宋_GB2312" w:cs="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hAnsi="仿宋_GB2312" w:cs="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F2840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2EC25ED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5688FE8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39FA9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61E131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4A12677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估价对象位于{{ land_location }}，估价对价对象交通由支路构成，区域交通条件差。距离最近火车站（江华火车站）约12km，距火车站距离差；区域基础设施状况一般，区域内产业集聚度差。</w:t>
      </w:r>
    </w:p>
    <w:p w14:paraId="145F5F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364019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(三)个别因素</w:t>
      </w:r>
    </w:p>
    <w:p w14:paraId="4C8C8F28">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0D565D1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7DF5C5BA">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05C13040">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406E676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根据委托估价方提供的《关于国有建设用地的规划条件的函》（2025年9月11日），估价对象土地面积为{{ land_area }}平方米，面积适中，对土地利用有利。</w:t>
      </w:r>
    </w:p>
    <w:p w14:paraId="0BF01DA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77D8C53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3504F6AD">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523EACAC">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51680C86">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根据委托估价方提供的《{{ county_name }}{{ land_plot_number }}号地块建设用地规划红线图》，宗地形状基本规则，对利用无影响。</w:t>
      </w:r>
      <w:r>
        <w:rPr>
          <w:rFonts w:ascii="仿宋_GB2312" w:hAnsi="仿宋_GB2312" w:eastAsia="仿宋_GB2312" w:cs="仿宋_GB2312"/>
          <w:color w:val="000000"/>
          <w:sz w:val="28"/>
        </w:rPr>
      </w:r>
    </w:p>
    <w:p w14:paraId="0FCC2F77">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2ADABEAB">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834E80">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221558E6">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A907B0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76C90B0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FE6979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6CA09E1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6CD3C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61B55515">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 name="图片 1"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5D9B8107">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3" name="图片 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02073010">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60982C1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1AF2793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849B2D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7C88930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p>
    <w:p w14:paraId="37F0EB9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6EBA7B6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11A7E29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46A524AA">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5C96FA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516EFC0F">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6D7AC5FB">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310ED1DA">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68010F06">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9EF1C13">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11" w:type="first"/>
          <w:footerReference r:id="rId12" w:type="first"/>
          <w:endnotePr>
            <w:numFmt w:val="decimal"/>
          </w:endnotePr>
          <w:type w:val="continuous"/>
          <w:pgSz w:w="11906" w:h="16838"/>
          <w:pgMar w:top="1440" w:right="1800" w:bottom="1440" w:left="1800" w:header="851" w:footer="992"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6A8170F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D4FE92F">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3" w:type="first"/>
          <w:footerReference r:id="rId14"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A2C50C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0DD4A18E">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5" w:type="first"/>
          <w:footerReference r:id="rId16"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7B6D4CF8">
      <w:pPr>
        <w:tabs>
          <w:tab w:val="left" w:pos="0"/>
        </w:tabs>
        <w:spacing w:before="0" w:beforeLines="50" w:after="0" w:afterLines="100" w:line="560" w:lineRule="exact"/>
        <w:jc w:val="center"/>
        <w:outlineLvl w:val="1"/>
        <w:rPr>
          <w:rFonts w:ascii="宋体" w:hAnsi="宋体"/>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第三部分   土地估价结果及其使用</w:t>
      </w:r>
    </w:p>
    <w:p w14:paraId="11C473B3">
      <w:pPr>
        <w:keepNext w:val="0"/>
        <w:keepLines w:val="0"/>
        <w:pageBreakBefore w:val="0"/>
        <w:widowControl w:val="0"/>
        <w:kinsoku/>
        <w:wordWrap/>
        <w:topLinePunct w:val="0"/>
        <w:bidi w:val="0"/>
        <w:spacing w:line="480" w:lineRule="exact" w:before="0" w:after="0"/>
        <w:ind w:firstLine="562" w:firstLineChars="200"/>
        <w:textAlignment w:val="auto"/>
        <w:outlineLvl w:val="1"/>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一、估价依据</w:t>
      </w:r>
    </w:p>
    <w:p w14:paraId="1648BD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（一）国家相关法律、法规及行政规章</w:t>
      </w:r>
    </w:p>
    <w:p w14:paraId="1B5806B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6F3C2A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0BC1F6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63647F1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128CF79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497821B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1A4656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4F133C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E36E0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4AA5D2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512B02D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227F01E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33FB13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ABC4EE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0535F00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5ACFB4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3FCDC4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68AFA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7FBA967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2F0B971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4CA2CE4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5EE35B3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333AF4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071A13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0B5784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7A4D49E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3ED8EC0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2391820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5862CE3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6F488D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2FBB4B4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7D2BEB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03436E5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3EFDB13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311FB5F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745EFC4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1A7D8E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5F5DB1F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2024年2月1日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p>
    <w:p w14:paraId="07171B1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2064FA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70439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C7F72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3841216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47E5D6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93D3BC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EB1900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eastAsia="宋体"/>
          <w:color w:val="000000" w:themeColor="text1"/>
          <w:highlight w:val="none"/>
          <w:lang w:eastAsia="zh-CN"/>
          <w14:textFill>
            <w14:solidFill>
              <w14:schemeClr w14:val="tx1"/>
            </w14:solidFill>
          </w14:textFill>
        </w:rPr>
      </w:pPr>
      <w:r>
        <w:rPr>
          <w:rFonts w:ascii="仿宋_GB2312" w:hAnsi="仿宋_GB2312" w:eastAsia="仿宋_GB2312" w:cs="仿宋_GB2312"/>
          <w:sz w:val="28"/>
        </w:rPr>
        <w:t>19.湖南省人民政府、永州市人民政府、{{ base_price_doc_authority }}及有关部门颁布的其他有关政策、规定、实施办法、通知等法规文件。</w:t>
      </w:r>
    </w:p>
    <w:p w14:paraId="2EB04C7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（三）采用的技术规程及标准</w:t>
      </w:r>
    </w:p>
    <w:p w14:paraId="4580E31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5F7FC82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3806C0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5768618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F58DE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393CF9A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7E4E17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7520538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28D702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72FD319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（四）委托估价方提供的资料</w:t>
      </w:r>
    </w:p>
    <w:p w14:paraId="06B9039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737795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860A0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7DE881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4.《{{ county_name }}{{ land_plot_number }}号地块建设用地规划红线图》；</w:t>
      </w:r>
      <w:r>
        <w:rPr>
          <w:rFonts w:ascii="仿宋_GB2312" w:hAnsi="仿宋_GB2312" w:eastAsia="仿宋_GB2312" w:cs="仿宋_GB2312"/>
          <w:color w:val="000000"/>
          <w:sz w:val="28"/>
        </w:rPr>
      </w:r>
    </w:p>
    <w:p w14:paraId="079C58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basis_docs_rendered }}；</w:t>
      </w:r>
    </w:p>
    <w:p w14:paraId="7A0635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3BC56B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50A820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0C1BE1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103DBC9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4674A0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55F178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67CECE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06D94A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081122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3D4162E3">
      <w:pPr>
        <w:keepNext w:val="0"/>
        <w:keepLines w:val="0"/>
        <w:pageBreakBefore w:val="0"/>
        <w:widowControl w:val="0"/>
        <w:kinsoku/>
        <w:wordWrap/>
        <w:topLinePunct w:val="0"/>
        <w:bidi w:val="0"/>
        <w:spacing w:line="480" w:lineRule="exact" w:before="0" w:after="0"/>
        <w:ind w:firstLine="562" w:firstLineChars="200"/>
        <w:textAlignment w:val="auto"/>
        <w:outlineLvl w:val="1"/>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二、土地估价</w:t>
      </w:r>
    </w:p>
    <w:p w14:paraId="209AB8D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（一）估价原则</w:t>
      </w:r>
    </w:p>
    <w:p w14:paraId="24AD22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768AF22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3A7D9F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709CED6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基准地价系数修正法中对区域平均级别价进行修正也体现了替代原则。</w:t>
      </w:r>
    </w:p>
    <w:p w14:paraId="4EE74F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04EE36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176814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40B2B1D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3F22DE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771A04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DA7748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473489F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3BA17BE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0DCD62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341FFD2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4C401BB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0AD336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0B0CAF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7EF393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339AFB7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（二）估价方法</w:t>
      </w:r>
    </w:p>
    <w:p w14:paraId="3188F8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3B78B8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210A7E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64B9C6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2B5FE5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0CE2545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0DB8C8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（5）评估位于中心城区的工业仓储用地，一般情况下不宜采用成本逼近法。</w:t>
      </w:r>
    </w:p>
    <w:p w14:paraId="2027E3A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1256CB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3297361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7B8CE97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31791D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0430F97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69B64C1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11098C9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7701A15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pPr>
        <w:spacing w:before="0" w:after="0" w:line="480" w:lineRule="exact"/>
        <w:ind w:left="561" w:firstLine="0"/>
      </w:pPr>
      <w:r>
        <w:rPr>
          <w:rFonts w:ascii="仿宋_GB2312" w:hAnsi="仿宋_GB2312" w:eastAsia="仿宋_GB2312" w:cs="仿宋_GB2312"/>
          <w:sz w:val="28"/>
        </w:rPr>
        <w:t>{{ valuation_method_reasons }}</w:t>
      </w:r>
    </w:p>
    <w:p>
      <w:pPr>
        <w:spacing w:before="0" w:after="0" w:line="480" w:lineRule="exact"/>
        <w:ind w:left="561" w:firstLine="0"/>
      </w:pPr>
      <w:r>
        <w:rPr>
          <w:rFonts w:ascii="仿宋_GB2312" w:hAnsi="仿宋_GB2312" w:eastAsia="仿宋_GB2312" w:cs="仿宋_GB2312"/>
          <w:sz w:val="28"/>
        </w:rPr>
        <w:t>{{ valuation_method_applicability }}</w:t>
      </w:r>
    </w:p>
    <w:p w14:paraId="2D9A1B3A">
      <w:pPr>
        <w:keepNext w:val="0"/>
        <w:keepLines w:val="0"/>
        <w:pageBreakBefore w:val="0"/>
        <w:widowControl w:val="0"/>
        <w:kinsoku/>
        <w:wordWrap/>
        <w:overflowPunct w:val="0"/>
        <w:topLinePunct w:val="0"/>
        <w:autoSpaceDE w:val="0"/>
        <w:autoSpaceDN w:val="0"/>
        <w:bidi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 xml:space="preserve"> （三）估价结果</w:t>
      </w:r>
    </w:p>
    <w:p w14:paraId="52A87E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pPr>
        <w:keepNext/>
        <w:spacing w:before="0" w:after="0" w:line="480" w:lineRule="exact"/>
        <w:ind w:firstLine="561"/>
      </w:pPr>
      <w:r>
        <w:rPr>
          <w:rFonts w:ascii="仿宋_GB2312" w:hAnsi="仿宋_GB2312" w:eastAsia="仿宋_GB2312" w:cs="仿宋_GB2312"/>
          <w:b/>
          <w:sz w:val="28"/>
        </w:rPr>
        <w:t>★基准地价系数修正法</w:t>
      </w:r>
    </w:p>
    <w:p>
      <w:pPr>
        <w:spacing w:before="0" w:after="0" w:line="480" w:lineRule="exact"/>
      </w:pPr>
      <w:r>
        <w:rPr>
          <w:rFonts w:ascii="仿宋_GB2312" w:hAnsi="仿宋_GB2312" w:eastAsia="仿宋_GB2312" w:cs="仿宋_GB2312"/>
          <w:sz w:val="28"/>
        </w:rPr>
        <w:t>{{ benchmark_corr_method_intro }}</w:t>
      </w:r>
    </w:p>
    <w:p>
      <w:pPr>
        <w:keepNext/>
        <w:spacing w:before="0" w:after="0" w:line="480" w:lineRule="exact"/>
        <w:ind w:firstLine="561"/>
      </w:pPr>
      <w:r>
        <w:rPr>
          <w:rFonts w:ascii="仿宋_GB2312" w:hAnsi="仿宋_GB2312" w:eastAsia="仿宋_GB2312" w:cs="仿宋_GB2312"/>
          <w:b/>
          <w:sz w:val="28"/>
        </w:rPr>
        <w:t>★剩余法</w:t>
      </w:r>
    </w:p>
    <w:p>
      <w:pPr>
        <w:spacing w:before="0" w:after="0" w:line="480" w:lineRule="exact"/>
      </w:pPr>
      <w:r>
        <w:rPr>
          <w:rFonts w:ascii="仿宋_GB2312" w:hAnsi="仿宋_GB2312" w:eastAsia="仿宋_GB2312" w:cs="仿宋_GB2312"/>
          <w:sz w:val="28"/>
        </w:rPr>
        <w:t>{{ residual_method_intro }}</w:t>
      </w:r>
    </w:p>
    <w:p>
      <w:pPr>
        <w:spacing w:before="0" w:after="0" w:line="480" w:lineRule="exact"/>
        <w:ind w:left="561" w:firstLine="0"/>
      </w:pPr>
      <w:r>
        <w:rPr>
          <w:rFonts w:ascii="仿宋_GB2312" w:hAnsi="仿宋_GB2312" w:eastAsia="仿宋_GB2312" w:cs="仿宋_GB2312"/>
          <w:sz w:val="28"/>
        </w:rPr>
        <w:t>{{ final_price_determination }}</w:t>
      </w:r>
    </w:p>
    <w:p w14:paraId="32C9FBCE">
      <w:pPr>
        <w:keepNext/>
        <w:spacing w:line="480" w:lineRule="exact" w:before="157" w:after="10"/>
        <w:ind w:left="0" w:right="0" w:firstLine="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0"/>
        <w:gridCol w:w="1390"/>
        <w:gridCol w:w="781"/>
        <w:gridCol w:w="1143"/>
        <w:gridCol w:w="778"/>
        <w:gridCol w:w="1214"/>
        <w:gridCol w:w="1546"/>
      </w:tblGrid>
      <w:tr w14:paraId="17FB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5EFBCB2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D20C3E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33BEEAD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36B704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3FCE9E5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28D2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5639B7C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6F7076F2">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3AB8D74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6433603A">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4623621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55719BB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63BB559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042D911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7515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23C6A175">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
              <w:rPr>
                <w:rFonts w:ascii="仿宋_GB2312" w:hAnsi="仿宋_GB2312" w:eastAsia="仿宋_GB2312" w:cs="仿宋_GB2312"/>
                <w:color w:val="000000"/>
              </w:rPr>
              <w:t>{{ land_location }}</w:t>
            </w:r>
          </w:p>
        </w:tc>
        <w:tc>
          <w:tcPr>
            <w:tcW w:w="1391" w:type="dxa"/>
            <w:shd w:val="clear" w:color="auto" w:fill="auto"/>
            <w:vAlign w:val="center"/>
          </w:tcPr>
          <w:p w14:paraId="7EDAD7F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cost_approx_price }}</w:t>
            </w:r>
          </w:p>
        </w:tc>
        <w:tc>
          <w:tcPr>
            <w:tcW w:w="781" w:type="dxa"/>
            <w:shd w:val="clear" w:color="auto" w:fill="auto"/>
            <w:vAlign w:val="center"/>
          </w:tcPr>
          <w:p w14:paraId="1F76BBC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0C911FBA">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market_comp_price }}</w:t>
            </w:r>
          </w:p>
        </w:tc>
        <w:tc>
          <w:tcPr>
            <w:tcW w:w="778" w:type="dxa"/>
            <w:shd w:val="clear" w:color="auto" w:fill="auto"/>
            <w:vAlign w:val="center"/>
          </w:tcPr>
          <w:p w14:paraId="458E9F2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4730094C">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final_unit_price }}</w:t>
            </w:r>
          </w:p>
        </w:tc>
        <w:tc>
          <w:tcPr>
            <w:tcW w:w="1547" w:type="dxa"/>
            <w:shd w:val="clear" w:color="auto" w:fill="auto"/>
            <w:vAlign w:val="center"/>
          </w:tcPr>
          <w:p w14:paraId="7DCA2BB8">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final_total_price }}</w:t>
            </w:r>
          </w:p>
        </w:tc>
      </w:tr>
    </w:tbl>
    <w:p w14:paraId="2789BB6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pPr>
        <w:spacing w:before="0" w:after="0" w:line="480" w:lineRule="exact"/>
        <w:ind w:left="561" w:firstLine="0"/>
      </w:pPr>
      <w:r>
        <w:rPr>
          <w:rFonts w:ascii="仿宋_GB2312" w:hAnsi="仿宋_GB2312" w:eastAsia="仿宋_GB2312" w:cs="仿宋_GB2312"/>
          <w:sz w:val="28"/>
        </w:rPr>
        <w:t>{{ valuation_result_statement }}</w:t>
      </w:r>
    </w:p>
    <w:p w14:paraId="0477BC2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rPr>
          <w:rFonts w:hint="eastAsia" w:ascii="仿宋_GB2312" w:eastAsia="仿宋_GB2312"/>
          <w:color w:val="000000" w:themeColor="text1"/>
          <w:sz w:val="28"/>
          <w:szCs w:val="30"/>
          <w:highlight w:val="none"/>
          <w14:textFill>
            <w14:solidFill>
              <w14:schemeClr w14:val="tx1"/>
            </w14:solidFill>
          </w14:textFill>
        </w:rPr>
      </w:pPr>
      <w:r>
        <w:rPr>
          <w:rFonts w:hint="eastAsia" w:ascii="宋体" w:eastAsia="宋体" w:hAnsi="宋体" w:cs="宋体"/>
          <w:b/>
          <w:bCs/>
          <w:color w:val="000000" w:themeColor="text1"/>
          <w:sz w:val="28"/>
          <w:szCs w:val="30"/>
          <w:highlight w:val="none"/>
          <w14:textFill>
            <w14:solidFill>
              <w14:schemeClr w14:val="tx1"/>
            </w14:solidFill>
          </w14:textFill>
        </w:rPr>
        <w:t>三、估价结果和估价报告的使用</w:t>
      </w:r>
    </w:p>
    <w:p w14:paraId="06B947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（一）估价的前提条件和假设条件</w:t>
      </w:r>
    </w:p>
    <w:p w14:paraId="3D4A528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1.本次估价中估价对象的土地权属、土地用途、使用权类型、土地面积、土地利用条件等以《关于国有建设用地的规划条件的函》（2025年9月11日）、{{ basis_docs_rendered }}、《{{ county_name }}{{ land_plot_number }}号地块建设用地规划红线图》等有关资料为重要依据，并以以上资料合法、真实、有效为前提条件；</w:t>
      </w:r>
      <w:r>
        <w:rPr>
          <w:rFonts w:ascii="仿宋_GB2312" w:hAnsi="仿宋_GB2312" w:eastAsia="仿宋_GB2312" w:cs="仿宋_GB2312"/>
          <w:sz w:val="28"/>
        </w:rPr>
      </w:r>
    </w:p>
    <w:p w14:paraId="403084A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2.估价对象所处区域的不动产市场在估价期日及之后可预期的一定时期内为公开、平等、自愿、平稳持续发展的客观交易市场；</w:t>
      </w:r>
    </w:p>
    <w:p w14:paraId="3D3A7A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3.本次评估地价内涵为估价对象在满足地价定义及本次估价的前提和假设条件下，不包括红线范围内其他土地附着物、动产、债权债务、特许经营权等其他财产或权益在内的土地使用权客观市场价格；</w:t>
      </w:r>
    </w:p>
    <w:p w14:paraId="12E99D7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4.估价对象按照《关于国有建设用地的规划条件的函》（2025年9月11日）确定的规划指标开发利用，并能持续产生土地收益；</w:t>
      </w:r>
    </w:p>
    <w:p w14:paraId="06A56B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5.本次评估的价格是指估价对象在公开市场条件下，于估价期日{{ valuation_date }}，评估设定开发程度为宗地红线外围“五通”（即通路、通电、通讯、供水、排水）红线内场地平整，按规划条件设定用途为工业用地，容积率设定为1.5，设定土地使用年期为30年的国有建设用地使用权市场价格。本报告及估价结果基于以上“地价定义”,如果以上“地价定义”中的参数发生变化，则地价有可能改变；</w:t>
      </w:r>
    </w:p>
    <w:p w14:paraId="62FE459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6.任何有关估价对象的运作方式及程序符合国家、湖南省、永州市和道县于估价期日{{ valuation_date }}的有关法律法规规章和技术性规范。</w:t>
      </w:r>
    </w:p>
    <w:p w14:paraId="735B21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（二）估价结果与估价报告的使用</w:t>
      </w:r>
    </w:p>
    <w:p w14:paraId="4C2A99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1.本估价报告和估价结果依据《中华人民共和国土地管理法》《中华人民共和国城市房地产管理法》、自然资源部《城镇土地估价规程》等法律、法规的规定发生法律效力；</w:t>
      </w:r>
    </w:p>
    <w:p w14:paraId="1ABAC3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估价报告为委托估价方通过集体决策确定估价对象挂牌出让底价提供国有出让建设用地使用权市场价格参考依据，不能用于除此以外的其他任何经济活动。违背规定或超越本报告特定目的及限制条件使用本估价报告和估价结果而产生的法律责任及经济损失，本估价机构概不负责；</w:t>
      </w:r>
    </w:p>
    <w:p w14:paraId="71D72AC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3.本估价报告和估价结果的有效使用期为一年，即{{ report_date }}至{{ report_valid_until }}；</w:t>
      </w:r>
    </w:p>
    <w:p w14:paraId="4EF999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4.本估价报告和估价结果的使用权归委托估价方所有，{{ appraisal_org }}对估价报告及估价结果拥有解释权。未经本公司书面同意，本估价报告书的全部或部分不得使用于公开的文件、通告或报告中，也不得以任何方式向第三者提供报告全文或其中内容；</w:t>
      </w:r>
    </w:p>
    <w:p w14:paraId="383752D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本报告估价结果，需经两名以上（含两名）土地估价师签名、土地估价机构盖章后方能生效。本报告必须完整使用（尤其是价格）方为有效，对仅使用本报告中的部分内容所导致的可能发生的损失，受托估价机构不承担任何责任。</w:t>
      </w:r>
    </w:p>
    <w:p w14:paraId="2056B6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本报告及估价结果仅为本报告设定的估价目的服务，当用于其它目的，本报告估价结果无效。本报告必须完整使用，对仅使用报告中的部分内容所导致的有关损失，受托估价机构不承担责任。估价机构不承担违规使用本估价报告和估价结果的法律责任。</w:t>
      </w:r>
    </w:p>
    <w:p w14:paraId="46D825C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（三）需要特殊说明的事项</w:t>
      </w:r>
    </w:p>
    <w:p w14:paraId="69D84F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1.评估依据资料来源情况说明</w:t>
      </w:r>
    </w:p>
    <w:p w14:paraId="54DD6DD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212713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4CF680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（3）区域经济发展状况、统计数据、城市规划资料、基准地价资料、估价中的相关参数资料等由{{ appraisal_org }}土地估价师通过查阅政府部门相关文件及公开媒体资讯等途径获取。</w:t>
      </w:r>
    </w:p>
    <w:p w14:paraId="3DCBB9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（4）{{ appraisal_org }}土地估价师结合执业经验，对上述相关评估资料的真实性、合法性、有效性、适用性进行了尽职核实和专业判断。</w:t>
      </w:r>
    </w:p>
    <w:p w14:paraId="2892C5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92EC35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2.对估价结果和估价工作可能影响的变化事项</w:t>
      </w:r>
    </w:p>
    <w:p w14:paraId="52B9CD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0FE626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FAC5E8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5222C7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3.估价对象的特殊性、估价中未考虑的因素及采取的特殊处理</w:t>
      </w:r>
    </w:p>
    <w:p w14:paraId="27A9B3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54C8DA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7E3CCC8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6045C6C">
      <w:pPr>
        <w:spacing w:line="460" w:lineRule="exact"/>
        <w:jc w:val="center"/>
        <w:outlineLvl w:val="9"/>
        <w:rPr>
          <w:rFonts w:ascii="宋体" w:hAnsi="宋体" w:cs="仿宋_GB2312"/>
          <w:b/>
          <w:color w:val="000000" w:themeColor="text1"/>
          <w:sz w:val="32"/>
          <w:szCs w:val="32"/>
          <w:highlight w:val="none"/>
          <w14:textFill>
            <w14:solidFill>
              <w14:schemeClr w14:val="tx1"/>
            </w14:solidFill>
          </w14:textFill>
        </w:rPr>
      </w:pPr>
      <w:r>
        <w:rPr>
          <w:rFonts w:hint="eastAsia" w:ascii="仿宋_GB2312" w:eastAsia="仿宋_GB2312"/>
          <w:bCs/>
          <w:color w:val="000000" w:themeColor="text1"/>
          <w:sz w:val="28"/>
          <w:szCs w:val="28"/>
          <w:highlight w:val="none"/>
          <w14:textFill>
            <w14:solidFill>
              <w14:schemeClr w14:val="tx1"/>
            </w14:solidFill>
          </w14:textFill>
        </w:rPr>
        <w:br w:type="page"/>
      </w:r>
    </w:p>
    <w:p w14:paraId="2B74101E">
      <w:pPr>
        <w:pageBreakBefore/>
        <w:tabs>
          <w:tab w:val="left" w:pos="-105"/>
          <w:tab w:val="left" w:pos="735"/>
          <w:tab w:val="left" w:pos="1785"/>
        </w:tabs>
        <w:adjustRightInd w:val="0"/>
        <w:snapToGrid w:val="0"/>
        <w:spacing w:line="560" w:lineRule="exact" w:before="0" w:after="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第四部分    附   件</w:t>
      </w:r>
    </w:p>
    <w:p w14:paraId="033B851C">
      <w:pPr>
        <w:tabs>
          <w:tab w:val="left" w:pos="-105"/>
          <w:tab w:val="left" w:pos="735"/>
          <w:tab w:val="left" w:pos="1785"/>
        </w:tabs>
        <w:adjustRightInd w:val="0"/>
        <w:snapToGrid w:val="0"/>
        <w:spacing w:line="400" w:lineRule="exact"/>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156F5CA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61A8B9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2322AF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3.{{ basis_docs_rendered }}；</w:t>
      </w:r>
    </w:p>
    <w:p w14:paraId="2B5069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0AFEE75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county_name }}{{ land_plot_number }}号地块建设用地规划红线图》；</w:t>
      </w:r>
      <w:r>
        <w:rPr>
          <w:rFonts w:ascii="仿宋_GB2312" w:hAnsi="仿宋_GB2312" w:eastAsia="仿宋_GB2312" w:cs="仿宋_GB2312"/>
          <w:color w:val="000000"/>
          <w:sz w:val="28"/>
        </w:rPr>
      </w:r>
    </w:p>
    <w:p w14:paraId="529FDBD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6FD37B7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2136C5E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4BB9C2F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1A4502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4FDC97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2AD428B8">
      <w:pPr>
        <w:pStyle w:val="2"/>
        <w:spacing w:before="0" w:after="0" w:line="480" w:lineRule="exact"/>
        <w:ind w:left="0" w:leftChars="0" w:firstLine="5320" w:firstLineChars="1900"/>
        <w:rPr>
          <w:color w:val="000000" w:themeColor="text1"/>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（以上资料均为复印件）</w:t>
      </w:r>
    </w:p>
    <w:p w14:paraId="52219999">
      <w:pPr>
        <w:spacing w:line="520" w:lineRule="exact"/>
        <w:jc w:val="center"/>
        <w:outlineLvl w:val="9"/>
        <w:rPr>
          <w:rFonts w:hint="eastAsia" w:ascii="宋体" w:hAnsi="宋体"/>
          <w:b/>
          <w:color w:val="000000" w:themeColor="text1"/>
          <w:sz w:val="44"/>
          <w:szCs w:val="44"/>
          <w:highlight w:val="none"/>
          <w14:textFill>
            <w14:solidFill>
              <w14:schemeClr w14:val="tx1"/>
            </w14:solidFill>
          </w14:textFill>
        </w:rPr>
        <w:sectPr>
          <w:headerReference r:id="rId17" w:type="default"/>
          <w:footerReference r:id="rId18" w:type="default"/>
          <w:endnotePr>
            <w:numFmt w:val="decimal"/>
          </w:endnotePr>
          <w:pgSz w:w="11906" w:h="16838"/>
          <w:pgMar w:top="1440" w:right="1803" w:bottom="1440" w:left="1803" w:header="851" w:footer="992" w:gutter="0"/>
          <w:pgNumType w:fmt="decimal"/>
          <w:cols w:space="720" w:num="1"/>
          <w:docGrid w:linePitch="312" w:charSpace="0"/>
        </w:sectPr>
      </w:pPr>
    </w:p>
    <w:p w14:paraId="06EECCE1">
      <w:pPr>
        <w:pStyle w:val="2"/>
        <w:rPr>
          <w:rFonts w:hint="eastAsia"/>
          <w:color w:val="000000" w:themeColor="text1"/>
          <w:highlight w:val="none"/>
          <w14:textFill>
            <w14:solidFill>
              <w14:schemeClr w14:val="tx1"/>
            </w14:solidFill>
          </w14:textFill>
        </w:rPr>
      </w:pPr>
    </w:p>
    <w:p w14:paraId="4972A347">
      <w:pPr>
        <w:spacing w:line="560" w:lineRule="exact" w:before="0" w:after="0"/>
        <w:jc w:val="center"/>
        <w:rPr>
          <w:rFonts w:ascii="宋体" w:hAnsi="宋体"/>
          <w:b/>
          <w:color w:val="000000" w:themeColor="text1"/>
          <w:sz w:val="44"/>
          <w:szCs w:val="44"/>
          <w:highlight w:val="none"/>
          <w14:textFill>
            <w14:solidFill>
              <w14:schemeClr w14:val="tx1"/>
            </w14:solidFill>
          </w14:textFill>
        </w:rPr>
      </w:pPr>
      <w:r>
        <w:rPr>
          <w:rFonts w:hint="eastAsia" w:ascii="宋体" w:hAnsi="宋体" w:eastAsia="宋体" w:cs="宋体"/>
          <w:b/>
          <w:color w:val="000000" w:themeColor="text1"/>
          <w:sz w:val="44"/>
          <w:szCs w:val="44"/>
          <w:highlight w:val="none"/>
          <w14:textFill>
            <w14:solidFill>
              <w14:schemeClr w14:val="tx1"/>
            </w14:solidFill>
          </w14:textFill>
        </w:rPr>
        <w:t>土地估价技术报告</w:t>
      </w:r>
    </w:p>
    <w:p w14:paraId="11F8E308">
      <w:pPr>
        <w:spacing w:line="480" w:lineRule="exact" w:before="0" w:after="0"/>
        <w:jc w:val="center"/>
        <w:rPr>
          <w:rFonts w:ascii="仿宋_GB2312" w:eastAsia="仿宋_GB2312"/>
          <w:color w:val="000000" w:themeColor="text1"/>
          <w:sz w:val="32"/>
          <w:highlight w:val="none"/>
          <w14:textFill>
            <w14:solidFill>
              <w14:schemeClr w14:val="tx1"/>
            </w14:solidFill>
          </w14:textFill>
        </w:rPr>
      </w:pPr>
      <w:r>
        <w:rPr>
          <w:rFonts w:hint="eastAsia" w:ascii="仿宋_GB2312" w:hAnsi="仿宋_GB2312" w:eastAsia="仿宋_GB2312" w:cs="仿宋_GB2312"/>
          <w:b/>
          <w:color w:val="000000" w:themeColor="text1"/>
          <w:sz w:val="28"/>
          <w:szCs w:val="44"/>
          <w:highlight w:val="none"/>
          <w14:textFill>
            <w14:solidFill>
              <w14:schemeClr w14:val="tx1"/>
            </w14:solidFill>
          </w14:textFill>
        </w:rPr>
        <w:t>（评估工作底稿）</w:t>
      </w:r>
    </w:p>
    <w:tbl>
      <w:tblPr>
        <w:tblStyle w:val="9"/>
        <w:tblW w:w="0" w:type="auto"/>
        <w:jc w:val="center"/>
        <w:tblLayout w:type="fixed"/>
        <w:tblCellMar>
          <w:top w:w="0" w:type="dxa"/>
          <w:left w:w="108" w:type="dxa"/>
          <w:bottom w:w="0" w:type="dxa"/>
          <w:right w:w="108" w:type="dxa"/>
        </w:tblCellMar>
      </w:tblPr>
      <w:tblGrid>
        <w:gridCol w:w="3686"/>
        <w:gridCol w:w="5729"/>
      </w:tblGrid>
      <w:tr w14:paraId="0EDE72EF">
        <w:tblPrEx>
          <w:tblCellMar>
            <w:top w:w="0" w:type="dxa"/>
            <w:left w:w="108" w:type="dxa"/>
            <w:bottom w:w="0" w:type="dxa"/>
            <w:right w:w="108" w:type="dxa"/>
          </w:tblCellMar>
        </w:tblPrEx>
        <w:trPr>
          <w:trHeight w:val="1134" w:hRule="atLeast"/>
          <w:jc w:val="center"/>
        </w:trPr>
        <w:tc>
          <w:tcPr>
            <w:tcW w:w="3686" w:type="dxa"/>
            <w:vAlign w:val="center"/>
          </w:tcPr>
          <w:p w14:paraId="7A890EB2">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5729" w:type="dxa"/>
            <w:vAlign w:val="center"/>
          </w:tcPr>
          <w:p w14:paraId="2B726D3A">
            <w:pPr>
              <w:pStyle w:val="6"/>
              <w:keepNext w:val="0"/>
              <w:keepLines w:val="0"/>
              <w:suppressLineNumbers w:val="0"/>
              <w:tabs>
                <w:tab w:val="left" w:pos="0"/>
                <w:tab w:val="left" w:pos="2340"/>
                <w:tab w:val="left" w:pos="3360"/>
              </w:tabs>
              <w:adjustRightInd w:val="0"/>
              <w:snapToGrid w:val="0"/>
              <w:spacing w:before="0" w:beforeAutospacing="0" w:after="0" w:afterAutospacing="0" w:line="0" w:lineRule="atLeast"/>
              <w:ind w:left="2" w:right="0" w:hanging="2"/>
              <w:rPr>
                <w:rFonts w:ascii="楷体" w:hAnsi="楷体" w:eastAsia="楷体"/>
                <w:color w:val="000000" w:themeColor="text1"/>
                <w:spacing w:val="14"/>
                <w:sz w:val="32"/>
                <w:szCs w:val="32"/>
                <w:highlight w:val="none"/>
                <w14:textFill>
                  <w14:solidFill>
                    <w14:schemeClr w14:val="tx1"/>
                  </w14:solidFill>
                </w14:textFill>
              </w:rPr>
            </w:pPr>
            <w:r>
              <w:rPr>
                <w:rFonts w:ascii="仿宋_GB2312" w:hAnsi="仿宋_GB2312" w:eastAsia="仿宋_GB2312" w:cs="仿宋_GB2312"/>
              </w:rPr>
              <w:t>{{ project_name }}（{{ county_name }}）</w:t>
            </w:r>
          </w:p>
        </w:tc>
      </w:tr>
      <w:tr w14:paraId="00AF4FCE">
        <w:tblPrEx>
          <w:tblCellMar>
            <w:top w:w="0" w:type="dxa"/>
            <w:left w:w="108" w:type="dxa"/>
            <w:bottom w:w="0" w:type="dxa"/>
            <w:right w:w="108" w:type="dxa"/>
          </w:tblCellMar>
        </w:tblPrEx>
        <w:trPr>
          <w:trHeight w:val="1134" w:hRule="atLeast"/>
          <w:jc w:val="center"/>
        </w:trPr>
        <w:tc>
          <w:tcPr>
            <w:tcW w:w="3686" w:type="dxa"/>
            <w:vAlign w:val="center"/>
          </w:tcPr>
          <w:p w14:paraId="23D5F873">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5729" w:type="dxa"/>
            <w:vAlign w:val="center"/>
          </w:tcPr>
          <w:p w14:paraId="6BC75290">
            <w:pPr>
              <w:pStyle w:val="6"/>
              <w:keepNext w:val="0"/>
              <w:keepLines w:val="0"/>
              <w:suppressLineNumbers w:val="0"/>
              <w:tabs>
                <w:tab w:val="left" w:pos="0"/>
                <w:tab w:val="left" w:pos="2340"/>
              </w:tabs>
              <w:adjustRightInd w:val="0"/>
              <w:snapToGrid w:val="0"/>
              <w:spacing w:before="0" w:beforeAutospacing="0" w:after="0" w:afterAutospacing="0" w:line="0" w:lineRule="atLeast"/>
              <w:ind w:left="-10" w:leftChars="-5" w:right="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
              <w:rPr>
                <w:rFonts w:ascii="仿宋_GB2312" w:hAnsi="仿宋_GB2312" w:eastAsia="仿宋_GB2312" w:cs="仿宋_GB2312"/>
                <w:color w:val="000000"/>
                <w:sz w:val="32"/>
              </w:rPr>
              <w:t>{{ appraisal_org }}</w:t>
            </w:r>
          </w:p>
        </w:tc>
      </w:tr>
      <w:tr w14:paraId="459EF903">
        <w:tblPrEx>
          <w:tblCellMar>
            <w:top w:w="0" w:type="dxa"/>
            <w:left w:w="108" w:type="dxa"/>
            <w:bottom w:w="0" w:type="dxa"/>
            <w:right w:w="108" w:type="dxa"/>
          </w:tblCellMar>
        </w:tblPrEx>
        <w:trPr>
          <w:trHeight w:val="1134" w:hRule="atLeast"/>
          <w:jc w:val="center"/>
        </w:trPr>
        <w:tc>
          <w:tcPr>
            <w:tcW w:w="3686" w:type="dxa"/>
            <w:vAlign w:val="center"/>
          </w:tcPr>
          <w:p w14:paraId="443674ED">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5729" w:type="dxa"/>
            <w:vAlign w:val="center"/>
          </w:tcPr>
          <w:p w14:paraId="093BD832">
            <w:pPr>
              <w:pStyle w:val="6"/>
              <w:keepNext w:val="0"/>
              <w:keepLines w:val="0"/>
              <w:suppressLineNumbers w:val="0"/>
              <w:tabs>
                <w:tab w:val="left" w:pos="0"/>
                <w:tab w:val="left" w:pos="2340"/>
              </w:tabs>
              <w:adjustRightInd w:val="0"/>
              <w:snapToGrid w:val="0"/>
              <w:spacing w:before="0" w:beforeAutospacing="0" w:after="0" w:afterAutospacing="0" w:line="0" w:lineRule="atLeast"/>
              <w:ind w:left="0" w:leftChars="0" w:right="0" w:firstLine="0" w:firstLineChars="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report_no }}</w:t>
            </w:r>
          </w:p>
        </w:tc>
      </w:tr>
      <w:tr w14:paraId="6493152D">
        <w:tblPrEx>
          <w:tblCellMar>
            <w:top w:w="0" w:type="dxa"/>
            <w:left w:w="108" w:type="dxa"/>
            <w:bottom w:w="0" w:type="dxa"/>
            <w:right w:w="108" w:type="dxa"/>
          </w:tblCellMar>
        </w:tblPrEx>
        <w:trPr>
          <w:trHeight w:val="1303" w:hRule="atLeast"/>
          <w:jc w:val="center"/>
        </w:trPr>
        <w:tc>
          <w:tcPr>
            <w:tcW w:w="3686" w:type="dxa"/>
            <w:vAlign w:val="center"/>
          </w:tcPr>
          <w:p w14:paraId="41C71B30">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土地</w:t>
            </w:r>
            <w:r>
              <w:rPr>
                <w:rFonts w:ascii="楷体" w:hAnsi="楷体" w:eastAsia="楷体"/>
                <w:b/>
                <w:bCs/>
                <w:color w:val="000000" w:themeColor="text1"/>
                <w:spacing w:val="14"/>
                <w:sz w:val="32"/>
                <w:szCs w:val="32"/>
                <w:highlight w:val="none"/>
                <w14:textFill>
                  <w14:solidFill>
                    <w14:schemeClr w14:val="tx1"/>
                  </w14:solidFill>
                </w14:textFill>
              </w:rPr>
              <w:t>估价技术报告</w:t>
            </w:r>
          </w:p>
          <w:p w14:paraId="02A01E41">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（评估工作</w:t>
            </w:r>
            <w:r>
              <w:rPr>
                <w:rFonts w:ascii="楷体" w:hAnsi="楷体" w:eastAsia="楷体"/>
                <w:b/>
                <w:bCs/>
                <w:color w:val="000000" w:themeColor="text1"/>
                <w:spacing w:val="14"/>
                <w:sz w:val="32"/>
                <w:szCs w:val="32"/>
                <w:highlight w:val="none"/>
                <w14:textFill>
                  <w14:solidFill>
                    <w14:schemeClr w14:val="tx1"/>
                  </w14:solidFill>
                </w14:textFill>
              </w:rPr>
              <w:t>底稿）编号：</w:t>
            </w:r>
          </w:p>
        </w:tc>
        <w:tc>
          <w:tcPr>
            <w:tcW w:w="5729" w:type="dxa"/>
            <w:vAlign w:val="center"/>
          </w:tcPr>
          <w:p w14:paraId="7443F6D1">
            <w:pPr>
              <w:pStyle w:val="6"/>
              <w:keepNext w:val="0"/>
              <w:keepLines w:val="0"/>
              <w:suppressLineNumbers w:val="0"/>
              <w:tabs>
                <w:tab w:val="left" w:pos="0"/>
                <w:tab w:val="left" w:pos="2235"/>
                <w:tab w:val="left" w:pos="2340"/>
              </w:tabs>
              <w:adjustRightInd w:val="0"/>
              <w:snapToGrid w:val="0"/>
              <w:spacing w:before="0" w:beforeAutospacing="0" w:after="0" w:afterAutospacing="0" w:line="0" w:lineRule="atLeast"/>
              <w:ind w:left="0" w:right="-78" w:rightChars="-37"/>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technical_report_no }}</w:t>
            </w:r>
          </w:p>
        </w:tc>
      </w:tr>
      <w:tr w14:paraId="273DE4B2">
        <w:tblPrEx>
          <w:tblCellMar>
            <w:top w:w="0" w:type="dxa"/>
            <w:left w:w="108" w:type="dxa"/>
            <w:bottom w:w="0" w:type="dxa"/>
            <w:right w:w="108" w:type="dxa"/>
          </w:tblCellMar>
        </w:tblPrEx>
        <w:trPr>
          <w:trHeight w:val="1303" w:hRule="atLeast"/>
          <w:jc w:val="center"/>
        </w:trPr>
        <w:tc>
          <w:tcPr>
            <w:tcW w:w="3686" w:type="dxa"/>
            <w:vAlign w:val="center"/>
          </w:tcPr>
          <w:p w14:paraId="417DE6E6">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hint="eastAsia"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5729" w:type="dxa"/>
            <w:vAlign w:val="center"/>
          </w:tcPr>
          <w:p w14:paraId="2568F5A9">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olor w:val="000000" w:themeColor="text1"/>
                <w:spacing w:val="-11"/>
                <w:sz w:val="32"/>
                <w:szCs w:val="32"/>
                <w:highlight w:val="none"/>
                <w:lang w:val="en-US" w:eastAsia="zh-CN"/>
                <w14:textFill>
                  <w14:solidFill>
                    <w14:schemeClr w14:val="tx1"/>
                  </w14:solidFill>
                </w14:textFill>
              </w:rPr>
            </w:pPr>
            <w:r>
              <w:rPr>
                <w:rFonts w:hint="eastAsia" w:ascii="楷体" w:hAnsi="楷体" w:eastAsia="楷体"/>
                <w:color w:val="000000" w:themeColor="text1"/>
                <w:spacing w:val="-11"/>
                <w:sz w:val="32"/>
                <w:szCs w:val="32"/>
                <w:highlight w:val="none"/>
                <w:lang w:val="en-US" w:eastAsia="zh-CN"/>
                <w14:textFill>
                  <w14:solidFill>
                    <w14:schemeClr w14:val="tx1"/>
                  </w14:solidFill>
                </w14:textFill>
              </w:rPr>
              <w:t>详见备案页</w:t>
            </w:r>
          </w:p>
        </w:tc>
      </w:tr>
      <w:tr w14:paraId="631CAA27">
        <w:tblPrEx>
          <w:tblCellMar>
            <w:top w:w="0" w:type="dxa"/>
            <w:left w:w="108" w:type="dxa"/>
            <w:bottom w:w="0" w:type="dxa"/>
            <w:right w:w="108" w:type="dxa"/>
          </w:tblCellMar>
        </w:tblPrEx>
        <w:trPr>
          <w:trHeight w:val="1134" w:hRule="atLeast"/>
          <w:jc w:val="center"/>
        </w:trPr>
        <w:tc>
          <w:tcPr>
            <w:tcW w:w="3686" w:type="dxa"/>
            <w:vAlign w:val="center"/>
          </w:tcPr>
          <w:p w14:paraId="2606B66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5729" w:type="dxa"/>
            <w:vAlign w:val="center"/>
          </w:tcPr>
          <w:p w14:paraId="0ECF64B3">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report_date }}</w:t>
            </w:r>
          </w:p>
        </w:tc>
      </w:tr>
      <w:tr w14:paraId="322DFC10">
        <w:tblPrEx>
          <w:tblCellMar>
            <w:top w:w="0" w:type="dxa"/>
            <w:left w:w="108" w:type="dxa"/>
            <w:bottom w:w="0" w:type="dxa"/>
            <w:right w:w="108" w:type="dxa"/>
          </w:tblCellMar>
        </w:tblPrEx>
        <w:trPr>
          <w:trHeight w:val="609" w:hRule="atLeast"/>
          <w:jc w:val="center"/>
        </w:trPr>
        <w:tc>
          <w:tcPr>
            <w:tcW w:w="3686" w:type="dxa"/>
            <w:vAlign w:val="center"/>
          </w:tcPr>
          <w:p w14:paraId="0A37E88A">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p>
        </w:tc>
        <w:tc>
          <w:tcPr>
            <w:tcW w:w="5729" w:type="dxa"/>
            <w:vAlign w:val="center"/>
          </w:tcPr>
          <w:p w14:paraId="633DAF45">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p>
        </w:tc>
      </w:tr>
    </w:tbl>
    <w:tbl>
      <w:tblPr>
        <w:tblStyle w:val="10"/>
        <w:tblpPr w:leftFromText="180" w:rightFromText="180" w:vertAnchor="text" w:horzAnchor="page" w:tblpX="1355" w:tblpY="831"/>
        <w:tblOverlap w:val="never"/>
        <w:tblW w:w="94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2"/>
        <w:gridCol w:w="7523"/>
      </w:tblGrid>
      <w:tr w14:paraId="3CF05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8" w:hRule="atLeast"/>
        </w:trPr>
        <w:tc>
          <w:tcPr>
            <w:tcW w:w="1892" w:type="dxa"/>
            <w:vAlign w:val="center"/>
          </w:tcPr>
          <w:p w14:paraId="54F89A7C">
            <w:pPr>
              <w:keepNext w:val="0"/>
              <w:keepLines w:val="0"/>
              <w:suppressLineNumbers w:val="0"/>
              <w:spacing w:before="0" w:beforeAutospacing="0" w:after="0" w:afterAutospacing="0" w:line="360" w:lineRule="auto"/>
              <w:ind w:left="0" w:right="0"/>
              <w:jc w:val="distribute"/>
              <w:rPr>
                <w:rFonts w:ascii="楷体" w:hAnsi="楷体" w:eastAsia="楷体"/>
                <w:b/>
                <w:color w:val="000000" w:themeColor="text1"/>
                <w:spacing w:val="14"/>
                <w:sz w:val="32"/>
                <w:szCs w:val="32"/>
                <w:highlight w:val="none"/>
                <w14:textFill>
                  <w14:solidFill>
                    <w14:schemeClr w14:val="tx1"/>
                  </w14:solidFill>
                </w14:textFill>
              </w:rPr>
            </w:pPr>
            <w:r>
              <w:rPr>
                <w:rFonts w:hint="eastAsia" w:ascii="楷体" w:hAnsi="楷体" w:eastAsia="楷体"/>
                <w:color w:val="000000" w:themeColor="text1"/>
                <w:spacing w:val="14"/>
                <w:sz w:val="32"/>
                <w:szCs w:val="32"/>
                <w:highlight w:val="none"/>
                <w14:textFill>
                  <w14:solidFill>
                    <w14:schemeClr w14:val="tx1"/>
                  </w14:solidFill>
                </w14:textFill>
              </w:rPr>
              <w:t>关键词：</w:t>
            </w:r>
          </w:p>
        </w:tc>
        <w:tc>
          <w:tcPr>
            <w:tcW w:w="7523" w:type="dxa"/>
            <w:vAlign w:val="center"/>
          </w:tcPr>
          <w:p w14:paraId="2E8B3852">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z w:val="32"/>
                <w:szCs w:val="32"/>
                <w:highlight w:val="none"/>
                <w:lang w:val="en-US" w:eastAsia="zh-CN"/>
                <w14:textFill>
                  <w14:solidFill>
                    <w14:schemeClr w14:val="tx1"/>
                  </w14:solidFill>
                </w14:textFill>
              </w:rPr>
              <w:t>{{ county_name }}</w:t>
            </w:r>
            <w:r>
              <w:rPr>
                <w:rFonts w:hint="eastAsia" w:ascii="楷体" w:hAnsi="楷体" w:eastAsia="楷体"/>
                <w:color w:val="000000" w:themeColor="text1"/>
                <w:sz w:val="32"/>
                <w:szCs w:val="32"/>
                <w:highlight w:val="none"/>
                <w14:textFill>
                  <w14:solidFill>
                    <w14:schemeClr w14:val="tx1"/>
                  </w14:solidFill>
                </w14:textFill>
              </w:rPr>
            </w:r>
            <w:r>
              <w:rPr>
                <w:rFonts w:hint="eastAsia" w:ascii="楷体" w:hAnsi="楷体" w:eastAsia="楷体"/>
                <w:color w:val="000000" w:themeColor="text1"/>
                <w:sz w:val="32"/>
                <w:szCs w:val="32"/>
                <w:highlight w:val="none"/>
                <w:lang w:val="en-US" w:eastAsia="zh-CN"/>
                <w14:textFill>
                  <w14:solidFill>
                    <w14:schemeClr w14:val="tx1"/>
                  </w14:solidFill>
                </w14:textFill>
              </w:rPr>
            </w:r>
          </w:p>
        </w:tc>
      </w:tr>
      <w:tr w14:paraId="42728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trPr>
        <w:tc>
          <w:tcPr>
            <w:tcW w:w="1892" w:type="dxa"/>
            <w:vAlign w:val="center"/>
          </w:tcPr>
          <w:p w14:paraId="7585336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7AC77F87">
            <w:pPr>
              <w:keepNext w:val="0"/>
              <w:keepLines w:val="0"/>
              <w:suppressLineNumbers w:val="0"/>
              <w:spacing w:before="0" w:beforeAutospacing="0" w:after="0" w:afterAutospacing="0" w:line="360" w:lineRule="auto"/>
              <w:ind w:left="0" w:right="0"/>
              <w:rPr>
                <w:rFonts w:hint="default" w:ascii="楷体" w:hAnsi="楷体" w:eastAsia="楷体"/>
                <w:b/>
                <w:color w:val="000000" w:themeColor="text1"/>
                <w:spacing w:val="14"/>
                <w:sz w:val="32"/>
                <w:szCs w:val="32"/>
                <w:highlight w:val="none"/>
                <w:lang w:val="en-US" w:eastAsia="zh-CN"/>
                <w14:textFill>
                  <w14:solidFill>
                    <w14:schemeClr w14:val="tx1"/>
                  </w14:solidFill>
                </w14:textFill>
              </w:rPr>
            </w:pPr>
            <w:r>
              <w:rPr>
                <w:rFonts w:hint="eastAsia" w:ascii="楷体" w:hAnsi="楷体" w:eastAsia="楷体"/>
                <w:b w:val="0"/>
                <w:bCs/>
                <w:color w:val="000000" w:themeColor="text1"/>
                <w:spacing w:val="14"/>
                <w:sz w:val="32"/>
                <w:szCs w:val="32"/>
                <w:highlight w:val="none"/>
                <w:lang w:val="en-US" w:eastAsia="zh-CN"/>
                <w14:textFill>
                  <w14:solidFill>
                    <w14:schemeClr w14:val="tx1"/>
                  </w14:solidFill>
                </w14:textFill>
              </w:rPr>
              <w:t>出让</w:t>
            </w:r>
          </w:p>
        </w:tc>
      </w:tr>
      <w:tr w14:paraId="76917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892" w:type="dxa"/>
            <w:vAlign w:val="center"/>
          </w:tcPr>
          <w:p w14:paraId="51DB07B7">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53899026">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
              <w:rPr>
                <w:rFonts w:ascii="仿宋_GB2312" w:hAnsi="仿宋_GB2312" w:eastAsia="仿宋_GB2312" w:cs="仿宋_GB2312"/>
                <w:color w:val="000000"/>
                <w:sz w:val="32"/>
              </w:rPr>
              <w:t>{{ appraisal_org }}</w:t>
            </w:r>
          </w:p>
        </w:tc>
      </w:tr>
      <w:tr w14:paraId="63D08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6" w:hRule="atLeast"/>
        </w:trPr>
        <w:tc>
          <w:tcPr>
            <w:tcW w:w="1892" w:type="dxa"/>
            <w:vAlign w:val="center"/>
          </w:tcPr>
          <w:p w14:paraId="05B3D7B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1D85D4CF">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report_year_text }}</w:t>
            </w:r>
          </w:p>
        </w:tc>
      </w:tr>
    </w:tbl>
    <w:p w14:paraId="18F7A8E1">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pPr>
    </w:p>
    <w:p w14:paraId="78F28FD3">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sectPr>
          <w:headerReference r:id="rId19" w:type="default"/>
          <w:footerReference r:id="rId20" w:type="default"/>
          <w:endnotePr>
            <w:numFmt w:val="decimal"/>
          </w:endnotePr>
          <w:pgSz w:w="11906" w:h="16838"/>
          <w:pgMar w:top="1440" w:right="1803" w:bottom="1440" w:left="1803" w:header="851" w:footer="850" w:gutter="0"/>
          <w:pgNumType w:fmt="decimal"/>
          <w:cols w:space="720" w:num="1"/>
          <w:docGrid w:linePitch="312" w:charSpace="0"/>
        </w:sectPr>
      </w:pPr>
    </w:p>
    <w:p w14:paraId="5B1DDF0A">
      <w:pPr>
        <w:pStyle w:val="13"/>
        <w:keepNext w:val="0"/>
        <w:keepLines w:val="0"/>
        <w:pageBreakBefore w:val="0"/>
        <w:widowControl w:val="0"/>
        <w:kinsoku/>
        <w:wordWrap/>
        <w:overflowPunct/>
        <w:topLinePunct w:val="0"/>
        <w:autoSpaceDE/>
        <w:autoSpaceDN/>
        <w:bidi w:val="0"/>
        <w:adjustRightInd w:val="0"/>
        <w:snapToGrid w:val="0"/>
        <w:spacing w:before="0" w:beforeLines="50" w:after="0" w:afterLines="100" w:line="480" w:lineRule="exact"/>
        <w:ind w:firstLine="643"/>
        <w:jc w:val="center"/>
        <w:textAlignment w:val="auto"/>
        <w:outlineLvl w:val="2"/>
        <w:rPr>
          <w:rFonts w:ascii="宋体" w:hAnsi="宋体" w:eastAsia="宋体" w:cs="仿宋_GB2312"/>
          <w:b/>
          <w:color w:val="000000" w:themeColor="text1"/>
          <w:sz w:val="32"/>
          <w:szCs w:val="32"/>
          <w:highlight w:val="none"/>
          <w14:textFill>
            <w14:solidFill>
              <w14:schemeClr w14:val="tx1"/>
            </w14:solidFill>
          </w14:textFill>
        </w:rPr>
      </w:pPr>
      <w:r>
        <w:rPr>
          <w:rFonts w:hint="eastAsia" w:ascii="仿宋_GB2312" w:hAnsi="仿宋_GB2312" w:eastAsia="仿宋_GB2312" w:cs="仿宋_GB2312"/>
          <w:b/>
          <w:color w:val="000000" w:themeColor="text1"/>
          <w:sz w:val="28"/>
          <w:szCs w:val="32"/>
          <w:highlight w:val="none"/>
          <w14:textFill>
            <w14:solidFill>
              <w14:schemeClr w14:val="tx1"/>
            </w14:solidFill>
          </w14:textFill>
        </w:rPr>
        <w:t>土地估价技术报告（评估工作底稿）</w:t>
      </w:r>
    </w:p>
    <w:p w14:paraId="4B26D5AC">
      <w:pPr>
        <w:pStyle w:val="13"/>
        <w:keepNext w:val="0"/>
        <w:keepLines w:val="0"/>
        <w:pageBreakBefore w:val="0"/>
        <w:widowControl w:val="0"/>
        <w:kinsoku/>
        <w:wordWrap/>
        <w:overflowPunct/>
        <w:topLinePunct w:val="0"/>
        <w:autoSpaceDE/>
        <w:autoSpaceDN/>
        <w:bidi w:val="0"/>
        <w:adjustRightInd w:val="0"/>
        <w:snapToGrid w:val="0"/>
        <w:spacing w:before="0" w:beforeLines="50" w:after="0" w:afterLines="100" w:line="560" w:lineRule="exact"/>
        <w:ind w:firstLine="643"/>
        <w:jc w:val="center"/>
        <w:textAlignment w:val="auto"/>
        <w:outlineLvl w:val="1"/>
        <w:rPr>
          <w:rFonts w:ascii="宋体" w:hAnsi="宋体" w:eastAsia="宋体" w:cs="仿宋_GB2312"/>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第一部分  总  述</w:t>
      </w:r>
    </w:p>
    <w:p w14:paraId="72376AF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一、估价项目名称</w:t>
      </w:r>
    </w:p>
    <w:p w14:paraId="01DE21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project_name }}（{{ county_name }}）</w:t>
      </w:r>
    </w:p>
    <w:p w14:paraId="5CC112C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二、委托估价方</w:t>
      </w:r>
    </w:p>
    <w:p w14:paraId="54EFEF6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委托估价方：{{ client_name }} </w:t>
      </w:r>
    </w:p>
    <w:p w14:paraId="5A32024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 client_org_code }}</w:t>
      </w:r>
    </w:p>
    <w:p w14:paraId="37FE95B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 client_principal }}</w:t>
      </w:r>
    </w:p>
    <w:p w14:paraId="061C797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 client_org_type }}</w:t>
      </w:r>
    </w:p>
    <w:p w14:paraId="257F81F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 client_address }}</w:t>
      </w:r>
    </w:p>
    <w:p w14:paraId="1F8602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联 系 人：{{ client_contact }}</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r>
      <w:r>
        <w:rPr>
          <w:rFonts w:hint="eastAsia" w:ascii="仿宋_GB2312" w:eastAsia="仿宋_GB2312" w:hAnsi="仿宋_GB2312" w:cs="仿宋_GB2312"/>
          <w:color w:val="000000" w:themeColor="text1"/>
          <w:sz w:val="28"/>
          <w:szCs w:val="30"/>
          <w:highlight w:val="none"/>
          <w14:textFill>
            <w14:solidFill>
              <w14:schemeClr w14:val="tx1"/>
            </w14:solidFill>
          </w14:textFill>
        </w:rPr>
      </w:r>
    </w:p>
    <w:p w14:paraId="175360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联系电话：{{ client_phone }}</w:t>
      </w:r>
    </w:p>
    <w:p w14:paraId="24D255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 client_postcode }}</w:t>
      </w:r>
    </w:p>
    <w:p w14:paraId="0ACFDDA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与估价对象土地使用者之间的关系：委托方为本次估价委托方，土地使用者为{{ land_user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p>
    <w:p w14:paraId="030F9BDE">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三、受托估价方</w:t>
      </w:r>
    </w:p>
    <w:p w14:paraId="28EC2EC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名    称：{{ appraisal_org }}</w:t>
      </w:r>
    </w:p>
    <w:p w14:paraId="5C5120B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类    型：有限责任公司（自然人投资或控股）</w:t>
      </w:r>
    </w:p>
    <w:p w14:paraId="4047D0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住所：湖南省长沙市芙蓉区荷花园街道远大一路348号东方摩卡二楼201房-584号</w:t>
      </w:r>
    </w:p>
    <w:p w14:paraId="2DB71AA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法定代表人：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066E5E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注册资本：贰佰万元整</w:t>
      </w:r>
    </w:p>
    <w:p w14:paraId="2ADB809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成立日期：20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p>
    <w:p w14:paraId="66536C0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经营范围：经营范围包括许可项目：国土空间规划编制；测绘服务（依法须经批准的项目，经相关部门批准后方可开展经营活动，具体经营项目以相关部门批准文件或许可证件为准）一般项目：土地调查评估服务；土地整治服务；不动产登记代理服务；土地使用权租赁；农业专业及辅助性活动；规划设计管理；环保咨询服务；数据处理和存储支持服务；工程技术服务（规划管理、勘察、设计、监理除外）；信息技术咨询服务；卫星遥感应用系统集成；工业设计服务；水土流失防治服务；工程造价咨询业务；水利相关咨询服务；信息咨询服务（不含许可类信息咨询服务）；房地产评估；房地产咨询；地理遥感信息服务；社会稳定风险评估；基础地质勘查；地质勘查技术服务；资产评估；矿产资源储量估算和报告编制服务（须在中国矿业权评估师协会完成登记备案后方可从事经营活动）；矿业权评估服务；矿产资源储量评估服务（须在中国矿业权评估师协会完成登记备案后方可从事经营活动）（除依法须经批准的项目外，凭营业执照依法自主开展经营活动）。</w:t>
      </w:r>
    </w:p>
    <w:p w14:paraId="3C2664D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机构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备案编号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2022430010</w:t>
      </w:r>
    </w:p>
    <w:p w14:paraId="6235E5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 系 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523DD7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联系电话：</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15388005188</w:t>
      </w:r>
    </w:p>
    <w:p w14:paraId="270CB9A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邮    编：4100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00</w:t>
      </w:r>
    </w:p>
    <w:p w14:paraId="28F87BE8">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四、估价目的</w:t>
      </w:r>
    </w:p>
    <w:p w14:paraId="44A7FA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sz w:val="28"/>
        </w:rPr>
        <w:t>{{ client_name }}拟按《关于国有建设用地的规划条件的函》（2025年9月11日）确定的规划条件，对位于{{ land_location_full }}的{{ parcel_count }}{{ land_usage }}国有建设用地使用权开展{{ transfer_purpose }}相关工作。</w:t>
      </w:r>
      <w:r>
        <w:rPr>
          <w:rFonts w:ascii="仿宋_GB2312" w:hAnsi="仿宋_GB2312" w:eastAsia="仿宋_GB2312" w:cs="仿宋_GB2312"/>
          <w:color w:val="000000"/>
          <w:sz w:val="28"/>
        </w:rPr>
      </w:r>
    </w:p>
    <w:p w14:paraId="71359E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ascii="仿宋_GB2312" w:hAnsi="仿宋_GB2312" w:eastAsia="仿宋_GB2312" w:cs="仿宋_GB2312"/>
          <w:sz w:val="28"/>
        </w:rP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 client_name }}委托，为委托方办理{{ transfer_purpose }}相关事项提供设定条件下国有建设用地使用权正常市场价格参考依据。</w:t>
      </w:r>
      <w:r>
        <w:rPr>
          <w:rFonts w:ascii="仿宋_GB2312" w:hAnsi="仿宋_GB2312" w:eastAsia="仿宋_GB2312" w:cs="仿宋_GB2312"/>
          <w:color w:val="000000"/>
          <w:sz w:val="28"/>
        </w:rPr>
      </w:r>
    </w:p>
    <w:p w14:paraId="26074F7F">
      <w:pPr>
        <w:keepNext w:val="0"/>
        <w:keepLines w:val="0"/>
        <w:pageBreakBefore w:val="0"/>
        <w:widowControl w:val="0"/>
        <w:kinsoku/>
        <w:wordWrap/>
        <w:topLinePunct w:val="0"/>
        <w:bidi w:val="0"/>
        <w:spacing w:line="480" w:lineRule="exact" w:before="0" w:after="0"/>
        <w:ind w:firstLine="562" w:firstLineChars="200"/>
        <w:textAlignment w:val="auto"/>
        <w:outlineLvl w:val="2"/>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五、估价依据</w:t>
      </w:r>
    </w:p>
    <w:p w14:paraId="5E2DAC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（一）国家相关法律、法规及行政规章</w:t>
      </w:r>
    </w:p>
    <w:p w14:paraId="18140F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340EE58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3210C97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46301B3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06D3F9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32306CD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42EE733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7DC546E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1713F0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248868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6DF3CDE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508235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4139C23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37EAA8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165F43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700CFD5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59DADC8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AE259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56AF31C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11F1BC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30688E5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1CEACAA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70C758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5670CE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382CAC6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49445E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70C8A83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581F7FA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1A32ECB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4F9AE6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0EECA29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1A69C74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183652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7CE384D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187269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19CCC1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678B79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404D3D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2024年2月1日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p>
    <w:p w14:paraId="6DB786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72F6DB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689C6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3FAAD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57F9CE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2BD5F20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B289DD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E7A514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19.湖南省人民政府、永州市人民政府、{{ base_price_doc_authority }}及有关部门颁布的其他有关政策、规定、实施办法、通知等法规文件。</w:t>
      </w:r>
    </w:p>
    <w:p w14:paraId="1A7026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（三）采用的技术规程及标准</w:t>
      </w:r>
    </w:p>
    <w:p w14:paraId="10DF80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3F70022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48CF03F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1B26097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6AC2D3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6EE893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4C67D83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616631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14EAC42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2001F8C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（四）委托估价方提供的资料</w:t>
      </w:r>
    </w:p>
    <w:p w14:paraId="7FAE25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4120CE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385A10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0A09C35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4.《{{ county_name }}{{ land_plot_number }}号地块建设用地规划红线图》；</w:t>
      </w:r>
      <w:r>
        <w:rPr>
          <w:rFonts w:ascii="仿宋_GB2312" w:hAnsi="仿宋_GB2312" w:eastAsia="仿宋_GB2312" w:cs="仿宋_GB2312"/>
          <w:color w:val="000000"/>
          <w:sz w:val="28"/>
        </w:rPr>
      </w:r>
    </w:p>
    <w:p w14:paraId="442BA5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basis_docs_rendered }}；</w:t>
      </w:r>
    </w:p>
    <w:p w14:paraId="1F366D0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09283F7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4E0ABC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14ABC0D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2D9141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7F70FD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3003321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43767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1A6FE54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7D9DA36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7DDABD0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六、估价期日</w:t>
      </w:r>
    </w:p>
    <w:p w14:paraId="123C69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}}，结合本次估价目的和委托估价方提供的《评估委托书》，本次估价设定估价期日为{{ valuation_date }}。</w:t>
      </w:r>
    </w:p>
    <w:p w14:paraId="74BE4A5E">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七</w:t>
      </w:r>
      <w:r>
        <w:rPr>
          <w:rFonts w:hint="eastAsia" w:ascii="宋体" w:eastAsia="宋体" w:hAnsi="宋体" w:cs="宋体"/>
          <w:b/>
          <w:color w:val="000000" w:themeColor="text1"/>
          <w:sz w:val="28"/>
          <w:szCs w:val="28"/>
          <w:highlight w:val="none"/>
          <w14:textFill>
            <w14:solidFill>
              <w14:schemeClr w14:val="tx1"/>
            </w14:solidFill>
          </w14:textFill>
        </w:rPr>
        <w:t>、估价日期</w:t>
      </w:r>
    </w:p>
    <w:p w14:paraId="08CFC2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color w:val="000000"/>
          <w:sz w:val="28"/>
        </w:rPr>
        <w:t>{{ valuation_work_date }}。</w:t>
      </w:r>
    </w:p>
    <w:p w14:paraId="6A96C30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八、</w:t>
      </w:r>
      <w:r>
        <w:rPr>
          <w:rFonts w:hint="eastAsia" w:ascii="宋体" w:eastAsia="宋体" w:hAnsi="宋体" w:cs="宋体"/>
          <w:b/>
          <w:color w:val="000000" w:themeColor="text1"/>
          <w:sz w:val="28"/>
          <w:szCs w:val="28"/>
          <w:highlight w:val="none"/>
          <w14:textFill>
            <w14:solidFill>
              <w14:schemeClr w14:val="tx1"/>
            </w14:solidFill>
          </w14:textFill>
        </w:rPr>
        <w:t>地价定义</w:t>
      </w:r>
    </w:p>
    <w:p w14:paraId="4B8FF7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根据委托方出具的《关于国有建设用地的规划条件的函》（2025年9月11日）及现场勘查状况，估价对象总土地面积为{{ land_area }}平方米，估价对象规划用途为{{ land_usage }}，至估价期日，估价对象实际土地开发程度为{{ land_development_actual }}。</w:t>
      </w:r>
      <w:r>
        <w:rPr>
          <w:rFonts w:ascii="仿宋_GB2312" w:hAnsi="仿宋_GB2312" w:eastAsia="仿宋_GB2312" w:cs="仿宋_GB2312"/>
          <w:color w:val="000000"/>
          <w:sz w:val="28"/>
        </w:rPr>
      </w:r>
    </w:p>
    <w:p w14:paraId="0DE086C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5D07852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5840598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}}，本次估价设定估价期日为{{ valuation_date }}。</w:t>
      </w:r>
    </w:p>
    <w:p w14:paraId="5CCE34A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45D0486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根据土地估价师现场勘查及委托方提供资料，估价对象现状用途及规划用途以委托方资料为准。根据《关于国有建设用地的规划条件的函》（2025年9月11日），估价对象规划用途为{{ land_usage }}，根据《土地利用现状分类》(GB/T21010-2017，2017年11月01日)和估价目的，本次评估设定土地用途为{{ land_usage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2DAAE98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4FBADCF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至估价期日止，估价对象原登记或现状权利类型为{{ registered_right_type }}，结合本次估价目的，本次评估设定土地使用权类型为{{ right_type }}。</w:t>
      </w:r>
    </w:p>
    <w:p w14:paraId="5291152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7E4026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根据《中华人民共和国城镇国有土地使用权出让和转让暂行条例》（1990年5月19日国务院令第55号）规定，并结合《评估委托书》约定和估价目的，估价对象土地使用权出让年限为{{ land_use_term }}，此次评估设定土地使用权年限为{{ land_use_term }}。</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7CF62B3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3E39277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根据土地估价师实地勘查，估价对象于估价期日{{ valuation_date }}实际开发程度为{{ land_development_actual }}。结合估价目的及实际情况，本次评估设定土地开发程度为{{ land_development_set }}。</w:t>
      </w:r>
    </w:p>
    <w:p w14:paraId="744985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5C69489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根据实地勘查和《关于国有建设用地的规划条件的函》（2025年9月11日），估价对象规划建筑密度{{ building_density_min }}-{{ building_density_max }}，容积率{{ plot_ratio_display }}，绿地率{{ greening_rate }}，建筑限高{{ building_height_limit }}。根据土地最有效利用原则，本次评估设定容积率为{{ plot_ratio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409DBE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7D0A0D3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03436F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综上所述，此次评估的地价内涵是指：估价对象在公开市场条件下，于估价期日{{ valuation_date }}，土地使用权面积{{ land_area }}平方米，土地用途设定为{{ land_usage }}，容积率设定为{{ plot_ratio }}，土地使用权类型设定为{{ right_type }}，出让年期为{{ land_use_term }}，土地开发程度设定为{{ land_development_set }}条件下的土地使用权市场价格。</w:t>
      </w:r>
    </w:p>
    <w:p w14:paraId="2075FDA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 xml:space="preserve">九、估价结果 </w:t>
      </w:r>
    </w:p>
    <w:p w14:paraId="31924DA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w:t>
      </w: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估价结论</w:t>
      </w:r>
    </w:p>
    <w:p>
      <w:pPr>
        <w:spacing w:before="0" w:after="0" w:line="480" w:lineRule="exact"/>
        <w:ind w:left="561" w:firstLine="0"/>
      </w:pPr>
      <w:r>
        <w:rPr>
          <w:rFonts w:ascii="仿宋_GB2312" w:hAnsi="仿宋_GB2312" w:eastAsia="仿宋_GB2312" w:cs="仿宋_GB2312"/>
          <w:sz w:val="28"/>
        </w:rPr>
        <w:t>{{ valuation_result_statement }}</w:t>
      </w:r>
    </w:p>
    <w:p w14:paraId="52CF38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（二）出让底价建议</w:t>
      </w:r>
    </w:p>
    <w:p w14:paraId="4B4D1AE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 county_name }}土地市场情况及有关法律法规和政策规定，该地区土地出让底价由选定的估价机构的估价结果及具体宗地的实际情况综合确定。建议估价对象出让底价与本次估价结果相一致，具体由出让方根据出让土地的实际情况综合确定。</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1C791D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0B3585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55B93C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2.通过湖南省国土资源网上交易系统、中国土地交易市场网查询，{{ county_name }}近期通过“招拍挂”途径出让的估价对象周边土地单位面积地价与估价结果较为接近，估价结果符合该区域规划发展的趋势。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6F12FB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31F1C200">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b/>
          <w:color w:val="000000" w:themeColor="text1"/>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十、需要特殊说明的事项</w:t>
      </w:r>
    </w:p>
    <w:p w14:paraId="1C659CC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(一)评估依据资料来源情况说明</w:t>
      </w:r>
    </w:p>
    <w:p w14:paraId="13FBE7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384BE3F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02045F7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3.区域经济发展状况、统计数据、城市规划资料、基准地价资料、估价中的相关参数资料等由{{ appraisal_org }}土地估价师通过查阅政府部门相关文件及公开媒体资讯等途径获取。</w:t>
      </w:r>
    </w:p>
    <w:p w14:paraId="0B9D473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4.{{ appraisal_org }}土地估价师结合执业经验，对上述相关评估资料的真实性、合法性、有效性、适用性进行了尽职核实和专业判断。</w:t>
      </w:r>
    </w:p>
    <w:p w14:paraId="413C68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0511C7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（二）对估价结果和估价工作可能影响的变化事项</w:t>
      </w:r>
    </w:p>
    <w:p w14:paraId="7FE3879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3903F4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7F44C0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44AACD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（三）估价对象的特殊性、估价中未考虑的因素及采取的特殊处理</w:t>
      </w:r>
    </w:p>
    <w:p w14:paraId="39BB66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2B6BA9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6839BD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C3FF39D">
      <w:pPr>
        <w:rPr>
          <w:rFonts w:hint="eastAsia"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br w:type="page"/>
      </w:r>
    </w:p>
    <w:p w14:paraId="36168FE4">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十一、土地估价师签字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57F89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4C1055E2">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2785300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3EA5FC2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69805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1D448017">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65796B58">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1DC309E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B53B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1C17DE07">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3CD3FA03">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12382CDA">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1541E1CE">
      <w:pPr>
        <w:spacing w:line="480" w:lineRule="exact" w:before="0" w:after="0"/>
        <w:ind w:firstLine="562" w:firstLineChars="200"/>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十二</w:t>
      </w:r>
      <w:r>
        <w:rPr>
          <w:rFonts w:hint="eastAsia" w:ascii="宋体" w:eastAsia="宋体" w:hAnsi="宋体" w:cs="宋体"/>
          <w:b/>
          <w:color w:val="000000" w:themeColor="text1"/>
          <w:sz w:val="28"/>
          <w:szCs w:val="28"/>
          <w:highlight w:val="none"/>
          <w14:textFill>
            <w14:solidFill>
              <w14:schemeClr w14:val="tx1"/>
            </w14:solidFill>
          </w14:textFill>
        </w:rPr>
        <w:t>、土地估价机构</w:t>
      </w:r>
    </w:p>
    <w:p w14:paraId="29C8241E">
      <w:pPr>
        <w:tabs>
          <w:tab w:val="left" w:pos="3780"/>
        </w:tabs>
        <w:spacing w:before="0" w:beforeLines="100" w:line="480" w:lineRule="exact" w:after="0"/>
        <w:jc w:val="left"/>
        <w:rPr>
          <w:rFonts w:hint="eastAsia" w:ascii="仿宋_GB2312" w:eastAsia="仿宋_GB2312"/>
          <w:color w:val="000000" w:themeColor="text1"/>
          <w:sz w:val="28"/>
          <w:highlight w:val="none"/>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估价机构法定代表人签字：</w:t>
      </w:r>
    </w:p>
    <w:p w14:paraId="26F7102B">
      <w:pPr>
        <w:pStyle w:val="2"/>
        <w:rPr>
          <w:color w:val="000000" w:themeColor="text1"/>
          <w:highlight w:val="none"/>
          <w14:textFill>
            <w14:solidFill>
              <w14:schemeClr w14:val="tx1"/>
            </w14:solidFill>
          </w14:textFill>
        </w:rPr>
      </w:pPr>
    </w:p>
    <w:p w14:paraId="74287A11">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3253D565">
      <w:pPr>
        <w:keepNext w:val="0"/>
        <w:keepLines w:val="0"/>
        <w:pageBreakBefore w:val="0"/>
        <w:widowControl w:val="0"/>
        <w:kinsoku/>
        <w:wordWrap/>
        <w:overflowPunct/>
        <w:topLinePunct w:val="0"/>
        <w:autoSpaceDE/>
        <w:autoSpaceDN/>
        <w:bidi w:val="0"/>
        <w:spacing w:line="480" w:lineRule="exact" w:before="0" w:after="0"/>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appraisal_org }}</w:t>
      </w:r>
    </w:p>
    <w:p w14:paraId="49E3943B">
      <w:pPr>
        <w:pStyle w:val="13"/>
        <w:keepNext w:val="0"/>
        <w:keepLines w:val="0"/>
        <w:pageBreakBefore w:val="0"/>
        <w:widowControl w:val="0"/>
        <w:kinsoku/>
        <w:wordWrap/>
        <w:overflowPunct/>
        <w:topLinePunct w:val="0"/>
        <w:autoSpaceDE/>
        <w:autoSpaceDN/>
        <w:bidi w:val="0"/>
        <w:adjustRightInd/>
        <w:snapToGrid/>
        <w:spacing w:line="480" w:lineRule="exact" w:before="0" w:after="0"/>
        <w:ind w:firstLine="560"/>
        <w:textAlignment w:val="auto"/>
        <w:rPr>
          <w:rFonts w:hint="eastAsia" w:eastAsia="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 report_date }}</w:t>
      </w:r>
    </w:p>
    <w:p w14:paraId="4400C43F">
      <w:pPr>
        <w:keepNext w:val="0"/>
        <w:keepLines w:val="0"/>
        <w:pageBreakBefore w:val="0"/>
        <w:widowControl w:val="0"/>
        <w:kinsoku/>
        <w:wordWrap/>
        <w:overflowPunct/>
        <w:topLinePunct w:val="0"/>
        <w:autoSpaceDE/>
        <w:autoSpaceDN/>
        <w:bidi w:val="0"/>
        <w:adjustRightInd/>
        <w:snapToGrid/>
        <w:spacing w:line="480" w:lineRule="exact"/>
        <w:textAlignment w:val="auto"/>
        <w:rPr>
          <w:rFonts w:ascii="仿宋_GB2312" w:eastAsia="仿宋_GB2312"/>
          <w:color w:val="000000" w:themeColor="text1"/>
          <w:sz w:val="28"/>
          <w:highlight w:val="none"/>
          <w14:textFill>
            <w14:solidFill>
              <w14:schemeClr w14:val="tx1"/>
            </w14:solidFill>
          </w14:textFill>
        </w:rPr>
        <w:sectPr>
          <w:footerReference r:id="rId21" w:type="default"/>
          <w:endnotePr>
            <w:numFmt w:val="decimal"/>
          </w:endnotePr>
          <w:pgSz w:w="11906" w:h="16838"/>
          <w:pgMar w:top="1440" w:right="1800" w:bottom="1440" w:left="1800" w:header="851" w:footer="850" w:gutter="0"/>
          <w:pgNumType w:fmt="decimal"/>
          <w:cols w:space="720" w:num="1"/>
          <w:docGrid w:linePitch="312" w:charSpace="0"/>
        </w:sectPr>
      </w:pPr>
    </w:p>
    <w:p w14:paraId="0AC74737">
      <w:pPr>
        <w:spacing w:line="480" w:lineRule="exact" w:before="0" w:after="0"/>
        <w:ind w:left="538" w:hanging="537" w:hangingChars="192"/>
        <w:jc w:val="center"/>
        <w:outlineLvl w:val="3"/>
        <w:rPr>
          <w:rFonts w:hint="eastAsia" w:ascii="仿宋_GB2312" w:eastAsia="仿宋_GB2312"/>
          <w:b/>
          <w:bCs/>
          <w:color w:val="000000" w:themeColor="text1"/>
          <w:sz w:val="28"/>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w:t>
      </w:r>
      <w:r>
        <w:rPr>
          <w:rFonts w:hint="eastAsia" w:ascii="仿宋_GB2312" w:eastAsia="仿宋_GB2312" w:hAnsi="仿宋_GB2312" w:cs="仿宋_GB2312"/>
          <w:b/>
          <w:bCs/>
          <w:color w:val="000000" w:themeColor="text1"/>
          <w:sz w:val="28"/>
          <w:highlight w:val="none"/>
          <w14:textFill>
            <w14:solidFill>
              <w14:schemeClr w14:val="tx1"/>
            </w14:solidFill>
          </w14:textFill>
        </w:rPr>
        <w:t xml:space="preserve">  土地估价结果一览表</w:t>
      </w:r>
      <w:r>
        <w:rPr>
          <w:rFonts w:hint="eastAsia" w:ascii="仿宋_GB2312" w:eastAsia="仿宋_GB2312" w:hAnsi="仿宋_GB2312" w:cs="仿宋_GB2312"/>
          <w:b/>
          <w:bCs/>
          <w:color w:val="000000" w:themeColor="text1"/>
          <w:sz w:val="28"/>
          <w:highlight w:val="none"/>
          <w:lang w:val="en-US" w:eastAsia="zh-CN"/>
          <w14:textFill>
            <w14:solidFill>
              <w14:schemeClr w14:val="tx1"/>
            </w14:solidFill>
          </w14:textFill>
        </w:rPr>
        <w:t xml:space="preserve"> </w:t>
      </w:r>
    </w:p>
    <w:p w14:paraId="2D9E7F20">
      <w:pPr>
        <w:spacing w:line="480" w:lineRule="exact" w:before="0" w:after="0"/>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ascii="仿宋_GB2312" w:hAnsi="仿宋_GB2312" w:eastAsia="仿宋_GB2312" w:cs="仿宋_GB2312"/>
          <w:sz w:val="28"/>
        </w:rPr>
        <w:t>估价机构：{{ appraisal_org }}                                                                                估价期日：{{ valuation_date }}</w:t>
      </w:r>
    </w:p>
    <w:p w14:paraId="3F6401EE">
      <w:pPr>
        <w:spacing w:line="480" w:lineRule="exact" w:before="0" w:after="0"/>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估价报告编号：{{ technical_report_no }}                      估价目的：出让                       估价期日的土地使用权性质：拟出让</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8"/>
        <w:gridCol w:w="975"/>
        <w:gridCol w:w="1126"/>
        <w:gridCol w:w="824"/>
        <w:gridCol w:w="809"/>
        <w:gridCol w:w="551"/>
        <w:gridCol w:w="611"/>
        <w:gridCol w:w="811"/>
        <w:gridCol w:w="463"/>
        <w:gridCol w:w="950"/>
        <w:gridCol w:w="1356"/>
        <w:gridCol w:w="1614"/>
        <w:gridCol w:w="840"/>
        <w:gridCol w:w="1007"/>
        <w:gridCol w:w="689"/>
        <w:gridCol w:w="721"/>
        <w:gridCol w:w="891"/>
        <w:gridCol w:w="683"/>
      </w:tblGrid>
      <w:tr w14:paraId="020E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54" w:type="pct"/>
            <w:vMerge w:val="restart"/>
            <w:vAlign w:val="center"/>
            <w:tcMar>
              <w:top w:w="35" w:type="dxa"/>
              <w:left w:w="35" w:type="dxa"/>
              <w:bottom w:w="35" w:type="dxa"/>
              <w:right w:w="35" w:type="dxa"/>
            </w:tcMar>
          </w:tcPr>
          <w:p w14:paraId="2E4576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估价期日土地使用者</w:t>
            </w:r>
          </w:p>
        </w:tc>
        <w:tc>
          <w:tcPr>
            <w:tcW w:w="310" w:type="pct"/>
            <w:vMerge w:val="restart"/>
            <w:vAlign w:val="center"/>
            <w:tcMar>
              <w:top w:w="35" w:type="dxa"/>
              <w:left w:w="35" w:type="dxa"/>
              <w:bottom w:w="35" w:type="dxa"/>
              <w:right w:w="35" w:type="dxa"/>
            </w:tcMar>
          </w:tcPr>
          <w:p w14:paraId="3F14AF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w:t>
            </w:r>
          </w:p>
          <w:p w14:paraId="0C83D9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编号</w:t>
            </w:r>
          </w:p>
        </w:tc>
        <w:tc>
          <w:tcPr>
            <w:tcW w:w="358" w:type="pct"/>
            <w:vMerge w:val="restart"/>
            <w:vAlign w:val="center"/>
            <w:tcMar>
              <w:top w:w="35" w:type="dxa"/>
              <w:left w:w="35" w:type="dxa"/>
              <w:bottom w:w="35" w:type="dxa"/>
              <w:right w:w="35" w:type="dxa"/>
            </w:tcMar>
          </w:tcPr>
          <w:p w14:paraId="4AE433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宗地名称</w:t>
            </w:r>
          </w:p>
        </w:tc>
        <w:tc>
          <w:tcPr>
            <w:tcW w:w="262" w:type="pct"/>
            <w:vMerge w:val="restart"/>
            <w:vAlign w:val="center"/>
            <w:tcMar>
              <w:top w:w="35" w:type="dxa"/>
              <w:left w:w="35" w:type="dxa"/>
              <w:bottom w:w="35" w:type="dxa"/>
              <w:right w:w="35" w:type="dxa"/>
            </w:tcMar>
          </w:tcPr>
          <w:p w14:paraId="59B919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土地使用证编号</w:t>
            </w:r>
          </w:p>
        </w:tc>
        <w:tc>
          <w:tcPr>
            <w:tcW w:w="626" w:type="pct"/>
            <w:gridSpan w:val="3"/>
            <w:vAlign w:val="center"/>
            <w:tcMar>
              <w:top w:w="35" w:type="dxa"/>
              <w:left w:w="35" w:type="dxa"/>
              <w:bottom w:w="35" w:type="dxa"/>
              <w:right w:w="35" w:type="dxa"/>
            </w:tcMar>
          </w:tcPr>
          <w:p w14:paraId="1BF04A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估价期日的用途</w:t>
            </w:r>
          </w:p>
        </w:tc>
        <w:tc>
          <w:tcPr>
            <w:tcW w:w="706" w:type="pct"/>
            <w:gridSpan w:val="3"/>
            <w:vAlign w:val="center"/>
            <w:tcMar>
              <w:top w:w="35" w:type="dxa"/>
              <w:left w:w="35" w:type="dxa"/>
              <w:bottom w:w="35" w:type="dxa"/>
              <w:right w:w="35" w:type="dxa"/>
            </w:tcMar>
          </w:tcPr>
          <w:p w14:paraId="3E1472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容积率</w:t>
            </w:r>
          </w:p>
        </w:tc>
        <w:tc>
          <w:tcPr>
            <w:tcW w:w="431" w:type="pct"/>
            <w:vMerge w:val="restart"/>
            <w:vAlign w:val="center"/>
            <w:tcMar>
              <w:top w:w="35" w:type="dxa"/>
              <w:left w:w="35" w:type="dxa"/>
              <w:bottom w:w="35" w:type="dxa"/>
              <w:right w:w="35" w:type="dxa"/>
            </w:tcMar>
          </w:tcPr>
          <w:p w14:paraId="2C34BB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估价期日实际土地开发程度</w:t>
            </w:r>
          </w:p>
        </w:tc>
        <w:tc>
          <w:tcPr>
            <w:tcW w:w="513" w:type="pct"/>
            <w:vMerge w:val="restart"/>
            <w:vAlign w:val="center"/>
            <w:tcMar>
              <w:top w:w="35" w:type="dxa"/>
              <w:left w:w="35" w:type="dxa"/>
              <w:bottom w:w="35" w:type="dxa"/>
              <w:right w:w="35" w:type="dxa"/>
            </w:tcMar>
          </w:tcPr>
          <w:p w14:paraId="68D4D3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估价设定土地开发程度</w:t>
            </w:r>
          </w:p>
        </w:tc>
        <w:tc>
          <w:tcPr>
            <w:tcW w:w="267" w:type="pct"/>
            <w:vMerge w:val="restart"/>
            <w:vAlign w:val="center"/>
            <w:tcMar>
              <w:top w:w="35" w:type="dxa"/>
              <w:left w:w="35" w:type="dxa"/>
              <w:bottom w:w="35" w:type="dxa"/>
              <w:right w:w="35" w:type="dxa"/>
            </w:tcMar>
          </w:tcPr>
          <w:p w14:paraId="69605D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剩余土地使用权年期（年）</w:t>
            </w:r>
          </w:p>
        </w:tc>
        <w:tc>
          <w:tcPr>
            <w:tcW w:w="320" w:type="pct"/>
            <w:vMerge w:val="restart"/>
            <w:vAlign w:val="center"/>
            <w:tcMar>
              <w:top w:w="35" w:type="dxa"/>
              <w:left w:w="35" w:type="dxa"/>
              <w:bottom w:w="35" w:type="dxa"/>
              <w:right w:w="35" w:type="dxa"/>
            </w:tcMar>
          </w:tcPr>
          <w:p w14:paraId="5789F9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面积(㎡)</w:t>
            </w:r>
          </w:p>
        </w:tc>
        <w:tc>
          <w:tcPr>
            <w:tcW w:w="219" w:type="pct"/>
            <w:vMerge w:val="restart"/>
            <w:vAlign w:val="center"/>
            <w:tcMar>
              <w:top w:w="35" w:type="dxa"/>
              <w:left w:w="35" w:type="dxa"/>
              <w:bottom w:w="35" w:type="dxa"/>
              <w:right w:w="35" w:type="dxa"/>
            </w:tcMar>
          </w:tcPr>
          <w:p w14:paraId="771137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地面地价(元/㎡)</w:t>
            </w:r>
          </w:p>
        </w:tc>
        <w:tc>
          <w:tcPr>
            <w:tcW w:w="229" w:type="pct"/>
            <w:vMerge w:val="restart"/>
            <w:vAlign w:val="center"/>
            <w:tcMar>
              <w:top w:w="35" w:type="dxa"/>
              <w:left w:w="35" w:type="dxa"/>
              <w:bottom w:w="35" w:type="dxa"/>
              <w:right w:w="35" w:type="dxa"/>
            </w:tcMar>
          </w:tcPr>
          <w:p w14:paraId="7A2444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楼面地价(元/㎡)</w:t>
            </w:r>
          </w:p>
        </w:tc>
        <w:tc>
          <w:tcPr>
            <w:tcW w:w="283" w:type="pct"/>
            <w:vMerge w:val="restart"/>
            <w:vAlign w:val="center"/>
            <w:tcMar>
              <w:top w:w="35" w:type="dxa"/>
              <w:left w:w="35" w:type="dxa"/>
              <w:bottom w:w="35" w:type="dxa"/>
              <w:right w:w="35" w:type="dxa"/>
            </w:tcMar>
          </w:tcPr>
          <w:p w14:paraId="24CBC0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总价</w:t>
            </w:r>
          </w:p>
          <w:p w14:paraId="5527E3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(万元)</w:t>
            </w:r>
          </w:p>
        </w:tc>
        <w:tc>
          <w:tcPr>
            <w:tcW w:w="217" w:type="pct"/>
            <w:vMerge w:val="restart"/>
            <w:vAlign w:val="center"/>
            <w:tcMar>
              <w:top w:w="35" w:type="dxa"/>
              <w:left w:w="35" w:type="dxa"/>
              <w:bottom w:w="35" w:type="dxa"/>
              <w:right w:w="35" w:type="dxa"/>
            </w:tcMar>
          </w:tcPr>
          <w:p w14:paraId="5447EB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备注</w:t>
            </w:r>
          </w:p>
        </w:tc>
      </w:tr>
      <w:tr w14:paraId="60C0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54" w:type="pct"/>
            <w:vMerge w:val="continue"/>
            <w:vAlign w:val="center"/>
          </w:tcPr>
          <w:p w14:paraId="240571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0" w:type="pct"/>
            <w:vMerge w:val="continue"/>
            <w:vAlign w:val="center"/>
          </w:tcPr>
          <w:p w14:paraId="56CE40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58" w:type="pct"/>
            <w:vMerge w:val="continue"/>
            <w:vAlign w:val="center"/>
          </w:tcPr>
          <w:p w14:paraId="3E0A7C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Merge w:val="continue"/>
            <w:vAlign w:val="center"/>
          </w:tcPr>
          <w:p w14:paraId="71F2FA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57" w:type="pct"/>
            <w:vAlign w:val="center"/>
            <w:tcMar>
              <w:top w:w="35" w:type="dxa"/>
              <w:left w:w="35" w:type="dxa"/>
              <w:bottom w:w="35" w:type="dxa"/>
              <w:right w:w="35" w:type="dxa"/>
            </w:tcMar>
          </w:tcPr>
          <w:p w14:paraId="2D357C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证载（或批准）</w:t>
            </w:r>
          </w:p>
        </w:tc>
        <w:tc>
          <w:tcPr>
            <w:tcW w:w="175" w:type="pct"/>
            <w:vAlign w:val="center"/>
            <w:tcMar>
              <w:top w:w="35" w:type="dxa"/>
              <w:left w:w="35" w:type="dxa"/>
              <w:bottom w:w="35" w:type="dxa"/>
              <w:right w:w="35" w:type="dxa"/>
            </w:tcMar>
          </w:tcPr>
          <w:p w14:paraId="0517EB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194" w:type="pct"/>
            <w:vAlign w:val="center"/>
            <w:tcMar>
              <w:top w:w="35" w:type="dxa"/>
              <w:left w:w="35" w:type="dxa"/>
              <w:bottom w:w="35" w:type="dxa"/>
              <w:right w:w="35" w:type="dxa"/>
            </w:tcMar>
          </w:tcPr>
          <w:p w14:paraId="1EF5DD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257" w:type="pct"/>
            <w:vAlign w:val="center"/>
            <w:tcMar>
              <w:top w:w="35" w:type="dxa"/>
              <w:left w:w="35" w:type="dxa"/>
              <w:bottom w:w="35" w:type="dxa"/>
              <w:right w:w="35" w:type="dxa"/>
            </w:tcMar>
          </w:tcPr>
          <w:p w14:paraId="5E90F4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规划</w:t>
            </w:r>
          </w:p>
        </w:tc>
        <w:tc>
          <w:tcPr>
            <w:tcW w:w="147" w:type="pct"/>
            <w:vAlign w:val="center"/>
            <w:tcMar>
              <w:top w:w="35" w:type="dxa"/>
              <w:left w:w="35" w:type="dxa"/>
              <w:bottom w:w="35" w:type="dxa"/>
              <w:right w:w="35" w:type="dxa"/>
            </w:tcMar>
          </w:tcPr>
          <w:p w14:paraId="1D6701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300" w:type="pct"/>
            <w:vAlign w:val="center"/>
            <w:tcMar>
              <w:top w:w="35" w:type="dxa"/>
              <w:left w:w="35" w:type="dxa"/>
              <w:bottom w:w="35" w:type="dxa"/>
              <w:right w:w="35" w:type="dxa"/>
            </w:tcMar>
          </w:tcPr>
          <w:p w14:paraId="794033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431" w:type="pct"/>
            <w:vMerge w:val="continue"/>
            <w:vAlign w:val="center"/>
          </w:tcPr>
          <w:p w14:paraId="2F7C8B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3" w:type="pct"/>
            <w:vMerge w:val="continue"/>
            <w:vAlign w:val="center"/>
          </w:tcPr>
          <w:p w14:paraId="2A8B7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2C5C4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0" w:type="pct"/>
            <w:vMerge w:val="continue"/>
            <w:vAlign w:val="center"/>
          </w:tcPr>
          <w:p w14:paraId="642B48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9" w:type="pct"/>
            <w:vMerge w:val="continue"/>
            <w:vAlign w:val="center"/>
          </w:tcPr>
          <w:p w14:paraId="1F8372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9" w:type="pct"/>
            <w:vMerge w:val="continue"/>
            <w:vAlign w:val="center"/>
          </w:tcPr>
          <w:p w14:paraId="4A4E5E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3" w:type="pct"/>
            <w:vMerge w:val="continue"/>
            <w:vAlign w:val="center"/>
          </w:tcPr>
          <w:p w14:paraId="0B303F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7" w:type="pct"/>
            <w:vMerge w:val="continue"/>
            <w:vAlign w:val="center"/>
          </w:tcPr>
          <w:p w14:paraId="717D6F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20F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54" w:type="pct"/>
            <w:vAlign w:val="center"/>
            <w:tcMar>
              <w:top w:w="35" w:type="dxa"/>
              <w:left w:w="35" w:type="dxa"/>
              <w:bottom w:w="35" w:type="dxa"/>
              <w:right w:w="35" w:type="dxa"/>
            </w:tcMar>
          </w:tcPr>
          <w:p w14:paraId="1A427A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land_user }}</w:t>
            </w:r>
          </w:p>
        </w:tc>
        <w:tc>
          <w:tcPr>
            <w:tcW w:w="310" w:type="pct"/>
            <w:vAlign w:val="center"/>
            <w:tcMar>
              <w:top w:w="35" w:type="dxa"/>
              <w:left w:w="35" w:type="dxa"/>
              <w:bottom w:w="35" w:type="dxa"/>
              <w:right w:w="35" w:type="dxa"/>
            </w:tcMar>
          </w:tcPr>
          <w:p w14:paraId="38125F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land_plot_number }}</w:t>
            </w:r>
          </w:p>
        </w:tc>
        <w:tc>
          <w:tcPr>
            <w:tcW w:w="358" w:type="pct"/>
            <w:vAlign w:val="center"/>
            <w:tcMar>
              <w:top w:w="35" w:type="dxa"/>
              <w:left w:w="35" w:type="dxa"/>
              <w:bottom w:w="35" w:type="dxa"/>
              <w:right w:w="35" w:type="dxa"/>
            </w:tcMar>
          </w:tcPr>
          <w:p w14:paraId="565E58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land_location }}{{ land_plot_number }}</w:t>
            </w:r>
          </w:p>
        </w:tc>
        <w:tc>
          <w:tcPr>
            <w:tcW w:w="262" w:type="pct"/>
            <w:vAlign w:val="center"/>
            <w:tcMar>
              <w:top w:w="35" w:type="dxa"/>
              <w:left w:w="35" w:type="dxa"/>
              <w:bottom w:w="35" w:type="dxa"/>
              <w:right w:w="35" w:type="dxa"/>
            </w:tcMar>
          </w:tcPr>
          <w:p w14:paraId="05E391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待办</w:t>
            </w:r>
          </w:p>
        </w:tc>
        <w:tc>
          <w:tcPr>
            <w:tcW w:w="257" w:type="pct"/>
            <w:vAlign w:val="center"/>
            <w:tcMar>
              <w:top w:w="35" w:type="dxa"/>
              <w:left w:w="35" w:type="dxa"/>
              <w:bottom w:w="35" w:type="dxa"/>
              <w:right w:w="35" w:type="dxa"/>
            </w:tcMar>
          </w:tcPr>
          <w:p w14:paraId="61EE4C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75" w:type="pct"/>
            <w:vAlign w:val="center"/>
            <w:tcMar>
              <w:top w:w="35" w:type="dxa"/>
              <w:left w:w="35" w:type="dxa"/>
              <w:bottom w:w="35" w:type="dxa"/>
              <w:right w:w="35" w:type="dxa"/>
            </w:tcMar>
          </w:tcPr>
          <w:p w14:paraId="4AEB17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194" w:type="pct"/>
            <w:vAlign w:val="center"/>
            <w:tcMar>
              <w:top w:w="35" w:type="dxa"/>
              <w:left w:w="35" w:type="dxa"/>
              <w:bottom w:w="35" w:type="dxa"/>
              <w:right w:w="35" w:type="dxa"/>
            </w:tcMar>
          </w:tcPr>
          <w:p w14:paraId="159C3B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257" w:type="pct"/>
            <w:vAlign w:val="center"/>
            <w:tcMar>
              <w:top w:w="35" w:type="dxa"/>
              <w:left w:w="35" w:type="dxa"/>
              <w:bottom w:w="35" w:type="dxa"/>
              <w:right w:w="35" w:type="dxa"/>
            </w:tcMar>
          </w:tcPr>
          <w:p w14:paraId="152F36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plot_ratio_display }}</w:t>
            </w:r>
          </w:p>
        </w:tc>
        <w:tc>
          <w:tcPr>
            <w:tcW w:w="147" w:type="pct"/>
            <w:vAlign w:val="center"/>
            <w:tcMar>
              <w:top w:w="35" w:type="dxa"/>
              <w:left w:w="35" w:type="dxa"/>
              <w:bottom w:w="35" w:type="dxa"/>
              <w:right w:w="35" w:type="dxa"/>
            </w:tcMar>
          </w:tcPr>
          <w:p w14:paraId="5EB5BF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300" w:type="pct"/>
            <w:vAlign w:val="center"/>
            <w:tcMar>
              <w:top w:w="35" w:type="dxa"/>
              <w:left w:w="35" w:type="dxa"/>
              <w:bottom w:w="35" w:type="dxa"/>
              <w:right w:w="35" w:type="dxa"/>
            </w:tcMar>
          </w:tcPr>
          <w:p w14:paraId="6EABBF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 }}</w:t>
            </w:r>
          </w:p>
        </w:tc>
        <w:tc>
          <w:tcPr>
            <w:tcW w:w="431" w:type="pct"/>
            <w:vAlign w:val="center"/>
            <w:tcMar>
              <w:top w:w="35" w:type="dxa"/>
              <w:left w:w="35" w:type="dxa"/>
              <w:bottom w:w="35" w:type="dxa"/>
              <w:right w:w="35" w:type="dxa"/>
            </w:tcMar>
          </w:tcPr>
          <w:p w14:paraId="5182F0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land_development_actual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513" w:type="pct"/>
            <w:vAlign w:val="center"/>
            <w:tcMar>
              <w:top w:w="35" w:type="dxa"/>
              <w:left w:w="35" w:type="dxa"/>
              <w:bottom w:w="35" w:type="dxa"/>
              <w:right w:w="35" w:type="dxa"/>
            </w:tcMar>
          </w:tcPr>
          <w:p w14:paraId="22DBE5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land_development_set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267" w:type="pct"/>
            <w:vAlign w:val="center"/>
            <w:tcMar>
              <w:top w:w="35" w:type="dxa"/>
              <w:left w:w="35" w:type="dxa"/>
              <w:bottom w:w="35" w:type="dxa"/>
              <w:right w:w="35" w:type="dxa"/>
            </w:tcMar>
          </w:tcPr>
          <w:p w14:paraId="3C2919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land_use_term_years }}</w:t>
            </w:r>
          </w:p>
        </w:tc>
        <w:tc>
          <w:tcPr>
            <w:tcW w:w="320" w:type="pct"/>
            <w:vAlign w:val="center"/>
            <w:tcMar>
              <w:top w:w="35" w:type="dxa"/>
              <w:left w:w="35" w:type="dxa"/>
              <w:bottom w:w="35" w:type="dxa"/>
              <w:right w:w="35" w:type="dxa"/>
            </w:tcMar>
          </w:tcPr>
          <w:p w14:paraId="1F7F66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land_area }}</w:t>
            </w:r>
          </w:p>
        </w:tc>
        <w:tc>
          <w:tcPr>
            <w:tcW w:w="219" w:type="pct"/>
            <w:vAlign w:val="center"/>
            <w:tcMar>
              <w:top w:w="35" w:type="dxa"/>
              <w:left w:w="35" w:type="dxa"/>
              <w:bottom w:w="35" w:type="dxa"/>
              <w:right w:w="35" w:type="dxa"/>
            </w:tcMar>
          </w:tcPr>
          <w:p w14:paraId="0FFD06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16"/>
              </w:rPr>
              <w:t>{{ final_unit_price }}</w:t>
            </w:r>
          </w:p>
        </w:tc>
        <w:tc>
          <w:tcPr>
            <w:tcW w:w="229" w:type="pct"/>
            <w:vAlign w:val="center"/>
            <w:tcMar>
              <w:top w:w="35" w:type="dxa"/>
              <w:left w:w="35" w:type="dxa"/>
              <w:bottom w:w="35" w:type="dxa"/>
              <w:right w:w="35" w:type="dxa"/>
            </w:tcMar>
          </w:tcPr>
          <w:p w14:paraId="46A3BE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w:t>
            </w:r>
          </w:p>
        </w:tc>
        <w:tc>
          <w:tcPr>
            <w:tcW w:w="283" w:type="pct"/>
            <w:shd w:val="clear" w:color="auto" w:fill="auto"/>
            <w:vAlign w:val="center"/>
            <w:tcMar>
              <w:top w:w="35" w:type="dxa"/>
              <w:left w:w="35" w:type="dxa"/>
              <w:bottom w:w="35" w:type="dxa"/>
              <w:right w:w="35" w:type="dxa"/>
            </w:tcMar>
          </w:tcPr>
          <w:p w14:paraId="113C2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ascii="仿宋_GB2312" w:hAnsi="仿宋_GB2312" w:eastAsia="仿宋_GB2312" w:cs="仿宋_GB2312"/>
                <w:color w:val="000000"/>
                <w:sz w:val="16"/>
              </w:rPr>
              <w:t>{{ final_total_price }}</w:t>
            </w:r>
          </w:p>
        </w:tc>
        <w:tc>
          <w:tcPr>
            <w:tcW w:w="217" w:type="pct"/>
            <w:vAlign w:val="center"/>
            <w:tcMar>
              <w:top w:w="35" w:type="dxa"/>
              <w:left w:w="35" w:type="dxa"/>
              <w:bottom w:w="35" w:type="dxa"/>
              <w:right w:w="35" w:type="dxa"/>
            </w:tcMar>
          </w:tcPr>
          <w:p w14:paraId="564A63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合</w:t>
            </w:r>
            <w:r>
              <w:rPr>
                <w:rFonts w:hint="eastAsia" w:ascii="宋体" w:hAnsi="宋体" w:eastAsia="宋体" w:cs="宋体"/>
                <w:color w:val="000000" w:themeColor="text1"/>
                <w:spacing w:val="0"/>
                <w:sz w:val="16"/>
                <w:szCs w:val="21"/>
                <w:highlight w:val="none"/>
                <w:lang w:val="en-US" w:eastAsia="zh-CN"/>
                <w14:textFill>
                  <w14:solidFill>
                    <w14:schemeClr w14:val="tx1"/>
                  </w14:solidFill>
                </w14:textFill>
              </w:rPr>
              <w:t>10.7</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万元/亩</w:t>
            </w:r>
          </w:p>
        </w:tc>
      </w:tr>
    </w:tbl>
    <w:p w14:paraId="5EA0BA2B">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供水、排水</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70A56C7C">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一、上述土地估价结果的限定条件</w:t>
      </w:r>
    </w:p>
    <w:p w14:paraId="11A3E73B">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1.根据《关于国有建设用地的规划条件的函》（2025年9月11日），估价对象位于{{ land_location_full }}，估价对象土地所有权为国有，本次评估设定土地使用权性质为{{ right_type }}，土地使用者为{{ land_user }}。根据委托方提供相关资料和估价人员调查结果，截至估价期日估价对象未有抵押权、地役权、租赁权等他项权利登记，本次评估设定估价对象地上无抵押权、地役权、租赁权等他项权利登记；</w:t>
      </w:r>
      <w:r>
        <w:rPr>
          <w:rFonts w:ascii="仿宋_GB2312" w:hAnsi="仿宋_GB2312" w:eastAsia="仿宋_GB2312" w:cs="仿宋_GB2312"/>
          <w:color w:val="000000"/>
          <w:sz w:val="28"/>
        </w:rPr>
      </w:r>
    </w:p>
    <w:p w14:paraId="764C00F5">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2.基础设施条件：估价对象土地实际开发程度为{{ land_development_actual }}，详见下表。</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6"/>
        <w:gridCol w:w="2322"/>
        <w:gridCol w:w="3011"/>
        <w:gridCol w:w="2672"/>
        <w:gridCol w:w="2672"/>
        <w:gridCol w:w="3342"/>
      </w:tblGrid>
      <w:tr w14:paraId="050C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2" w:type="pct"/>
            <w:noWrap w:val="0"/>
            <w:vAlign w:val="center"/>
          </w:tcPr>
          <w:p w14:paraId="21D2CBE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1514222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619A401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849" w:type="pct"/>
            <w:noWrap w:val="0"/>
            <w:vAlign w:val="center"/>
          </w:tcPr>
          <w:p w14:paraId="775426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849" w:type="pct"/>
            <w:noWrap w:val="0"/>
            <w:vAlign w:val="center"/>
          </w:tcPr>
          <w:p w14:paraId="011F24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062" w:type="pct"/>
            <w:noWrap w:val="0"/>
            <w:vAlign w:val="center"/>
          </w:tcPr>
          <w:p w14:paraId="0A181C4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0F845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3" w:hRule="atLeast"/>
          <w:jc w:val="center"/>
        </w:trPr>
        <w:tc>
          <w:tcPr>
            <w:tcW w:w="542" w:type="pct"/>
            <w:noWrap w:val="0"/>
            <w:vAlign w:val="center"/>
          </w:tcPr>
          <w:p w14:paraId="14E7BCF4">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0D257ED3">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14914478">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3268153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849" w:type="pct"/>
            <w:noWrap w:val="0"/>
            <w:vAlign w:val="center"/>
          </w:tcPr>
          <w:p w14:paraId="6BBADA87">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849" w:type="pct"/>
            <w:noWrap w:val="0"/>
            <w:vAlign w:val="center"/>
          </w:tcPr>
          <w:p w14:paraId="4F3EE01A">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062" w:type="pct"/>
            <w:noWrap w:val="0"/>
            <w:vAlign w:val="center"/>
          </w:tcPr>
          <w:p w14:paraId="65083410">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694D251B">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3.规划限制条件：根据《关于国有建设用地的规划条件的函》（2025年9月11日），估价对象位于{{ land_location_full }}，用地面积{{ land_area }}平方米。</w:t>
      </w:r>
      <w:r>
        <w:rPr>
          <w:rFonts w:ascii="仿宋_GB2312" w:hAnsi="仿宋_GB2312" w:eastAsia="仿宋_GB2312" w:cs="仿宋_GB2312"/>
          <w:color w:val="000000"/>
          <w:sz w:val="28"/>
        </w:rPr>
      </w:r>
    </w:p>
    <w:p w14:paraId="09B67B4D">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4.影响土地价值的其他限定条件：无。</w:t>
      </w:r>
    </w:p>
    <w:p w14:paraId="37668B3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 xml:space="preserve">二、其他需要说明的事项 </w:t>
      </w:r>
    </w:p>
    <w:p w14:paraId="693969C3">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4C809085">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2.本估价报告有效期自提交估价报告日{{ report_date }}至{{ report_valid_until }}一年内有效。</w:t>
      </w:r>
    </w:p>
    <w:p w14:paraId="0F35ED77">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3.估价结果按规定须报请自然资源主管部门备案。</w:t>
      </w:r>
    </w:p>
    <w:p w14:paraId="40C5D862">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4.本评估报告中涉及的土地面积、土地权属、土地用途、规划利用指标以委托方提供的《关于国有建设用地的规划条件的函》（2025年9月11日）和《{{ county_name }}{{ land_plot_number }}号地块建设用地规划红线图》为依据，本报告估价结果是在满足地价定义所设定条件下的使用权价格，若估价期日、土地利用方式、土地开发状况、土地面积等影响地价的任一因素发生变化，则该估价结果应作相应调整。</w:t>
      </w:r>
      <w:r>
        <w:rPr>
          <w:rFonts w:ascii="仿宋_GB2312" w:hAnsi="仿宋_GB2312" w:eastAsia="仿宋_GB2312" w:cs="仿宋_GB2312"/>
          <w:color w:val="000000"/>
          <w:sz w:val="28"/>
        </w:rPr>
      </w:r>
    </w:p>
    <w:p w14:paraId="3B160255">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5.依据{{ client_name }}《关于国有建设用地的规划条件的函》（2025年9月11日），用地面积{{ land_area }}平方米，本次评估面积以拟出让地块红线图的供应面积为准。</w:t>
      </w:r>
    </w:p>
    <w:p w14:paraId="0A4925A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1834D88E">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505FC6D9">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 appraisal_org }}                                                                                                                                                                                                                    </w:t>
      </w:r>
    </w:p>
    <w:p w14:paraId="68903E91">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 report_date }}</w:t>
      </w:r>
    </w:p>
    <w:p w14:paraId="6E9FCE23">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pgSz w:w="16838" w:h="11906" w:orient="landscape"/>
          <w:pgMar w:top="720" w:right="663" w:bottom="720" w:left="663" w:header="624" w:footer="624" w:gutter="0"/>
          <w:pgNumType w:fmt="decimal"/>
          <w:cols w:space="720" w:num="1"/>
          <w:docGrid w:linePitch="312" w:charSpace="0"/>
        </w:sectPr>
      </w:pPr>
    </w:p>
    <w:p w14:paraId="21F5523A">
      <w:pPr>
        <w:pStyle w:val="13"/>
        <w:spacing w:before="0" w:beforeLines="50" w:after="0" w:afterLines="100" w:line="560" w:lineRule="exact"/>
        <w:ind w:firstLine="643"/>
        <w:jc w:val="center"/>
        <w:outlineLvl w:val="1"/>
        <w:rPr>
          <w:rFonts w:ascii="宋体" w:cs="宋体"/>
          <w:b/>
          <w:color w:val="000000" w:themeColor="text1"/>
          <w:sz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第二部分  估价对象描述及地价影响因素分析</w:t>
      </w:r>
    </w:p>
    <w:p w14:paraId="557DF9F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一、估价对象描述</w:t>
      </w:r>
    </w:p>
    <w:p w14:paraId="50C194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（一）土地登记状况</w:t>
      </w:r>
    </w:p>
    <w:p>
      <w:pPr>
        <w:spacing w:before="0" w:after="0" w:line="480" w:lineRule="exact"/>
        <w:ind w:left="561" w:firstLine="0"/>
      </w:pPr>
      <w:r>
        <w:rPr>
          <w:rFonts w:ascii="仿宋_GB2312" w:hAnsi="仿宋_GB2312" w:eastAsia="仿宋_GB2312" w:cs="仿宋_GB2312"/>
          <w:sz w:val="28"/>
        </w:rPr>
        <w:t>{{ land_registration_desc }}</w:t>
      </w:r>
    </w:p>
    <w:p w14:paraId="647664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（二）土地权利状况</w:t>
      </w:r>
    </w:p>
    <w:p>
      <w:pPr>
        <w:spacing w:before="0" w:after="0" w:line="480" w:lineRule="exact"/>
        <w:ind w:left="561" w:firstLine="0"/>
      </w:pPr>
      <w:r>
        <w:rPr>
          <w:rFonts w:ascii="仿宋_GB2312" w:hAnsi="仿宋_GB2312" w:eastAsia="仿宋_GB2312" w:cs="仿宋_GB2312"/>
          <w:sz w:val="28"/>
        </w:rPr>
        <w:t>{{ land_right_desc }}</w:t>
      </w:r>
    </w:p>
    <w:p w14:paraId="4A6C838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（三）土地利用状况</w:t>
      </w:r>
    </w:p>
    <w:p w14:paraId="1936EE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pPr>
        <w:spacing w:before="0" w:after="0" w:line="480" w:lineRule="exact"/>
        <w:ind w:left="561" w:firstLine="0"/>
      </w:pPr>
      <w:r>
        <w:rPr>
          <w:rFonts w:ascii="仿宋_GB2312" w:hAnsi="仿宋_GB2312" w:eastAsia="仿宋_GB2312" w:cs="仿宋_GB2312"/>
          <w:sz w:val="28"/>
        </w:rPr>
        <w:t>{{ land_use_status_desc }}</w:t>
      </w:r>
    </w:p>
    <w:p>
      <w:pPr>
        <w:spacing w:before="0" w:after="0" w:line="480" w:lineRule="exact"/>
        <w:ind w:left="561" w:firstLine="0"/>
      </w:pPr>
      <w:r>
        <w:rPr>
          <w:rFonts w:ascii="仿宋_GB2312" w:hAnsi="仿宋_GB2312" w:eastAsia="仿宋_GB2312" w:cs="仿宋_GB2312"/>
          <w:sz w:val="28"/>
        </w:rPr>
        <w:t>估价对象利用现状如下：</w:t>
      </w:r>
    </w:p>
    <w:p w14:paraId="5DBDB51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70F136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5C6105B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3A8FFFC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34563E3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p>
    <w:p w14:paraId="53D714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00FF7F8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574D599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二、地价影响因素分析</w:t>
      </w:r>
    </w:p>
    <w:p w14:paraId="643CF53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(一)一般因素</w:t>
      </w:r>
    </w:p>
    <w:p w14:paraId="3EBE37B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5B12B97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08B8F3A5">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587C0A3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642F9C5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488520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56D66B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0CCF567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00E6F6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6E0DE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0AE3F8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222041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231D9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76EF749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145ED8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0DD9A82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2022年2月8日，道县第三次国土调查结果经县政府、永州市“三调”办审议并原则同意后，道县第三次国土调查领导小组办公室、{{ client_name }}、道县统计局印发了《道县第三次国土调查主要数据公报》，道县主要地类数据如下：</w:t>
      </w:r>
    </w:p>
    <w:p w14:paraId="2F97057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6F6E39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3F79FBF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2F89D7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341DB1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25EE97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3E8FDE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4931F8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3427B8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5B9E0DF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1CB98AB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7DBF67E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65B5549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74266F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22F01A9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0A31F27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146E455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45A1A9C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443CB0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206ED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2D28514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5206E4B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46B61DC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599559F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047774F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1B91AF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029F12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3611448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22C2EF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4BB124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606D55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33EA55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0AF285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BDE3A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7D3C7B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7BC7AB2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640B7B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294BE6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00CAF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3634BD1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54D960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725B682">
      <w:pPr>
        <w:keepNext w:val="0"/>
        <w:keepLines w:val="0"/>
        <w:pageBreakBefore w:val="0"/>
        <w:widowControl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6C1BE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36B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C30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995A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2A6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1C324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380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8D5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564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EC31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3F18E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E1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973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072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C47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45965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63C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895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56B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9CF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6D384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E41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B53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E20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BA8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5E12B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868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6E7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E6F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69A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78833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C6C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15D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006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D81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07FEA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99B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6A0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A44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9B4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7A79E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9A3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DE5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27D8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CC8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744A3F63">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320C8676">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59264" behindDoc="0" locked="0" layoutInCell="1" allowOverlap="1">
            <wp:simplePos x="0" y="0"/>
            <wp:positionH relativeFrom="column">
              <wp:posOffset>385445</wp:posOffset>
            </wp:positionH>
            <wp:positionV relativeFrom="paragraph">
              <wp:posOffset>33020</wp:posOffset>
            </wp:positionV>
            <wp:extent cx="4654550" cy="2590800"/>
            <wp:effectExtent l="4445" t="4445" r="19685" b="10795"/>
            <wp:wrapTopAndBottom/>
            <wp:docPr id="6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p>
    <w:p w14:paraId="6293E6B3">
      <w:pPr>
        <w:keepNext w:val="0"/>
        <w:keepLines w:val="0"/>
        <w:pageBreakBefore w:val="0"/>
        <w:widowControl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道县2020-2024年土地供应总量图</w:t>
      </w:r>
    </w:p>
    <w:p w14:paraId="08EBD6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35C0BF5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069582CC">
      <w:pPr>
        <w:keepNext w:val="0"/>
        <w:keepLines w:val="0"/>
        <w:pageBreakBefore w:val="0"/>
        <w:widowControl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道县2020-2024年土地供应情况表</w:t>
      </w:r>
    </w:p>
    <w:p w14:paraId="586B4914">
      <w:pPr>
        <w:pStyle w:val="14"/>
        <w:keepNext w:val="0"/>
        <w:keepLines w:val="0"/>
        <w:pageBreakBefore w:val="0"/>
        <w:widowControl w:val="0"/>
        <w:kinsoku/>
        <w:wordWrap/>
        <w:overflowPunct/>
        <w:topLinePunct w:val="0"/>
        <w:autoSpaceDE/>
        <w:autoSpaceDN/>
        <w:bidi w:val="0"/>
        <w:spacing w:line="480" w:lineRule="exact" w:before="0" w:after="0"/>
        <w:jc w:val="right"/>
        <w:textAlignment w:val="auto"/>
        <w:rPr>
          <w:rFonts w:hint="default"/>
          <w:color w:val="000000" w:themeColor="text1"/>
          <w:highlight w:val="none"/>
          <w:lang w:val="en-US" w:eastAsia="zh-CN"/>
          <w14:textFill>
            <w14:solidFill>
              <w14:schemeClr w14:val="tx1"/>
            </w14:solidFill>
          </w14:textFill>
        </w:rPr>
      </w:pPr>
      <w:r>
        <w:rPr>
          <w:rFonts w:ascii="仿宋_GB2312" w:hAnsi="仿宋_GB2312" w:eastAsia="仿宋_GB2312" w:cs="仿宋_GB2312"/>
          <w:color w:val="000000" w:themeColor="text1"/>
          <w:sz w:val="28"/>
          <w:highlight w:val="none"/>
          <w14:textFill>
            <w14:solidFill>
              <w14:schemeClr w14:val="tx1"/>
            </w14:solidFill>
          </w14:textFill>
        </w:rPr>
        <w:drawing>
          <wp:anchor distT="0" distB="0" distL="114300" distR="114300" simplePos="0" relativeHeight="251660288" behindDoc="0" locked="0" layoutInCell="1" allowOverlap="1">
            <wp:simplePos x="0" y="0"/>
            <wp:positionH relativeFrom="column">
              <wp:posOffset>-167005</wp:posOffset>
            </wp:positionH>
            <wp:positionV relativeFrom="paragraph">
              <wp:posOffset>125095</wp:posOffset>
            </wp:positionV>
            <wp:extent cx="5757545" cy="2015490"/>
            <wp:effectExtent l="0" t="0" r="3175" b="11430"/>
            <wp:wrapTopAndBottom/>
            <wp:docPr id="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anchor>
        </w:drawing>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p w14:paraId="1CC80A2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61312" behindDoc="0" locked="0" layoutInCell="1" allowOverlap="1">
            <wp:simplePos x="0" y="0"/>
            <wp:positionH relativeFrom="column">
              <wp:posOffset>692150</wp:posOffset>
            </wp:positionH>
            <wp:positionV relativeFrom="paragraph">
              <wp:posOffset>285115</wp:posOffset>
            </wp:positionV>
            <wp:extent cx="3742055" cy="2219960"/>
            <wp:effectExtent l="4445" t="4445" r="17780" b="15875"/>
            <wp:wrapTopAndBottom/>
            <wp:docPr id="67"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anchor>
        </w:drawing>
      </w:r>
    </w:p>
    <w:p w14:paraId="68E8A7B7">
      <w:pPr>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道县2020-2024年土地供应结构图</w:t>
      </w:r>
    </w:p>
    <w:p w14:paraId="1C8CA7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04E543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12E476A0">
      <w:pPr>
        <w:keepNext w:val="0"/>
        <w:keepLines w:val="0"/>
        <w:pageBreakBefore w:val="0"/>
        <w:widowControl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道县2020-2024年土地供应方式情况表</w:t>
      </w:r>
    </w:p>
    <w:p w14:paraId="2F822F26">
      <w:pPr>
        <w:pStyle w:val="14"/>
        <w:keepNext w:val="0"/>
        <w:keepLines w:val="0"/>
        <w:pageBreakBefore w:val="0"/>
        <w:widowControl w:val="0"/>
        <w:kinsoku/>
        <w:wordWrap/>
        <w:overflowPunct/>
        <w:topLinePunct w:val="0"/>
        <w:autoSpaceDE/>
        <w:autoSpaceDN/>
        <w:bidi w:val="0"/>
        <w:spacing w:line="480" w:lineRule="exact" w:before="0" w:after="0"/>
        <w:jc w:val="right"/>
        <w:textAlignment w:val="auto"/>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491D6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641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CFDC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15AD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CF0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58A24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768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F8A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E383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A97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286B7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4BF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98F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4FA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E5F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7D641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EE5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F3A6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B233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036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0B107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0AD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515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302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7834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8CCA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87B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A9E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BFF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66E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0E7DE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533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2CA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0F0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956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528D1F4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33B96F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58E1EE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63EE23F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49F5962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17220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278547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3FC6601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5969717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1926F5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16327F0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3E738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77B63B3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065C0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B2543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15DFB2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4F9A7D0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4F0872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2328BF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7B1F59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6BBCCCF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0B083B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57E51E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2802674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03888D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CC1414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68F08B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2CBB9D4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248952F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3366B83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2023年5月，{{ base_price_doc_authority }}关于印发《道县进一步促进房地产市场平稳健康发展的十条措施》的通知，结合道县实际，制定十条措施保障房地产市场健康发展：</w:t>
      </w:r>
    </w:p>
    <w:p w14:paraId="1F63E7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37FA40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3083CB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20501B0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333C48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09E4CF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7CBD3F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3A64351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6FF72BA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2466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331E1A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2F28F3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7731C55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3114C8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6FBD5A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5A11D0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72FFE30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66284A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16D4292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5556E1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63231B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07E59F3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370C26D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432DB6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6BF2DC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09E42EE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28A6C6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7E0F672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1F973F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2098259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75E9E0F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08C0B55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6D6D68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2573B4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6CB9271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35DB78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567AC34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0D3D99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51916D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6B322D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08558D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3DF1BCF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15413E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170C673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F0EF6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CC75A4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1E2C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445B93A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2F00544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26B2F2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E112F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0FC219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544497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34B1A0D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CBA6E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5D683A0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3E5640F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1C4633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11DDC3A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10873F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135CDC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4AC62B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0938E00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10B444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093922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73FBF4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2730BB0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033540D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0EC233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19CD904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2CA2D8D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5B4D7C3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14F54F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40DD6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133516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363CC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544DEC1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596C5E9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F0242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1519BA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676E3A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2DBDEA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361A6FD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66791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07C9CC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06C26BD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2145BA0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6382785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2173121">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2633AE54">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1CBCCFF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4B2A29B5">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4940064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33CAFA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 base_price_doc_authority }}网发布的消息，道县目前城市经济布局主要突出以下几个方面：</w:t>
      </w:r>
    </w:p>
    <w:p w14:paraId="42EBDC7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67FEC096">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24BC7BE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575C7705">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6E551611">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24A2469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416E09D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0372FD1D">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2FCEBB0B">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1CA725A1">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3D1DAC3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153A940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FF7BB4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144B83A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36D886DC">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60FB60D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3CC6E7E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(二)区域因素</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ab/>
      </w:r>
    </w:p>
    <w:p w14:paraId="0A6009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57B46E1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184446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75ECDD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540109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1DA882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71D124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7643CD2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99373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county_name }}城镇基准地价的颁布实施时间为{{ base_price_publish_date }}，批准文号为{{ base_price_doc_no }}，文件名称为{{ base_price_doc_name }}（{{ base_price_doc_no }}，{{ base_price_publish_date }}），批准机关为{{ base_price_doc_authority }}，基准地价估价基准日为{{ base_price_base_date }}，距基准地价估价基准日已满{{ base_price_elapsed_years_text }}年，故暂无土地级别信息。</w:t>
      </w:r>
    </w:p>
    <w:p w14:paraId="4EFEB1A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7FA8F6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F9C3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36EE100F">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（1）对内交通条件</w:t>
      </w:r>
    </w:p>
    <w:p w14:paraId="22A6A9A8">
      <w:pPr>
        <w:spacing w:line="480" w:lineRule="exact" w:before="0" w:after="0"/>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境内有县城到</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40C29A0">
      <w:pPr>
        <w:spacing w:line="480" w:lineRule="exact" w:before="0" w:after="0"/>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估价对象距四马桥镇客运站12km。</w:t>
      </w:r>
    </w:p>
    <w:p w14:paraId="3012DFBF">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（2）对外交通条件</w:t>
      </w:r>
    </w:p>
    <w:p w14:paraId="62BFA1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hAnsi="仿宋_GB2312" w:cs="仿宋_GB2312"/>
          <w:color w:val="000000" w:themeColor="text1"/>
          <w:sz w:val="28"/>
          <w:szCs w:val="30"/>
          <w:highlight w:val="none"/>
          <w14:textFill>
            <w14:solidFill>
              <w14:schemeClr w14:val="tx1"/>
            </w14:solidFill>
          </w14:textFill>
        </w:rPr>
        <w:t>区域的外联道路主要</w:t>
      </w:r>
      <w:r>
        <w:rPr>
          <w:rFonts w:hint="default" w:ascii="仿宋_GB2312" w:eastAsia="仿宋_GB2312" w:hAnsi="仿宋_GB2312" w:cs="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等。</w:t>
      </w:r>
    </w:p>
    <w:p w14:paraId="48E14F8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624E0E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31DF683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7EF3BA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0FF65E2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5AC4A5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DA4A3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4ABE21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1DA6CA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73DB429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4D04D99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7E74A2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7E564168">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（1）人文环境</w:t>
      </w:r>
    </w:p>
    <w:p w14:paraId="209AB62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0F85F2CA">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（2）自然环境</w:t>
      </w:r>
    </w:p>
    <w:p w14:paraId="301FE25B">
      <w:pPr>
        <w:spacing w:line="480" w:lineRule="exact" w:before="0" w:after="0"/>
        <w:ind w:firstLine="560" w:firstLineChars="200"/>
        <w:outlineLvl w:val="9"/>
        <w:rPr>
          <w:rFonts w:hint="default" w:ascii="仿宋_GB2312" w:eastAsia="仿宋_GB2312"/>
          <w:color w:val="auto"/>
          <w:sz w:val="28"/>
          <w:szCs w:val="30"/>
          <w:highlight w:val="none"/>
        </w:rPr>
      </w:pPr>
      <w:r>
        <w:rPr>
          <w:rFonts w:hint="default" w:ascii="仿宋_GB2312" w:eastAsia="仿宋_GB2312" w:hAnsi="仿宋_GB2312" w:cs="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1278DDA5">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auto"/>
          <w:sz w:val="28"/>
          <w:szCs w:val="30"/>
          <w:highlight w:val="none"/>
        </w:rPr>
        <w:t>宗地所在区域，地质条</w:t>
      </w:r>
      <w:r>
        <w:rPr>
          <w:rFonts w:hint="eastAsia" w:ascii="仿宋_GB2312" w:eastAsia="仿宋_GB2312" w:hAnsi="仿宋_GB2312" w:cs="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hAnsi="仿宋_GB2312" w:cs="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01D6C7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019BF5E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7C2755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9D91A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35C0DC3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32E03FD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估价对象位于{{ land_location }}，估价对价对象交通由支路构成，区域交通条件差。距离最近火车站（江华火车站）约12km，距火车站距离差；区域基础设施状况一般，区域内产业集聚度差。</w:t>
      </w:r>
    </w:p>
    <w:p w14:paraId="01D169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4F3A20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(三)个别因素</w:t>
      </w:r>
    </w:p>
    <w:p w14:paraId="41488DB6">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39BBC5DD">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21CE7312">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08A6E39F">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320D6C6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根据委托估价方提供的《关于国有建设用地的规划条件的函》（2025年9月11日），估价对象土地面积为{{ land_area }}平方米，面积适中，对土地利用有利。</w:t>
      </w:r>
    </w:p>
    <w:p w14:paraId="282E8E15">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0474EA8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50EED013">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1D28F27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763F5C9F">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根据委托估价方提供的《{{ county_name }}{{ land_plot_number }}号地块建设用地规划红线图》，宗地形状基本规则，对利用无影响。</w:t>
      </w:r>
      <w:r>
        <w:rPr>
          <w:rFonts w:ascii="仿宋_GB2312" w:hAnsi="仿宋_GB2312" w:eastAsia="仿宋_GB2312" w:cs="仿宋_GB2312"/>
          <w:color w:val="000000"/>
          <w:sz w:val="28"/>
        </w:rPr>
      </w:r>
    </w:p>
    <w:p w14:paraId="295C580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15B2C1D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EB7FF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1A7A143D">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41CD05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6F31C96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D34209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14177A7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1066E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463D352E">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9" name="图片 19"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43AB98BF">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13" name="图片 1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1BEC50B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3AC578A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505CCBE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78B10F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5B241C40">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p>
    <w:p w14:paraId="2E49811A">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088C442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59D2F98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2144353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4BAD813">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6054CBC0">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32B2EBFF">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591D11B5">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1A45C66B">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EBE6F46">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22" w:type="first"/>
          <w:footerReference r:id="rId23" w:type="first"/>
          <w:endnotePr>
            <w:numFmt w:val="decimal"/>
          </w:endnotePr>
          <w:pgSz w:w="11906" w:h="16838"/>
          <w:pgMar w:top="1440" w:right="1800" w:bottom="1440" w:left="1800" w:header="851" w:footer="850"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15151C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7D5E358A">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4" w:type="first"/>
          <w:footerReference r:id="rId25"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EB4596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8481D74">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6" w:type="first"/>
          <w:footerReference r:id="rId27"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085EF71D">
      <w:pPr>
        <w:adjustRightInd w:val="0"/>
        <w:snapToGrid w:val="0"/>
        <w:spacing w:line="560" w:lineRule="exact" w:before="0" w:after="0"/>
        <w:ind w:firstLine="643" w:firstLineChars="20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第三部分  土地估价</w:t>
      </w:r>
    </w:p>
    <w:p w14:paraId="719AFE8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一、估价原则</w:t>
      </w:r>
    </w:p>
    <w:p w14:paraId="245563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0904C4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64604CB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00593F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w:t>
      </w:r>
    </w:p>
    <w:p w14:paraId="7DA3531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1D9131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5889C6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37933D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1EE1F1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548B81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86DEDF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184154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7A440F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3F31A0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5272A1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090101D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582E0D1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549656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4F6FB3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772B11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（二）估价方法</w:t>
      </w:r>
    </w:p>
    <w:p w14:paraId="5799354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57CEB9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6809CEE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1181B28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66C93F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57ED1D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3F3841D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（5）评估位于中心城区的工矿仓储用地，一般情况下不宜采用成本逼近法。</w:t>
      </w:r>
    </w:p>
    <w:p w14:paraId="56A0AD7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45B787A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0C637BE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4405FB0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59D533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2F793A3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49D354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6FC4B2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6561D8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pPr>
        <w:spacing w:before="0" w:after="0" w:line="480" w:lineRule="exact"/>
        <w:ind w:left="561" w:firstLine="0"/>
      </w:pPr>
      <w:r>
        <w:rPr>
          <w:rFonts w:ascii="仿宋_GB2312" w:hAnsi="仿宋_GB2312" w:eastAsia="仿宋_GB2312" w:cs="仿宋_GB2312"/>
          <w:sz w:val="28"/>
        </w:rPr>
        <w:t>{{ valuation_method_reasons }}</w:t>
      </w:r>
    </w:p>
    <w:p>
      <w:pPr>
        <w:spacing w:before="0" w:after="0" w:line="480" w:lineRule="exact"/>
        <w:ind w:left="561" w:firstLine="0"/>
      </w:pPr>
      <w:r>
        <w:rPr>
          <w:rFonts w:ascii="仿宋_GB2312" w:hAnsi="仿宋_GB2312" w:eastAsia="仿宋_GB2312" w:cs="仿宋_GB2312"/>
          <w:sz w:val="28"/>
        </w:rPr>
        <w:t>{{ valuation_method_applicability }}</w:t>
      </w:r>
    </w:p>
    <w:p w14:paraId="0745FAB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（二）估价过程</w:t>
      </w:r>
    </w:p>
    <w:p>
      <w:pPr>
        <w:keepNext/>
        <w:spacing w:before="0" w:after="0" w:line="480" w:lineRule="exact"/>
        <w:ind w:firstLine="561"/>
      </w:pPr>
      <w:r>
        <w:rPr>
          <w:rFonts w:ascii="仿宋_GB2312" w:hAnsi="仿宋_GB2312" w:eastAsia="仿宋_GB2312" w:cs="仿宋_GB2312"/>
          <w:b/>
          <w:sz w:val="28"/>
        </w:rPr>
        <w:t>★成本逼近法</w:t>
      </w:r>
    </w:p>
    <w:p>
      <w:pPr>
        <w:spacing w:before="0" w:after="0" w:line="480" w:lineRule="exact"/>
        <w:ind w:firstLine="561"/>
      </w:pPr>
      <w:r>
        <w:rPr>
          <w:rFonts w:ascii="仿宋_GB2312" w:hAnsi="仿宋_GB2312" w:eastAsia="仿宋_GB2312" w:cs="仿宋_GB2312"/>
          <w:b w:val="0"/>
          <w:sz w:val="28"/>
        </w:rPr>
        <w:t>成本逼近法是以开发土地所耗费的各项费用之和为主要依据，再加上一定的利润、利息、应缴纳的税金和土地增值收益来确定土地价格的估价方法。基本计算公式为：V＝Ea＋Ed＋T＋R1＋R2＋R3＝VE＋R3。</w:t>
      </w:r>
    </w:p>
    <w:p>
      <w:pPr>
        <w:spacing w:before="0" w:after="0" w:line="480" w:lineRule="exact"/>
        <w:ind w:firstLine="561"/>
      </w:pPr>
      <w:r>
        <w:rPr>
          <w:rFonts w:ascii="仿宋_GB2312" w:hAnsi="仿宋_GB2312" w:eastAsia="仿宋_GB2312" w:cs="仿宋_GB2312"/>
          <w:b w:val="0"/>
          <w:sz w:val="28"/>
        </w:rPr>
        <w:t>计算过程：</w:t>
      </w:r>
    </w:p>
    <w:p>
      <w:pPr>
        <w:spacing w:before="0" w:after="0" w:line="480" w:lineRule="exact"/>
        <w:ind w:firstLine="561"/>
      </w:pPr>
      <w:r>
        <w:rPr>
          <w:rFonts w:ascii="仿宋_GB2312" w:hAnsi="仿宋_GB2312" w:eastAsia="仿宋_GB2312" w:cs="仿宋_GB2312"/>
          <w:b w:val="0"/>
          <w:sz w:val="28"/>
        </w:rPr>
        <w:t>估价对象位于道县西洲街道宝珍街六栋九号，本次成本逼近法按水田测算土地取得成本。系统依据估价期日有效的政策文件、估价师确认的市场调查资料及外部测算结果进行计算。</w:t>
      </w:r>
    </w:p>
    <w:p>
      <w:pPr>
        <w:spacing w:before="0" w:after="0" w:line="480" w:lineRule="exact"/>
        <w:ind w:firstLine="561"/>
      </w:pPr>
      <w:r>
        <w:rPr>
          <w:rFonts w:ascii="仿宋_GB2312" w:hAnsi="仿宋_GB2312" w:eastAsia="仿宋_GB2312" w:cs="仿宋_GB2312"/>
          <w:b w:val="0"/>
          <w:sz w:val="28"/>
        </w:rPr>
        <w:t>1、土地取得费</w:t>
      </w:r>
    </w:p>
    <w:p>
      <w:pPr>
        <w:spacing w:before="0" w:after="0" w:line="480" w:lineRule="exact"/>
        <w:ind w:firstLine="561"/>
      </w:pPr>
      <w:r>
        <w:rPr>
          <w:rFonts w:ascii="仿宋_GB2312" w:hAnsi="仿宋_GB2312" w:eastAsia="仿宋_GB2312" w:cs="仿宋_GB2312"/>
          <w:b w:val="0"/>
          <w:sz w:val="28"/>
        </w:rPr>
        <w:t>根据《中华人民共和国土地管理法》第四十八条规定，征收土地的补偿费用包括土地补偿费、安置补助费以及农村村民住宅、其他地上附着物和青苗等的补偿费用、被征地农民的社会保障费用。</w:t>
      </w:r>
    </w:p>
    <w:p>
      <w:pPr>
        <w:spacing w:before="0" w:after="0" w:line="480" w:lineRule="exact"/>
        <w:ind w:firstLine="561"/>
      </w:pPr>
      <w:r>
        <w:rPr>
          <w:rFonts w:ascii="仿宋_GB2312" w:hAnsi="仿宋_GB2312" w:eastAsia="仿宋_GB2312" w:cs="仿宋_GB2312"/>
          <w:b w:val="0"/>
          <w:sz w:val="28"/>
        </w:rPr>
        <w:t>①征地补偿费和安置补助费</w:t>
      </w:r>
    </w:p>
    <w:p>
      <w:pPr>
        <w:spacing w:before="0" w:after="0" w:line="480" w:lineRule="exact"/>
        <w:ind w:firstLine="561"/>
      </w:pPr>
      <w:r>
        <w:rPr>
          <w:rFonts w:ascii="仿宋_GB2312" w:hAnsi="仿宋_GB2312" w:eastAsia="仿宋_GB2312" w:cs="仿宋_GB2312"/>
          <w:b w:val="0"/>
          <w:sz w:val="28"/>
        </w:rPr>
        <w:t>根据评估人员现场勘察和调查区域周边的土地利用状况，待估宗地所在区域土地利用类型主要为水田。根据《湖南省人民政府关于调整湖南省征地补偿标准的通知》（湘政发〔2024〕1号，2024年1月31日）及《湖南省自然资源厅关于调整征收农用地补偿区片空间范围的通知》（湘自资发〔2024〕7号，2024年2月1日），估价对象属于道县征地补偿区Ⅰ区范围，水田补偿区片价为66300元/亩，则：</w:t>
      </w:r>
    </w:p>
    <w:p>
      <w:pPr>
        <w:spacing w:before="0" w:after="0" w:line="480" w:lineRule="exact"/>
        <w:ind w:firstLine="561"/>
      </w:pPr>
      <w:r>
        <w:rPr>
          <w:rFonts w:ascii="仿宋_GB2312" w:hAnsi="仿宋_GB2312" w:eastAsia="仿宋_GB2312" w:cs="仿宋_GB2312"/>
          <w:b w:val="0"/>
          <w:sz w:val="28"/>
        </w:rPr>
        <w:t>征地补偿费和安置补助费=66300×0.0015=99.45元/平方米。</w:t>
      </w:r>
    </w:p>
    <w:p>
      <w:pPr>
        <w:spacing w:before="0" w:after="0" w:line="480" w:lineRule="exact"/>
        <w:ind w:firstLine="561"/>
      </w:pPr>
      <w:r>
        <w:rPr>
          <w:rFonts w:ascii="仿宋_GB2312" w:hAnsi="仿宋_GB2312" w:eastAsia="仿宋_GB2312" w:cs="仿宋_GB2312"/>
          <w:b w:val="0"/>
          <w:sz w:val="28"/>
        </w:rPr>
        <w:t>②地上附着物和青苗补偿</w:t>
      </w:r>
    </w:p>
    <w:p>
      <w:pPr>
        <w:spacing w:before="0" w:after="0" w:line="480" w:lineRule="exact"/>
        <w:ind w:firstLine="561"/>
      </w:pPr>
      <w:r>
        <w:rPr>
          <w:rFonts w:ascii="仿宋_GB2312" w:hAnsi="仿宋_GB2312" w:eastAsia="仿宋_GB2312" w:cs="仿宋_GB2312"/>
          <w:b w:val="0"/>
          <w:sz w:val="28"/>
        </w:rPr>
        <w:t>根据永州市人民政府关于印发《永州市集体土地与房屋征收补偿安置办法》的通知（永政发〔2024〕4号，2024年5月11日），道县的水田青苗补偿推荐标准为2800元/亩，折合4.20元/平方米。复杂建筑物、构筑物等补偿采用经估价师确认的外部测算结果。</w:t>
      </w:r>
    </w:p>
    <w:p>
      <w:pPr>
        <w:spacing w:before="0" w:after="0" w:line="480" w:lineRule="exact"/>
        <w:ind w:firstLine="561"/>
      </w:pPr>
      <w:r>
        <w:rPr>
          <w:rFonts w:ascii="仿宋_GB2312" w:hAnsi="仿宋_GB2312" w:eastAsia="仿宋_GB2312" w:cs="仿宋_GB2312"/>
          <w:b w:val="0"/>
          <w:sz w:val="28"/>
        </w:rPr>
        <w:t>本次确认地上附着物和青苗补偿为138.81元/平方米。</w:t>
      </w:r>
    </w:p>
    <w:p>
      <w:pPr>
        <w:spacing w:before="0" w:after="0" w:line="480" w:lineRule="exact"/>
        <w:ind w:firstLine="561"/>
      </w:pPr>
      <w:r>
        <w:rPr>
          <w:rFonts w:ascii="仿宋_GB2312" w:hAnsi="仿宋_GB2312" w:eastAsia="仿宋_GB2312" w:cs="仿宋_GB2312"/>
          <w:b w:val="0"/>
          <w:sz w:val="28"/>
        </w:rPr>
        <w:t>故：土地取得费＝征地补偿费和安置补助费＋地上附着物和青苗补偿=99.45+138.81=238.26元/平方米。</w:t>
      </w:r>
    </w:p>
    <w:p>
      <w:pPr>
        <w:spacing w:before="0" w:after="0" w:line="480" w:lineRule="exact"/>
        <w:ind w:firstLine="561"/>
      </w:pPr>
      <w:r>
        <w:rPr>
          <w:rFonts w:ascii="仿宋_GB2312" w:hAnsi="仿宋_GB2312" w:eastAsia="仿宋_GB2312" w:cs="仿宋_GB2312"/>
          <w:b w:val="0"/>
          <w:sz w:val="28"/>
        </w:rPr>
        <w:t>2、相关税费（T）</w:t>
      </w:r>
    </w:p>
    <w:p>
      <w:pPr>
        <w:spacing w:before="0" w:after="0" w:line="480" w:lineRule="exact"/>
        <w:ind w:firstLine="561"/>
      </w:pPr>
      <w:r>
        <w:rPr>
          <w:rFonts w:ascii="仿宋_GB2312" w:hAnsi="仿宋_GB2312" w:eastAsia="仿宋_GB2312" w:cs="仿宋_GB2312"/>
          <w:b w:val="0"/>
          <w:sz w:val="28"/>
        </w:rPr>
        <w:t>①水利建设基金</w:t>
      </w:r>
    </w:p>
    <w:p>
      <w:pPr>
        <w:spacing w:before="0" w:after="0" w:line="480" w:lineRule="exact"/>
        <w:ind w:firstLine="561"/>
      </w:pPr>
      <w:r>
        <w:rPr>
          <w:rFonts w:ascii="仿宋_GB2312" w:hAnsi="仿宋_GB2312" w:eastAsia="仿宋_GB2312" w:cs="仿宋_GB2312"/>
          <w:b w:val="0"/>
          <w:sz w:val="28"/>
        </w:rPr>
        <w:t>根据湖南省人民政府关于印发《湖南省水利建设基金筹集和使用管理办法》的通知（湘政发[2011]27号）及《关于调整新增建设用地土地有偿使用费征收管理有关政策的通知》（湘财综[2018]42号），道县新增建设用地土地有偿使用费征收等别为13等，征收标准为16元/平方米，按10%征收水利建设基金，即16×10%=1.60元/平方米。</w:t>
      </w:r>
    </w:p>
    <w:p>
      <w:pPr>
        <w:spacing w:before="0" w:after="0" w:line="480" w:lineRule="exact"/>
        <w:ind w:firstLine="561"/>
      </w:pPr>
      <w:r>
        <w:rPr>
          <w:rFonts w:ascii="仿宋_GB2312" w:hAnsi="仿宋_GB2312" w:eastAsia="仿宋_GB2312" w:cs="仿宋_GB2312"/>
          <w:b w:val="0"/>
          <w:sz w:val="28"/>
        </w:rPr>
        <w:t>②耕地占用税</w:t>
      </w:r>
    </w:p>
    <w:p>
      <w:pPr>
        <w:spacing w:before="0" w:after="0" w:line="480" w:lineRule="exact"/>
        <w:ind w:firstLine="561"/>
      </w:pPr>
      <w:r>
        <w:rPr>
          <w:rFonts w:ascii="仿宋_GB2312" w:hAnsi="仿宋_GB2312" w:eastAsia="仿宋_GB2312" w:cs="仿宋_GB2312"/>
          <w:b w:val="0"/>
          <w:sz w:val="28"/>
        </w:rPr>
        <w:t>根据《湖南省人民代表大会常务委员会关于湖南省耕地占用税适用税额的决定》，道县耕地占用税适用税额为25.00元/平方米。结合本次征收地类，耕地占用税为25.00元/平方米。</w:t>
      </w:r>
    </w:p>
    <w:p>
      <w:pPr>
        <w:spacing w:before="0" w:after="0" w:line="480" w:lineRule="exact"/>
        <w:ind w:firstLine="561"/>
      </w:pPr>
      <w:r>
        <w:rPr>
          <w:rFonts w:ascii="仿宋_GB2312" w:hAnsi="仿宋_GB2312" w:eastAsia="仿宋_GB2312" w:cs="仿宋_GB2312"/>
          <w:b w:val="0"/>
          <w:sz w:val="28"/>
        </w:rPr>
        <w:t>③耕地开垦费</w:t>
      </w:r>
    </w:p>
    <w:p>
      <w:pPr>
        <w:spacing w:before="0" w:after="0" w:line="480" w:lineRule="exact"/>
        <w:ind w:firstLine="561"/>
      </w:pPr>
      <w:r>
        <w:rPr>
          <w:rFonts w:ascii="仿宋_GB2312" w:hAnsi="仿宋_GB2312" w:eastAsia="仿宋_GB2312" w:cs="仿宋_GB2312"/>
          <w:b w:val="0"/>
          <w:sz w:val="28"/>
        </w:rPr>
        <w:t>根据《湖南省耕地开垦费征收使用管理办法》，本次耕地开垦费为99.00元/平方米。</w:t>
      </w:r>
    </w:p>
    <w:p>
      <w:pPr>
        <w:spacing w:before="0" w:after="0" w:line="480" w:lineRule="exact"/>
        <w:ind w:firstLine="561"/>
      </w:pPr>
      <w:r>
        <w:rPr>
          <w:rFonts w:ascii="仿宋_GB2312" w:hAnsi="仿宋_GB2312" w:eastAsia="仿宋_GB2312" w:cs="仿宋_GB2312"/>
          <w:b w:val="0"/>
          <w:sz w:val="28"/>
        </w:rPr>
        <w:t>④社会保障资金</w:t>
      </w:r>
    </w:p>
    <w:p>
      <w:pPr>
        <w:spacing w:before="0" w:after="0" w:line="480" w:lineRule="exact"/>
        <w:ind w:firstLine="561"/>
      </w:pPr>
      <w:r>
        <w:rPr>
          <w:rFonts w:ascii="仿宋_GB2312" w:hAnsi="仿宋_GB2312" w:eastAsia="仿宋_GB2312" w:cs="仿宋_GB2312"/>
          <w:b w:val="0"/>
          <w:sz w:val="28"/>
        </w:rPr>
        <w:t>根据湖南省人力资源社会保障厅《关于进一步做好被征地农民社会保障工作的通知》（湘人社规〔2023〕1号，2023年4月28日），被征地农民社会保障费为30.00元/平方米。</w:t>
      </w:r>
    </w:p>
    <w:p>
      <w:pPr>
        <w:spacing w:before="0" w:after="0" w:line="480" w:lineRule="exact"/>
        <w:ind w:firstLine="561"/>
      </w:pPr>
      <w:r>
        <w:rPr>
          <w:rFonts w:ascii="仿宋_GB2312" w:hAnsi="仿宋_GB2312" w:eastAsia="仿宋_GB2312" w:cs="仿宋_GB2312"/>
          <w:b w:val="0"/>
          <w:sz w:val="28"/>
        </w:rPr>
        <w:t>则：各项税费合计为=1.60＋25.00＋99.00＋30.00=155.60元/平方米。</w:t>
      </w:r>
    </w:p>
    <w:p>
      <w:pPr>
        <w:keepNext/>
        <w:spacing w:before="0" w:after="0" w:line="480" w:lineRule="exact"/>
        <w:ind w:firstLine="0" w:left="0" w:right="0"/>
        <w:jc w:val="center"/>
      </w:pPr>
      <w:r>
        <w:rPr>
          <w:rFonts w:ascii="仿宋_GB2312" w:hAnsi="仿宋_GB2312" w:eastAsia="仿宋_GB2312" w:cs="仿宋_GB2312"/>
          <w:b w:val="0"/>
          <w:sz w:val="28"/>
        </w:rPr>
        <w:t>估价对象土地取得费及相关税费一览表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21"/>
              </w:rPr>
              <w:t>土地取得费</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21"/>
              </w:rPr>
              <w:t>水利建设基金</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21"/>
              </w:rPr>
              <w:t>耕地占用税</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21"/>
              </w:rPr>
              <w:t>耕地开垦费</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21"/>
              </w:rPr>
              <w:t>被征地农民社会保障费</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21"/>
              </w:rPr>
              <w:t>合计</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21"/>
              </w:rPr>
              <w:t>238.26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21"/>
              </w:rPr>
              <w:t>1.60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21"/>
              </w:rPr>
              <w:t>25.00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21"/>
              </w:rPr>
              <w:t>99.00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21"/>
              </w:rPr>
              <w:t>30.00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21"/>
              </w:rPr>
              <w:t>393.86</w:t>
            </w:r>
          </w:p>
        </w:tc>
      </w:tr>
    </w:tbl>
    <w:p>
      <w:pPr>
        <w:spacing w:before="0" w:after="0" w:line="480" w:lineRule="exact"/>
        <w:ind w:firstLine="561"/>
      </w:pPr>
      <w:r>
        <w:rPr>
          <w:rFonts w:ascii="仿宋_GB2312" w:hAnsi="仿宋_GB2312" w:eastAsia="仿宋_GB2312" w:cs="仿宋_GB2312"/>
          <w:b w:val="0"/>
          <w:sz w:val="28"/>
        </w:rPr>
        <w:t>3、土地开发费</w:t>
      </w:r>
    </w:p>
    <w:p>
      <w:pPr>
        <w:spacing w:before="0" w:after="0" w:line="480" w:lineRule="exact"/>
        <w:ind w:firstLine="561"/>
      </w:pPr>
      <w:r>
        <w:rPr>
          <w:rFonts w:ascii="仿宋_GB2312" w:hAnsi="仿宋_GB2312" w:eastAsia="仿宋_GB2312" w:cs="仿宋_GB2312"/>
          <w:b w:val="0"/>
          <w:sz w:val="28"/>
        </w:rPr>
        <w:t>本次评估设定的土地开发程度涉及通路、通电、供水、排水、通讯、场地平整。根据估价人员市场调查资料，确定区域土地开发费为82.00元/平方米。</w:t>
      </w:r>
    </w:p>
    <w:p>
      <w:pPr>
        <w:keepNext/>
        <w:spacing w:before="0" w:after="0" w:line="480" w:lineRule="exact"/>
        <w:ind w:firstLine="0" w:left="0" w:right="0"/>
        <w:jc w:val="center"/>
      </w:pPr>
      <w:r>
        <w:rPr>
          <w:rFonts w:ascii="仿宋_GB2312" w:hAnsi="仿宋_GB2312" w:eastAsia="仿宋_GB2312" w:cs="仿宋_GB2312"/>
          <w:b w:val="0"/>
          <w:sz w:val="28"/>
        </w:rPr>
        <w:t>土地开发费用分项一览表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38"/>
        <w:gridCol w:w="1038"/>
        <w:gridCol w:w="1038"/>
        <w:gridCol w:w="1038"/>
        <w:gridCol w:w="1038"/>
        <w:gridCol w:w="1038"/>
        <w:gridCol w:w="1038"/>
        <w:gridCol w:w="1038"/>
      </w:tblGrid>
      <w:tr>
        <w:trPr>
          <w:tblHeader w:val="1"/>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土地开发项目</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通路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通电</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供水</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排水</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通讯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场地平整</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合计</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费用（元/平方米）</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13</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13</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15</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19</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82.00</w:t>
            </w:r>
          </w:p>
        </w:tc>
      </w:tr>
    </w:tbl>
    <w:p>
      <w:pPr>
        <w:spacing w:before="0" w:after="0" w:line="480" w:lineRule="exact"/>
        <w:ind w:firstLine="561"/>
      </w:pPr>
      <w:r>
        <w:rPr>
          <w:rFonts w:ascii="仿宋_GB2312" w:hAnsi="仿宋_GB2312" w:eastAsia="仿宋_GB2312" w:cs="仿宋_GB2312"/>
          <w:b w:val="0"/>
          <w:sz w:val="28"/>
        </w:rPr>
        <w:t>4、投资利息</w:t>
      </w:r>
    </w:p>
    <w:p>
      <w:pPr>
        <w:spacing w:before="0" w:after="0" w:line="480" w:lineRule="exact"/>
        <w:ind w:firstLine="561"/>
      </w:pPr>
      <w:r>
        <w:rPr>
          <w:rFonts w:ascii="仿宋_GB2312" w:hAnsi="仿宋_GB2312" w:eastAsia="仿宋_GB2312" w:cs="仿宋_GB2312"/>
          <w:b w:val="0"/>
          <w:sz w:val="28"/>
        </w:rPr>
        <w:t>根据待估宗地的开发程度和开发规模及实际调查分析，确定土地开发周期为1年，本次投资利息率取3%。土地取得费及相关税费在征地时一次投入，土地开发费在开发期内均匀投入，单利计息，则：</w:t>
      </w:r>
    </w:p>
    <w:p>
      <w:pPr>
        <w:spacing w:before="0" w:after="0" w:line="480" w:lineRule="exact"/>
        <w:ind w:firstLine="561"/>
      </w:pPr>
      <w:r>
        <w:rPr>
          <w:rFonts w:ascii="仿宋_GB2312" w:hAnsi="仿宋_GB2312" w:eastAsia="仿宋_GB2312" w:cs="仿宋_GB2312"/>
          <w:b w:val="0"/>
          <w:sz w:val="28"/>
        </w:rPr>
        <w:t>投资利息=（土地取得费＋相关税费）×开发周期×利息率＋土地开发费×开发周期×1/2×利息率</w:t>
      </w:r>
    </w:p>
    <w:p>
      <w:pPr>
        <w:spacing w:before="0" w:after="0" w:line="480" w:lineRule="exact"/>
        <w:ind w:firstLine="561"/>
      </w:pPr>
      <w:r>
        <w:rPr>
          <w:rFonts w:ascii="仿宋_GB2312" w:hAnsi="仿宋_GB2312" w:eastAsia="仿宋_GB2312" w:cs="仿宋_GB2312"/>
          <w:b w:val="0"/>
          <w:sz w:val="28"/>
        </w:rPr>
        <w:t>=（238.26+155.60）×1×3%＋82.00×1×1/2×3%=13.05元/平方米。</w:t>
      </w:r>
    </w:p>
    <w:p>
      <w:pPr>
        <w:spacing w:before="0" w:after="0" w:line="480" w:lineRule="exact"/>
        <w:ind w:firstLine="561"/>
      </w:pPr>
      <w:r>
        <w:rPr>
          <w:rFonts w:ascii="仿宋_GB2312" w:hAnsi="仿宋_GB2312" w:eastAsia="仿宋_GB2312" w:cs="仿宋_GB2312"/>
          <w:b w:val="0"/>
          <w:sz w:val="28"/>
        </w:rPr>
        <w:t>5、投资利润</w:t>
      </w:r>
    </w:p>
    <w:p>
      <w:pPr>
        <w:spacing w:before="0" w:after="0" w:line="480" w:lineRule="exact"/>
        <w:ind w:firstLine="561"/>
      </w:pPr>
      <w:r>
        <w:rPr>
          <w:rFonts w:ascii="仿宋_GB2312" w:hAnsi="仿宋_GB2312" w:eastAsia="仿宋_GB2312" w:cs="仿宋_GB2312"/>
          <w:b w:val="0"/>
          <w:sz w:val="28"/>
        </w:rPr>
        <w:t>土地作为一种生产要素进入企业的生产过程，土地资产与其他生产要素相结合产生利润，土地投资应获得与其资产量相对应的回报。</w:t>
      </w:r>
    </w:p>
    <w:p>
      <w:pPr>
        <w:spacing w:before="0" w:after="0" w:line="480" w:lineRule="exact"/>
        <w:ind w:firstLine="561"/>
      </w:pPr>
      <w:r>
        <w:rPr>
          <w:rFonts w:ascii="仿宋_GB2312" w:hAnsi="仿宋_GB2312" w:eastAsia="仿宋_GB2312" w:cs="仿宋_GB2312"/>
          <w:b w:val="0"/>
          <w:sz w:val="28"/>
        </w:rPr>
        <w:t>居住用地投资利润率取20%，则：</w:t>
      </w:r>
    </w:p>
    <w:p>
      <w:pPr>
        <w:spacing w:before="0" w:after="0" w:line="480" w:lineRule="exact"/>
        <w:ind w:firstLine="561"/>
      </w:pPr>
      <w:r>
        <w:rPr>
          <w:rFonts w:ascii="仿宋_GB2312" w:hAnsi="仿宋_GB2312" w:eastAsia="仿宋_GB2312" w:cs="仿宋_GB2312"/>
          <w:b w:val="0"/>
          <w:sz w:val="28"/>
        </w:rPr>
        <w:t>投资利润=（238.26+155.60+82.00）×20%=95.17元/平方米。</w:t>
      </w:r>
    </w:p>
    <w:p>
      <w:pPr>
        <w:spacing w:before="0" w:after="0" w:line="480" w:lineRule="exact"/>
        <w:ind w:firstLine="561"/>
      </w:pPr>
      <w:r>
        <w:rPr>
          <w:rFonts w:ascii="仿宋_GB2312" w:hAnsi="仿宋_GB2312" w:eastAsia="仿宋_GB2312" w:cs="仿宋_GB2312"/>
          <w:b w:val="0"/>
          <w:sz w:val="28"/>
        </w:rPr>
        <w:t>6、土地增值收益</w:t>
      </w:r>
    </w:p>
    <w:p>
      <w:pPr>
        <w:spacing w:before="0" w:after="0" w:line="480" w:lineRule="exact"/>
        <w:ind w:firstLine="561"/>
      </w:pPr>
      <w:r>
        <w:rPr>
          <w:rFonts w:ascii="仿宋_GB2312" w:hAnsi="仿宋_GB2312" w:eastAsia="仿宋_GB2312" w:cs="仿宋_GB2312"/>
          <w:b w:val="0"/>
          <w:sz w:val="28"/>
        </w:rPr>
        <w:t>土地增值收益是待估土地因改变用途或进行土地开发，达到建设用地的某种利用条件而发生的价值增加。</w:t>
      </w:r>
    </w:p>
    <w:p>
      <w:pPr>
        <w:spacing w:before="0" w:after="0" w:line="480" w:lineRule="exact"/>
        <w:ind w:firstLine="561"/>
      </w:pPr>
      <w:r>
        <w:rPr>
          <w:rFonts w:ascii="仿宋_GB2312" w:hAnsi="仿宋_GB2312" w:eastAsia="仿宋_GB2312" w:cs="仿宋_GB2312"/>
          <w:b w:val="0"/>
          <w:sz w:val="28"/>
        </w:rPr>
        <w:t>居住用地土地增值收益率取35%，则：</w:t>
      </w:r>
    </w:p>
    <w:p>
      <w:pPr>
        <w:spacing w:before="0" w:after="0" w:line="480" w:lineRule="exact"/>
        <w:ind w:firstLine="561"/>
      </w:pPr>
      <w:r>
        <w:rPr>
          <w:rFonts w:ascii="仿宋_GB2312" w:hAnsi="仿宋_GB2312" w:eastAsia="仿宋_GB2312" w:cs="仿宋_GB2312"/>
          <w:b w:val="0"/>
          <w:sz w:val="28"/>
        </w:rPr>
        <w:t>土地增值收益=584.08×35%=204.43元/平方米。</w:t>
      </w:r>
    </w:p>
    <w:p>
      <w:pPr>
        <w:spacing w:before="0" w:after="0" w:line="480" w:lineRule="exact"/>
        <w:ind w:firstLine="561"/>
      </w:pPr>
      <w:r>
        <w:rPr>
          <w:rFonts w:ascii="仿宋_GB2312" w:hAnsi="仿宋_GB2312" w:eastAsia="仿宋_GB2312" w:cs="仿宋_GB2312"/>
          <w:b w:val="0"/>
          <w:sz w:val="28"/>
        </w:rPr>
        <w:t>7、土地使用年期修正系数</w:t>
      </w:r>
    </w:p>
    <w:p>
      <w:pPr>
        <w:spacing w:before="0" w:after="0" w:line="480" w:lineRule="exact"/>
        <w:ind w:firstLine="561"/>
      </w:pPr>
      <w:r>
        <w:rPr>
          <w:rFonts w:ascii="仿宋_GB2312" w:hAnsi="仿宋_GB2312" w:eastAsia="仿宋_GB2312" w:cs="仿宋_GB2312"/>
          <w:b w:val="0"/>
          <w:sz w:val="28"/>
        </w:rPr>
        <w:t>土地使用年期修正系数=1－1/（1＋r）ⁿ，其中r为土地还原率，n为设定土地使用年期。</w:t>
      </w:r>
    </w:p>
    <w:p>
      <w:pPr>
        <w:spacing w:before="0" w:after="0" w:line="480" w:lineRule="exact"/>
        <w:ind w:firstLine="561"/>
      </w:pPr>
      <w:r>
        <w:rPr>
          <w:rFonts w:ascii="仿宋_GB2312" w:hAnsi="仿宋_GB2312" w:eastAsia="仿宋_GB2312" w:cs="仿宋_GB2312"/>
          <w:b w:val="0"/>
          <w:sz w:val="28"/>
        </w:rPr>
        <w:t>居住用地年期修正系数=1－1/（1＋6.5%）70=0.9878。</w:t>
      </w:r>
    </w:p>
    <w:p>
      <w:pPr>
        <w:spacing w:before="0" w:after="0" w:line="480" w:lineRule="exact"/>
        <w:ind w:firstLine="561"/>
      </w:pPr>
      <w:r>
        <w:rPr>
          <w:rFonts w:ascii="仿宋_GB2312" w:hAnsi="仿宋_GB2312" w:eastAsia="仿宋_GB2312" w:cs="仿宋_GB2312"/>
          <w:b w:val="0"/>
          <w:sz w:val="28"/>
        </w:rPr>
        <w:t>8、区位修正系数</w:t>
      </w:r>
    </w:p>
    <w:p>
      <w:pPr>
        <w:spacing w:before="0" w:after="0" w:line="480" w:lineRule="exact"/>
        <w:ind w:firstLine="561"/>
      </w:pPr>
      <w:r>
        <w:rPr>
          <w:rFonts w:ascii="仿宋_GB2312" w:hAnsi="仿宋_GB2312" w:eastAsia="仿宋_GB2312" w:cs="仿宋_GB2312"/>
          <w:b w:val="0"/>
          <w:sz w:val="28"/>
        </w:rPr>
        <w:t>据前分析，成本逼近法所计算的地价为估价对象所在区域的平均价格，估价对象地价还需要根据宗地所在区域内的位置和宗地自身条件进行个别因素修正。本次采用固定幅度等级修正法，估价师选择各因素优劣等级后，系统直接加总经确认的修正率。</w:t>
      </w:r>
    </w:p>
    <w:p>
      <w:pPr>
        <w:spacing w:before="0" w:after="0" w:line="480" w:lineRule="exact"/>
        <w:ind w:firstLine="561"/>
      </w:pPr>
      <w:r>
        <w:rPr>
          <w:rFonts w:ascii="仿宋_GB2312" w:hAnsi="仿宋_GB2312" w:eastAsia="仿宋_GB2312" w:cs="仿宋_GB2312"/>
          <w:b w:val="0"/>
          <w:sz w:val="28"/>
        </w:rPr>
        <w:t>居住用地区位修正率合计为0.00%。</w:t>
      </w:r>
    </w:p>
    <w:p>
      <w:pPr>
        <w:keepNext/>
        <w:spacing w:before="0" w:after="0" w:line="480" w:lineRule="exact"/>
        <w:ind w:firstLine="0" w:left="0" w:right="0"/>
        <w:jc w:val="center"/>
      </w:pPr>
      <w:r>
        <w:rPr>
          <w:rFonts w:ascii="仿宋_GB2312" w:hAnsi="仿宋_GB2312" w:eastAsia="仿宋_GB2312" w:cs="仿宋_GB2312"/>
          <w:b w:val="0"/>
          <w:sz w:val="28"/>
        </w:rPr>
        <w:t>宗地地价区域因素修正规则表（%）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7"/>
        <w:gridCol w:w="1187"/>
        <w:gridCol w:w="1187"/>
        <w:gridCol w:w="1187"/>
        <w:gridCol w:w="1187"/>
        <w:gridCol w:w="1187"/>
        <w:gridCol w:w="1187"/>
      </w:tblGrid>
      <w:tr>
        <w:trPr>
          <w:tblHeader w:val="1"/>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因素</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优</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较优</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较劣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等级修正幅度</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距汽车站的距离</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距火车站距离</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距商服中心距离</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临路类型</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路网密度</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对外交通便利度</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环境质量优劣度</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人口密度</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基础设施完善度</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地形状况</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宗地面积</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宗地形状</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w:t>
            </w:r>
          </w:p>
        </w:tc>
      </w:tr>
    </w:tbl>
    <w:p>
      <w:pPr>
        <w:keepNext/>
        <w:spacing w:before="0" w:after="0" w:line="480" w:lineRule="exact"/>
        <w:ind w:firstLine="0" w:left="0" w:right="0"/>
        <w:jc w:val="center"/>
      </w:pPr>
      <w:r>
        <w:rPr>
          <w:rFonts w:ascii="仿宋_GB2312" w:hAnsi="仿宋_GB2312" w:eastAsia="仿宋_GB2312" w:cs="仿宋_GB2312"/>
          <w:b w:val="0"/>
          <w:sz w:val="28"/>
        </w:rPr>
        <w:t>宗地地价影响因素条件说明、修正系数表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6"/>
        <w:gridCol w:w="2076"/>
        <w:gridCol w:w="2076"/>
        <w:gridCol w:w="2076"/>
      </w:tblGrid>
      <w:tr>
        <w:trPr>
          <w:tblHeader w:val="1"/>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因素</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因素说明</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因素优劣度</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因素修正</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距汽车站的距离</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待校核</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0.00%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距火车站距离</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待校核</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0.00%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距商服中心距离</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待校核</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0.00%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临路类型</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待校核</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0.00%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路网密度</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待校核</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0.00%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对外交通便利度</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待校核</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0.00%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环境质量优劣度</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待校核</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0.00%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人口密度</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待校核</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0.00%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基础设施完善度</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待校核</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0.00%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地形状况</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待校核</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0.00%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宗地面积</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待校核</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0.00%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宗地形状</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待校核</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一般</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0.00%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合计</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0.00%</w:t>
            </w:r>
          </w:p>
        </w:tc>
      </w:tr>
    </w:tbl>
    <w:p>
      <w:pPr>
        <w:spacing w:before="0" w:after="0" w:line="480" w:lineRule="exact"/>
        <w:ind w:firstLine="561"/>
      </w:pPr>
      <w:r>
        <w:rPr>
          <w:rFonts w:ascii="仿宋_GB2312" w:hAnsi="仿宋_GB2312" w:eastAsia="仿宋_GB2312" w:cs="仿宋_GB2312"/>
          <w:b w:val="0"/>
          <w:sz w:val="28"/>
        </w:rPr>
        <w:t>9、成本逼近法价格计算</w:t>
      </w:r>
    </w:p>
    <w:p>
      <w:pPr>
        <w:spacing w:before="0" w:after="0" w:line="480" w:lineRule="exact"/>
        <w:ind w:firstLine="0" w:left="561" w:right="0"/>
        <w:jc w:val="left"/>
      </w:pPr>
      <w:r>
        <w:rPr>
          <w:rFonts w:ascii="仿宋_GB2312" w:hAnsi="仿宋_GB2312" w:eastAsia="仿宋_GB2312" w:cs="仿宋_GB2312"/>
          <w:b w:val="0"/>
          <w:sz w:val="28"/>
        </w:rPr>
        <w:t>P=（土地取得费＋相关税费＋土地开发费＋投资利息＋投资利润＋土地增值收益）×土地使用年期修正系数×（1＋区位修正率）</w:t>
      </w:r>
    </w:p>
    <w:p>
      <w:pPr>
        <w:spacing w:before="0" w:after="0" w:line="480" w:lineRule="exact"/>
        <w:ind w:firstLine="561" w:left="0" w:right="0"/>
        <w:jc w:val="left"/>
      </w:pPr>
      <w:r>
        <w:rPr>
          <w:rFonts w:ascii="仿宋_GB2312" w:hAnsi="仿宋_GB2312" w:eastAsia="仿宋_GB2312" w:cs="仿宋_GB2312"/>
          <w:b w:val="0"/>
          <w:sz w:val="28"/>
        </w:rPr>
        <w:t>居住用地：</w:t>
      </w:r>
    </w:p>
    <w:p>
      <w:pPr>
        <w:spacing w:before="0" w:after="0" w:line="480" w:lineRule="exact"/>
        <w:ind w:firstLine="0" w:left="561" w:right="0"/>
        <w:jc w:val="left"/>
      </w:pPr>
      <w:r>
        <w:rPr>
          <w:rFonts w:ascii="仿宋_GB2312" w:hAnsi="仿宋_GB2312" w:eastAsia="仿宋_GB2312" w:cs="仿宋_GB2312"/>
          <w:b w:val="0"/>
          <w:sz w:val="28"/>
        </w:rPr>
        <w:t>P=（238.26+155.60+82.00+13.05+95.17+204.43）×0.9878×（1+0.00%）=778.9元/平方米。</w:t>
      </w:r>
    </w:p>
    <w:p>
      <w:pPr>
        <w:spacing w:before="0" w:after="0" w:line="480" w:lineRule="exact"/>
        <w:ind w:firstLine="561"/>
      </w:pPr>
      <w:r>
        <w:rPr>
          <w:rFonts w:ascii="仿宋_GB2312" w:hAnsi="仿宋_GB2312" w:eastAsia="仿宋_GB2312" w:cs="仿宋_GB2312"/>
          <w:b w:val="0"/>
          <w:sz w:val="28"/>
        </w:rPr>
        <w:t>成本逼近法测算地价的结果为：估价对象于估价期日2026-06-01，在设定土地用途、设定土地使用年限、设定土地开发程度及设定利用条件下的国有土地使用权价格如上。</w:t>
      </w:r>
    </w:p>
    <w:p w14:paraId="67948662">
      <w:pPr>
        <w:pStyle w:val="3"/>
        <w:keepNext/>
        <w:keepLines w:val="0"/>
        <w:pageBreakBefore w:val="0"/>
        <w:widowControl w:val="0"/>
        <w:kinsoku/>
        <w:wordWrap/>
        <w:overflowPunct/>
        <w:topLinePunct w:val="0"/>
        <w:autoSpaceDE/>
        <w:autoSpaceDN/>
        <w:bidi w:val="0"/>
        <w:adjustRightInd w:val="0"/>
        <w:snapToGrid w:val="0"/>
        <w:spacing w:line="480" w:lineRule="exact" w:before="0" w:after="0"/>
        <w:ind w:left="0" w:firstLineChars="200" w:firstLine="561"/>
        <w:textAlignment w:val="auto"/>
        <w:outlineLvl w:val="2"/>
        <w:rPr>
          <w:rFonts w:ascii="仿宋_GB2312" w:hAnsi="仿宋_GB2312" w:eastAsia="仿宋_GB2312" w:cs="仿宋_GB2312"/>
          <w:b/>
          <w:bCs/>
          <w:color w:val="000000" w:themeColor="text1"/>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★市场比较法</w:t>
      </w:r>
    </w:p>
    <w:p w14:paraId="74FAE49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ascii="仿宋_GB2312" w:hAnsi="仿宋_GB2312" w:eastAsia="仿宋_GB2312" w:cs="仿宋_GB2312"/>
          <w:sz w:val="28"/>
        </w:rPr>
        <w:t>{{ market_comp_method_intro }}</w:t>
      </w:r>
    </w:p>
    <w:p w14:paraId="068C25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2.比较实例选择</w:t>
      </w:r>
    </w:p>
    <w:p>
      <w:pPr>
        <w:spacing w:before="0" w:after="0" w:line="480" w:lineRule="exact"/>
        <w:ind w:firstLine="561"/>
      </w:pPr>
      <w:r>
        <w:rPr>
          <w:rFonts w:ascii="仿宋_GB2312" w:hAnsi="仿宋_GB2312" w:eastAsia="仿宋_GB2312" w:cs="仿宋_GB2312"/>
          <w:b w:val="0"/>
          <w:sz w:val="28"/>
        </w:rPr>
        <w:t>根据替代原则，选择与估价对象用途相同、区位相近、交易时间接近的三宗土地交易案例作为比较实例。</w:t>
      </w:r>
    </w:p>
    <w:p w14:paraId="0AC229D4">
      <w:pPr>
        <w:keepNext/>
        <w:overflowPunct w:val="0"/>
        <w:autoSpaceDE w:val="0"/>
        <w:autoSpaceDN w:val="0"/>
        <w:snapToGrid w:val="0"/>
        <w:spacing w:line="480" w:lineRule="exact" w:before="157" w:after="10"/>
        <w:ind w:left="0" w:right="0" w:firstLine="0"/>
        <w:jc w:val="center"/>
        <w:outlineLvl w:val="9"/>
        <w:rPr>
          <w:rFonts w:ascii="仿宋_GB2312" w:hAnsi="仿宋_GB2312" w:eastAsia="仿宋_GB2312" w:cs="仿宋_GB2312"/>
          <w:snapToGrid w:val="0"/>
          <w:color w:val="000000" w:themeColor="text1"/>
          <w:kern w:val="0"/>
          <w:sz w:val="28"/>
          <w:szCs w:val="28"/>
          <w:highlight w:val="none"/>
          <w14:textFill>
            <w14:solidFill>
              <w14:schemeClr w14:val="tx1"/>
            </w14:solidFill>
          </w14:textFill>
        </w:rPr>
      </w:pPr>
      <w:r>
        <w:rPr>
          <w:rFonts w:ascii="仿宋_GB2312" w:hAnsi="仿宋_GB2312" w:eastAsia="仿宋_GB2312" w:cs="仿宋_GB2312"/>
          <w:b w:val="0"/>
          <w:sz w:val="28"/>
        </w:rPr>
        <w:t>表3-10 比较实例基本情况表</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6"/>
        <w:gridCol w:w="2076"/>
        <w:gridCol w:w="2076"/>
        <w:gridCol w:w="2076"/>
      </w:tblGrid>
      <w:tr>
        <w:trPr>
          <w:tblHeader w:val="1"/>
          <w:cantSplit/>
        </w:trPr>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18"/>
              </w:rPr>
              <w:t>项目</w:t>
            </w:r>
          </w:p>
        </w:tc>
        <w:tc>
          <w:tcPr>
            <w:tcW w:type="dxa" w:w="2154"/>
            <w:vAlign w:val="center"/>
          </w:tcPr>
          <w:p>
            <w:pPr>
              <w:spacing w:before="0" w:after="0" w:line="260" w:lineRule="exact"/>
              <w:ind w:firstLine="0" w:left="0" w:right="0"/>
              <w:jc w:val="center"/>
            </w:pPr>
            <w:r>
              <w:rPr>
                <w:rFonts w:ascii="仿宋_GB2312" w:hAnsi="仿宋_GB2312" w:eastAsia="仿宋_GB2312" w:cs="仿宋_GB2312"/>
                <w:b w:val="0"/>
                <w:sz w:val="18"/>
              </w:rPr>
              <w:t>比较实例A</w:t>
            </w:r>
          </w:p>
        </w:tc>
        <w:tc>
          <w:tcPr>
            <w:tcW w:type="dxa" w:w="2154"/>
            <w:vAlign w:val="center"/>
          </w:tcPr>
          <w:p>
            <w:pPr>
              <w:spacing w:before="0" w:after="0" w:line="260" w:lineRule="exact"/>
              <w:ind w:firstLine="0" w:left="0" w:right="0"/>
              <w:jc w:val="center"/>
            </w:pPr>
            <w:r>
              <w:rPr>
                <w:rFonts w:ascii="仿宋_GB2312" w:hAnsi="仿宋_GB2312" w:eastAsia="仿宋_GB2312" w:cs="仿宋_GB2312"/>
                <w:b w:val="0"/>
                <w:sz w:val="18"/>
              </w:rPr>
              <w:t>比较实例B</w:t>
            </w:r>
          </w:p>
        </w:tc>
        <w:tc>
          <w:tcPr>
            <w:tcW w:type="dxa" w:w="2154"/>
            <w:vAlign w:val="center"/>
          </w:tcPr>
          <w:p>
            <w:pPr>
              <w:spacing w:before="0" w:after="0" w:line="260" w:lineRule="exact"/>
              <w:ind w:firstLine="0" w:left="0" w:right="0"/>
              <w:jc w:val="center"/>
            </w:pPr>
            <w:r>
              <w:rPr>
                <w:rFonts w:ascii="仿宋_GB2312" w:hAnsi="仿宋_GB2312" w:eastAsia="仿宋_GB2312" w:cs="仿宋_GB2312"/>
                <w:b w:val="0"/>
                <w:sz w:val="18"/>
              </w:rPr>
              <w:t>比较实例C</w:t>
            </w:r>
          </w:p>
        </w:tc>
      </w:tr>
      <w:tr>
        <w:trPr>
          <w:cantSplit/>
        </w:trPr>
        <w:tc>
          <w:tcPr>
            <w:tcW w:type="dxa" w:w="1814"/>
            <w:vAlign w:val="center"/>
          </w:tcPr>
          <w:p>
            <w:pPr>
              <w:spacing w:before="0" w:after="0" w:line="260" w:lineRule="exact"/>
              <w:ind w:firstLine="0" w:left="0" w:right="0"/>
              <w:jc w:val="center"/>
            </w:pPr>
            <w:r>
              <w:rPr>
                <w:rFonts w:ascii="仿宋_GB2312" w:hAnsi="仿宋_GB2312" w:eastAsia="仿宋_GB2312" w:cs="仿宋_GB2312"/>
                <w:b w:val="0"/>
                <w:sz w:val="18"/>
              </w:rPr>
              <w:t>案例来源</w:t>
            </w:r>
          </w:p>
        </w:tc>
        <w:tc>
          <w:tcPr>
            <w:tcW w:type="dxa" w:w="2154"/>
            <w:vAlign w:val="center"/>
          </w:tcPr>
          <w:p>
            <w:pPr>
              <w:spacing w:before="0" w:after="0" w:line="260" w:lineRule="exact"/>
              <w:ind w:firstLine="0" w:left="0" w:right="0"/>
              <w:jc w:val="center"/>
            </w:pPr>
            <w:r>
              <w:rPr>
                <w:rFonts w:ascii="仿宋_GB2312" w:hAnsi="仿宋_GB2312" w:eastAsia="仿宋_GB2312" w:cs="仿宋_GB2312"/>
                <w:b w:val="0"/>
                <w:sz w:val="18"/>
              </w:rPr>
              <w:t>案例A</w:t>
            </w:r>
          </w:p>
        </w:tc>
        <w:tc>
          <w:tcPr>
            <w:tcW w:type="dxa" w:w="2154"/>
            <w:vAlign w:val="center"/>
          </w:tcPr>
          <w:p>
            <w:pPr>
              <w:spacing w:before="0" w:after="0" w:line="260" w:lineRule="exact"/>
              <w:ind w:firstLine="0" w:left="0" w:right="0"/>
              <w:jc w:val="center"/>
            </w:pPr>
            <w:r>
              <w:rPr>
                <w:rFonts w:ascii="仿宋_GB2312" w:hAnsi="仿宋_GB2312" w:eastAsia="仿宋_GB2312" w:cs="仿宋_GB2312"/>
                <w:b w:val="0"/>
                <w:sz w:val="18"/>
              </w:rPr>
              <w:t>案例B</w:t>
            </w:r>
          </w:p>
        </w:tc>
        <w:tc>
          <w:tcPr>
            <w:tcW w:type="dxa" w:w="2154"/>
            <w:vAlign w:val="center"/>
          </w:tcPr>
          <w:p>
            <w:pPr>
              <w:spacing w:before="0" w:after="0" w:line="260" w:lineRule="exact"/>
              <w:ind w:firstLine="0" w:left="0" w:right="0"/>
              <w:jc w:val="center"/>
            </w:pPr>
            <w:r>
              <w:rPr>
                <w:rFonts w:ascii="仿宋_GB2312" w:hAnsi="仿宋_GB2312" w:eastAsia="仿宋_GB2312" w:cs="仿宋_GB2312"/>
                <w:b w:val="0"/>
                <w:sz w:val="18"/>
              </w:rPr>
              <w:t>案例C</w:t>
            </w:r>
          </w:p>
        </w:tc>
      </w:tr>
    </w:tbl>
    <w:p w14:paraId="754F92EB">
      <w:pPr>
        <w:pStyle w:val="14"/>
        <w:spacing w:line="480" w:lineRule="exact"/>
        <w:ind w:firstLine="0" w:firstLineChars="0"/>
        <w:outlineLvl w:val="9"/>
        <w:rPr>
          <w:rFonts w:eastAsia="仿宋_GB2312"/>
          <w:b/>
          <w:bCs/>
          <w:color w:val="000000" w:themeColor="text1"/>
          <w:sz w:val="28"/>
          <w:szCs w:val="28"/>
          <w:highlight w:val="none"/>
          <w14:textFill>
            <w14:solidFill>
              <w14:schemeClr w14:val="tx1"/>
            </w14:solidFill>
          </w14:textFill>
        </w:rPr>
      </w:pPr>
    </w:p>
    <w:p w14:paraId="58EE0F42">
      <w:pPr>
        <w:pStyle w:val="14"/>
        <w:spacing w:line="480" w:lineRule="exact" w:before="0" w:after="0"/>
        <w:ind w:firstLine="0" w:firstLineChars="0"/>
        <w:outlineLvl w:val="9"/>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bCs/>
          <w:color w:val="000000" w:themeColor="text1"/>
          <w:sz w:val="28"/>
          <w:szCs w:val="28"/>
          <w:highlight w:val="none"/>
          <w14:textFill>
            <w14:solidFill>
              <w14:schemeClr w14:val="tx1"/>
            </w14:solidFill>
          </w14:textFill>
        </w:rPr>
        <w:t>比较实例A详细情况如下：</w:t>
      </w:r>
    </w:p>
    <w:p w14:paraId="31DE9F49">
      <w:pPr>
        <w:pStyle w:val="14"/>
        <w:spacing w:line="480" w:lineRule="exact" w:before="0" w:after="0"/>
        <w:ind w:firstLine="0" w:firstLineChars="0"/>
        <w:jc w:val="center"/>
        <w:outlineLvl w:val="9"/>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比较实例A</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03607D26">
      <w:pPr>
        <w:pStyle w:val="14"/>
        <w:spacing w:before="0" w:after="0" w:line="480" w:lineRule="exact"/>
        <w:ind w:firstLine="422"/>
        <w:jc w:val="center"/>
        <w:outlineLvl w:val="9"/>
        <w:rPr>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比较实例A位置图及现状图</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
        <w:gridCol w:w="4245"/>
        <w:gridCol w:w="4365"/>
      </w:tblGrid>
      <w:tr w14:paraId="01FC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676" w:type="dxa"/>
            <w:vAlign w:val="center"/>
          </w:tcPr>
          <w:p w14:paraId="38EE65E2">
            <w:pPr>
              <w:pStyle w:val="14"/>
              <w:keepNext w:val="0"/>
              <w:keepLines w:val="0"/>
              <w:suppressLineNumbers w:val="0"/>
              <w:spacing w:before="0" w:beforeAutospacing="0" w:after="0" w:afterAutospacing="0"/>
              <w:ind w:left="0" w:right="0" w:firstLine="0" w:firstLineChars="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比较实例</w:t>
            </w:r>
          </w:p>
        </w:tc>
        <w:tc>
          <w:tcPr>
            <w:tcW w:w="4245" w:type="dxa"/>
            <w:vAlign w:val="center"/>
          </w:tcPr>
          <w:p w14:paraId="6E8202BD">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4365" w:type="dxa"/>
            <w:vAlign w:val="center"/>
          </w:tcPr>
          <w:p w14:paraId="6E3B30AA">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1F64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5" w:hRule="atLeast"/>
          <w:jc w:val="center"/>
        </w:trPr>
        <w:tc>
          <w:tcPr>
            <w:tcW w:w="676" w:type="dxa"/>
            <w:vAlign w:val="center"/>
          </w:tcPr>
          <w:p w14:paraId="2A20DF84">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实例A</w:t>
            </w:r>
          </w:p>
        </w:tc>
        <w:tc>
          <w:tcPr>
            <w:tcW w:w="4245" w:type="dxa"/>
            <w:vAlign w:val="center"/>
          </w:tcPr>
          <w:p w14:paraId="5F2693B1">
            <w:pPr>
              <w:pStyle w:val="14"/>
              <w:keepNext w:val="0"/>
              <w:keepLines w:val="0"/>
              <w:suppressLineNumbers w:val="0"/>
              <w:spacing w:before="0" w:beforeAutospacing="0" w:after="0" w:afterAutospacing="0"/>
              <w:ind w:left="0" w:right="0" w:firstLine="0" w:firstLineChars="0"/>
              <w:jc w:val="center"/>
              <w:outlineLvl w:val="9"/>
              <w:rPr>
                <w:rFonts w:hint="eastAsia" w:eastAsia="仿宋"/>
                <w:color w:val="000000" w:themeColor="text1"/>
                <w:szCs w:val="21"/>
                <w:highlight w:val="none"/>
                <w:lang w:eastAsia="zh-CN"/>
                <w14:textFill>
                  <w14:solidFill>
                    <w14:schemeClr w14:val="tx1"/>
                  </w14:solidFill>
                </w14:textFill>
              </w:rPr>
            </w:pPr>
            <w:r>
              <w:rPr>
                <w:rFonts w:hint="eastAsia" w:eastAsia="仿宋"/>
                <w:color w:val="000000" w:themeColor="text1"/>
                <w:szCs w:val="21"/>
                <w:highlight w:val="none"/>
                <w:lang w:eastAsia="zh-CN"/>
                <w14:textFill>
                  <w14:solidFill>
                    <w14:schemeClr w14:val="tx1"/>
                  </w14:solidFill>
                </w14:textFill>
              </w:rPr>
              <w:drawing>
                <wp:inline distT="0" distB="0" distL="114300" distR="114300">
                  <wp:extent cx="2628265" cy="1572260"/>
                  <wp:effectExtent l="0" t="0" r="8255" b="12700"/>
                  <wp:docPr id="35" name="图片 35" descr="比较案例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比较案例A"/>
                          <pic:cNvPicPr>
                            <a:picLocks noChangeAspect="1"/>
                          </pic:cNvPicPr>
                        </pic:nvPicPr>
                        <pic:blipFill>
                          <a:blip r:embed="rId38"/>
                          <a:stretch>
                            <a:fillRect/>
                          </a:stretch>
                        </pic:blipFill>
                        <pic:spPr>
                          <a:xfrm>
                            <a:off x="0" y="0"/>
                            <a:ext cx="2628265" cy="1572260"/>
                          </a:xfrm>
                          <a:prstGeom prst="rect">
                            <a:avLst/>
                          </a:prstGeom>
                        </pic:spPr>
                      </pic:pic>
                    </a:graphicData>
                  </a:graphic>
                </wp:inline>
              </w:drawing>
            </w:r>
          </w:p>
        </w:tc>
        <w:tc>
          <w:tcPr>
            <w:tcW w:w="4365" w:type="dxa"/>
            <w:vAlign w:val="center"/>
          </w:tcPr>
          <w:p w14:paraId="2C8A8FD0">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drawing>
                <wp:inline distT="0" distB="0" distL="114300" distR="114300">
                  <wp:extent cx="2628265" cy="1572895"/>
                  <wp:effectExtent l="0" t="0" r="8255" b="12065"/>
                  <wp:docPr id="52" name="图片 52" descr="689d6665ae17056abeb78e5d03d85f2"/>
                  <wp:cNvGraphicFramePr/>
                  <a:graphic xmlns:a="http://schemas.openxmlformats.org/drawingml/2006/main">
                    <a:graphicData uri="http://schemas.openxmlformats.org/drawingml/2006/picture">
                      <pic:pic xmlns:pic="http://schemas.openxmlformats.org/drawingml/2006/picture">
                        <pic:nvPicPr>
                          <pic:cNvPr id="52" name="图片 52" descr="689d6665ae17056abeb78e5d03d85f2"/>
                          <pic:cNvPicPr/>
                        </pic:nvPicPr>
                        <pic:blipFill>
                          <a:blip r:embed="rId39"/>
                          <a:stretch>
                            <a:fillRect/>
                          </a:stretch>
                        </pic:blipFill>
                        <pic:spPr>
                          <a:xfrm>
                            <a:off x="0" y="0"/>
                            <a:ext cx="2628265" cy="1572895"/>
                          </a:xfrm>
                          <a:prstGeom prst="rect">
                            <a:avLst/>
                          </a:prstGeom>
                          <a:noFill/>
                          <a:ln>
                            <a:noFill/>
                          </a:ln>
                        </pic:spPr>
                      </pic:pic>
                    </a:graphicData>
                  </a:graphic>
                </wp:inline>
              </w:drawing>
            </w:r>
          </w:p>
        </w:tc>
      </w:tr>
    </w:tbl>
    <w:p w14:paraId="4944F8E9">
      <w:pPr>
        <w:rPr>
          <w:rFonts w:hint="eastAsia"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br w:type="page"/>
      </w:r>
    </w:p>
    <w:p w14:paraId="3E6C11B4">
      <w:pPr>
        <w:pStyle w:val="14"/>
        <w:spacing w:line="480" w:lineRule="exact" w:before="0" w:after="0"/>
        <w:ind w:firstLine="0" w:firstLineChars="0"/>
        <w:outlineLvl w:val="9"/>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比较实例B详细情况如下：</w:t>
      </w:r>
    </w:p>
    <w:p w14:paraId="7B7DDE56">
      <w:pPr>
        <w:pStyle w:val="14"/>
        <w:spacing w:line="480" w:lineRule="exact" w:before="0" w:after="0"/>
        <w:ind w:firstLine="0" w:firstLineChars="0"/>
        <w:jc w:val="center"/>
        <w:outlineLvl w:val="9"/>
        <w:rPr>
          <w:rFonts w:eastAsia="仿宋_GB2312"/>
          <w:b/>
          <w:bCs/>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比较实例B</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102E8177">
      <w:pPr>
        <w:pStyle w:val="14"/>
        <w:spacing w:before="0" w:after="0" w:line="480" w:lineRule="exact"/>
        <w:ind w:left="0" w:leftChars="0" w:firstLine="0" w:firstLineChars="0"/>
        <w:jc w:val="center"/>
        <w:rPr>
          <w:rFonts w:eastAsia="仿宋_GB2312"/>
          <w:b/>
          <w:color w:val="000000" w:themeColor="text1"/>
          <w:szCs w:val="21"/>
          <w:highlight w:val="none"/>
          <w14:textFill>
            <w14:solidFill>
              <w14:schemeClr w14:val="tx1"/>
            </w14:solidFill>
          </w14:textFill>
        </w:rPr>
      </w:pPr>
      <w:r>
        <w:rPr>
          <w:rFonts w:ascii="仿宋_GB2312" w:hAnsi="仿宋_GB2312" w:eastAsia="仿宋_GB2312" w:cs="仿宋_GB2312"/>
          <w:color w:val="000000" w:themeColor="text1"/>
          <w:sz w:val="28"/>
          <w:highlight w:val="none"/>
          <w14:textFill>
            <w14:solidFill>
              <w14:schemeClr w14:val="tx1"/>
            </w14:solidFill>
          </w14:textFill>
        </w:rPr>
      </w:r>
      <w:r>
        <w:rPr>
          <w:rFonts w:eastAsia="仿宋_GB2312" w:ascii="仿宋_GB2312" w:hAnsi="仿宋_GB2312" w:cs="仿宋_GB2312"/>
          <w:b/>
          <w:color w:val="000000" w:themeColor="text1"/>
          <w:sz w:val="28"/>
          <w:szCs w:val="21"/>
          <w:highlight w:val="none"/>
          <w14:textFill>
            <w14:solidFill>
              <w14:schemeClr w14:val="tx1"/>
            </w14:solidFill>
          </w14:textFill>
        </w:rPr>
        <w:t>比较实例B位置图及现状图</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0256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363" w:type="pct"/>
            <w:vAlign w:val="center"/>
          </w:tcPr>
          <w:p w14:paraId="6C10628A">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2285" w:type="pct"/>
            <w:vAlign w:val="center"/>
          </w:tcPr>
          <w:p w14:paraId="0B9C91CD">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2350" w:type="pct"/>
            <w:vAlign w:val="center"/>
          </w:tcPr>
          <w:p w14:paraId="721A9899">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4C34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3" w:hRule="atLeast"/>
        </w:trPr>
        <w:tc>
          <w:tcPr>
            <w:tcW w:w="363" w:type="pct"/>
            <w:vAlign w:val="center"/>
          </w:tcPr>
          <w:p w14:paraId="30CBF3F6">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实例B</w:t>
            </w:r>
          </w:p>
        </w:tc>
        <w:tc>
          <w:tcPr>
            <w:tcW w:w="2285" w:type="pct"/>
            <w:vAlign w:val="center"/>
          </w:tcPr>
          <w:p w14:paraId="24BAA9DC">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6" name="图片 36" descr="案例B位置"/>
                  <wp:cNvGraphicFramePr/>
                  <a:graphic xmlns:a="http://schemas.openxmlformats.org/drawingml/2006/main">
                    <a:graphicData uri="http://schemas.openxmlformats.org/drawingml/2006/picture">
                      <pic:pic xmlns:pic="http://schemas.openxmlformats.org/drawingml/2006/picture">
                        <pic:nvPicPr>
                          <pic:cNvPr id="36" name="图片 36" descr="案例B位置"/>
                          <pic:cNvPicPr/>
                        </pic:nvPicPr>
                        <pic:blipFill>
                          <a:blip r:embed="rId41"/>
                          <a:srcRect l="8609" r="11894"/>
                          <a:stretch>
                            <a:fillRect/>
                          </a:stretch>
                        </pic:blipFill>
                        <pic:spPr>
                          <a:xfrm>
                            <a:off x="0" y="0"/>
                            <a:ext cx="2628265" cy="1572895"/>
                          </a:xfrm>
                          <a:prstGeom prst="rect">
                            <a:avLst/>
                          </a:prstGeom>
                        </pic:spPr>
                      </pic:pic>
                    </a:graphicData>
                  </a:graphic>
                </wp:inline>
              </w:drawing>
            </w:r>
          </w:p>
        </w:tc>
        <w:tc>
          <w:tcPr>
            <w:tcW w:w="2350" w:type="pct"/>
            <w:vAlign w:val="center"/>
          </w:tcPr>
          <w:p w14:paraId="32DDA442">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drawing>
                <wp:inline distT="0" distB="0" distL="114300" distR="114300">
                  <wp:extent cx="2628265" cy="1572895"/>
                  <wp:effectExtent l="0" t="0" r="8255" b="12065"/>
                  <wp:docPr id="37" name="图片 37" descr="微信图片_20201222145553"/>
                  <wp:cNvGraphicFramePr/>
                  <a:graphic xmlns:a="http://schemas.openxmlformats.org/drawingml/2006/main">
                    <a:graphicData uri="http://schemas.openxmlformats.org/drawingml/2006/picture">
                      <pic:pic xmlns:pic="http://schemas.openxmlformats.org/drawingml/2006/picture">
                        <pic:nvPicPr>
                          <pic:cNvPr id="37" name="图片 37" descr="微信图片_20201222145553"/>
                          <pic:cNvPicPr/>
                        </pic:nvPicPr>
                        <pic:blipFill>
                          <a:blip r:embed="rId42" cstate="print">
                            <a:extLst>
                              <a:ext uri="{28A0092B-C50C-407E-A947-70E740481C1C}">
                                <a14:useLocalDpi xmlns:a14="http://schemas.microsoft.com/office/drawing/2010/main" val="0"/>
                              </a:ext>
                            </a:extLst>
                          </a:blip>
                          <a:srcRect l="2073" t="17109" r="42863" b="31843"/>
                          <a:stretch>
                            <a:fillRect/>
                          </a:stretch>
                        </pic:blipFill>
                        <pic:spPr>
                          <a:xfrm>
                            <a:off x="0" y="0"/>
                            <a:ext cx="2628265" cy="1572895"/>
                          </a:xfrm>
                          <a:prstGeom prst="rect">
                            <a:avLst/>
                          </a:prstGeom>
                        </pic:spPr>
                      </pic:pic>
                    </a:graphicData>
                  </a:graphic>
                </wp:inline>
              </w:drawing>
            </w:r>
          </w:p>
        </w:tc>
      </w:tr>
    </w:tbl>
    <w:p w14:paraId="7E168ECF">
      <w:pPr>
        <w:spacing w:before="0" w:after="0" w:line="480" w:lineRule="exact"/>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bCs/>
          <w:color w:val="000000" w:themeColor="text1"/>
          <w:sz w:val="28"/>
          <w:szCs w:val="28"/>
          <w:highlight w:val="none"/>
          <w14:textFill>
            <w14:solidFill>
              <w14:schemeClr w14:val="tx1"/>
            </w14:solidFill>
          </w14:textFill>
        </w:rPr>
        <w:br w:type="page"/>
      </w:r>
      <w:r>
        <w:rPr>
          <w:rFonts w:eastAsia="仿宋_GB2312" w:ascii="仿宋_GB2312" w:hAnsi="仿宋_GB2312" w:cs="仿宋_GB2312"/>
          <w:b/>
          <w:bCs/>
          <w:color w:val="000000" w:themeColor="text1"/>
          <w:sz w:val="28"/>
          <w:szCs w:val="28"/>
          <w:highlight w:val="none"/>
          <w14:textFill>
            <w14:solidFill>
              <w14:schemeClr w14:val="tx1"/>
            </w14:solidFill>
          </w14:textFill>
        </w:rPr>
        <w:t>比较实例C详细情况如下：</w:t>
      </w:r>
    </w:p>
    <w:p w14:paraId="736EFE6E">
      <w:pPr>
        <w:pStyle w:val="14"/>
        <w:spacing w:line="480" w:lineRule="exact" w:before="0" w:after="0"/>
        <w:ind w:firstLine="0" w:firstLineChars="0"/>
        <w:jc w:val="center"/>
        <w:rPr>
          <w:rFonts w:eastAsia="仿宋_GB2312"/>
          <w:b/>
          <w:bCs/>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比较实例C</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4ED4690A">
      <w:pPr>
        <w:pStyle w:val="14"/>
        <w:spacing w:before="0" w:after="0" w:line="480" w:lineRule="exact"/>
        <w:ind w:firstLine="422"/>
        <w:jc w:val="center"/>
        <w:rPr>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比较实例C位置图及现状图</w:t>
      </w:r>
    </w:p>
    <w:tbl>
      <w:tblPr>
        <w:tblStyle w:val="10"/>
        <w:tblpPr w:leftFromText="180" w:rightFromText="180" w:vertAnchor="text" w:horzAnchor="page" w:tblpX="1453" w:tblpY="2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2610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894920">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0" w:type="auto"/>
            <w:vAlign w:val="center"/>
          </w:tcPr>
          <w:p w14:paraId="4DCCF32F">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0" w:type="auto"/>
            <w:vAlign w:val="center"/>
          </w:tcPr>
          <w:p w14:paraId="459A7A21">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518A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0" w:hRule="atLeast"/>
        </w:trPr>
        <w:tc>
          <w:tcPr>
            <w:tcW w:w="0" w:type="auto"/>
            <w:vAlign w:val="center"/>
          </w:tcPr>
          <w:p w14:paraId="25BE6313">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实例C</w:t>
            </w:r>
          </w:p>
        </w:tc>
        <w:tc>
          <w:tcPr>
            <w:tcW w:w="0" w:type="auto"/>
            <w:vAlign w:val="center"/>
          </w:tcPr>
          <w:p w14:paraId="4D1AE78D">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3" name="图片 33" descr="比较案例C"/>
                  <wp:cNvGraphicFramePr/>
                  <a:graphic xmlns:a="http://schemas.openxmlformats.org/drawingml/2006/main">
                    <a:graphicData uri="http://schemas.openxmlformats.org/drawingml/2006/picture">
                      <pic:pic xmlns:pic="http://schemas.openxmlformats.org/drawingml/2006/picture">
                        <pic:nvPicPr>
                          <pic:cNvPr id="33" name="图片 33" descr="比较案例C"/>
                          <pic:cNvPicPr/>
                        </pic:nvPicPr>
                        <pic:blipFill>
                          <a:blip r:embed="rId44"/>
                          <a:stretch>
                            <a:fillRect/>
                          </a:stretch>
                        </pic:blipFill>
                        <pic:spPr>
                          <a:xfrm>
                            <a:off x="0" y="0"/>
                            <a:ext cx="2628265" cy="1572895"/>
                          </a:xfrm>
                          <a:prstGeom prst="rect">
                            <a:avLst/>
                          </a:prstGeom>
                        </pic:spPr>
                      </pic:pic>
                    </a:graphicData>
                  </a:graphic>
                </wp:inline>
              </w:drawing>
            </w:r>
          </w:p>
        </w:tc>
        <w:tc>
          <w:tcPr>
            <w:tcW w:w="0" w:type="auto"/>
            <w:vAlign w:val="center"/>
          </w:tcPr>
          <w:p w14:paraId="45D65965">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ascii="仿宋_GB2312" w:eastAsia="仿宋_GB2312"/>
                <w:color w:val="000000" w:themeColor="text1"/>
                <w:sz w:val="28"/>
                <w:szCs w:val="30"/>
                <w:highlight w:val="none"/>
                <w14:textFill>
                  <w14:solidFill>
                    <w14:schemeClr w14:val="tx1"/>
                  </w14:solidFill>
                </w14:textFill>
              </w:rPr>
              <w:drawing>
                <wp:inline distT="0" distB="0" distL="114300" distR="114300">
                  <wp:extent cx="2628265" cy="1572895"/>
                  <wp:effectExtent l="0" t="0" r="8255" b="12065"/>
                  <wp:docPr id="59" name="图片 3" descr="E:/永湘共享文件/外勘图片/2022年外勘/2022年12月13日外勘/长沙恩吉实业投资有限公司宗地/微信图片_202212131552021.jpg微信图片_202212131552021"/>
                  <wp:cNvGraphicFramePr/>
                  <a:graphic xmlns:a="http://schemas.openxmlformats.org/drawingml/2006/main">
                    <a:graphicData uri="http://schemas.openxmlformats.org/drawingml/2006/picture">
                      <pic:pic xmlns:pic="http://schemas.openxmlformats.org/drawingml/2006/picture">
                        <pic:nvPicPr>
                          <pic:cNvPr id="59" name="图片 3" descr="E:/永湘共享文件/外勘图片/2022年外勘/2022年12月13日外勘/长沙恩吉实业投资有限公司宗地/微信图片_202212131552021.jpg微信图片_202212131552021"/>
                          <pic:cNvPicPr/>
                        </pic:nvPicPr>
                        <pic:blipFill>
                          <a:blip r:embed="rId45"/>
                          <a:srcRect t="10974" b="10974"/>
                          <a:stretch>
                            <a:fillRect/>
                          </a:stretch>
                        </pic:blipFill>
                        <pic:spPr>
                          <a:xfrm>
                            <a:off x="0" y="0"/>
                            <a:ext cx="2628265" cy="1572895"/>
                          </a:xfrm>
                          <a:prstGeom prst="rect">
                            <a:avLst/>
                          </a:prstGeom>
                          <a:noFill/>
                          <a:ln>
                            <a:noFill/>
                          </a:ln>
                        </pic:spPr>
                      </pic:pic>
                    </a:graphicData>
                  </a:graphic>
                </wp:inline>
              </w:drawing>
            </w:r>
          </w:p>
        </w:tc>
      </w:tr>
    </w:tbl>
    <w:p w14:paraId="1856B96D">
      <w:pPr>
        <w:pStyle w:val="14"/>
        <w:jc w:val="center"/>
        <w:rPr>
          <w:color w:val="000000" w:themeColor="text1"/>
          <w:highlight w:val="none"/>
          <w14:textFill>
            <w14:solidFill>
              <w14:schemeClr w14:val="tx1"/>
            </w14:solidFill>
          </w14:textFill>
        </w:rPr>
      </w:pPr>
    </w:p>
    <w:p w14:paraId="49065A06">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9E6ADA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4F1D14D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4A649C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C6CEC5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7C1E27F3">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A70F61B">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3.建立价格可比基础</w:t>
      </w:r>
    </w:p>
    <w:p>
      <w:pPr>
        <w:spacing w:before="0" w:after="0" w:line="480" w:lineRule="exact"/>
        <w:ind w:firstLine="561"/>
      </w:pPr>
      <w:r>
        <w:rPr>
          <w:rFonts w:ascii="仿宋_GB2312" w:hAnsi="仿宋_GB2312" w:eastAsia="仿宋_GB2312" w:cs="仿宋_GB2312"/>
          <w:b w:val="0"/>
          <w:sz w:val="28"/>
        </w:rPr>
        <w:t>比较实例与估价对象在付款方式、币种、货币单位、面积内涵和面积单位方面口径一致，价格可比基础相同，故无需调整。</w:t>
      </w:r>
    </w:p>
    <w:p w14:paraId="0FB91129">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4.比较因素的选择</w:t>
      </w:r>
    </w:p>
    <w:p>
      <w:pPr>
        <w:spacing w:before="0" w:after="0" w:line="480" w:lineRule="exact"/>
        <w:ind w:firstLine="561"/>
      </w:pPr>
      <w:r>
        <w:rPr>
          <w:rFonts w:ascii="仿宋_GB2312" w:hAnsi="仿宋_GB2312" w:eastAsia="仿宋_GB2312" w:cs="仿宋_GB2312"/>
          <w:b w:val="0"/>
          <w:sz w:val="28"/>
        </w:rPr>
        <w:t>根据估价对象与比较实例的实际情况，选择交易因素、区域因素和个别因素进行比较修正。</w:t>
      </w:r>
    </w:p>
    <w:p w14:paraId="61964A8D">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5.比较因素条件说明</w:t>
      </w:r>
    </w:p>
    <w:p>
      <w:pPr>
        <w:spacing w:before="0" w:after="0" w:line="480" w:lineRule="exact"/>
        <w:ind w:firstLine="561"/>
      </w:pPr>
      <w:r>
        <w:rPr>
          <w:rFonts w:ascii="仿宋_GB2312" w:hAnsi="仿宋_GB2312" w:eastAsia="仿宋_GB2312" w:cs="仿宋_GB2312"/>
          <w:b w:val="0"/>
          <w:sz w:val="28"/>
        </w:rPr>
        <w:t>将估价对象与比较实例的因素条件进行整理，具体情况见比较因素条件说明表。</w:t>
      </w:r>
    </w:p>
    <w:p w14:paraId="74A633D9">
      <w:pPr>
        <w:keepNext/>
        <w:spacing w:line="480" w:lineRule="exact" w:before="157" w:after="10"/>
        <w:ind w:left="0" w:right="0" w:firstLine="0"/>
        <w:jc w:val="center"/>
        <w:outlineLvl w:val="9"/>
        <w:rPr>
          <w:rFonts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14:textFill>
            <w14:solidFill>
              <w14:schemeClr w14:val="tx1"/>
            </w14:solidFill>
          </w14:textFill>
        </w:rPr>
        <w:t>表3-</w:t>
      </w: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 w:val="0"/>
          <w:bCs/>
          <w:color w:val="000000" w:themeColor="text1"/>
          <w:sz w:val="28"/>
          <w:szCs w:val="28"/>
          <w:highlight w:val="none"/>
          <w14:textFill>
            <w14:solidFill>
              <w14:schemeClr w14:val="tx1"/>
            </w14:solidFill>
          </w14:textFill>
        </w:rPr>
        <w:t xml:space="preserve"> 比较因素条件说明表</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7"/>
        <w:gridCol w:w="1187"/>
        <w:gridCol w:w="1187"/>
        <w:gridCol w:w="1187"/>
        <w:gridCol w:w="1187"/>
        <w:gridCol w:w="1187"/>
        <w:gridCol w:w="1187"/>
      </w:tblGrid>
      <w:tr>
        <w:trPr>
          <w:tblHeader w:val="1"/>
          <w:cantSplit/>
        </w:trPr>
        <w:tc>
          <w:tcPr>
            <w:tcW w:type="dxa" w:w="1247"/>
            <w:gridSpan w:val="3"/>
            <w:vAlign w:val="center"/>
          </w:tcPr>
          <w:p>
            <w:pPr>
              <w:spacing w:before="0" w:after="0" w:line="260" w:lineRule="exact"/>
              <w:ind w:left="0" w:right="0" w:firstLine="0"/>
              <w:jc w:val="center"/>
            </w:pPr>
            <w:r>
              <w:rPr>
                <w:rFonts w:ascii="仿宋_GB2312" w:hAnsi="仿宋_GB2312" w:eastAsia="仿宋_GB2312" w:cs="仿宋_GB2312"/>
                <w:b w:val="0"/>
                <w:sz w:val="20"/>
              </w:rPr>
              <w:t>待估宗地及比较实例</w:t>
            </w:r>
          </w:p>
        </w:tc>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20"/>
              </w:rPr>
              <w:t>估价对象</w:t>
            </w:r>
          </w:p>
        </w:tc>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20"/>
              </w:rPr>
              <w:t>案例A</w:t>
            </w:r>
          </w:p>
        </w:tc>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20"/>
              </w:rPr>
              <w:t>案例B</w:t>
            </w:r>
          </w:p>
        </w:tc>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20"/>
              </w:rPr>
              <w:t>案例C</w:t>
            </w:r>
          </w:p>
        </w:tc>
      </w:tr>
      <w:tr>
        <w:trPr>
          <w:tblHeader w:val="1"/>
          <w:cantSplit/>
        </w:trPr>
        <w:tc>
          <w:tcPr>
            <w:tcW w:type="dxa" w:w="794"/>
            <w:vAlign w:val="center"/>
          </w:tcPr>
          <w:p>
            <w:pPr>
              <w:spacing w:before="0" w:after="0" w:line="260" w:lineRule="exact"/>
              <w:ind w:firstLine="0" w:left="0" w:right="0"/>
              <w:jc w:val="center"/>
            </w:pPr>
            <w:r>
              <w:rPr>
                <w:rFonts w:ascii="仿宋_GB2312" w:hAnsi="仿宋_GB2312" w:eastAsia="仿宋_GB2312" w:cs="仿宋_GB2312"/>
                <w:b w:val="0"/>
                <w:sz w:val="20"/>
              </w:rPr>
              <w:t>因素类别</w:t>
            </w:r>
          </w:p>
        </w:tc>
        <w:tc>
          <w:tcPr>
            <w:tcW w:type="dxa" w:w="1020"/>
            <w:vAlign w:val="center"/>
          </w:tcPr>
          <w:p>
            <w:pPr>
              <w:spacing w:before="0" w:after="0" w:line="260" w:lineRule="exact"/>
              <w:ind w:firstLine="0" w:left="0" w:right="0"/>
              <w:jc w:val="center"/>
            </w:pPr>
            <w:r>
              <w:rPr>
                <w:rFonts w:ascii="仿宋_GB2312" w:hAnsi="仿宋_GB2312" w:eastAsia="仿宋_GB2312" w:cs="仿宋_GB2312"/>
                <w:b w:val="0"/>
                <w:sz w:val="20"/>
              </w:rPr>
              <w:t>因素分项</w:t>
            </w:r>
          </w:p>
        </w:tc>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比较因素</w:t>
            </w:r>
          </w:p>
        </w:tc>
        <w:tc>
          <w:tcPr>
            <w:tcW w:type="dxa" w:w="1187"/>
            <w:vMerge/>
          </w:tcPr>
          <w:p/>
        </w:tc>
        <w:tc>
          <w:tcPr>
            <w:tcW w:type="dxa" w:w="1187"/>
            <w:vMerge/>
          </w:tcPr>
          <w:p/>
        </w:tc>
        <w:tc>
          <w:tcPr>
            <w:tcW w:type="dxa" w:w="1187"/>
            <w:vMerge/>
          </w:tcPr>
          <w:p/>
        </w:tc>
        <w:tc>
          <w:tcPr>
            <w:tcW w:type="dxa" w:w="1187"/>
            <w:vMerge/>
          </w:tcPr>
          <w:p/>
        </w:tc>
      </w:tr>
      <w:tr>
        <w:trPr>
          <w:cantSplit/>
        </w:trPr>
        <w:tc>
          <w:tcPr>
            <w:tcW w:type="dxa" w:w="794"/>
            <w:vAlign w:val="center"/>
          </w:tcPr>
          <w:p>
            <w:pPr>
              <w:spacing w:before="0" w:after="0" w:line="260" w:lineRule="exact"/>
              <w:ind w:firstLine="0" w:left="0" w:right="0"/>
              <w:jc w:val="center"/>
            </w:pPr>
            <w:r>
              <w:rPr>
                <w:rFonts w:ascii="仿宋_GB2312" w:hAnsi="仿宋_GB2312" w:eastAsia="仿宋_GB2312" w:cs="仿宋_GB2312"/>
                <w:b w:val="0"/>
                <w:sz w:val="20"/>
              </w:rPr>
              <w:t>交易因素</w:t>
            </w:r>
          </w:p>
        </w:tc>
        <w:tc>
          <w:tcPr>
            <w:tcW w:type="dxa" w:w="1020"/>
            <w:vAlign w:val="center"/>
          </w:tcPr>
          <w:p>
            <w:pPr>
              <w:spacing w:before="0" w:after="0" w:line="260" w:lineRule="exact"/>
              <w:ind w:firstLine="0" w:left="0" w:right="0"/>
              <w:jc w:val="center"/>
            </w:pPr>
            <w:r>
              <w:rPr>
                <w:rFonts w:ascii="仿宋_GB2312" w:hAnsi="仿宋_GB2312" w:eastAsia="仿宋_GB2312" w:cs="仿宋_GB2312"/>
                <w:b w:val="0"/>
                <w:sz w:val="20"/>
              </w:rPr>
            </w:r>
          </w:p>
        </w:tc>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土地用途</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20"/>
              </w:rPr>
              <w:t>居住用地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20"/>
              </w:rPr>
              <w:t>居住用地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20"/>
              </w:rPr>
              <w:t>居住用地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20"/>
              </w:rPr>
              <w:t>居住用地</w:t>
            </w:r>
          </w:p>
        </w:tc>
      </w:tr>
    </w:tbl>
    <w:p w14:paraId="336907F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6.编制比较因素条件指数表</w:t>
      </w:r>
    </w:p>
    <w:p>
      <w:pPr>
        <w:spacing w:before="0" w:after="0" w:line="480" w:lineRule="exact"/>
        <w:ind w:firstLine="561"/>
      </w:pPr>
      <w:r>
        <w:rPr>
          <w:rFonts w:ascii="仿宋_GB2312" w:hAnsi="仿宋_GB2312" w:eastAsia="仿宋_GB2312" w:cs="仿宋_GB2312"/>
          <w:b w:val="0"/>
          <w:sz w:val="28"/>
        </w:rPr>
        <w:t>以估价对象各项因素条件指数为100，结合比较实例的实际条件编制比较因素条件指数表。</w:t>
      </w:r>
    </w:p>
    <w:p>
      <w:pPr>
        <w:keepNext/>
        <w:spacing w:before="157" w:after="10" w:line="480" w:lineRule="exact"/>
        <w:ind w:left="0" w:right="0" w:firstLine="0"/>
        <w:jc w:val="center"/>
      </w:pPr>
      <w:r>
        <w:rPr>
          <w:rFonts w:ascii="仿宋_GB2312" w:hAnsi="仿宋_GB2312" w:eastAsia="仿宋_GB2312" w:cs="仿宋_GB2312"/>
          <w:b w:val="0"/>
          <w:sz w:val="28"/>
        </w:rPr>
        <w:t>表3-12 估价对象与比较案例交易期日指数表</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1"/>
        <w:gridCol w:w="1661"/>
        <w:gridCol w:w="1661"/>
        <w:gridCol w:w="1661"/>
        <w:gridCol w:w="1661"/>
      </w:tblGrid>
      <w:tr>
        <w:trPr>
          <w:tblHeader w:val="1"/>
          <w:cantSplit/>
        </w:trPr>
        <w:tc>
          <w:tcPr>
            <w:tcW w:type="dxa" w:w="1474"/>
            <w:vAlign w:val="center"/>
          </w:tcPr>
          <w:p>
            <w:pPr>
              <w:spacing w:before="0" w:after="0" w:line="260" w:lineRule="exact"/>
              <w:ind w:firstLine="0" w:left="0" w:right="0"/>
              <w:jc w:val="center"/>
            </w:pPr>
            <w:r>
              <w:rPr>
                <w:rFonts w:ascii="仿宋_GB2312" w:hAnsi="仿宋_GB2312" w:eastAsia="仿宋_GB2312" w:cs="仿宋_GB2312"/>
                <w:b w:val="0"/>
                <w:sz w:val="20"/>
              </w:rPr>
              <w:t>项目</w:t>
            </w:r>
          </w:p>
        </w:tc>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0"/>
              </w:rPr>
              <w:t>估价对象</w:t>
            </w:r>
          </w:p>
        </w:tc>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0"/>
              </w:rPr>
              <w:t>实例A</w:t>
            </w:r>
          </w:p>
        </w:tc>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0"/>
              </w:rPr>
              <w:t>实例B</w:t>
            </w:r>
          </w:p>
        </w:tc>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0"/>
              </w:rPr>
              <w:t>实例C</w:t>
            </w:r>
          </w:p>
        </w:tc>
      </w:tr>
      <w:tr>
        <w:trPr>
          <w:cantSplit/>
        </w:trPr>
        <w:tc>
          <w:tcPr>
            <w:tcW w:type="dxa" w:w="1474"/>
            <w:vAlign w:val="center"/>
          </w:tcPr>
          <w:p>
            <w:pPr>
              <w:spacing w:before="0" w:after="0" w:line="260" w:lineRule="exact"/>
              <w:ind w:firstLine="0" w:left="0" w:right="0"/>
              <w:jc w:val="center"/>
            </w:pPr>
            <w:r>
              <w:rPr>
                <w:rFonts w:ascii="仿宋_GB2312" w:hAnsi="仿宋_GB2312" w:eastAsia="仿宋_GB2312" w:cs="仿宋_GB2312"/>
                <w:b w:val="0"/>
                <w:sz w:val="20"/>
              </w:rPr>
              <w:t>成交日期</w:t>
            </w:r>
          </w:p>
        </w:tc>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0"/>
              </w:rPr>
              <w:t>2026-06-01</w:t>
            </w:r>
          </w:p>
        </w:tc>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0"/>
              </w:rPr>
              <w:t>2025-01-01</w:t>
            </w:r>
          </w:p>
        </w:tc>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0"/>
              </w:rPr>
              <w:t>2025-02-01</w:t>
            </w:r>
          </w:p>
        </w:tc>
        <w:tc>
          <w:tcPr>
            <w:tcW w:type="dxa" w:w="1701"/>
            <w:vAlign w:val="center"/>
          </w:tcPr>
          <w:p>
            <w:pPr>
              <w:spacing w:before="0" w:after="0" w:line="260" w:lineRule="exact"/>
              <w:ind w:firstLine="0" w:left="0" w:right="0"/>
              <w:jc w:val="center"/>
            </w:pPr>
            <w:r>
              <w:rPr>
                <w:rFonts w:ascii="仿宋_GB2312" w:hAnsi="仿宋_GB2312" w:eastAsia="仿宋_GB2312" w:cs="仿宋_GB2312"/>
                <w:b w:val="0"/>
                <w:sz w:val="20"/>
              </w:rPr>
              <w:t>2025-03-01</w:t>
            </w:r>
          </w:p>
        </w:tc>
      </w:tr>
    </w:tbl>
    <w:p w14:paraId="642DF68B">
      <w:pPr>
        <w:keepNext/>
        <w:spacing w:line="480" w:lineRule="exact" w:before="157" w:after="10"/>
        <w:ind w:left="0" w:right="0" w:firstLine="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表3-13 估价对象及比较因素条件指数表</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7"/>
        <w:gridCol w:w="1187"/>
        <w:gridCol w:w="1187"/>
        <w:gridCol w:w="1187"/>
        <w:gridCol w:w="1187"/>
        <w:gridCol w:w="1187"/>
        <w:gridCol w:w="1187"/>
      </w:tblGrid>
      <w:tr>
        <w:trPr>
          <w:tblHeader w:val="1"/>
          <w:cantSplit/>
        </w:trPr>
        <w:tc>
          <w:tcPr>
            <w:tcW w:type="dxa" w:w="1247"/>
            <w:gridSpan w:val="3"/>
            <w:vAlign w:val="center"/>
          </w:tcPr>
          <w:p>
            <w:pPr>
              <w:spacing w:before="0" w:after="0" w:line="260" w:lineRule="exact"/>
              <w:ind w:left="0" w:right="0" w:firstLine="0"/>
              <w:jc w:val="center"/>
            </w:pPr>
            <w:r>
              <w:rPr>
                <w:rFonts w:ascii="仿宋_GB2312" w:hAnsi="仿宋_GB2312" w:eastAsia="仿宋_GB2312" w:cs="仿宋_GB2312"/>
                <w:b w:val="0"/>
                <w:sz w:val="20"/>
              </w:rPr>
              <w:t>待估宗地及比较实例/比较因素</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20"/>
              </w:rPr>
              <w:t>估价对象</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20"/>
              </w:rPr>
              <w:t>案例A</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20"/>
              </w:rPr>
              <w:t>案例B</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20"/>
              </w:rPr>
              <w:t>案例C</w:t>
            </w:r>
          </w:p>
        </w:tc>
      </w:tr>
      <w:tr>
        <w:trPr>
          <w:cantSplit/>
        </w:trPr>
        <w:tc>
          <w:tcPr>
            <w:tcW w:type="dxa" w:w="794"/>
            <w:vAlign w:val="center"/>
          </w:tcPr>
          <w:p>
            <w:pPr>
              <w:spacing w:before="0" w:after="0" w:line="260" w:lineRule="exact"/>
              <w:ind w:firstLine="0" w:left="0" w:right="0"/>
              <w:jc w:val="center"/>
            </w:pPr>
            <w:r>
              <w:rPr>
                <w:rFonts w:ascii="仿宋_GB2312" w:hAnsi="仿宋_GB2312" w:eastAsia="仿宋_GB2312" w:cs="仿宋_GB2312"/>
                <w:b w:val="0"/>
                <w:sz w:val="20"/>
              </w:rPr>
              <w:t>交易因素</w:t>
            </w:r>
          </w:p>
        </w:tc>
        <w:tc>
          <w:tcPr>
            <w:tcW w:type="dxa" w:w="1020"/>
            <w:vAlign w:val="center"/>
          </w:tcPr>
          <w:p>
            <w:pPr>
              <w:spacing w:before="0" w:after="0" w:line="260" w:lineRule="exact"/>
              <w:ind w:firstLine="0" w:left="0" w:right="0"/>
              <w:jc w:val="center"/>
            </w:pPr>
            <w:r>
              <w:rPr>
                <w:rFonts w:ascii="仿宋_GB2312" w:hAnsi="仿宋_GB2312" w:eastAsia="仿宋_GB2312" w:cs="仿宋_GB2312"/>
                <w:b w:val="0"/>
                <w:sz w:val="20"/>
              </w:rPr>
            </w:r>
          </w:p>
        </w:tc>
        <w:tc>
          <w:tcPr>
            <w:tcW w:type="dxa" w:w="1247"/>
            <w:vAlign w:val="center"/>
          </w:tcPr>
          <w:p>
            <w:pPr>
              <w:spacing w:before="0" w:after="0" w:line="260" w:lineRule="exact"/>
              <w:ind w:firstLine="0" w:left="0" w:right="0"/>
              <w:jc w:val="center"/>
            </w:pPr>
            <w:r>
              <w:rPr>
                <w:rFonts w:ascii="仿宋_GB2312" w:hAnsi="仿宋_GB2312" w:eastAsia="仿宋_GB2312" w:cs="仿宋_GB2312"/>
                <w:b w:val="0"/>
                <w:sz w:val="20"/>
              </w:rPr>
              <w:t>土地用途</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20"/>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20"/>
              </w:rPr>
              <w:t>100</w:t>
            </w:r>
          </w:p>
        </w:tc>
      </w:tr>
    </w:tbl>
    <w:p w14:paraId="22F5FFFA">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在各因素条件指数的基础上进行比较实例各影响因素修正，将估价对象的因素条件指数，得到因素修正系数见下表。</w:t>
      </w:r>
    </w:p>
    <w:p w14:paraId="32953262">
      <w:pPr>
        <w:keepNext/>
        <w:spacing w:line="480" w:lineRule="exact" w:before="157" w:after="10"/>
        <w:ind w:left="0" w:right="0" w:firstLine="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表3-14 估价对象比较因素修正系数表</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417"/>
            <w:gridSpan w:val="3"/>
            <w:vAlign w:val="center"/>
          </w:tcPr>
          <w:p>
            <w:pPr>
              <w:spacing w:before="0" w:after="0" w:line="260" w:lineRule="exact"/>
              <w:ind w:left="0" w:right="0" w:firstLine="0"/>
              <w:jc w:val="center"/>
            </w:pPr>
            <w:r>
              <w:rPr>
                <w:rFonts w:ascii="仿宋_GB2312" w:hAnsi="仿宋_GB2312" w:eastAsia="仿宋_GB2312" w:cs="仿宋_GB2312"/>
                <w:b w:val="0"/>
                <w:sz w:val="20"/>
              </w:rPr>
              <w:t>待估宗地及比较实例/比较因素</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案例A</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案例B</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案例C</w:t>
            </w:r>
          </w:p>
        </w:tc>
      </w:tr>
      <w:tr>
        <w:trPr>
          <w:cantSplit/>
        </w:trPr>
        <w:tc>
          <w:tcPr>
            <w:tcW w:type="dxa" w:w="907"/>
            <w:vAlign w:val="center"/>
          </w:tcPr>
          <w:p>
            <w:pPr>
              <w:spacing w:before="0" w:after="0" w:line="260" w:lineRule="exact"/>
              <w:ind w:firstLine="0" w:left="0" w:right="0"/>
              <w:jc w:val="center"/>
            </w:pPr>
            <w:r>
              <w:rPr>
                <w:rFonts w:ascii="仿宋_GB2312" w:hAnsi="仿宋_GB2312" w:eastAsia="仿宋_GB2312" w:cs="仿宋_GB2312"/>
                <w:b w:val="0"/>
                <w:sz w:val="20"/>
              </w:rPr>
              <w:t>交易因素</w:t>
            </w:r>
          </w:p>
        </w:tc>
        <w:tc>
          <w:tcPr>
            <w:tcW w:type="dxa" w:w="1134"/>
            <w:vAlign w:val="center"/>
          </w:tcPr>
          <w:p>
            <w:pPr>
              <w:spacing w:before="0" w:after="0" w:line="260" w:lineRule="exact"/>
              <w:ind w:firstLine="0" w:left="0" w:right="0"/>
              <w:jc w:val="center"/>
            </w:pPr>
            <w:r>
              <w:rPr>
                <w:rFonts w:ascii="仿宋_GB2312" w:hAnsi="仿宋_GB2312" w:eastAsia="仿宋_GB2312" w:cs="仿宋_GB2312"/>
                <w:b w:val="0"/>
                <w:sz w:val="20"/>
              </w:rPr>
            </w:r>
          </w:p>
        </w:tc>
        <w:tc>
          <w:tcPr>
            <w:tcW w:type="dxa" w:w="1417"/>
            <w:vAlign w:val="center"/>
          </w:tcPr>
          <w:p>
            <w:pPr>
              <w:spacing w:before="0" w:after="0" w:line="260" w:lineRule="exact"/>
              <w:ind w:firstLine="0" w:left="0" w:right="0"/>
              <w:jc w:val="center"/>
            </w:pPr>
            <w:r>
              <w:rPr>
                <w:rFonts w:ascii="仿宋_GB2312" w:hAnsi="仿宋_GB2312" w:eastAsia="仿宋_GB2312" w:cs="仿宋_GB2312"/>
                <w:b w:val="0"/>
                <w:sz w:val="20"/>
              </w:rPr>
              <w:t>土地用途</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1.0000</w:t>
            </w:r>
          </w:p>
        </w:tc>
        <w:tc>
          <w:tcPr>
            <w:tcW w:type="dxa" w:w="1587"/>
            <w:vAlign w:val="center"/>
          </w:tcPr>
          <w:p>
            <w:pPr>
              <w:spacing w:before="0" w:after="0" w:line="260" w:lineRule="exact"/>
              <w:ind w:firstLine="0" w:left="0" w:right="0"/>
              <w:jc w:val="center"/>
            </w:pPr>
            <w:r>
              <w:rPr>
                <w:rFonts w:ascii="仿宋_GB2312" w:hAnsi="仿宋_GB2312" w:eastAsia="仿宋_GB2312" w:cs="仿宋_GB2312"/>
                <w:b w:val="0"/>
                <w:sz w:val="20"/>
              </w:rPr>
              <w:t>1.0000</w:t>
            </w:r>
          </w:p>
        </w:tc>
      </w:tr>
    </w:tbl>
    <w:p>
      <w:pPr>
        <w:spacing w:before="0" w:after="0" w:line="480" w:lineRule="exact"/>
        <w:ind w:firstLine="561"/>
      </w:pPr>
      <w:r>
        <w:rPr>
          <w:rFonts w:ascii="仿宋_GB2312" w:hAnsi="仿宋_GB2312" w:eastAsia="仿宋_GB2312" w:cs="仿宋_GB2312"/>
          <w:b w:val="0"/>
          <w:sz w:val="28"/>
        </w:rPr>
        <w:t>采用连乘法计算各比较实例的修正系数，并取三宗比准价格的算术平均值作为市场比较法测算结果。</w:t>
      </w:r>
    </w:p>
    <w:p>
      <w:pPr>
        <w:keepNext/>
        <w:spacing w:before="0" w:after="0" w:line="480" w:lineRule="exact"/>
        <w:ind w:firstLine="561"/>
      </w:pPr>
      <w:r>
        <w:rPr>
          <w:rFonts w:ascii="仿宋_GB2312" w:hAnsi="仿宋_GB2312" w:eastAsia="仿宋_GB2312" w:cs="仿宋_GB2312"/>
          <w:b/>
          <w:sz w:val="28"/>
        </w:rPr>
        <w:t>★收益还原法</w:t>
      </w:r>
    </w:p>
    <w:p>
      <w:pPr>
        <w:spacing w:before="0" w:after="0" w:line="480" w:lineRule="exact"/>
        <w:ind w:firstLine="561"/>
      </w:pPr>
      <w:r>
        <w:rPr>
          <w:rFonts w:ascii="仿宋_GB2312" w:hAnsi="仿宋_GB2312" w:eastAsia="仿宋_GB2312" w:cs="仿宋_GB2312"/>
          <w:b w:val="0"/>
          <w:sz w:val="28"/>
        </w:rPr>
        <w:t>收益还原法是在估算估价对象在未来每年预期纯收益（正常年纯收益）的基础上，以一定的土地还原率，将评估对象在未来每年的纯收益折算为估价期日收益总和的一种方法。</w:t>
      </w:r>
    </w:p>
    <w:p>
      <w:pPr>
        <w:spacing w:before="0" w:after="0" w:line="480" w:lineRule="exact"/>
        <w:ind w:firstLine="561"/>
      </w:pPr>
      <w:r>
        <w:rPr>
          <w:rFonts w:ascii="仿宋_GB2312" w:hAnsi="仿宋_GB2312" w:eastAsia="仿宋_GB2312" w:cs="仿宋_GB2312"/>
          <w:b w:val="0"/>
          <w:sz w:val="28"/>
        </w:rPr>
        <w:t>法定有限年期的土地使用权价格计算公式为：</w:t>
      </w:r>
    </w:p>
    <w:p>
      <w:pPr>
        <w:spacing w:before="0" w:after="0" w:line="480" w:lineRule="exact"/>
        <w:ind w:firstLine="561"/>
      </w:pPr>
      <w:r>
        <w:rPr>
          <w:rFonts w:ascii="仿宋_GB2312" w:hAnsi="仿宋_GB2312" w:eastAsia="仿宋_GB2312" w:cs="仿宋_GB2312"/>
          <w:b w:val="0"/>
          <w:sz w:val="28"/>
        </w:rPr>
        <w:t>P＝A/r×[1－1/（1＋r）^n]</w:t>
      </w:r>
    </w:p>
    <w:p>
      <w:pPr>
        <w:spacing w:before="0" w:after="0" w:line="480" w:lineRule="exact"/>
        <w:ind w:firstLine="561"/>
      </w:pPr>
      <w:r>
        <w:rPr>
          <w:rFonts w:ascii="仿宋_GB2312" w:hAnsi="仿宋_GB2312" w:eastAsia="仿宋_GB2312" w:cs="仿宋_GB2312"/>
          <w:b w:val="0"/>
          <w:sz w:val="28"/>
        </w:rPr>
        <w:t>式中：</w:t>
      </w:r>
    </w:p>
    <w:p>
      <w:pPr>
        <w:spacing w:before="0" w:after="0" w:line="480" w:lineRule="exact"/>
        <w:ind w:firstLine="561"/>
      </w:pPr>
      <w:r>
        <w:rPr>
          <w:rFonts w:ascii="仿宋_GB2312" w:hAnsi="仿宋_GB2312" w:eastAsia="仿宋_GB2312" w:cs="仿宋_GB2312"/>
          <w:b w:val="0"/>
          <w:sz w:val="28"/>
        </w:rPr>
        <w:t>P——土地价格；</w:t>
      </w:r>
    </w:p>
    <w:p>
      <w:pPr>
        <w:spacing w:before="0" w:after="0" w:line="480" w:lineRule="exact"/>
        <w:ind w:firstLine="561"/>
      </w:pPr>
      <w:r>
        <w:rPr>
          <w:rFonts w:ascii="仿宋_GB2312" w:hAnsi="仿宋_GB2312" w:eastAsia="仿宋_GB2312" w:cs="仿宋_GB2312"/>
          <w:b w:val="0"/>
          <w:sz w:val="28"/>
        </w:rPr>
        <w:t>A——土地年纯收益；</w:t>
      </w:r>
    </w:p>
    <w:p>
      <w:pPr>
        <w:spacing w:before="0" w:after="0" w:line="480" w:lineRule="exact"/>
        <w:ind w:firstLine="561"/>
      </w:pPr>
      <w:r>
        <w:rPr>
          <w:rFonts w:ascii="仿宋_GB2312" w:hAnsi="仿宋_GB2312" w:eastAsia="仿宋_GB2312" w:cs="仿宋_GB2312"/>
          <w:b w:val="0"/>
          <w:sz w:val="28"/>
        </w:rPr>
        <w:t>r——土地还原利率；</w:t>
      </w:r>
    </w:p>
    <w:p>
      <w:pPr>
        <w:spacing w:before="0" w:after="0" w:line="480" w:lineRule="exact"/>
        <w:ind w:firstLine="561"/>
      </w:pPr>
      <w:r>
        <w:rPr>
          <w:rFonts w:ascii="仿宋_GB2312" w:hAnsi="仿宋_GB2312" w:eastAsia="仿宋_GB2312" w:cs="仿宋_GB2312"/>
          <w:b w:val="0"/>
          <w:sz w:val="28"/>
        </w:rPr>
        <w:t>n——使用土地的年期或有土地收益的年期。</w:t>
      </w:r>
    </w:p>
    <w:p>
      <w:pPr>
        <w:spacing w:before="0" w:after="0" w:line="480" w:lineRule="exact"/>
        <w:ind w:firstLine="561"/>
      </w:pPr>
      <w:r>
        <w:rPr>
          <w:rFonts w:ascii="仿宋_GB2312" w:hAnsi="仿宋_GB2312" w:eastAsia="仿宋_GB2312" w:cs="仿宋_GB2312"/>
          <w:b w:val="0"/>
          <w:sz w:val="28"/>
        </w:rPr>
        <w:t>具体测算思路是：</w:t>
      </w:r>
    </w:p>
    <w:p>
      <w:pPr>
        <w:spacing w:before="0" w:after="0" w:line="480" w:lineRule="exact"/>
        <w:ind w:firstLine="561"/>
      </w:pPr>
      <w:r>
        <w:rPr>
          <w:rFonts w:ascii="仿宋_GB2312" w:hAnsi="仿宋_GB2312" w:eastAsia="仿宋_GB2312" w:cs="仿宋_GB2312"/>
          <w:b w:val="0"/>
          <w:sz w:val="28"/>
        </w:rPr>
        <w:t>A、房地年总收益＝房地年租金＝月租金×12×收益总面积×出租率×有效使用面积比率。</w:t>
      </w:r>
    </w:p>
    <w:p>
      <w:pPr>
        <w:spacing w:before="0" w:after="0" w:line="480" w:lineRule="exact"/>
        <w:ind w:firstLine="561"/>
      </w:pPr>
      <w:r>
        <w:rPr>
          <w:rFonts w:ascii="仿宋_GB2312" w:hAnsi="仿宋_GB2312" w:eastAsia="仿宋_GB2312" w:cs="仿宋_GB2312"/>
          <w:b w:val="0"/>
          <w:sz w:val="28"/>
        </w:rPr>
        <w:t>B、房地出租年总费用＝维修费+管理费+保险费+税金。</w:t>
      </w:r>
    </w:p>
    <w:p>
      <w:pPr>
        <w:spacing w:before="0" w:after="0" w:line="480" w:lineRule="exact"/>
        <w:ind w:firstLine="561"/>
      </w:pPr>
      <w:r>
        <w:rPr>
          <w:rFonts w:ascii="仿宋_GB2312" w:hAnsi="仿宋_GB2312" w:eastAsia="仿宋_GB2312" w:cs="仿宋_GB2312"/>
          <w:b w:val="0"/>
          <w:sz w:val="28"/>
        </w:rPr>
        <w:t>C、房地年纯收益＝房地年总收益-房地出租年总费用。</w:t>
      </w:r>
    </w:p>
    <w:p>
      <w:pPr>
        <w:spacing w:before="0" w:after="0" w:line="480" w:lineRule="exact"/>
        <w:ind w:firstLine="561"/>
      </w:pPr>
      <w:r>
        <w:rPr>
          <w:rFonts w:ascii="仿宋_GB2312" w:hAnsi="仿宋_GB2312" w:eastAsia="仿宋_GB2312" w:cs="仿宋_GB2312"/>
          <w:b w:val="0"/>
          <w:sz w:val="28"/>
        </w:rPr>
        <w:t>D、房屋年纯收益＝房屋现值×房屋还原率。</w:t>
      </w:r>
    </w:p>
    <w:p>
      <w:pPr>
        <w:spacing w:before="0" w:after="0" w:line="480" w:lineRule="exact"/>
        <w:ind w:firstLine="561"/>
      </w:pPr>
      <w:r>
        <w:rPr>
          <w:rFonts w:ascii="仿宋_GB2312" w:hAnsi="仿宋_GB2312" w:eastAsia="仿宋_GB2312" w:cs="仿宋_GB2312"/>
          <w:b w:val="0"/>
          <w:sz w:val="28"/>
        </w:rPr>
        <w:t>房屋现值＝重置价-折旧总额＝重置成本-年折旧费×已使用年限。</w:t>
      </w:r>
    </w:p>
    <w:p>
      <w:pPr>
        <w:spacing w:before="0" w:after="0" w:line="480" w:lineRule="exact"/>
        <w:ind w:firstLine="561"/>
      </w:pPr>
      <w:r>
        <w:rPr>
          <w:rFonts w:ascii="仿宋_GB2312" w:hAnsi="仿宋_GB2312" w:eastAsia="仿宋_GB2312" w:cs="仿宋_GB2312"/>
          <w:b w:val="0"/>
          <w:sz w:val="28"/>
        </w:rPr>
        <w:t>E、土地年纯收益＝房地年纯收益-房屋年纯收益。</w:t>
      </w:r>
    </w:p>
    <w:p>
      <w:pPr>
        <w:spacing w:before="0" w:after="0" w:line="480" w:lineRule="exact"/>
        <w:ind w:firstLine="561"/>
      </w:pPr>
      <w:r>
        <w:rPr>
          <w:rFonts w:ascii="仿宋_GB2312" w:hAnsi="仿宋_GB2312" w:eastAsia="仿宋_GB2312" w:cs="仿宋_GB2312"/>
          <w:b w:val="0"/>
          <w:sz w:val="28"/>
        </w:rPr>
        <w:t>F、总地价＝土地年纯收益÷r×[1-1/（1+r）^n]。</w:t>
      </w:r>
    </w:p>
    <w:p>
      <w:pPr>
        <w:spacing w:before="0" w:after="0" w:line="480" w:lineRule="exact"/>
        <w:ind w:firstLine="561"/>
      </w:pPr>
      <w:r>
        <w:rPr>
          <w:rFonts w:ascii="仿宋_GB2312" w:hAnsi="仿宋_GB2312" w:eastAsia="仿宋_GB2312" w:cs="仿宋_GB2312"/>
          <w:b w:val="0"/>
          <w:sz w:val="28"/>
        </w:rPr>
        <w:t>G、单位面积地价＝总地价÷总用地面积。</w:t>
      </w:r>
    </w:p>
    <w:p>
      <w:pPr>
        <w:spacing w:before="0" w:after="0" w:line="480" w:lineRule="exact"/>
        <w:ind w:firstLine="561"/>
      </w:pPr>
      <w:r>
        <w:rPr>
          <w:rFonts w:ascii="仿宋_GB2312" w:hAnsi="仿宋_GB2312" w:eastAsia="仿宋_GB2312" w:cs="仿宋_GB2312"/>
          <w:b w:val="0"/>
          <w:sz w:val="28"/>
        </w:rPr>
        <w:t>收益还原法评估过程：</w:t>
      </w:r>
    </w:p>
    <w:p>
      <w:pPr>
        <w:spacing w:before="0" w:after="0" w:line="480" w:lineRule="exact"/>
        <w:ind w:firstLine="561"/>
      </w:pPr>
      <w:r>
        <w:rPr>
          <w:rFonts w:ascii="仿宋_GB2312" w:hAnsi="仿宋_GB2312" w:eastAsia="仿宋_GB2312" w:cs="仿宋_GB2312"/>
          <w:b w:val="0"/>
          <w:sz w:val="28"/>
        </w:rPr>
        <w:t>1、确定房地年总收益</w:t>
      </w:r>
    </w:p>
    <w:p>
      <w:pPr>
        <w:spacing w:before="0" w:after="0" w:line="480" w:lineRule="exact"/>
        <w:ind w:firstLine="561"/>
      </w:pPr>
      <w:r>
        <w:rPr>
          <w:rFonts w:ascii="仿宋_GB2312" w:hAnsi="仿宋_GB2312" w:eastAsia="仿宋_GB2312" w:cs="仿宋_GB2312"/>
          <w:b w:val="0"/>
          <w:sz w:val="28"/>
        </w:rPr>
        <w:t>根据受托估价人员现场勘察，估价对象位于道江镇濂溪山庄宝珍街南六栋九号，所在宗地上有独栋建筑物，总层数为4层，业主房屋所在层数为1-4层，建成年份为1998年，建筑物为混合结构，不锈钢及木质入户门，塑钢窗户，铁艺防盗网，外墙双飞粉，屋内地贴瓷砖，顶棚木质装饰吊顶，简单装修，维护保养状况一般，约七成新，房屋整体经济耐用年限为50年，已使用28年，剩余使用年限为22年。根据委托方提供的估价对象《不动产测绘报告书》、《宗地图》，估价对象建筑面积为205.45平方米，分摊土地使用权面积50平方米。根据《评估委托书》委托方拟按估价对象现状使用条件进行出让，则估价对象现状容积率为4.11。根据估价目的，本次评估设定土地容积率为4.11。</w:t>
      </w:r>
    </w:p>
    <w:p>
      <w:pPr>
        <w:spacing w:before="0" w:after="0" w:line="480" w:lineRule="exact"/>
        <w:ind w:firstLine="561"/>
      </w:pPr>
      <w:r>
        <w:rPr>
          <w:rFonts w:ascii="仿宋_GB2312" w:hAnsi="仿宋_GB2312" w:eastAsia="仿宋_GB2312" w:cs="仿宋_GB2312"/>
          <w:b w:val="0"/>
          <w:sz w:val="28"/>
        </w:rPr>
        <w:t>①月租金的确定</w:t>
      </w:r>
    </w:p>
    <w:p>
      <w:pPr>
        <w:spacing w:before="0" w:after="0" w:line="480" w:lineRule="exact"/>
        <w:ind w:firstLine="561"/>
      </w:pPr>
      <w:r>
        <w:rPr>
          <w:rFonts w:ascii="仿宋_GB2312" w:hAnsi="仿宋_GB2312" w:eastAsia="仿宋_GB2312" w:cs="仿宋_GB2312"/>
          <w:b w:val="0"/>
          <w:sz w:val="28"/>
        </w:rPr>
        <w:t>调查估价对象所处区域与估价对象条件相当的用于出租的住宅物业租金水平，确定估价对象房地产出租的总收益。经估价人员调查与估价对象在同一供需圈内的类似物业情况，选取了三个具有普遍性的物业的租金水平作为比较实例：</w:t>
      </w:r>
    </w:p>
    <w:p>
      <w:pPr>
        <w:spacing w:before="0" w:after="0" w:line="480" w:lineRule="exact"/>
        <w:ind w:firstLine="561"/>
      </w:pPr>
      <w:r>
        <w:rPr>
          <w:rFonts w:ascii="仿宋_GB2312" w:hAnsi="仿宋_GB2312" w:eastAsia="仿宋_GB2312" w:cs="仿宋_GB2312"/>
          <w:b w:val="0"/>
          <w:sz w:val="28"/>
        </w:rPr>
        <w:t>实例A：金欧雅陶瓷(道州中路店)楼上住宅，位于道州中路466号爱莲商业广场，商服繁华度优，水电等基础设施综合保证率≥95%，区域内公交便捷度优，道路通达度通畅，环境质量好，公共设施齐全，临主干道，砖混，建筑物内部结构合理，房屋七成新，通风采光条件好，简单装修，基本满足停车需求，无物业管理，于2026年6月住宅平均租金为11.4元/平方米·月。</w:t>
      </w:r>
    </w:p>
    <w:p>
      <w:pPr>
        <w:spacing w:before="0" w:after="0" w:line="480" w:lineRule="exact"/>
        <w:ind w:firstLine="561"/>
      </w:pPr>
      <w:r>
        <w:rPr>
          <w:rFonts w:ascii="仿宋_GB2312" w:hAnsi="仿宋_GB2312" w:eastAsia="仿宋_GB2312" w:cs="仿宋_GB2312"/>
          <w:b w:val="0"/>
          <w:sz w:val="28"/>
        </w:rPr>
        <w:t>实例B：道州锁城楼上住宅，位于道州中路466号爱莲商业广场，商服繁华度优，水电等基础设施综合保证率≥95%，区域内公交便捷度优，道路通达度通畅，环境质量好，公共设施齐全，临主干道，砖混，建筑物内部结构合理，房屋七成新，通风采光条件好，简单装修，基本满足停车需求，无物业管理，于2026年6月住宅平均租金为11.4元/平方米·月。</w:t>
      </w:r>
    </w:p>
    <w:p>
      <w:pPr>
        <w:spacing w:before="0" w:after="0" w:line="480" w:lineRule="exact"/>
        <w:ind w:firstLine="561"/>
      </w:pPr>
      <w:r>
        <w:rPr>
          <w:rFonts w:ascii="仿宋_GB2312" w:hAnsi="仿宋_GB2312" w:eastAsia="仿宋_GB2312" w:cs="仿宋_GB2312"/>
          <w:b w:val="0"/>
          <w:sz w:val="28"/>
        </w:rPr>
        <w:t>实例C：倩倩便利店(道州中路店)楼上住宅，位于道县道州中路397号，商服繁华度优，水电等基础设施综合保证率≥95%，区域内公交便捷度优，道路通达度通畅，环境质量好，公共设施齐全，临主干道，砖混，建筑物内部结构合理，房屋七成新，通风采光条件好，简单装修，基本满足停车需求，无物业管理，于2026年6月住宅平均租金为11.5元/平方米·月。</w:t>
      </w:r>
    </w:p>
    <w:p>
      <w:pPr>
        <w:keepNext/>
        <w:spacing w:before="157" w:after="10" w:line="480" w:lineRule="exact"/>
        <w:ind w:left="0" w:right="0" w:firstLine="0"/>
        <w:jc w:val="center"/>
      </w:pPr>
      <w:r>
        <w:rPr>
          <w:rFonts w:ascii="仿宋_GB2312" w:hAnsi="仿宋_GB2312" w:eastAsia="仿宋_GB2312" w:cs="仿宋_GB2312"/>
          <w:b w:val="0"/>
          <w:sz w:val="28"/>
        </w:rPr>
        <w:t>租金比较实例照片及位置表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3"/>
        <w:gridCol w:w="4153"/>
      </w:tblGrid>
      <w:tr>
        <w:trPr>
          <w:tblHeader w:val="1"/>
          <w:cantSplit/>
        </w:trPr>
        <w:tc>
          <w:tcPr>
            <w:tcW w:type="dxa" w:w="4422"/>
            <w:vAlign w:val="center"/>
          </w:tcPr>
          <w:p>
            <w:pPr>
              <w:spacing w:before="0" w:after="0"/>
              <w:ind w:firstLine="0" w:left="0" w:right="0"/>
              <w:jc w:val="center"/>
            </w:pPr>
            <w:r>
              <w:rPr>
                <w:rFonts w:ascii="仿宋_GB2312" w:hAnsi="仿宋_GB2312" w:eastAsia="仿宋_GB2312" w:cs="仿宋_GB2312"/>
                <w:b w:val="0"/>
                <w:sz w:val="21"/>
              </w:rPr>
              <w:drawing>
                <wp:inline xmlns:a="http://schemas.openxmlformats.org/drawingml/2006/main" xmlns:pic="http://schemas.openxmlformats.org/drawingml/2006/picture">
                  <wp:extent cx="1655999" cy="1655999"/>
                  <wp:docPr id="68" name="Picture 68"/>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655999" cy="1655999"/>
                          </a:xfrm>
                          <a:prstGeom prst="rect"/>
                        </pic:spPr>
                      </pic:pic>
                    </a:graphicData>
                  </a:graphic>
                </wp:inline>
              </w:drawing>
            </w:r>
            <w:r>
              <w:rPr>
                <w:rFonts w:ascii="仿宋_GB2312" w:hAnsi="仿宋_GB2312" w:eastAsia="仿宋_GB2312" w:cs="仿宋_GB2312"/>
                <w:b w:val="0"/>
                <w:sz w:val="21"/>
              </w:rPr>
              <w:br/>
              <w:t>实例A照片</w:t>
            </w:r>
          </w:p>
        </w:tc>
        <w:tc>
          <w:tcPr>
            <w:tcW w:type="dxa" w:w="4422"/>
            <w:vAlign w:val="center"/>
          </w:tcPr>
          <w:p>
            <w:pPr>
              <w:spacing w:before="0" w:after="0"/>
              <w:ind w:firstLine="0" w:left="0" w:right="0"/>
              <w:jc w:val="center"/>
            </w:pPr>
            <w:r>
              <w:rPr>
                <w:rFonts w:ascii="仿宋_GB2312" w:hAnsi="仿宋_GB2312" w:eastAsia="仿宋_GB2312" w:cs="仿宋_GB2312"/>
                <w:b w:val="0"/>
                <w:sz w:val="21"/>
              </w:rPr>
              <w:drawing>
                <wp:inline xmlns:a="http://schemas.openxmlformats.org/drawingml/2006/main" xmlns:pic="http://schemas.openxmlformats.org/drawingml/2006/picture">
                  <wp:extent cx="1655999" cy="1655999"/>
                  <wp:docPr id="69" name="Picture 69"/>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655999" cy="1655999"/>
                          </a:xfrm>
                          <a:prstGeom prst="rect"/>
                        </pic:spPr>
                      </pic:pic>
                    </a:graphicData>
                  </a:graphic>
                </wp:inline>
              </w:drawing>
            </w:r>
            <w:r>
              <w:rPr>
                <w:rFonts w:ascii="仿宋_GB2312" w:hAnsi="仿宋_GB2312" w:eastAsia="仿宋_GB2312" w:cs="仿宋_GB2312"/>
                <w:b w:val="0"/>
                <w:sz w:val="21"/>
              </w:rPr>
              <w:br/>
              <w:t>实例A位置</w:t>
            </w:r>
          </w:p>
        </w:tc>
      </w:tr>
      <w:tr>
        <w:trPr>
          <w:cantSplit/>
        </w:trPr>
        <w:tc>
          <w:tcPr>
            <w:tcW w:type="dxa" w:w="4422"/>
            <w:vAlign w:val="center"/>
          </w:tcPr>
          <w:p>
            <w:pPr>
              <w:spacing w:before="0" w:after="0"/>
              <w:ind w:firstLine="0" w:left="0" w:right="0"/>
              <w:jc w:val="center"/>
            </w:pPr>
            <w:r>
              <w:rPr>
                <w:rFonts w:ascii="仿宋_GB2312" w:hAnsi="仿宋_GB2312" w:eastAsia="仿宋_GB2312" w:cs="仿宋_GB2312"/>
                <w:b w:val="0"/>
                <w:sz w:val="21"/>
              </w:rPr>
              <w:drawing>
                <wp:inline xmlns:a="http://schemas.openxmlformats.org/drawingml/2006/main" xmlns:pic="http://schemas.openxmlformats.org/drawingml/2006/picture">
                  <wp:extent cx="1655999" cy="1655999"/>
                  <wp:docPr id="70" name="Picture 7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655999" cy="1655999"/>
                          </a:xfrm>
                          <a:prstGeom prst="rect"/>
                        </pic:spPr>
                      </pic:pic>
                    </a:graphicData>
                  </a:graphic>
                </wp:inline>
              </w:drawing>
            </w:r>
            <w:r>
              <w:rPr>
                <w:rFonts w:ascii="仿宋_GB2312" w:hAnsi="仿宋_GB2312" w:eastAsia="仿宋_GB2312" w:cs="仿宋_GB2312"/>
                <w:b w:val="0"/>
                <w:sz w:val="21"/>
              </w:rPr>
              <w:br/>
              <w:t>实例B照片</w:t>
            </w:r>
          </w:p>
        </w:tc>
        <w:tc>
          <w:tcPr>
            <w:tcW w:type="dxa" w:w="4422"/>
            <w:vAlign w:val="center"/>
          </w:tcPr>
          <w:p>
            <w:pPr>
              <w:spacing w:before="0" w:after="0"/>
              <w:ind w:firstLine="0" w:left="0" w:right="0"/>
              <w:jc w:val="center"/>
            </w:pPr>
            <w:r>
              <w:rPr>
                <w:rFonts w:ascii="仿宋_GB2312" w:hAnsi="仿宋_GB2312" w:eastAsia="仿宋_GB2312" w:cs="仿宋_GB2312"/>
                <w:b w:val="0"/>
                <w:sz w:val="21"/>
              </w:rPr>
              <w:drawing>
                <wp:inline xmlns:a="http://schemas.openxmlformats.org/drawingml/2006/main" xmlns:pic="http://schemas.openxmlformats.org/drawingml/2006/picture">
                  <wp:extent cx="1655999" cy="1655999"/>
                  <wp:docPr id="71" name="Picture 71"/>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655999" cy="1655999"/>
                          </a:xfrm>
                          <a:prstGeom prst="rect"/>
                        </pic:spPr>
                      </pic:pic>
                    </a:graphicData>
                  </a:graphic>
                </wp:inline>
              </w:drawing>
            </w:r>
            <w:r>
              <w:rPr>
                <w:rFonts w:ascii="仿宋_GB2312" w:hAnsi="仿宋_GB2312" w:eastAsia="仿宋_GB2312" w:cs="仿宋_GB2312"/>
                <w:b w:val="0"/>
                <w:sz w:val="21"/>
              </w:rPr>
              <w:br/>
              <w:t>实例B位置</w:t>
            </w:r>
          </w:p>
        </w:tc>
      </w:tr>
      <w:tr>
        <w:trPr>
          <w:cantSplit/>
        </w:trPr>
        <w:tc>
          <w:tcPr>
            <w:tcW w:type="dxa" w:w="4422"/>
            <w:vAlign w:val="center"/>
          </w:tcPr>
          <w:p>
            <w:pPr>
              <w:spacing w:before="0" w:after="0"/>
              <w:ind w:firstLine="0" w:left="0" w:right="0"/>
              <w:jc w:val="center"/>
            </w:pPr>
            <w:r>
              <w:rPr>
                <w:rFonts w:ascii="仿宋_GB2312" w:hAnsi="仿宋_GB2312" w:eastAsia="仿宋_GB2312" w:cs="仿宋_GB2312"/>
                <w:b w:val="0"/>
                <w:sz w:val="21"/>
              </w:rPr>
              <w:drawing>
                <wp:inline xmlns:a="http://schemas.openxmlformats.org/drawingml/2006/main" xmlns:pic="http://schemas.openxmlformats.org/drawingml/2006/picture">
                  <wp:extent cx="1655999" cy="1655999"/>
                  <wp:docPr id="72" name="Picture 72"/>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655999" cy="1655999"/>
                          </a:xfrm>
                          <a:prstGeom prst="rect"/>
                        </pic:spPr>
                      </pic:pic>
                    </a:graphicData>
                  </a:graphic>
                </wp:inline>
              </w:drawing>
            </w:r>
            <w:r>
              <w:rPr>
                <w:rFonts w:ascii="仿宋_GB2312" w:hAnsi="仿宋_GB2312" w:eastAsia="仿宋_GB2312" w:cs="仿宋_GB2312"/>
                <w:b w:val="0"/>
                <w:sz w:val="21"/>
              </w:rPr>
              <w:br/>
              <w:t>实例C照片</w:t>
            </w:r>
          </w:p>
        </w:tc>
        <w:tc>
          <w:tcPr>
            <w:tcW w:type="dxa" w:w="4422"/>
            <w:vAlign w:val="center"/>
          </w:tcPr>
          <w:p>
            <w:pPr>
              <w:spacing w:before="0" w:after="0"/>
              <w:ind w:firstLine="0" w:left="0" w:right="0"/>
              <w:jc w:val="center"/>
            </w:pPr>
            <w:r>
              <w:rPr>
                <w:rFonts w:ascii="仿宋_GB2312" w:hAnsi="仿宋_GB2312" w:eastAsia="仿宋_GB2312" w:cs="仿宋_GB2312"/>
                <w:b w:val="0"/>
                <w:sz w:val="21"/>
              </w:rPr>
              <w:drawing>
                <wp:inline xmlns:a="http://schemas.openxmlformats.org/drawingml/2006/main" xmlns:pic="http://schemas.openxmlformats.org/drawingml/2006/picture">
                  <wp:extent cx="1655999" cy="1655999"/>
                  <wp:docPr id="73" name="Picture 73"/>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655999" cy="1655999"/>
                          </a:xfrm>
                          <a:prstGeom prst="rect"/>
                        </pic:spPr>
                      </pic:pic>
                    </a:graphicData>
                  </a:graphic>
                </wp:inline>
              </w:drawing>
            </w:r>
            <w:r>
              <w:rPr>
                <w:rFonts w:ascii="仿宋_GB2312" w:hAnsi="仿宋_GB2312" w:eastAsia="仿宋_GB2312" w:cs="仿宋_GB2312"/>
                <w:b w:val="0"/>
                <w:sz w:val="21"/>
              </w:rPr>
              <w:br/>
              <w:t>实例C位置</w:t>
            </w:r>
          </w:p>
        </w:tc>
      </w:tr>
    </w:tbl>
    <w:p>
      <w:pPr>
        <w:spacing w:before="0" w:after="0" w:line="480" w:lineRule="exact"/>
        <w:ind w:firstLine="561"/>
      </w:pPr>
      <w:r>
        <w:rPr>
          <w:rFonts w:ascii="仿宋_GB2312" w:hAnsi="仿宋_GB2312" w:eastAsia="仿宋_GB2312" w:cs="仿宋_GB2312"/>
          <w:b w:val="0"/>
          <w:sz w:val="28"/>
        </w:rPr>
        <w:t>②编制租金案例比较因素表</w:t>
      </w:r>
    </w:p>
    <w:p>
      <w:pPr>
        <w:spacing w:before="0" w:after="0" w:line="480" w:lineRule="exact"/>
        <w:ind w:firstLine="561"/>
      </w:pPr>
      <w:r>
        <w:rPr>
          <w:rFonts w:ascii="仿宋_GB2312" w:hAnsi="仿宋_GB2312" w:eastAsia="仿宋_GB2312" w:cs="仿宋_GB2312"/>
          <w:b w:val="0"/>
          <w:sz w:val="28"/>
        </w:rPr>
        <w:t>结合影响房屋租金的主要因素，以估价对象因素为100进行租金修正，估价对象与实例比较因素情况详见下表。</w:t>
      </w:r>
    </w:p>
    <w:p>
      <w:pPr>
        <w:keepNext/>
        <w:spacing w:before="157" w:after="10" w:line="480" w:lineRule="exact"/>
        <w:ind w:left="0" w:right="0" w:firstLine="0"/>
        <w:jc w:val="center"/>
      </w:pPr>
      <w:r>
        <w:rPr>
          <w:rFonts w:ascii="仿宋_GB2312" w:hAnsi="仿宋_GB2312" w:eastAsia="仿宋_GB2312" w:cs="仿宋_GB2312"/>
          <w:b w:val="0"/>
          <w:sz w:val="28"/>
        </w:rPr>
        <w:t>表3-13 比较因素条件说明表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1"/>
        <w:gridCol w:w="1661"/>
        <w:gridCol w:w="1661"/>
        <w:gridCol w:w="1661"/>
        <w:gridCol w:w="1661"/>
      </w:tblGrid>
      <w:tr>
        <w:trPr>
          <w:tblHeader w:val="1"/>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估价对象及比较实例/比较因素</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估价对象</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案例A</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案例B</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案例C</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位置</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道江镇濂溪山庄宝珍街南六栋九号</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道州中路466号爱莲商业广场</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道州中路466号爱莲商业广场</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道县道州中路397号</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住宅租金(元/m2·月)</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待估</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11.4</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11.4</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11.5</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用途</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住宅用地</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住宅</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住宅</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住宅</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交易时间</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2026.06</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2026.06</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2026.06</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2026.06</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交易情况</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正常交易</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正常交易</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正常交易</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正常交易</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商服繁华度</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优</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优</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优</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优</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公交便捷度</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优</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优</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优</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优</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道路通达度</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较优</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通畅</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通畅</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通畅</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水电等基础设施综合保证率</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≥95%</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≥95%</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≥95%</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≥95%</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环境质量</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好</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好</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好</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好</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区域公共设施状况</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齐全</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齐全</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齐全</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齐全</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所临道路类型</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临主干道</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临主干道</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临主干道</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临主干道</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通风采光</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好</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好</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好</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好</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房屋成新度</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七成新</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七成新</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七成新</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七成新</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建筑物结构</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砖混</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砖混</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砖混</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砖混</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建筑物内部格局</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合理</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合理</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合理</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合理</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装修档次</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简单装修</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简单装修</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简单装修</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简单装修</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停车情况</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基本满足停车需求</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基本满足停车需求</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基本满足停车需求</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基本满足停车需求</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物业情况</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无物业管理</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无物业管理</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无物业管理</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无物业管理</w:t>
            </w:r>
          </w:p>
        </w:tc>
      </w:tr>
    </w:tbl>
    <w:p>
      <w:pPr>
        <w:spacing w:before="0" w:after="0" w:line="480" w:lineRule="exact"/>
        <w:ind w:firstLine="561"/>
      </w:pPr>
      <w:r>
        <w:rPr>
          <w:rFonts w:ascii="仿宋_GB2312" w:hAnsi="仿宋_GB2312" w:eastAsia="仿宋_GB2312" w:cs="仿宋_GB2312"/>
          <w:b w:val="0"/>
          <w:sz w:val="28"/>
        </w:rPr>
        <w:t>租金的比较因素修正说明：</w:t>
      </w:r>
    </w:p>
    <w:p>
      <w:pPr>
        <w:spacing w:before="0" w:after="0" w:line="480" w:lineRule="exact"/>
        <w:ind w:firstLine="561"/>
      </w:pPr>
      <w:r>
        <w:rPr>
          <w:rFonts w:ascii="仿宋_GB2312" w:hAnsi="仿宋_GB2312" w:eastAsia="仿宋_GB2312" w:cs="仿宋_GB2312"/>
          <w:b w:val="0"/>
          <w:sz w:val="28"/>
        </w:rPr>
        <w:t>A、用途修正：以估价对象条件指数100为基准，案例A为101.968，案例B为101.968，案例C为102.041，案例A修正系数为100/101.968=0.9807，案例B修正系数为100/101.968=0.9807，案例C修正系数为100/102.041=0.9800；</w:t>
      </w:r>
    </w:p>
    <w:p>
      <w:pPr>
        <w:spacing w:before="0" w:after="0" w:line="480" w:lineRule="exact"/>
        <w:ind w:firstLine="561"/>
      </w:pPr>
      <w:r>
        <w:rPr>
          <w:rFonts w:ascii="仿宋_GB2312" w:hAnsi="仿宋_GB2312" w:eastAsia="仿宋_GB2312" w:cs="仿宋_GB2312"/>
          <w:b w:val="0"/>
          <w:sz w:val="28"/>
        </w:rPr>
        <w:t>B、交易时间修正：估价对象与三个比较案例交易时间相同或相当，条件指数均为100，因此无需修正；</w:t>
      </w:r>
    </w:p>
    <w:p>
      <w:pPr>
        <w:spacing w:before="0" w:after="0" w:line="480" w:lineRule="exact"/>
        <w:ind w:firstLine="561"/>
      </w:pPr>
      <w:r>
        <w:rPr>
          <w:rFonts w:ascii="仿宋_GB2312" w:hAnsi="仿宋_GB2312" w:eastAsia="仿宋_GB2312" w:cs="仿宋_GB2312"/>
          <w:b w:val="0"/>
          <w:sz w:val="28"/>
        </w:rPr>
        <w:t>C、交易情况修正：估价对象与三个比较案例交易情况相同或相当，条件指数均为100，因此无需修正；</w:t>
      </w:r>
    </w:p>
    <w:p>
      <w:pPr>
        <w:spacing w:before="0" w:after="0" w:line="480" w:lineRule="exact"/>
        <w:ind w:firstLine="561"/>
      </w:pPr>
      <w:r>
        <w:rPr>
          <w:rFonts w:ascii="仿宋_GB2312" w:hAnsi="仿宋_GB2312" w:eastAsia="仿宋_GB2312" w:cs="仿宋_GB2312"/>
          <w:b w:val="0"/>
          <w:sz w:val="28"/>
        </w:rPr>
        <w:t>D、区域因素修正</w:t>
      </w:r>
    </w:p>
    <w:p>
      <w:pPr>
        <w:spacing w:before="0" w:after="0" w:line="480" w:lineRule="exact"/>
        <w:ind w:firstLine="561"/>
      </w:pPr>
      <w:r>
        <w:rPr>
          <w:rFonts w:ascii="仿宋_GB2312" w:hAnsi="仿宋_GB2312" w:eastAsia="仿宋_GB2312" w:cs="仿宋_GB2312"/>
          <w:b w:val="0"/>
          <w:sz w:val="28"/>
        </w:rPr>
        <w:t>a、商服繁华度：估价对象与三个比较案例商服繁华度相同或相当，条件指数均为100，因此无需修正；</w:t>
      </w:r>
    </w:p>
    <w:p>
      <w:pPr>
        <w:spacing w:before="0" w:after="0" w:line="480" w:lineRule="exact"/>
        <w:ind w:firstLine="561"/>
      </w:pPr>
      <w:r>
        <w:rPr>
          <w:rFonts w:ascii="仿宋_GB2312" w:hAnsi="仿宋_GB2312" w:eastAsia="仿宋_GB2312" w:cs="仿宋_GB2312"/>
          <w:b w:val="0"/>
          <w:sz w:val="28"/>
        </w:rPr>
        <w:t>b、公交便捷度：估价对象与三个比较案例公交便捷度相同或相当，条件指数均为100，因此无需修正；</w:t>
      </w:r>
    </w:p>
    <w:p>
      <w:pPr>
        <w:spacing w:before="0" w:after="0" w:line="480" w:lineRule="exact"/>
        <w:ind w:firstLine="561"/>
      </w:pPr>
      <w:r>
        <w:rPr>
          <w:rFonts w:ascii="仿宋_GB2312" w:hAnsi="仿宋_GB2312" w:eastAsia="仿宋_GB2312" w:cs="仿宋_GB2312"/>
          <w:b w:val="0"/>
          <w:sz w:val="28"/>
        </w:rPr>
        <w:t>c、道路通达度：估价对象与三个比较案例道路通达度相同或相当，条件指数均为100，因此无需修正；</w:t>
      </w:r>
    </w:p>
    <w:p>
      <w:pPr>
        <w:spacing w:before="0" w:after="0" w:line="480" w:lineRule="exact"/>
        <w:ind w:firstLine="561"/>
      </w:pPr>
      <w:r>
        <w:rPr>
          <w:rFonts w:ascii="仿宋_GB2312" w:hAnsi="仿宋_GB2312" w:eastAsia="仿宋_GB2312" w:cs="仿宋_GB2312"/>
          <w:b w:val="0"/>
          <w:sz w:val="28"/>
        </w:rPr>
        <w:t>d、水电等基础设施综合保证率：估价对象与三个比较案例水电等基础设施综合保证率相同或相当，条件指数均为100，因此无需修正；</w:t>
      </w:r>
    </w:p>
    <w:p>
      <w:pPr>
        <w:spacing w:before="0" w:after="0" w:line="480" w:lineRule="exact"/>
        <w:ind w:firstLine="561"/>
      </w:pPr>
      <w:r>
        <w:rPr>
          <w:rFonts w:ascii="仿宋_GB2312" w:hAnsi="仿宋_GB2312" w:eastAsia="仿宋_GB2312" w:cs="仿宋_GB2312"/>
          <w:b w:val="0"/>
          <w:sz w:val="28"/>
        </w:rPr>
        <w:t>e、环境质量：估价对象与三个比较案例环境质量相同或相当，条件指数均为100，因此无需修正；</w:t>
      </w:r>
    </w:p>
    <w:p>
      <w:pPr>
        <w:spacing w:before="0" w:after="0" w:line="480" w:lineRule="exact"/>
        <w:ind w:firstLine="561"/>
      </w:pPr>
      <w:r>
        <w:rPr>
          <w:rFonts w:ascii="仿宋_GB2312" w:hAnsi="仿宋_GB2312" w:eastAsia="仿宋_GB2312" w:cs="仿宋_GB2312"/>
          <w:b w:val="0"/>
          <w:sz w:val="28"/>
        </w:rPr>
        <w:t>f、区域公共设施状况：估价对象与三个比较案例区域公共设施状况相同或相当，条件指数均为100，因此无需修正；</w:t>
      </w:r>
    </w:p>
    <w:p>
      <w:pPr>
        <w:spacing w:before="0" w:after="0" w:line="480" w:lineRule="exact"/>
        <w:ind w:firstLine="561"/>
      </w:pPr>
      <w:r>
        <w:rPr>
          <w:rFonts w:ascii="仿宋_GB2312" w:hAnsi="仿宋_GB2312" w:eastAsia="仿宋_GB2312" w:cs="仿宋_GB2312"/>
          <w:b w:val="0"/>
          <w:sz w:val="28"/>
        </w:rPr>
        <w:t>E、个别因素修正</w:t>
      </w:r>
    </w:p>
    <w:p>
      <w:pPr>
        <w:spacing w:before="0" w:after="0" w:line="480" w:lineRule="exact"/>
        <w:ind w:firstLine="561"/>
      </w:pPr>
      <w:r>
        <w:rPr>
          <w:rFonts w:ascii="仿宋_GB2312" w:hAnsi="仿宋_GB2312" w:eastAsia="仿宋_GB2312" w:cs="仿宋_GB2312"/>
          <w:b w:val="0"/>
          <w:sz w:val="28"/>
        </w:rPr>
        <w:t>a、所临道路类型：估价对象与三个比较案例所临道路类型相同或相当，条件指数均为100，因此无需修正；</w:t>
      </w:r>
    </w:p>
    <w:p>
      <w:pPr>
        <w:spacing w:before="0" w:after="0" w:line="480" w:lineRule="exact"/>
        <w:ind w:firstLine="561"/>
      </w:pPr>
      <w:r>
        <w:rPr>
          <w:rFonts w:ascii="仿宋_GB2312" w:hAnsi="仿宋_GB2312" w:eastAsia="仿宋_GB2312" w:cs="仿宋_GB2312"/>
          <w:b w:val="0"/>
          <w:sz w:val="28"/>
        </w:rPr>
        <w:t>b、通风采光：估价对象与三个比较案例通风采光相同或相当，条件指数均为100，因此无需修正；</w:t>
      </w:r>
    </w:p>
    <w:p>
      <w:pPr>
        <w:spacing w:before="0" w:after="0" w:line="480" w:lineRule="exact"/>
        <w:ind w:firstLine="561"/>
      </w:pPr>
      <w:r>
        <w:rPr>
          <w:rFonts w:ascii="仿宋_GB2312" w:hAnsi="仿宋_GB2312" w:eastAsia="仿宋_GB2312" w:cs="仿宋_GB2312"/>
          <w:b w:val="0"/>
          <w:sz w:val="28"/>
        </w:rPr>
        <w:t>c、房屋成新度：估价对象与三个比较案例房屋成新度相同或相当，条件指数均为100，因此无需修正；</w:t>
      </w:r>
    </w:p>
    <w:p>
      <w:pPr>
        <w:spacing w:before="0" w:after="0" w:line="480" w:lineRule="exact"/>
        <w:ind w:firstLine="561"/>
      </w:pPr>
      <w:r>
        <w:rPr>
          <w:rFonts w:ascii="仿宋_GB2312" w:hAnsi="仿宋_GB2312" w:eastAsia="仿宋_GB2312" w:cs="仿宋_GB2312"/>
          <w:b w:val="0"/>
          <w:sz w:val="28"/>
        </w:rPr>
        <w:t>d、建筑物结构：估价对象与三个比较案例建筑物结构相同或相当，条件指数均为100，因此无需修正；</w:t>
      </w:r>
    </w:p>
    <w:p>
      <w:pPr>
        <w:spacing w:before="0" w:after="0" w:line="480" w:lineRule="exact"/>
        <w:ind w:firstLine="561"/>
      </w:pPr>
      <w:r>
        <w:rPr>
          <w:rFonts w:ascii="仿宋_GB2312" w:hAnsi="仿宋_GB2312" w:eastAsia="仿宋_GB2312" w:cs="仿宋_GB2312"/>
          <w:b w:val="0"/>
          <w:sz w:val="28"/>
        </w:rPr>
        <w:t>e、建筑物内部格局：估价对象与三个比较案例建筑物内部格局相同或相当，条件指数均为100，因此无需修正；</w:t>
      </w:r>
    </w:p>
    <w:p>
      <w:pPr>
        <w:spacing w:before="0" w:after="0" w:line="480" w:lineRule="exact"/>
        <w:ind w:firstLine="561"/>
      </w:pPr>
      <w:r>
        <w:rPr>
          <w:rFonts w:ascii="仿宋_GB2312" w:hAnsi="仿宋_GB2312" w:eastAsia="仿宋_GB2312" w:cs="仿宋_GB2312"/>
          <w:b w:val="0"/>
          <w:sz w:val="28"/>
        </w:rPr>
        <w:t>f、装修档次：估价对象与三个比较案例装修档次相同或相当，条件指数均为100，因此无需修正；</w:t>
      </w:r>
    </w:p>
    <w:p>
      <w:pPr>
        <w:spacing w:before="0" w:after="0" w:line="480" w:lineRule="exact"/>
        <w:ind w:firstLine="561"/>
      </w:pPr>
      <w:r>
        <w:rPr>
          <w:rFonts w:ascii="仿宋_GB2312" w:hAnsi="仿宋_GB2312" w:eastAsia="仿宋_GB2312" w:cs="仿宋_GB2312"/>
          <w:b w:val="0"/>
          <w:sz w:val="28"/>
        </w:rPr>
        <w:t>g、停车情况：估价对象与三个比较案例停车情况相同或相当，条件指数均为100，因此无需修正；</w:t>
      </w:r>
    </w:p>
    <w:p>
      <w:pPr>
        <w:spacing w:before="0" w:after="0" w:line="480" w:lineRule="exact"/>
        <w:ind w:firstLine="561"/>
      </w:pPr>
      <w:r>
        <w:rPr>
          <w:rFonts w:ascii="仿宋_GB2312" w:hAnsi="仿宋_GB2312" w:eastAsia="仿宋_GB2312" w:cs="仿宋_GB2312"/>
          <w:b w:val="0"/>
          <w:sz w:val="28"/>
        </w:rPr>
        <w:t>h、物业情况：估价对象与三个比较案例物业情况相同或相当，条件指数均为100，因此无需修正；</w:t>
      </w:r>
    </w:p>
    <w:p>
      <w:pPr>
        <w:spacing w:before="0" w:after="0" w:line="480" w:lineRule="exact"/>
        <w:ind w:firstLine="561"/>
      </w:pPr>
      <w:r>
        <w:rPr>
          <w:rFonts w:ascii="仿宋_GB2312" w:hAnsi="仿宋_GB2312" w:eastAsia="仿宋_GB2312" w:cs="仿宋_GB2312"/>
          <w:b w:val="0"/>
          <w:sz w:val="28"/>
        </w:rPr>
        <w:t>得到估价对象比较因素条件指数表和比较因素条件修正系数表。</w:t>
      </w:r>
    </w:p>
    <w:p>
      <w:pPr>
        <w:keepNext/>
        <w:spacing w:before="157" w:after="10" w:line="480" w:lineRule="exact"/>
        <w:ind w:left="0" w:right="0" w:firstLine="0"/>
        <w:jc w:val="center"/>
      </w:pPr>
      <w:r>
        <w:rPr>
          <w:rFonts w:ascii="仿宋_GB2312" w:hAnsi="仿宋_GB2312" w:eastAsia="仿宋_GB2312" w:cs="仿宋_GB2312"/>
          <w:b w:val="0"/>
          <w:sz w:val="28"/>
        </w:rPr>
        <w:t>表3-14 比较因素条件指数表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1"/>
        <w:gridCol w:w="1661"/>
        <w:gridCol w:w="1661"/>
        <w:gridCol w:w="1661"/>
        <w:gridCol w:w="1661"/>
      </w:tblGrid>
      <w:tr>
        <w:trPr>
          <w:tblHeader w:val="1"/>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估价对象及比较实例/比较因素</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估价对象</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案例A</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案例B</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案例C</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位置</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道江镇濂溪山庄宝珍街南六栋九号</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道州中路466号爱莲商业广场</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道州中路466号爱莲商业广场</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道县道州中路397号</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住宅租金(元/m2·月)</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待估</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11.4</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11.4</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11.5</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用途</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101.968</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101.968</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102.041</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交易时间</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交易情况</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商服繁华度</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公交便捷度</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道路通达度</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水电等基础设施综合保证率</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环境质量</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区域公共设施状况</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所临道路类型</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通风采光</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房屋成新度</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建筑物结构</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建筑物内部格局</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装修档次</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停车情况</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r>
      <w:tr>
        <w:trPr>
          <w:cantSplit/>
        </w:trPr>
        <w:tc>
          <w:tcPr>
            <w:tcW w:type="dxa" w:w="1361"/>
            <w:vAlign w:val="center"/>
          </w:tcPr>
          <w:p>
            <w:pPr>
              <w:spacing w:before="0" w:after="0" w:line="260" w:lineRule="exact"/>
              <w:ind w:firstLine="0" w:left="0" w:right="0"/>
              <w:jc w:val="center"/>
            </w:pPr>
            <w:r>
              <w:rPr>
                <w:rFonts w:ascii="仿宋_GB2312" w:hAnsi="仿宋_GB2312" w:eastAsia="仿宋_GB2312" w:cs="仿宋_GB2312"/>
                <w:b w:val="0"/>
                <w:sz w:val="21"/>
              </w:rPr>
              <w:t>物业情况</w:t>
            </w:r>
          </w:p>
        </w:tc>
        <w:tc>
          <w:tcPr>
            <w:tcW w:type="dxa" w:w="2041"/>
            <w:vAlign w:val="center"/>
          </w:tcPr>
          <w:p>
            <w:pPr>
              <w:spacing w:before="0" w:after="0" w:line="260" w:lineRule="exact"/>
              <w:ind w:firstLine="0" w:left="0" w:right="0"/>
              <w:jc w:val="center"/>
            </w:pPr>
            <w:r>
              <w:rPr>
                <w:rFonts w:ascii="仿宋_GB2312" w:hAnsi="仿宋_GB2312" w:eastAsia="仿宋_GB2312" w:cs="仿宋_GB2312"/>
                <w:b w:val="0"/>
                <w:sz w:val="21"/>
              </w:rPr>
              <w:t>100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c>
          <w:tcPr>
            <w:tcW w:type="dxa" w:w="1871"/>
            <w:vAlign w:val="center"/>
          </w:tcPr>
          <w:p>
            <w:pPr>
              <w:spacing w:before="0" w:after="0" w:line="260" w:lineRule="exact"/>
              <w:ind w:firstLine="0" w:left="0" w:right="0"/>
              <w:jc w:val="center"/>
            </w:pPr>
            <w:r>
              <w:rPr>
                <w:rFonts w:ascii="仿宋_GB2312" w:hAnsi="仿宋_GB2312" w:eastAsia="仿宋_GB2312" w:cs="仿宋_GB2312"/>
                <w:b w:val="0"/>
                <w:sz w:val="21"/>
              </w:rPr>
              <w:t>100.00</w:t>
            </w:r>
          </w:p>
        </w:tc>
      </w:tr>
    </w:tbl>
    <w:p>
      <w:pPr>
        <w:keepNext/>
        <w:spacing w:before="157" w:after="10" w:line="480" w:lineRule="exact"/>
        <w:ind w:left="0" w:right="0" w:firstLine="0"/>
        <w:jc w:val="center"/>
      </w:pPr>
      <w:r>
        <w:rPr>
          <w:rFonts w:ascii="仿宋_GB2312" w:hAnsi="仿宋_GB2312" w:eastAsia="仿宋_GB2312" w:cs="仿宋_GB2312"/>
          <w:b w:val="0"/>
          <w:sz w:val="28"/>
        </w:rPr>
        <w:t>表3-15 比较因素条件修正系数表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6"/>
        <w:gridCol w:w="2076"/>
        <w:gridCol w:w="2076"/>
        <w:gridCol w:w="2076"/>
      </w:tblGrid>
      <w:tr>
        <w:trPr>
          <w:tblHeader w:val="1"/>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估价对象及比较实例/比较因素</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案例A</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案例B</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案例C</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位置</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道州中路466号爱莲商业广场</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道州中路466号爱莲商业广场</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道县道州中路397号</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住宅租金(元/m2·月)</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11.40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11.40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11.50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用途</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100/101.968</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100/101.968</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100/102.041</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交易时间</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交易情况</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商服繁华度</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公交便捷度</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道路通达度</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水电等基础设施综合保证率</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环境质量</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区域公共设施状况</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所临道路类型</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通风采光</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房屋成新度</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建筑物结构</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建筑物内部格局</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装修档次</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停车情况</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物业情况</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100/100.00</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比准租金(元/m2·月)</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11.18</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11.18</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11.27</w:t>
            </w:r>
          </w:p>
        </w:tc>
      </w:tr>
      <w:tr>
        <w:trPr>
          <w:cantSplit/>
        </w:trPr>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算术平均值(元/m2·月)</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11.21</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11.21</w:t>
            </w:r>
          </w:p>
        </w:tc>
        <w:tc>
          <w:tcPr>
            <w:tcW w:type="dxa" w:w="2282"/>
            <w:vAlign w:val="center"/>
          </w:tcPr>
          <w:p>
            <w:pPr>
              <w:spacing w:before="0" w:after="0" w:line="260" w:lineRule="exact"/>
              <w:ind w:firstLine="0" w:left="0" w:right="0"/>
              <w:jc w:val="center"/>
            </w:pPr>
            <w:r>
              <w:rPr>
                <w:rFonts w:ascii="仿宋_GB2312" w:hAnsi="仿宋_GB2312" w:eastAsia="仿宋_GB2312" w:cs="仿宋_GB2312"/>
                <w:b w:val="0"/>
                <w:sz w:val="21"/>
              </w:rPr>
              <w:t>11.21</w:t>
            </w:r>
          </w:p>
        </w:tc>
      </w:tr>
    </w:tbl>
    <w:p>
      <w:pPr>
        <w:spacing w:before="0" w:after="0" w:line="480" w:lineRule="exact"/>
        <w:ind w:firstLine="561"/>
      </w:pPr>
      <w:r>
        <w:rPr>
          <w:rFonts w:ascii="仿宋_GB2312" w:hAnsi="仿宋_GB2312" w:eastAsia="仿宋_GB2312" w:cs="仿宋_GB2312"/>
          <w:b w:val="0"/>
          <w:sz w:val="28"/>
        </w:rPr>
        <w:t>通过市场比较，3个比较实例的比准租金接近，故采取3个比较实例的比准租金结果的算术平均值作为估价对象的租金。案例A比准租金11.18元/平方米·月、案例B比准租金11.18元/平方米·月、案例C比准租金11.27元/平方米·月。</w:t>
      </w:r>
    </w:p>
    <w:p>
      <w:pPr>
        <w:spacing w:before="0" w:after="0" w:line="480" w:lineRule="exact"/>
        <w:ind w:firstLine="561"/>
      </w:pPr>
      <w:r>
        <w:rPr>
          <w:rFonts w:ascii="仿宋_GB2312" w:hAnsi="仿宋_GB2312" w:eastAsia="仿宋_GB2312" w:cs="仿宋_GB2312"/>
          <w:b w:val="0"/>
          <w:sz w:val="28"/>
        </w:rPr>
        <w:t>住宅用房月租金＝（11.18+11.18+11.27）/3＝11.21（元/平方米·月）。</w:t>
      </w:r>
    </w:p>
    <w:p>
      <w:pPr>
        <w:spacing w:before="0" w:after="0" w:line="480" w:lineRule="exact"/>
        <w:ind w:firstLine="561"/>
      </w:pPr>
      <w:r>
        <w:rPr>
          <w:rFonts w:ascii="仿宋_GB2312" w:hAnsi="仿宋_GB2312" w:eastAsia="仿宋_GB2312" w:cs="仿宋_GB2312"/>
          <w:b w:val="0"/>
          <w:sz w:val="28"/>
        </w:rPr>
        <w:t>③房地年总收益的确定</w:t>
      </w:r>
    </w:p>
    <w:p>
      <w:pPr>
        <w:spacing w:before="0" w:after="0" w:line="480" w:lineRule="exact"/>
        <w:ind w:firstLine="561"/>
      </w:pPr>
      <w:r>
        <w:rPr>
          <w:rFonts w:ascii="仿宋_GB2312" w:hAnsi="仿宋_GB2312" w:eastAsia="仿宋_GB2312" w:cs="仿宋_GB2312"/>
          <w:b w:val="0"/>
          <w:sz w:val="28"/>
        </w:rPr>
        <w:t>估价人员通过对周边出租行情进行调查，区域内出租案例较多，根据市场调查区域商住房地产平均空置率为3%至5%，本次评估取平均空置率4%。估价对象地上建筑物可出租房屋比例为96%。</w:t>
      </w:r>
    </w:p>
    <w:p>
      <w:pPr>
        <w:spacing w:before="0" w:after="0" w:line="480" w:lineRule="exact"/>
        <w:ind w:firstLine="561"/>
      </w:pPr>
      <w:r>
        <w:rPr>
          <w:rFonts w:ascii="仿宋_GB2312" w:hAnsi="仿宋_GB2312" w:eastAsia="仿宋_GB2312" w:cs="仿宋_GB2312"/>
          <w:b w:val="0"/>
          <w:sz w:val="28"/>
        </w:rPr>
        <w:t>房地年总收益＝住宅用房月租金×12×（1-空置率）×住宅用房出租率＝11.21×12×（1-4%）×205.45×96%÷10000＝2.5470（万元）。</w:t>
      </w:r>
    </w:p>
    <w:p>
      <w:pPr>
        <w:spacing w:before="0" w:after="0" w:line="480" w:lineRule="exact"/>
        <w:ind w:firstLine="561"/>
      </w:pPr>
      <w:r>
        <w:rPr>
          <w:rFonts w:ascii="仿宋_GB2312" w:hAnsi="仿宋_GB2312" w:eastAsia="仿宋_GB2312" w:cs="仿宋_GB2312"/>
          <w:b w:val="0"/>
          <w:sz w:val="28"/>
        </w:rPr>
        <w:t>2、确定房地年总费用</w:t>
      </w:r>
    </w:p>
    <w:p>
      <w:pPr>
        <w:spacing w:before="0" w:after="0" w:line="480" w:lineRule="exact"/>
        <w:ind w:firstLine="561"/>
      </w:pPr>
      <w:r>
        <w:rPr>
          <w:rFonts w:ascii="仿宋_GB2312" w:hAnsi="仿宋_GB2312" w:eastAsia="仿宋_GB2312" w:cs="仿宋_GB2312"/>
          <w:b w:val="0"/>
          <w:sz w:val="28"/>
        </w:rPr>
        <w:t>房地年总费用是指估价对象在正常经营活动中每年所必须支出的必要费用。</w:t>
      </w:r>
    </w:p>
    <w:p>
      <w:pPr>
        <w:spacing w:before="0" w:after="0" w:line="480" w:lineRule="exact"/>
        <w:ind w:firstLine="561"/>
      </w:pPr>
      <w:r>
        <w:rPr>
          <w:rFonts w:ascii="仿宋_GB2312" w:hAnsi="仿宋_GB2312" w:eastAsia="仿宋_GB2312" w:cs="仿宋_GB2312"/>
          <w:b w:val="0"/>
          <w:sz w:val="28"/>
        </w:rPr>
        <w:t>（1）经营管理费：指对出租房屋进行的必要管理所需的费用。按年租金的2%～5%计，本次评估中根据估价对象地上建筑物管理难易程度确定为2%，则：</w:t>
      </w:r>
    </w:p>
    <w:p>
      <w:pPr>
        <w:spacing w:before="0" w:after="0" w:line="480" w:lineRule="exact"/>
        <w:ind w:firstLine="561"/>
      </w:pPr>
      <w:r>
        <w:rPr>
          <w:rFonts w:ascii="仿宋_GB2312" w:hAnsi="仿宋_GB2312" w:eastAsia="仿宋_GB2312" w:cs="仿宋_GB2312"/>
          <w:b w:val="0"/>
          <w:sz w:val="28"/>
        </w:rPr>
        <w:t>经营管理费＝房地年总收益×2%</w:t>
      </w:r>
    </w:p>
    <w:p>
      <w:pPr>
        <w:spacing w:before="0" w:after="0" w:line="480" w:lineRule="exact"/>
        <w:ind w:firstLine="561"/>
      </w:pPr>
      <w:r>
        <w:rPr>
          <w:rFonts w:ascii="仿宋_GB2312" w:hAnsi="仿宋_GB2312" w:eastAsia="仿宋_GB2312" w:cs="仿宋_GB2312"/>
          <w:b w:val="0"/>
          <w:sz w:val="28"/>
        </w:rPr>
        <w:t>＝2.5470×2%</w:t>
      </w:r>
    </w:p>
    <w:p>
      <w:pPr>
        <w:spacing w:before="0" w:after="0" w:line="480" w:lineRule="exact"/>
        <w:ind w:firstLine="561"/>
      </w:pPr>
      <w:r>
        <w:rPr>
          <w:rFonts w:ascii="仿宋_GB2312" w:hAnsi="仿宋_GB2312" w:eastAsia="仿宋_GB2312" w:cs="仿宋_GB2312"/>
          <w:b w:val="0"/>
          <w:sz w:val="28"/>
        </w:rPr>
        <w:t>＝0.0509（万元）</w:t>
      </w:r>
    </w:p>
    <w:p>
      <w:pPr>
        <w:spacing w:before="0" w:after="0" w:line="480" w:lineRule="exact"/>
        <w:ind w:firstLine="561"/>
      </w:pPr>
      <w:r>
        <w:rPr>
          <w:rFonts w:ascii="仿宋_GB2312" w:hAnsi="仿宋_GB2312" w:eastAsia="仿宋_GB2312" w:cs="仿宋_GB2312"/>
          <w:b w:val="0"/>
          <w:sz w:val="28"/>
        </w:rPr>
        <w:t>（2）经营维修费：指为保障房屋正常使用每年需支付的修缮费。根据估价对象房屋的实际使用情况，按建筑物重置价格的2%计算。</w:t>
      </w:r>
    </w:p>
    <w:p>
      <w:pPr>
        <w:spacing w:before="0" w:after="0" w:line="480" w:lineRule="exact"/>
        <w:ind w:firstLine="561"/>
      </w:pPr>
      <w:r>
        <w:rPr>
          <w:rFonts w:ascii="仿宋_GB2312" w:hAnsi="仿宋_GB2312" w:eastAsia="仿宋_GB2312" w:cs="仿宋_GB2312"/>
          <w:b w:val="0"/>
          <w:sz w:val="28"/>
        </w:rPr>
        <w:t>根据《《湖南省建筑物建设成本参考标准研究成果》（湘房协〔2023〕3号，价值时点2023年1月1日）》（编号：湘房协〔2023〕3号，2023年2月14日）中的“各类建筑物建设成本参考标准”，住宅类砖混结构一等建设成本价格在1300-1400元/平方米；根据该文件中的“利用系数表”，估价对象位于道县，应进行利用系数修正，修正系数为0.9，取二等砖混结构住宅用房重置价格为1300元/平方米，则道县类似混合结构住宅楼建筑物重置价为1300×0.9=1170元/平方米。</w:t>
      </w:r>
    </w:p>
    <w:p>
      <w:pPr>
        <w:spacing w:before="0" w:after="0" w:line="480" w:lineRule="exact"/>
        <w:ind w:firstLine="561"/>
      </w:pPr>
      <w:r>
        <w:rPr>
          <w:rFonts w:ascii="仿宋_GB2312" w:hAnsi="仿宋_GB2312" w:eastAsia="仿宋_GB2312" w:cs="仿宋_GB2312"/>
          <w:b w:val="0"/>
          <w:sz w:val="28"/>
        </w:rPr>
        <w:t>考虑近几年价格上涨水平，取砖混结构重置价格年增长率为2%。《《湖南省建筑物建设成本参考标准研究成果》（湘房协〔2023〕3号，价值时点2023年1月1日）》（编号：湘房协〔2023〕3号，2023年2月14日）建筑物建设成本对应的价值时点为2023-01-01，而本次评估的估价期日是2026-06-01，相距3.42年。</w:t>
      </w:r>
    </w:p>
    <w:p>
      <w:pPr>
        <w:spacing w:before="0" w:after="0" w:line="480" w:lineRule="exact"/>
        <w:ind w:firstLine="561"/>
      </w:pPr>
      <w:r>
        <w:rPr>
          <w:rFonts w:ascii="仿宋_GB2312" w:hAnsi="仿宋_GB2312" w:eastAsia="仿宋_GB2312" w:cs="仿宋_GB2312"/>
          <w:b w:val="0"/>
          <w:sz w:val="28"/>
        </w:rPr>
        <w:t>可确定估价对象估价期日的房屋重置价格单价为1170×(1+2%)^3.42=1252元/平方米。</w:t>
      </w:r>
    </w:p>
    <w:p>
      <w:pPr>
        <w:spacing w:before="0" w:after="0" w:line="480" w:lineRule="exact"/>
        <w:ind w:firstLine="561"/>
      </w:pPr>
      <w:r>
        <w:rPr>
          <w:rFonts w:ascii="仿宋_GB2312" w:hAnsi="仿宋_GB2312" w:eastAsia="仿宋_GB2312" w:cs="仿宋_GB2312"/>
          <w:b w:val="0"/>
          <w:sz w:val="28"/>
        </w:rPr>
        <w:t>房屋重置价格＝重置单价×总建筑面积</w:t>
      </w:r>
    </w:p>
    <w:p>
      <w:pPr>
        <w:spacing w:before="0" w:after="0" w:line="480" w:lineRule="exact"/>
        <w:ind w:firstLine="561"/>
      </w:pPr>
      <w:r>
        <w:rPr>
          <w:rFonts w:ascii="仿宋_GB2312" w:hAnsi="仿宋_GB2312" w:eastAsia="仿宋_GB2312" w:cs="仿宋_GB2312"/>
          <w:b w:val="0"/>
          <w:sz w:val="28"/>
        </w:rPr>
        <w:t>＝1252×205.45＝25.7223（万元）</w:t>
      </w:r>
    </w:p>
    <w:p>
      <w:pPr>
        <w:spacing w:before="0" w:after="0" w:line="480" w:lineRule="exact"/>
        <w:ind w:firstLine="561"/>
      </w:pPr>
      <w:r>
        <w:rPr>
          <w:rFonts w:ascii="仿宋_GB2312" w:hAnsi="仿宋_GB2312" w:eastAsia="仿宋_GB2312" w:cs="仿宋_GB2312"/>
          <w:b w:val="0"/>
          <w:sz w:val="28"/>
        </w:rPr>
        <w:t>则：经营维修费＝房屋重置价格×设备修缮率</w:t>
      </w:r>
    </w:p>
    <w:p>
      <w:pPr>
        <w:spacing w:before="0" w:after="0" w:line="480" w:lineRule="exact"/>
        <w:ind w:firstLine="561"/>
      </w:pPr>
      <w:r>
        <w:rPr>
          <w:rFonts w:ascii="仿宋_GB2312" w:hAnsi="仿宋_GB2312" w:eastAsia="仿宋_GB2312" w:cs="仿宋_GB2312"/>
          <w:b w:val="0"/>
          <w:sz w:val="28"/>
        </w:rPr>
        <w:t>＝25.7223×2%</w:t>
      </w:r>
    </w:p>
    <w:p>
      <w:pPr>
        <w:spacing w:before="0" w:after="0" w:line="480" w:lineRule="exact"/>
        <w:ind w:firstLine="561"/>
      </w:pPr>
      <w:r>
        <w:rPr>
          <w:rFonts w:ascii="仿宋_GB2312" w:hAnsi="仿宋_GB2312" w:eastAsia="仿宋_GB2312" w:cs="仿宋_GB2312"/>
          <w:b w:val="0"/>
          <w:sz w:val="28"/>
        </w:rPr>
        <w:t>＝0.5144（万元）</w:t>
      </w:r>
    </w:p>
    <w:p>
      <w:pPr>
        <w:spacing w:before="0" w:after="0" w:line="480" w:lineRule="exact"/>
        <w:ind w:firstLine="561"/>
      </w:pPr>
      <w:r>
        <w:rPr>
          <w:rFonts w:ascii="仿宋_GB2312" w:hAnsi="仿宋_GB2312" w:eastAsia="仿宋_GB2312" w:cs="仿宋_GB2312"/>
          <w:b w:val="0"/>
          <w:sz w:val="28"/>
        </w:rPr>
        <w:t>（3）房屋年保险费：指房产所有人为使自己的房产避免意外损失而向保险公司支付的费用。按房屋现值乘以保险费率2‰计算，则：</w:t>
      </w:r>
    </w:p>
    <w:p>
      <w:pPr>
        <w:spacing w:before="0" w:after="0" w:line="480" w:lineRule="exact"/>
        <w:ind w:firstLine="561"/>
      </w:pPr>
      <w:r>
        <w:rPr>
          <w:rFonts w:ascii="仿宋_GB2312" w:hAnsi="仿宋_GB2312" w:eastAsia="仿宋_GB2312" w:cs="仿宋_GB2312"/>
          <w:b w:val="0"/>
          <w:sz w:val="28"/>
        </w:rPr>
        <w:t>①计算房屋年折旧费：房屋年折旧费指房屋在使用过程中因损耗而在租金中补偿的那部分价值。</w:t>
      </w:r>
    </w:p>
    <w:p>
      <w:pPr>
        <w:spacing w:before="0" w:after="0" w:line="480" w:lineRule="exact"/>
        <w:ind w:firstLine="561"/>
      </w:pPr>
      <w:r>
        <w:rPr>
          <w:rFonts w:ascii="仿宋_GB2312" w:hAnsi="仿宋_GB2312" w:eastAsia="仿宋_GB2312" w:cs="仿宋_GB2312"/>
          <w:b w:val="0"/>
          <w:sz w:val="28"/>
        </w:rPr>
        <w:t>估价对象建筑为混合结构，耐用年限为50年，残值率2%，估价对象地上房屋建成于1998年，已使用年限约为28年，剩余使用年限22年，此次评估设定出让土地使用权年限为70年，大于房屋剩余使用年限，根据孰短原则，折旧年限＝房屋已使用年限+房屋剩余使用年限。则年折旧费计算公式为：</w:t>
      </w:r>
    </w:p>
    <w:p>
      <w:pPr>
        <w:spacing w:before="0" w:after="0" w:line="480" w:lineRule="exact"/>
        <w:ind w:firstLine="561"/>
      </w:pPr>
      <w:r>
        <w:rPr>
          <w:rFonts w:ascii="仿宋_GB2312" w:hAnsi="仿宋_GB2312" w:eastAsia="仿宋_GB2312" w:cs="仿宋_GB2312"/>
          <w:b w:val="0"/>
          <w:sz w:val="28"/>
        </w:rPr>
        <w:t>年折旧费＝房屋重置价×（1-残值率）÷（房屋已使用年限+房屋剩余使用年限）</w:t>
      </w:r>
    </w:p>
    <w:p>
      <w:pPr>
        <w:spacing w:before="0" w:after="0" w:line="480" w:lineRule="exact"/>
        <w:ind w:firstLine="561"/>
      </w:pPr>
      <w:r>
        <w:rPr>
          <w:rFonts w:ascii="仿宋_GB2312" w:hAnsi="仿宋_GB2312" w:eastAsia="仿宋_GB2312" w:cs="仿宋_GB2312"/>
          <w:b w:val="0"/>
          <w:sz w:val="28"/>
        </w:rPr>
        <w:t>＝25.7223×（1-2%）÷（28+22）</w:t>
      </w:r>
    </w:p>
    <w:p>
      <w:pPr>
        <w:spacing w:before="0" w:after="0" w:line="480" w:lineRule="exact"/>
        <w:ind w:firstLine="561"/>
      </w:pPr>
      <w:r>
        <w:rPr>
          <w:rFonts w:ascii="仿宋_GB2312" w:hAnsi="仿宋_GB2312" w:eastAsia="仿宋_GB2312" w:cs="仿宋_GB2312"/>
          <w:b w:val="0"/>
          <w:sz w:val="28"/>
        </w:rPr>
        <w:t>＝0.5042（万元）</w:t>
      </w:r>
    </w:p>
    <w:p>
      <w:pPr>
        <w:spacing w:before="0" w:after="0" w:line="480" w:lineRule="exact"/>
        <w:ind w:firstLine="561"/>
      </w:pPr>
      <w:r>
        <w:rPr>
          <w:rFonts w:ascii="仿宋_GB2312" w:hAnsi="仿宋_GB2312" w:eastAsia="仿宋_GB2312" w:cs="仿宋_GB2312"/>
          <w:b w:val="0"/>
          <w:sz w:val="28"/>
        </w:rPr>
        <w:t>②计算房屋现值</w:t>
      </w:r>
    </w:p>
    <w:p>
      <w:pPr>
        <w:spacing w:before="0" w:after="0" w:line="480" w:lineRule="exact"/>
        <w:ind w:firstLine="561"/>
      </w:pPr>
      <w:r>
        <w:rPr>
          <w:rFonts w:ascii="仿宋_GB2312" w:hAnsi="仿宋_GB2312" w:eastAsia="仿宋_GB2312" w:cs="仿宋_GB2312"/>
          <w:b w:val="0"/>
          <w:sz w:val="28"/>
        </w:rPr>
        <w:t>房屋现值＝房屋重置价格-折旧总额</w:t>
      </w:r>
    </w:p>
    <w:p>
      <w:pPr>
        <w:spacing w:before="0" w:after="0" w:line="480" w:lineRule="exact"/>
        <w:ind w:firstLine="561"/>
      </w:pPr>
      <w:r>
        <w:rPr>
          <w:rFonts w:ascii="仿宋_GB2312" w:hAnsi="仿宋_GB2312" w:eastAsia="仿宋_GB2312" w:cs="仿宋_GB2312"/>
          <w:b w:val="0"/>
          <w:sz w:val="28"/>
        </w:rPr>
        <w:t>＝25.7223-年折旧费×已使用年限</w:t>
      </w:r>
    </w:p>
    <w:p>
      <w:pPr>
        <w:spacing w:before="0" w:after="0" w:line="480" w:lineRule="exact"/>
        <w:ind w:firstLine="561"/>
      </w:pPr>
      <w:r>
        <w:rPr>
          <w:rFonts w:ascii="仿宋_GB2312" w:hAnsi="仿宋_GB2312" w:eastAsia="仿宋_GB2312" w:cs="仿宋_GB2312"/>
          <w:b w:val="0"/>
          <w:sz w:val="28"/>
        </w:rPr>
        <w:t>＝25.7223-0.5042×28</w:t>
      </w:r>
    </w:p>
    <w:p>
      <w:pPr>
        <w:spacing w:before="0" w:after="0" w:line="480" w:lineRule="exact"/>
        <w:ind w:firstLine="561"/>
      </w:pPr>
      <w:r>
        <w:rPr>
          <w:rFonts w:ascii="仿宋_GB2312" w:hAnsi="仿宋_GB2312" w:eastAsia="仿宋_GB2312" w:cs="仿宋_GB2312"/>
          <w:b w:val="0"/>
          <w:sz w:val="28"/>
        </w:rPr>
        <w:t>＝11.6047（万元）</w:t>
      </w:r>
    </w:p>
    <w:p>
      <w:pPr>
        <w:spacing w:before="0" w:after="0" w:line="480" w:lineRule="exact"/>
        <w:ind w:firstLine="561"/>
      </w:pPr>
      <w:r>
        <w:rPr>
          <w:rFonts w:ascii="仿宋_GB2312" w:hAnsi="仿宋_GB2312" w:eastAsia="仿宋_GB2312" w:cs="仿宋_GB2312"/>
          <w:b w:val="0"/>
          <w:sz w:val="28"/>
        </w:rPr>
        <w:t>③计算房屋年保险费</w:t>
      </w:r>
    </w:p>
    <w:p>
      <w:pPr>
        <w:spacing w:before="0" w:after="0" w:line="480" w:lineRule="exact"/>
        <w:ind w:firstLine="561"/>
      </w:pPr>
      <w:r>
        <w:rPr>
          <w:rFonts w:ascii="仿宋_GB2312" w:hAnsi="仿宋_GB2312" w:eastAsia="仿宋_GB2312" w:cs="仿宋_GB2312"/>
          <w:b w:val="0"/>
          <w:sz w:val="28"/>
        </w:rPr>
        <w:t>房屋年保险费＝房屋现值×2‰</w:t>
      </w:r>
    </w:p>
    <w:p>
      <w:pPr>
        <w:spacing w:before="0" w:after="0" w:line="480" w:lineRule="exact"/>
        <w:ind w:firstLine="561"/>
      </w:pPr>
      <w:r>
        <w:rPr>
          <w:rFonts w:ascii="仿宋_GB2312" w:hAnsi="仿宋_GB2312" w:eastAsia="仿宋_GB2312" w:cs="仿宋_GB2312"/>
          <w:b w:val="0"/>
          <w:sz w:val="28"/>
        </w:rPr>
        <w:t>＝11.6047×2‰</w:t>
      </w:r>
    </w:p>
    <w:p>
      <w:pPr>
        <w:spacing w:before="0" w:after="0" w:line="480" w:lineRule="exact"/>
        <w:ind w:firstLine="561"/>
      </w:pPr>
      <w:r>
        <w:rPr>
          <w:rFonts w:ascii="仿宋_GB2312" w:hAnsi="仿宋_GB2312" w:eastAsia="仿宋_GB2312" w:cs="仿宋_GB2312"/>
          <w:b w:val="0"/>
          <w:sz w:val="28"/>
        </w:rPr>
        <w:t>＝0.0232（万元）</w:t>
      </w:r>
    </w:p>
    <w:p>
      <w:pPr>
        <w:spacing w:before="0" w:after="0" w:line="480" w:lineRule="exact"/>
        <w:ind w:firstLine="561"/>
      </w:pPr>
      <w:r>
        <w:rPr>
          <w:rFonts w:ascii="仿宋_GB2312" w:hAnsi="仿宋_GB2312" w:eastAsia="仿宋_GB2312" w:cs="仿宋_GB2312"/>
          <w:b w:val="0"/>
          <w:sz w:val="28"/>
        </w:rPr>
        <w:t>（4）税费：包括房产税、城市维护建设税及教育费附加等。</w:t>
      </w:r>
    </w:p>
    <w:p>
      <w:pPr>
        <w:spacing w:before="0" w:after="0" w:line="480" w:lineRule="exact"/>
        <w:ind w:firstLine="561"/>
      </w:pPr>
      <w:r>
        <w:rPr>
          <w:rFonts w:ascii="仿宋_GB2312" w:hAnsi="仿宋_GB2312" w:eastAsia="仿宋_GB2312" w:cs="仿宋_GB2312"/>
          <w:b w:val="0"/>
          <w:sz w:val="28"/>
        </w:rPr>
        <w:t>根据《中华人民共和国房产税暂行条例》、《财政部 国家税务总局关于营改增后契税 房产税 土地增值税 个人所得税 计税依据问题的通知》（财税〔2016〕36号）、《国家税务总局关于营改增后契税 房产税 土地增值税 个人所得税 计税依据问题的公告》（国家税务总局公告2016年第23号），个人出租住房减按4%征收房产税，增值税免征，故本次评估中房产税税率取4%，增值税取0%。</w:t>
      </w:r>
    </w:p>
    <w:p>
      <w:pPr>
        <w:spacing w:before="0" w:after="0" w:line="480" w:lineRule="exact"/>
        <w:ind w:firstLine="561"/>
      </w:pPr>
      <w:r>
        <w:rPr>
          <w:rFonts w:ascii="仿宋_GB2312" w:hAnsi="仿宋_GB2312" w:eastAsia="仿宋_GB2312" w:cs="仿宋_GB2312"/>
          <w:b w:val="0"/>
          <w:sz w:val="28"/>
        </w:rPr>
        <w:t>故本次评估中增值税、个人所得税、印花税、城市维护建设税、教育费附加、地方教育附加均为0%。</w:t>
      </w:r>
    </w:p>
    <w:p>
      <w:pPr>
        <w:spacing w:before="0" w:after="0" w:line="480" w:lineRule="exact"/>
        <w:ind w:firstLine="561"/>
      </w:pPr>
      <w:r>
        <w:rPr>
          <w:rFonts w:ascii="仿宋_GB2312" w:hAnsi="仿宋_GB2312" w:eastAsia="仿宋_GB2312" w:cs="仿宋_GB2312"/>
          <w:b w:val="0"/>
          <w:sz w:val="28"/>
        </w:rPr>
        <w:t>房产税＝房地年总收益×4%</w:t>
      </w:r>
    </w:p>
    <w:p>
      <w:pPr>
        <w:spacing w:before="0" w:after="0" w:line="480" w:lineRule="exact"/>
        <w:ind w:firstLine="561"/>
      </w:pPr>
      <w:r>
        <w:rPr>
          <w:rFonts w:ascii="仿宋_GB2312" w:hAnsi="仿宋_GB2312" w:eastAsia="仿宋_GB2312" w:cs="仿宋_GB2312"/>
          <w:b w:val="0"/>
          <w:sz w:val="28"/>
        </w:rPr>
        <w:t>＝2.5470×4%</w:t>
      </w:r>
    </w:p>
    <w:p>
      <w:pPr>
        <w:spacing w:before="0" w:after="0" w:line="480" w:lineRule="exact"/>
        <w:ind w:firstLine="561"/>
      </w:pPr>
      <w:r>
        <w:rPr>
          <w:rFonts w:ascii="仿宋_GB2312" w:hAnsi="仿宋_GB2312" w:eastAsia="仿宋_GB2312" w:cs="仿宋_GB2312"/>
          <w:b w:val="0"/>
          <w:sz w:val="28"/>
        </w:rPr>
        <w:t>＝0.0509（万元）</w:t>
      </w:r>
    </w:p>
    <w:p>
      <w:pPr>
        <w:spacing w:before="0" w:after="0" w:line="480" w:lineRule="exact"/>
        <w:ind w:firstLine="561"/>
      </w:pPr>
      <w:r>
        <w:rPr>
          <w:rFonts w:ascii="仿宋_GB2312" w:hAnsi="仿宋_GB2312" w:eastAsia="仿宋_GB2312" w:cs="仿宋_GB2312"/>
          <w:b w:val="0"/>
          <w:sz w:val="28"/>
        </w:rPr>
        <w:t>房地年总费用＝经营管理费+经营维修费+房屋年保险费+税费</w:t>
      </w:r>
    </w:p>
    <w:p>
      <w:pPr>
        <w:spacing w:before="0" w:after="0" w:line="480" w:lineRule="exact"/>
        <w:ind w:firstLine="561"/>
      </w:pPr>
      <w:r>
        <w:rPr>
          <w:rFonts w:ascii="仿宋_GB2312" w:hAnsi="仿宋_GB2312" w:eastAsia="仿宋_GB2312" w:cs="仿宋_GB2312"/>
          <w:b w:val="0"/>
          <w:sz w:val="28"/>
        </w:rPr>
        <w:t>＝0.0509+0.5144+0.0232+0.0509</w:t>
      </w:r>
    </w:p>
    <w:p>
      <w:pPr>
        <w:spacing w:before="0" w:after="0" w:line="480" w:lineRule="exact"/>
        <w:ind w:firstLine="561"/>
      </w:pPr>
      <w:r>
        <w:rPr>
          <w:rFonts w:ascii="仿宋_GB2312" w:hAnsi="仿宋_GB2312" w:eastAsia="仿宋_GB2312" w:cs="仿宋_GB2312"/>
          <w:b w:val="0"/>
          <w:sz w:val="28"/>
        </w:rPr>
        <w:t>＝0.6394（万元）</w:t>
      </w:r>
    </w:p>
    <w:p>
      <w:pPr>
        <w:spacing w:before="0" w:after="0" w:line="480" w:lineRule="exact"/>
        <w:ind w:firstLine="561"/>
      </w:pPr>
      <w:r>
        <w:rPr>
          <w:rFonts w:ascii="仿宋_GB2312" w:hAnsi="仿宋_GB2312" w:eastAsia="仿宋_GB2312" w:cs="仿宋_GB2312"/>
          <w:b w:val="0"/>
          <w:sz w:val="28"/>
        </w:rPr>
        <w:t>3、房地年纯收益</w:t>
      </w:r>
    </w:p>
    <w:p>
      <w:pPr>
        <w:spacing w:before="0" w:after="0" w:line="480" w:lineRule="exact"/>
        <w:ind w:firstLine="561"/>
      </w:pPr>
      <w:r>
        <w:rPr>
          <w:rFonts w:ascii="仿宋_GB2312" w:hAnsi="仿宋_GB2312" w:eastAsia="仿宋_GB2312" w:cs="仿宋_GB2312"/>
          <w:b w:val="0"/>
          <w:sz w:val="28"/>
        </w:rPr>
        <w:t>房地年纯收益＝房地年总收益-房地年总费用</w:t>
      </w:r>
    </w:p>
    <w:p>
      <w:pPr>
        <w:spacing w:before="0" w:after="0" w:line="480" w:lineRule="exact"/>
        <w:ind w:firstLine="561"/>
      </w:pPr>
      <w:r>
        <w:rPr>
          <w:rFonts w:ascii="仿宋_GB2312" w:hAnsi="仿宋_GB2312" w:eastAsia="仿宋_GB2312" w:cs="仿宋_GB2312"/>
          <w:b w:val="0"/>
          <w:sz w:val="28"/>
        </w:rPr>
        <w:t>＝2.5470-0.6394</w:t>
      </w:r>
    </w:p>
    <w:p>
      <w:pPr>
        <w:spacing w:before="0" w:after="0" w:line="480" w:lineRule="exact"/>
        <w:ind w:firstLine="561"/>
      </w:pPr>
      <w:r>
        <w:rPr>
          <w:rFonts w:ascii="仿宋_GB2312" w:hAnsi="仿宋_GB2312" w:eastAsia="仿宋_GB2312" w:cs="仿宋_GB2312"/>
          <w:b w:val="0"/>
          <w:sz w:val="28"/>
        </w:rPr>
        <w:t>＝1.9076（万元）</w:t>
      </w:r>
    </w:p>
    <w:p>
      <w:pPr>
        <w:spacing w:before="0" w:after="0" w:line="480" w:lineRule="exact"/>
        <w:ind w:firstLine="561"/>
      </w:pPr>
      <w:r>
        <w:rPr>
          <w:rFonts w:ascii="仿宋_GB2312" w:hAnsi="仿宋_GB2312" w:eastAsia="仿宋_GB2312" w:cs="仿宋_GB2312"/>
          <w:b w:val="0"/>
          <w:sz w:val="28"/>
        </w:rPr>
        <w:t>4、房屋年纯收益</w:t>
      </w:r>
    </w:p>
    <w:p>
      <w:pPr>
        <w:spacing w:before="0" w:after="0" w:line="480" w:lineRule="exact"/>
        <w:ind w:firstLine="561"/>
      </w:pPr>
      <w:r>
        <w:rPr>
          <w:rFonts w:ascii="仿宋_GB2312" w:hAnsi="仿宋_GB2312" w:eastAsia="仿宋_GB2312" w:cs="仿宋_GB2312"/>
          <w:b w:val="0"/>
          <w:sz w:val="28"/>
        </w:rPr>
        <w:t>根据前文，采用土地纯收益与价格比率法、投资收益法测算确定土地和房屋的还原率，详见下表：</w:t>
      </w:r>
    </w:p>
    <w:p>
      <w:pPr>
        <w:keepNext/>
        <w:spacing w:before="157" w:after="10" w:line="480" w:lineRule="exact"/>
        <w:ind w:left="0" w:right="0" w:firstLine="0"/>
        <w:jc w:val="center"/>
      </w:pPr>
      <w:r>
        <w:rPr>
          <w:rFonts w:ascii="仿宋_GB2312" w:hAnsi="仿宋_GB2312" w:eastAsia="仿宋_GB2312" w:cs="仿宋_GB2312"/>
          <w:b w:val="0"/>
          <w:sz w:val="28"/>
        </w:rPr>
        <w:t>表3-16 道县土地和房屋还原利率表(%)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3"/>
        <w:gridCol w:w="4153"/>
      </w:tblGrid>
      <w:tr>
        <w:trPr>
          <w:tblHeader w:val="1"/>
          <w:cantSplit/>
        </w:trPr>
        <w:tc>
          <w:tcPr>
            <w:tcW w:type="dxa" w:w="4422"/>
            <w:vAlign w:val="center"/>
          </w:tcPr>
          <w:p>
            <w:pPr>
              <w:spacing w:before="0" w:after="0" w:line="260" w:lineRule="exact"/>
              <w:ind w:firstLine="0" w:left="0" w:right="0"/>
              <w:jc w:val="center"/>
            </w:pPr>
            <w:r>
              <w:rPr>
                <w:rFonts w:ascii="仿宋_GB2312" w:hAnsi="仿宋_GB2312" w:eastAsia="仿宋_GB2312" w:cs="仿宋_GB2312"/>
                <w:b w:val="0"/>
                <w:sz w:val="21"/>
              </w:rPr>
              <w:t>土地用途</w:t>
            </w:r>
          </w:p>
        </w:tc>
        <w:tc>
          <w:tcPr>
            <w:tcW w:type="dxa" w:w="4422"/>
            <w:vAlign w:val="center"/>
          </w:tcPr>
          <w:p>
            <w:pPr>
              <w:spacing w:before="0" w:after="0" w:line="260" w:lineRule="exact"/>
              <w:ind w:firstLine="0" w:left="0" w:right="0"/>
              <w:jc w:val="center"/>
            </w:pPr>
            <w:r>
              <w:rPr>
                <w:rFonts w:ascii="仿宋_GB2312" w:hAnsi="仿宋_GB2312" w:eastAsia="仿宋_GB2312" w:cs="仿宋_GB2312"/>
                <w:b w:val="0"/>
                <w:sz w:val="21"/>
              </w:rPr>
              <w:t>住宅用地</w:t>
            </w:r>
          </w:p>
        </w:tc>
      </w:tr>
      <w:tr>
        <w:trPr>
          <w:cantSplit/>
        </w:trPr>
        <w:tc>
          <w:tcPr>
            <w:tcW w:type="dxa" w:w="4422"/>
            <w:vAlign w:val="center"/>
          </w:tcPr>
          <w:p>
            <w:pPr>
              <w:spacing w:before="0" w:after="0" w:line="260" w:lineRule="exact"/>
              <w:ind w:firstLine="0" w:left="0" w:right="0"/>
              <w:jc w:val="center"/>
            </w:pPr>
            <w:r>
              <w:rPr>
                <w:rFonts w:ascii="仿宋_GB2312" w:hAnsi="仿宋_GB2312" w:eastAsia="仿宋_GB2312" w:cs="仿宋_GB2312"/>
                <w:b w:val="0"/>
                <w:sz w:val="21"/>
              </w:rPr>
              <w:t>土地还原利率</w:t>
            </w:r>
          </w:p>
        </w:tc>
        <w:tc>
          <w:tcPr>
            <w:tcW w:type="dxa" w:w="4422"/>
            <w:vAlign w:val="center"/>
          </w:tcPr>
          <w:p>
            <w:pPr>
              <w:spacing w:before="0" w:after="0" w:line="260" w:lineRule="exact"/>
              <w:ind w:firstLine="0" w:left="0" w:right="0"/>
              <w:jc w:val="center"/>
            </w:pPr>
            <w:r>
              <w:rPr>
                <w:rFonts w:ascii="仿宋_GB2312" w:hAnsi="仿宋_GB2312" w:eastAsia="仿宋_GB2312" w:cs="仿宋_GB2312"/>
                <w:b w:val="0"/>
                <w:sz w:val="21"/>
              </w:rPr>
              <w:t>6.5%</w:t>
            </w:r>
          </w:p>
        </w:tc>
      </w:tr>
      <w:tr>
        <w:trPr>
          <w:cantSplit/>
        </w:trPr>
        <w:tc>
          <w:tcPr>
            <w:tcW w:type="dxa" w:w="4422"/>
            <w:vAlign w:val="center"/>
          </w:tcPr>
          <w:p>
            <w:pPr>
              <w:spacing w:before="0" w:after="0" w:line="260" w:lineRule="exact"/>
              <w:ind w:firstLine="0" w:left="0" w:right="0"/>
              <w:jc w:val="center"/>
            </w:pPr>
            <w:r>
              <w:rPr>
                <w:rFonts w:ascii="仿宋_GB2312" w:hAnsi="仿宋_GB2312" w:eastAsia="仿宋_GB2312" w:cs="仿宋_GB2312"/>
                <w:b w:val="0"/>
                <w:sz w:val="21"/>
              </w:rPr>
              <w:t>房屋还原利率</w:t>
            </w:r>
          </w:p>
        </w:tc>
        <w:tc>
          <w:tcPr>
            <w:tcW w:type="dxa" w:w="4422"/>
            <w:vAlign w:val="center"/>
          </w:tcPr>
          <w:p>
            <w:pPr>
              <w:spacing w:before="0" w:after="0" w:line="260" w:lineRule="exact"/>
              <w:ind w:firstLine="0" w:left="0" w:right="0"/>
              <w:jc w:val="center"/>
            </w:pPr>
            <w:r>
              <w:rPr>
                <w:rFonts w:ascii="仿宋_GB2312" w:hAnsi="仿宋_GB2312" w:eastAsia="仿宋_GB2312" w:cs="仿宋_GB2312"/>
                <w:b w:val="0"/>
                <w:sz w:val="21"/>
              </w:rPr>
              <w:t>8.5%</w:t>
            </w:r>
          </w:p>
        </w:tc>
      </w:tr>
    </w:tbl>
    <w:p>
      <w:pPr>
        <w:spacing w:before="0" w:after="0" w:line="480" w:lineRule="exact"/>
        <w:ind w:firstLine="561"/>
      </w:pPr>
      <w:r>
        <w:rPr>
          <w:rFonts w:ascii="仿宋_GB2312" w:hAnsi="仿宋_GB2312" w:eastAsia="仿宋_GB2312" w:cs="仿宋_GB2312"/>
          <w:b w:val="0"/>
          <w:sz w:val="28"/>
        </w:rPr>
        <w:t>则，房屋年纯收益＝房屋现值×房屋还原利率</w:t>
      </w:r>
    </w:p>
    <w:p>
      <w:pPr>
        <w:spacing w:before="0" w:after="0" w:line="480" w:lineRule="exact"/>
        <w:ind w:firstLine="561"/>
      </w:pPr>
      <w:r>
        <w:rPr>
          <w:rFonts w:ascii="仿宋_GB2312" w:hAnsi="仿宋_GB2312" w:eastAsia="仿宋_GB2312" w:cs="仿宋_GB2312"/>
          <w:b w:val="0"/>
          <w:sz w:val="28"/>
        </w:rPr>
        <w:t>＝11.6047×8.5%</w:t>
      </w:r>
    </w:p>
    <w:p>
      <w:pPr>
        <w:spacing w:before="0" w:after="0" w:line="480" w:lineRule="exact"/>
        <w:ind w:firstLine="561"/>
      </w:pPr>
      <w:r>
        <w:rPr>
          <w:rFonts w:ascii="仿宋_GB2312" w:hAnsi="仿宋_GB2312" w:eastAsia="仿宋_GB2312" w:cs="仿宋_GB2312"/>
          <w:b w:val="0"/>
          <w:sz w:val="28"/>
        </w:rPr>
        <w:t>＝0.9864（万元）</w:t>
      </w:r>
    </w:p>
    <w:p>
      <w:pPr>
        <w:spacing w:before="0" w:after="0" w:line="480" w:lineRule="exact"/>
        <w:ind w:firstLine="561"/>
      </w:pPr>
      <w:r>
        <w:rPr>
          <w:rFonts w:ascii="仿宋_GB2312" w:hAnsi="仿宋_GB2312" w:eastAsia="仿宋_GB2312" w:cs="仿宋_GB2312"/>
          <w:b w:val="0"/>
          <w:sz w:val="28"/>
        </w:rPr>
        <w:t>5、土地年纯收益</w:t>
      </w:r>
    </w:p>
    <w:p>
      <w:pPr>
        <w:spacing w:before="0" w:after="0" w:line="480" w:lineRule="exact"/>
        <w:ind w:firstLine="561"/>
      </w:pPr>
      <w:r>
        <w:rPr>
          <w:rFonts w:ascii="仿宋_GB2312" w:hAnsi="仿宋_GB2312" w:eastAsia="仿宋_GB2312" w:cs="仿宋_GB2312"/>
          <w:b w:val="0"/>
          <w:sz w:val="28"/>
        </w:rPr>
        <w:t>土地年纯收益＝房地年纯收益-房屋年纯收益</w:t>
      </w:r>
    </w:p>
    <w:p>
      <w:pPr>
        <w:spacing w:before="0" w:after="0" w:line="480" w:lineRule="exact"/>
        <w:ind w:firstLine="561"/>
      </w:pPr>
      <w:r>
        <w:rPr>
          <w:rFonts w:ascii="仿宋_GB2312" w:hAnsi="仿宋_GB2312" w:eastAsia="仿宋_GB2312" w:cs="仿宋_GB2312"/>
          <w:b w:val="0"/>
          <w:sz w:val="28"/>
        </w:rPr>
        <w:t>＝1.9076-0.9864</w:t>
      </w:r>
    </w:p>
    <w:p>
      <w:pPr>
        <w:spacing w:before="0" w:after="0" w:line="480" w:lineRule="exact"/>
        <w:ind w:firstLine="561"/>
      </w:pPr>
      <w:r>
        <w:rPr>
          <w:rFonts w:ascii="仿宋_GB2312" w:hAnsi="仿宋_GB2312" w:eastAsia="仿宋_GB2312" w:cs="仿宋_GB2312"/>
          <w:b w:val="0"/>
          <w:sz w:val="28"/>
        </w:rPr>
        <w:t>＝0.9212（万元）</w:t>
      </w:r>
    </w:p>
    <w:p>
      <w:pPr>
        <w:spacing w:before="0" w:after="0" w:line="480" w:lineRule="exact"/>
        <w:ind w:firstLine="561"/>
      </w:pPr>
      <w:r>
        <w:rPr>
          <w:rFonts w:ascii="仿宋_GB2312" w:hAnsi="仿宋_GB2312" w:eastAsia="仿宋_GB2312" w:cs="仿宋_GB2312"/>
          <w:b w:val="0"/>
          <w:sz w:val="28"/>
        </w:rPr>
        <w:t>6、计算待估宗地总地价</w:t>
      </w:r>
    </w:p>
    <w:p>
      <w:pPr>
        <w:spacing w:before="0" w:after="0" w:line="480" w:lineRule="exact"/>
        <w:ind w:firstLine="561"/>
      </w:pPr>
      <w:r>
        <w:rPr>
          <w:rFonts w:ascii="仿宋_GB2312" w:hAnsi="仿宋_GB2312" w:eastAsia="仿宋_GB2312" w:cs="仿宋_GB2312"/>
          <w:b w:val="0"/>
          <w:sz w:val="28"/>
        </w:rPr>
        <w:t>总地价＝土地年纯收益÷r×[1-1/（1＋r）^n]</w:t>
      </w:r>
    </w:p>
    <w:p>
      <w:pPr>
        <w:spacing w:before="0" w:after="0" w:line="480" w:lineRule="exact"/>
        <w:ind w:firstLine="561"/>
      </w:pPr>
      <w:r>
        <w:rPr>
          <w:rFonts w:ascii="仿宋_GB2312" w:hAnsi="仿宋_GB2312" w:eastAsia="仿宋_GB2312" w:cs="仿宋_GB2312"/>
          <w:b w:val="0"/>
          <w:sz w:val="28"/>
        </w:rPr>
        <w:t>其中：r——土地还原率6.5%。</w:t>
      </w:r>
    </w:p>
    <w:p>
      <w:pPr>
        <w:spacing w:before="0" w:after="0" w:line="480" w:lineRule="exact"/>
        <w:ind w:firstLine="561"/>
      </w:pPr>
      <w:r>
        <w:rPr>
          <w:rFonts w:ascii="仿宋_GB2312" w:hAnsi="仿宋_GB2312" w:eastAsia="仿宋_GB2312" w:cs="仿宋_GB2312"/>
          <w:b w:val="0"/>
          <w:sz w:val="28"/>
        </w:rPr>
        <w:t>n——待估宗地土地使用年期70年。</w:t>
      </w:r>
    </w:p>
    <w:p>
      <w:pPr>
        <w:spacing w:before="0" w:after="0" w:line="480" w:lineRule="exact"/>
        <w:ind w:firstLine="561"/>
      </w:pPr>
      <w:r>
        <w:rPr>
          <w:rFonts w:ascii="仿宋_GB2312" w:hAnsi="仿宋_GB2312" w:eastAsia="仿宋_GB2312" w:cs="仿宋_GB2312"/>
          <w:b w:val="0"/>
          <w:sz w:val="28"/>
        </w:rPr>
        <w:t>＝0.9212÷6.5%×[1-1/（1+6.5%）^70]</w:t>
      </w:r>
    </w:p>
    <w:p>
      <w:pPr>
        <w:spacing w:before="0" w:after="0" w:line="480" w:lineRule="exact"/>
        <w:ind w:firstLine="561"/>
      </w:pPr>
      <w:r>
        <w:rPr>
          <w:rFonts w:ascii="仿宋_GB2312" w:hAnsi="仿宋_GB2312" w:eastAsia="仿宋_GB2312" w:cs="仿宋_GB2312"/>
          <w:b w:val="0"/>
          <w:sz w:val="28"/>
        </w:rPr>
        <w:t>＝13.9997（万元）</w:t>
      </w:r>
    </w:p>
    <w:p>
      <w:pPr>
        <w:spacing w:before="0" w:after="0" w:line="480" w:lineRule="exact"/>
        <w:ind w:firstLine="561"/>
      </w:pPr>
      <w:r>
        <w:rPr>
          <w:rFonts w:ascii="仿宋_GB2312" w:hAnsi="仿宋_GB2312" w:eastAsia="仿宋_GB2312" w:cs="仿宋_GB2312"/>
          <w:b w:val="0"/>
          <w:sz w:val="28"/>
        </w:rPr>
        <w:t>7、计算宗地单位面积地价</w:t>
      </w:r>
    </w:p>
    <w:p>
      <w:pPr>
        <w:spacing w:before="0" w:after="0" w:line="480" w:lineRule="exact"/>
        <w:ind w:firstLine="561"/>
      </w:pPr>
      <w:r>
        <w:rPr>
          <w:rFonts w:ascii="仿宋_GB2312" w:hAnsi="仿宋_GB2312" w:eastAsia="仿宋_GB2312" w:cs="仿宋_GB2312"/>
          <w:b w:val="0"/>
          <w:sz w:val="28"/>
        </w:rPr>
        <w:t>单位面积地价＝总地价÷总用地面积</w:t>
      </w:r>
    </w:p>
    <w:p>
      <w:pPr>
        <w:spacing w:before="0" w:after="0" w:line="480" w:lineRule="exact"/>
        <w:ind w:firstLine="561"/>
      </w:pPr>
      <w:r>
        <w:rPr>
          <w:rFonts w:ascii="仿宋_GB2312" w:hAnsi="仿宋_GB2312" w:eastAsia="仿宋_GB2312" w:cs="仿宋_GB2312"/>
          <w:b w:val="0"/>
          <w:sz w:val="28"/>
        </w:rPr>
        <w:t>＝13.9997×10000÷50</w:t>
      </w:r>
    </w:p>
    <w:p>
      <w:pPr>
        <w:spacing w:before="0" w:after="0" w:line="480" w:lineRule="exact"/>
        <w:ind w:firstLine="561"/>
      </w:pPr>
      <w:r>
        <w:rPr>
          <w:rFonts w:ascii="仿宋_GB2312" w:hAnsi="仿宋_GB2312" w:eastAsia="仿宋_GB2312" w:cs="仿宋_GB2312"/>
          <w:b w:val="0"/>
          <w:sz w:val="28"/>
        </w:rPr>
        <w:t>＝2799.9（元/平方米）</w:t>
      </w:r>
    </w:p>
    <w:p>
      <w:pPr>
        <w:spacing w:before="0" w:after="0" w:line="480" w:lineRule="exact"/>
        <w:ind w:firstLine="561"/>
      </w:pPr>
      <w:r>
        <w:rPr>
          <w:rFonts w:ascii="仿宋_GB2312" w:hAnsi="仿宋_GB2312" w:eastAsia="仿宋_GB2312" w:cs="仿宋_GB2312"/>
          <w:b w:val="0"/>
          <w:sz w:val="28"/>
        </w:rPr>
        <w:t>收益还原法测算地价的结果为：估价对象于估价期日2026-06-01，在设定土地用途，设定土地使用年限，设定土地开发程度，现状利用条件下的国有土地出让使用权价格为住宅用地2799.9元/平方米。</w:t>
      </w:r>
    </w:p>
    <w:p w14:paraId="4A47F4FD">
      <w:pPr>
        <w:widowControl/>
        <w:spacing w:line="480" w:lineRule="exact" w:before="0" w:after="0"/>
        <w:ind w:firstLine="562" w:firstLineChars="200"/>
        <w:textAlignment w:val="baseline"/>
        <w:outlineLvl w:val="2"/>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pPr>
      <w:r>
        <w:rPr>
          <w:rFonts w:hint="eastAsia" w:ascii="宋体" w:hAnsi="宋体" w:eastAsia="宋体" w:cs="宋体"/>
          <w:b/>
          <w:bCs w:val="0"/>
          <w:color w:val="000000" w:themeColor="text1"/>
          <w:sz w:val="28"/>
          <w:szCs w:val="22"/>
          <w:highlight w:val="none"/>
          <w14:textFill>
            <w14:solidFill>
              <w14:schemeClr w14:val="tx1"/>
            </w14:solidFill>
          </w14:textFill>
        </w:rPr>
        <w:t>三、地价的确定</w:t>
      </w:r>
    </w:p>
    <w:p w14:paraId="3A56CC1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pPr>
        <w:spacing w:before="0" w:after="0" w:line="480" w:lineRule="exact"/>
        <w:ind w:left="561" w:firstLine="0"/>
      </w:pPr>
      <w:r>
        <w:rPr>
          <w:rFonts w:ascii="仿宋_GB2312" w:hAnsi="仿宋_GB2312" w:eastAsia="仿宋_GB2312" w:cs="仿宋_GB2312"/>
          <w:sz w:val="28"/>
        </w:rPr>
        <w:t>{{ final_price_determination }}</w:t>
      </w:r>
    </w:p>
    <w:p w14:paraId="11DF4AFC">
      <w:pPr>
        <w:keepNext/>
        <w:spacing w:line="480" w:lineRule="exact" w:before="157" w:after="10"/>
        <w:ind w:left="0" w:right="0" w:firstLine="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表3-15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2"/>
        <w:gridCol w:w="1391"/>
        <w:gridCol w:w="781"/>
        <w:gridCol w:w="1144"/>
        <w:gridCol w:w="778"/>
        <w:gridCol w:w="1215"/>
        <w:gridCol w:w="1547"/>
      </w:tblGrid>
      <w:tr w14:paraId="15AE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36FE622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8571F57">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40D6C18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77F4F568">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1105B5B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6709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35D1D65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37C6694C">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167E3BA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348ED81C">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545C8DD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30F53B8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5233A95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5164A0A2">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6967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6A9762E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
              <w:rPr>
                <w:rFonts w:ascii="仿宋_GB2312" w:hAnsi="仿宋_GB2312" w:eastAsia="仿宋_GB2312" w:cs="仿宋_GB2312"/>
                <w:color w:val="000000"/>
              </w:rPr>
              <w:t>{{ land_location }}</w:t>
            </w:r>
          </w:p>
        </w:tc>
        <w:tc>
          <w:tcPr>
            <w:tcW w:w="1391" w:type="dxa"/>
            <w:shd w:val="clear" w:color="auto" w:fill="auto"/>
            <w:vAlign w:val="center"/>
          </w:tcPr>
          <w:p w14:paraId="1267EF5E">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cost_approx_price }}</w:t>
            </w:r>
          </w:p>
        </w:tc>
        <w:tc>
          <w:tcPr>
            <w:tcW w:w="781" w:type="dxa"/>
            <w:shd w:val="clear" w:color="auto" w:fill="auto"/>
            <w:vAlign w:val="center"/>
          </w:tcPr>
          <w:p w14:paraId="45C495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5CB8A43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market_comp_price }}</w:t>
            </w:r>
          </w:p>
        </w:tc>
        <w:tc>
          <w:tcPr>
            <w:tcW w:w="778" w:type="dxa"/>
            <w:shd w:val="clear" w:color="auto" w:fill="auto"/>
            <w:vAlign w:val="center"/>
          </w:tcPr>
          <w:p w14:paraId="474D5C1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0C2B8619">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final_unit_price }}</w:t>
            </w:r>
          </w:p>
        </w:tc>
        <w:tc>
          <w:tcPr>
            <w:tcW w:w="1547" w:type="dxa"/>
            <w:shd w:val="clear" w:color="auto" w:fill="auto"/>
            <w:vAlign w:val="center"/>
          </w:tcPr>
          <w:p w14:paraId="7487E7C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final_total_price }}</w:t>
            </w:r>
          </w:p>
        </w:tc>
      </w:tr>
    </w:tbl>
    <w:p w14:paraId="196F8A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pPr>
        <w:spacing w:before="0" w:after="0" w:line="480" w:lineRule="exact"/>
        <w:ind w:left="561" w:firstLine="0"/>
      </w:pPr>
      <w:r>
        <w:rPr>
          <w:rFonts w:ascii="仿宋_GB2312" w:hAnsi="仿宋_GB2312" w:eastAsia="仿宋_GB2312" w:cs="仿宋_GB2312"/>
          <w:sz w:val="28"/>
        </w:rPr>
        <w:t>{{ valuation_result_statement }}</w:t>
      </w:r>
    </w:p>
    <w:p w14:paraId="414F5B82">
      <w:pPr>
        <w:pageBreakBefore/>
        <w:tabs>
          <w:tab w:val="left" w:pos="-105"/>
          <w:tab w:val="left" w:pos="735"/>
          <w:tab w:val="left" w:pos="1785"/>
        </w:tabs>
        <w:adjustRightInd w:val="0"/>
        <w:snapToGrid w:val="0"/>
        <w:spacing w:line="560" w:lineRule="exact" w:before="0" w:after="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第四部分    附   件</w:t>
      </w:r>
    </w:p>
    <w:p w14:paraId="532421ED">
      <w:pPr>
        <w:tabs>
          <w:tab w:val="left" w:pos="-105"/>
          <w:tab w:val="left" w:pos="735"/>
          <w:tab w:val="left" w:pos="1785"/>
        </w:tabs>
        <w:adjustRightInd w:val="0"/>
        <w:snapToGrid w:val="0"/>
        <w:spacing w:line="400" w:lineRule="exact"/>
        <w:rPr>
          <w:rFonts w:ascii="仿宋_GB2312" w:eastAsia="仿宋_GB2312"/>
          <w:bCs/>
          <w:color w:val="000000" w:themeColor="text1"/>
          <w:sz w:val="28"/>
          <w:szCs w:val="2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41DB365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ABB72F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1BD9A75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3.{{ basis_docs_rendered }}；</w:t>
      </w:r>
    </w:p>
    <w:p w14:paraId="2B0E6F2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549BA5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county_name }}{{ land_plot_number }}号地块建设用地规划红线图》；</w:t>
      </w:r>
      <w:r>
        <w:rPr>
          <w:rFonts w:ascii="仿宋_GB2312" w:hAnsi="仿宋_GB2312" w:eastAsia="仿宋_GB2312" w:cs="仿宋_GB2312"/>
          <w:color w:val="000000"/>
          <w:sz w:val="28"/>
        </w:rPr>
      </w:r>
    </w:p>
    <w:p w14:paraId="1ABF9B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2FCF6B5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401D1AE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285238A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2C03AEC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31128B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5AF61568">
      <w:pPr>
        <w:spacing w:before="0" w:after="0" w:line="480" w:lineRule="exact"/>
        <w:jc w:val="right"/>
        <w:rPr>
          <w:color w:val="000000" w:themeColor="text1"/>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（以上资料均为复印件）</w:t>
      </w:r>
    </w:p>
    <w:p w14:paraId="562BE5F1">
      <w:pPr>
        <w:rPr>
          <w:highlight w:val="none"/>
        </w:rPr>
      </w:pPr>
    </w:p>
    <w:sectPr>
      <w:footerReference r:id="rId28"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昆仑仿宋">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7F603">
    <w:pPr>
      <w:pStyle w:val="7"/>
      <w:pBdr>
        <w:bottom w:val="single" w:color="auto" w:sz="6" w:space="1"/>
      </w:pBdr>
      <w:rPr>
        <w:rFonts w:ascii="仿宋_GB2312" w:eastAsia="仿宋_GB2312"/>
        <w:sz w:val="21"/>
        <w:szCs w:val="21"/>
      </w:rPr>
    </w:pPr>
  </w:p>
  <w:p w14:paraId="39535968">
    <w:pPr>
      <w:pStyle w:val="7"/>
    </w:pPr>
    <w:r/>
    <w:r>
      <w:rPr>
        <w:rFonts w:ascii="仿宋_GB2312" w:hAnsi="仿宋_GB2312" w:eastAsia="仿宋_GB2312" w:cs="仿宋_GB2312"/>
        <w:sz w:val="21"/>
      </w:rPr>
      <w:t xml:space="preserve"> {{ appraisal_org }}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7175C">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25BEE">
    <w:pPr>
      <w:pStyle w:val="7"/>
    </w:pPr>
    <w:r>
      <w:rPr>
        <w:sz w:val="18"/>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9A5A0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YzS4AzAgAAYwQAAA4AAABkcnMvZTJvRG9jLnhtbK1UzY7TMBC+I/EO&#10;lu80aVes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YzS4AzAgAAYwQAAA4AAAAAAAAAAQAgAAAAHwEAAGRycy9lMm9Eb2MueG1sUEsF&#10;BgAAAAAGAAYAWQEAAMQFAAAAAA==&#10;">
              <v:fill on="f" focussize="0,0"/>
              <v:stroke on="f" weight="0.5pt"/>
              <v:imagedata o:title=""/>
              <o:lock v:ext="edit" aspectratio="f"/>
              <v:textbox inset="0mm,0mm,0mm,0mm" style="mso-fit-shape-to-text:t;">
                <w:txbxContent>
                  <w:p w14:paraId="5E9A5A05">
                    <w:pPr>
                      <w:pStyle w:val="7"/>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57785" cy="131445"/>
              <wp:effectExtent l="0" t="0" r="0" b="0"/>
              <wp:wrapNone/>
              <wp:docPr id="9" name="文本框 13"/>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6D1EA53C">
                          <w:pPr>
                            <w:snapToGrid w:val="0"/>
                            <w:rPr>
                              <w:sz w:val="18"/>
                            </w:rPr>
                          </w:pPr>
                        </w:p>
                      </w:txbxContent>
                    </wps:txbx>
                    <wps:bodyPr wrap="square" lIns="0" tIns="0" rIns="0" bIns="0"/>
                  </wps:wsp>
                </a:graphicData>
              </a:graphic>
            </wp:anchor>
          </w:drawing>
        </mc:Choice>
        <mc:Fallback>
          <w:pict>
            <v:shape id="文本框 13" o:spid="_x0000_s1026" o:spt="202" type="#_x0000_t202" style="position:absolute;left:0pt;margin-top:0pt;height:10.35pt;width:4.55pt;mso-position-horizontal:right;mso-position-horizontal-relative:margin;z-index:25166233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OoCma+AQAAcwMAAA4AAAAAAAAAAQAgAAAAIgEAAGRycy9lMm9Eb2MueG1sUEsF&#10;BgAAAAAGAAYAWQEAAFIFAAAAAA==&#10;">
              <v:fill on="f" focussize="0,0"/>
              <v:stroke on="f"/>
              <v:imagedata o:title=""/>
              <o:lock v:ext="edit" aspectratio="f"/>
              <v:textbox inset="0mm,0mm,0mm,0mm">
                <w:txbxContent>
                  <w:p w14:paraId="6D1EA53C">
                    <w:pPr>
                      <w:snapToGrid w:val="0"/>
                      <w:rPr>
                        <w:sz w:val="18"/>
                      </w:rPr>
                    </w:pP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5715000</wp:posOffset>
              </wp:positionH>
              <wp:positionV relativeFrom="paragraph">
                <wp:posOffset>13335</wp:posOffset>
              </wp:positionV>
              <wp:extent cx="114935" cy="131445"/>
              <wp:effectExtent l="0" t="0" r="0" b="0"/>
              <wp:wrapNone/>
              <wp:docPr id="7" name="文本框 10"/>
              <wp:cNvGraphicFramePr/>
              <a:graphic xmlns:a="http://schemas.openxmlformats.org/drawingml/2006/main">
                <a:graphicData uri="http://schemas.microsoft.com/office/word/2010/wordprocessingShape">
                  <wps:wsp>
                    <wps:cNvSpPr txBox="1"/>
                    <wps:spPr>
                      <a:xfrm>
                        <a:off x="0" y="0"/>
                        <a:ext cx="114935" cy="131445"/>
                      </a:xfrm>
                      <a:prstGeom prst="rect">
                        <a:avLst/>
                      </a:prstGeom>
                      <a:noFill/>
                      <a:ln>
                        <a:noFill/>
                      </a:ln>
                    </wps:spPr>
                    <wps:txbx>
                      <w:txbxContent>
                        <w:p w14:paraId="793EDD3D">
                          <w:pPr>
                            <w:snapToGrid w:val="0"/>
                            <w:rPr>
                              <w:sz w:val="18"/>
                            </w:rPr>
                          </w:pPr>
                        </w:p>
                      </w:txbxContent>
                    </wps:txbx>
                    <wps:bodyPr wrap="square" lIns="0" tIns="0" rIns="0" bIns="0" upright="1"/>
                  </wps:wsp>
                </a:graphicData>
              </a:graphic>
            </wp:anchor>
          </w:drawing>
        </mc:Choice>
        <mc:Fallback>
          <w:pict>
            <v:shape id="文本框 10" o:spid="_x0000_s1026" o:spt="202" type="#_x0000_t202" style="position:absolute;left:0pt;margin-left:450pt;margin-top:1.05pt;height:10.35pt;width:9.05pt;mso-position-horizontal-relative:margin;z-index:251660288;mso-width-relative:page;mso-height-relative:page;" filled="f" stroked="f" coordsize="21600,21600" o:gfxdata="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Q6m0J1gAAAAgBAAAPAAAAAAAAAAEAIAAAACIAAABkcnMvZG93bnJldi54&#10;bWxQSwECFAAUAAAACACHTuJAvV5v3cMBAACAAwAADgAAAAAAAAABACAAAAAlAQAAZHJzL2Uyb0Rv&#10;Yy54bWxQSwUGAAAAAAYABgBZAQAAWgUAAAAA&#10;">
              <v:fill on="f" focussize="0,0"/>
              <v:stroke on="f"/>
              <v:imagedata o:title=""/>
              <o:lock v:ext="edit" aspectratio="f"/>
              <v:textbox inset="0mm,0mm,0mm,0mm">
                <w:txbxContent>
                  <w:p w14:paraId="793EDD3D">
                    <w:pPr>
                      <w:snapToGrid w:val="0"/>
                      <w:rPr>
                        <w:sz w:val="18"/>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C7D12">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195580</wp:posOffset>
              </wp:positionV>
              <wp:extent cx="212090" cy="143510"/>
              <wp:effectExtent l="0" t="0" r="0" b="0"/>
              <wp:wrapNone/>
              <wp:docPr id="10" name="文本框 9"/>
              <wp:cNvGraphicFramePr/>
              <a:graphic xmlns:a="http://schemas.openxmlformats.org/drawingml/2006/main">
                <a:graphicData uri="http://schemas.microsoft.com/office/word/2010/wordprocessingShape">
                  <wps:wsp>
                    <wps:cNvSpPr txBox="1"/>
                    <wps:spPr>
                      <a:xfrm>
                        <a:off x="0" y="0"/>
                        <a:ext cx="212090" cy="143510"/>
                      </a:xfrm>
                      <a:prstGeom prst="rect">
                        <a:avLst/>
                      </a:prstGeom>
                      <a:noFill/>
                      <a:ln>
                        <a:noFill/>
                      </a:ln>
                    </wps:spPr>
                    <wps:txbx>
                      <w:txbxContent>
                        <w:p w14:paraId="0697E14A">
                          <w:pPr>
                            <w:snapToGrid w:val="0"/>
                            <w:rPr>
                              <w:sz w:val="18"/>
                            </w:rPr>
                          </w:pPr>
                        </w:p>
                      </w:txbxContent>
                    </wps:txbx>
                    <wps:bodyPr wrap="square" lIns="0" tIns="0" rIns="0" bIns="0"/>
                  </wps:wsp>
                </a:graphicData>
              </a:graphic>
            </wp:anchor>
          </w:drawing>
        </mc:Choice>
        <mc:Fallback>
          <w:pict>
            <v:shape id="文本框 9" o:spid="_x0000_s1026" o:spt="202" type="#_x0000_t202" style="position:absolute;left:0pt;margin-top:15.4pt;height:11.3pt;width:16.7pt;mso-position-horizontal:right;mso-position-horizontal-relative:margin;z-index:251663360;mso-width-relative:page;mso-height-relative:page;" filled="f" stroked="f" coordsize="21600,21600" o:gfxdata="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nWKSh1AAAAAUBAAAPAAAAAAAAAAEAIAAAACIAAABkcnMvZG93bnJldi54bWxQSwECFAAU&#10;AAAACACHTuJA83Oqc7wBAAB0AwAADgAAAAAAAAABACAAAAAjAQAAZHJzL2Uyb0RvYy54bWxQSwUG&#10;AAAAAAYABgBZAQAAUQUAAAAA&#10;">
              <v:fill on="f" focussize="0,0"/>
              <v:stroke on="f"/>
              <v:imagedata o:title=""/>
              <o:lock v:ext="edit" aspectratio="f"/>
              <v:textbox inset="0mm,0mm,0mm,0mm">
                <w:txbxContent>
                  <w:p w14:paraId="0697E14A">
                    <w:pPr>
                      <w:snapToGrid w:val="0"/>
                      <w:rPr>
                        <w:sz w:val="18"/>
                      </w:rPr>
                    </w:pPr>
                  </w:p>
                </w:txbxContent>
              </v:textbox>
            </v:shape>
          </w:pict>
        </mc:Fallback>
      </mc:AlternateContent>
    </w:r>
  </w:p>
  <w:p w14:paraId="68931304">
    <w:pPr>
      <w:pStyle w:val="7"/>
      <w:pBdr>
        <w:top w:val="none" w:color="auto" w:sz="0" w:space="0"/>
        <w:left w:val="none" w:color="auto" w:sz="0" w:space="0"/>
        <w:bottom w:val="none" w:color="auto" w:sz="0" w:space="0"/>
        <w:right w:val="none" w:color="auto" w:sz="0" w:space="0"/>
        <w:between w:val="none" w:color="auto" w:sz="0" w:space="0"/>
      </w:pBdr>
      <w:jc w:val="both"/>
    </w:pPr>
    <w:r>
      <w:rPr>
        <w:sz w:val="21"/>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F11EF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1CF11EFC">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仿宋_GB2312" w:hAnsi="仿宋_GB2312" w:eastAsia="仿宋_GB2312" w:cs="仿宋_GB2312"/>
        <w:spacing w:val="14"/>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30FD40D0">
                          <w:pPr>
                            <w:pStyle w:val="7"/>
                            <w:jc w:val="left"/>
                          </w:pPr>
                          <w:r>
                            <w:rPr>
                              <w:rFonts w:hint="eastAsia" w:ascii="仿宋_GB2312" w:eastAsia="仿宋_GB2312"/>
                              <w:sz w:val="21"/>
                              <w:szCs w:val="21"/>
                            </w:rPr>
                            <w:t>　　</w:t>
                          </w:r>
                        </w:p>
                      </w:txbxContent>
                    </wps:txbx>
                    <wps:bodyPr vert="horz" wrap="none" lIns="0" tIns="0" rIns="0" bIns="0" anchor="t">
                      <a:spAutoFit/>
                    </wps:bodyPr>
                  </wps:wsp>
                </a:graphicData>
              </a:graphic>
            </wp:anchor>
          </w:drawing>
        </mc:Choice>
        <mc:Fallback>
          <w:pict>
            <v:shape id="文本框 9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GhpgkvTAAAABQEAAA8AAAAAAAAAAQAg&#10;AAAAIgAAAGRycy9kb3ducmV2LnhtbFBLAQIUABQAAAAIAIdO4kB+9joV2gEAALADAAAOAAAAAAAA&#10;AAEAIAAAACIBAABkcnMvZTJvRG9jLnhtbFBLBQYAAAAABgAGAFkBAABuBQAAAAA=&#10;">
              <v:fill on="f" focussize="0,0"/>
              <v:stroke on="f" weight="1.25pt"/>
              <v:imagedata o:title=""/>
              <o:lock v:ext="edit" aspectratio="f"/>
              <v:textbox inset="0mm,0mm,0mm,0mm" style="mso-fit-shape-to-text:t;">
                <w:txbxContent>
                  <w:p w14:paraId="30FD40D0">
                    <w:pPr>
                      <w:pStyle w:val="7"/>
                      <w:jc w:val="left"/>
                    </w:pPr>
                    <w:r>
                      <w:rPr>
                        <w:rFonts w:hint="eastAsia" w:ascii="仿宋_GB2312" w:eastAsia="仿宋_GB2312"/>
                        <w:sz w:val="21"/>
                        <w:szCs w:val="21"/>
                      </w:rPr>
                      <w:t>　　</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6C785">
    <w:pPr>
      <w:pStyle w:val="7"/>
      <w:pBdr>
        <w:bottom w:val="single" w:color="auto" w:sz="6" w:space="1"/>
      </w:pBdr>
      <w:rPr>
        <w:rFonts w:ascii="仿宋_GB2312" w:eastAsia="仿宋_GB2312"/>
        <w:sz w:val="21"/>
        <w:szCs w:val="21"/>
      </w:rPr>
    </w:pPr>
  </w:p>
  <w:p w14:paraId="21E1C8D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5"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YuouS+AQAAcgMAAA4AAAAAAAAAAQAgAAAAIgEAAGRycy9lMm9Eb2MueG1sUEsF&#10;BgAAAAAGAAYAWQEAAFIFAAAAAA==&#10;">
              <v:fill on="f" focussize="0,0"/>
              <v:stroke on="f"/>
              <v:imagedata o:title=""/>
              <o:lock v:ext="edit" aspectratio="f"/>
              <v:textbox inset="0mm,0mm,0mm,0mm">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EF68C">
    <w:pPr>
      <w:pStyle w:val="7"/>
      <w:pBdr>
        <w:bottom w:val="single" w:color="auto" w:sz="6" w:space="1"/>
      </w:pBdr>
      <w:rPr>
        <w:rFonts w:ascii="仿宋_GB2312" w:eastAsia="仿宋_GB2312"/>
        <w:sz w:val="21"/>
        <w:szCs w:val="21"/>
      </w:rPr>
    </w:pPr>
  </w:p>
  <w:p w14:paraId="43511147">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0"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P7d5Y2+AQAAcwMAAA4AAAAAAAAAAQAgAAAAIgEAAGRycy9lMm9Eb2MueG1sUEsF&#10;BgAAAAAGAAYAWQEAAFIFAAAAAA==&#10;">
              <v:fill on="f" focussize="0,0"/>
              <v:stroke on="f"/>
              <v:imagedata o:title=""/>
              <o:lock v:ext="edit" aspectratio="f"/>
              <v:textbox inset="0mm,0mm,0mm,0mm">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8D0CA">
    <w:pPr>
      <w:pStyle w:val="7"/>
      <w:pBdr>
        <w:bottom w:val="single" w:color="auto" w:sz="6" w:space="1"/>
      </w:pBdr>
      <w:rPr>
        <w:rFonts w:ascii="仿宋_GB2312" w:eastAsia="仿宋_GB2312"/>
        <w:sz w:val="21"/>
        <w:szCs w:val="21"/>
      </w:rPr>
    </w:pPr>
  </w:p>
  <w:p w14:paraId="40CDE9F3">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57785" cy="131445"/>
              <wp:effectExtent l="0" t="0" r="0" b="0"/>
              <wp:wrapNone/>
              <wp:docPr id="11"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540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r0NBN0wAAAAIBAAAPAAAAAAAAAAEAIAAAACIAAABkcnMvZG93bnJldi54bWxQSwECFAAU&#10;AAAACACHTuJAgEtshL0BAABzAwAADgAAAAAAAAABACAAAAAiAQAAZHJzL2Uyb0RvYy54bWxQSwUG&#10;AAAAAAYABgBZAQAAUQUAAAAA&#10;">
              <v:fill on="f" focussize="0,0"/>
              <v:stroke on="f"/>
              <v:imagedata o:title=""/>
              <o:lock v:ext="edit" aspectratio="f"/>
              <v:textbox inset="0mm,0mm,0mm,0mm">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4F0B1">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281305" cy="214630"/>
              <wp:effectExtent l="0" t="0" r="0" b="0"/>
              <wp:wrapNone/>
              <wp:docPr id="15" name="文本框 9"/>
              <wp:cNvGraphicFramePr/>
              <a:graphic xmlns:a="http://schemas.openxmlformats.org/drawingml/2006/main">
                <a:graphicData uri="http://schemas.microsoft.com/office/word/2010/wordprocessingShape">
                  <wps:wsp>
                    <wps:cNvSpPr txBox="1"/>
                    <wps:spPr>
                      <a:xfrm>
                        <a:off x="0" y="0"/>
                        <a:ext cx="281305" cy="214630"/>
                      </a:xfrm>
                      <a:prstGeom prst="rect">
                        <a:avLst/>
                      </a:prstGeom>
                      <a:noFill/>
                      <a:ln>
                        <a:noFill/>
                      </a:ln>
                    </wps:spPr>
                    <wps:txbx>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6.9pt;width:22.15pt;mso-position-horizontal:right;mso-position-horizontal-relative:margin;z-index:251660288;mso-width-relative:page;mso-height-relative:page;" filled="f" stroked="f" coordsize="21600,21600" o:gfxdata="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YRikJ1AAAAAMBAAAPAAAAAAAAAAEAIAAAACIAAABkcnMvZG93bnJldi54bWxQSwEC&#10;FAAUAAAACACHTuJAMezP4L8BAAB0AwAADgAAAAAAAAABACAAAAAjAQAAZHJzL2Uyb0RvYy54bWxQ&#10;SwUGAAAAAAYABgBZAQAAVAUAAAAA&#10;">
              <v:fill on="f" focussize="0,0"/>
              <v:stroke on="f"/>
              <v:imagedata o:title=""/>
              <o:lock v:ext="edit" aspectratio="f"/>
              <v:textbox inset="0mm,0mm,0mm,0mm">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v:shape>
          </w:pict>
        </mc:Fallback>
      </mc:AlternateContent>
    </w:r>
  </w:p>
  <w:p w14:paraId="63E5D906">
    <w:pPr>
      <w:pStyle w:val="7"/>
    </w:pPr>
    <w:r/>
    <w:r>
      <w:rPr>
        <w:rFonts w:ascii="仿宋_GB2312" w:hAnsi="仿宋_GB2312" w:eastAsia="仿宋_GB2312" w:cs="仿宋_GB2312"/>
        <w:sz w:val="21"/>
      </w:rPr>
      <w:t xml:space="preserve"> {{ appraisal_org }}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CC552">
    <w:pPr>
      <w:pStyle w:val="7"/>
      <w:pBdr>
        <w:top w:val="none" w:color="auto" w:sz="0" w:space="0"/>
        <w:left w:val="none" w:color="auto" w:sz="0" w:space="0"/>
        <w:bottom w:val="none" w:color="auto" w:sz="0" w:space="1"/>
        <w:right w:val="none" w:color="auto" w:sz="0" w:space="0"/>
        <w:between w:val="none" w:color="auto" w:sz="0" w:space="0"/>
      </w:pBdr>
    </w:pPr>
    <w:r/>
    <w:r>
      <w:rPr>
        <w:rFonts w:ascii="仿宋_GB2312" w:hAnsi="仿宋_GB2312" w:eastAsia="仿宋_GB2312" w:cs="仿宋_GB2312"/>
        <w:sz w:val="18"/>
      </w:rPr>
      <w:t xml:space="preserve"> {{ appraisal_org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249C1">
    <w:pPr>
      <w:pStyle w:val="7"/>
    </w:pPr>
    <w:r/>
    <w:r>
      <w:rPr>
        <w:rFonts w:ascii="仿宋_GB2312" w:hAnsi="仿宋_GB2312" w:eastAsia="仿宋_GB2312" w:cs="仿宋_GB2312"/>
        <w:sz w:val="18"/>
      </w:rPr>
      <w:t>{{ appraisal_org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E49B3">
    <w:pPr>
      <w:pStyle w:val="7"/>
      <w:pBdr>
        <w:bottom w:val="single" w:color="auto" w:sz="6" w:space="1"/>
      </w:pBdr>
      <w:rPr>
        <w:rFonts w:ascii="仿宋_GB2312" w:eastAsia="仿宋_GB2312"/>
        <w:sz w:val="21"/>
        <w:szCs w:val="21"/>
      </w:rPr>
    </w:pPr>
  </w:p>
  <w:p w14:paraId="42053632">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18"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HVFfIG+AQAAcwMAAA4AAAAAAAAAAQAgAAAAIgEAAGRycy9lMm9Eb2MueG1sUEsF&#10;BgAAAAAGAAYAWQEAAFIFAAAAAA==&#10;">
              <v:fill on="f" focussize="0,0"/>
              <v:stroke on="f"/>
              <v:imagedata o:title=""/>
              <o:lock v:ext="edit" aspectratio="f"/>
              <v:textbox inset="0mm,0mm,0mm,0mm">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6724A">
    <w:pPr>
      <w:pStyle w:val="7"/>
      <w:pBdr>
        <w:bottom w:val="single" w:color="auto" w:sz="6" w:space="1"/>
      </w:pBdr>
      <w:rPr>
        <w:rFonts w:ascii="仿宋_GB2312" w:eastAsia="仿宋_GB2312"/>
        <w:sz w:val="21"/>
        <w:szCs w:val="21"/>
      </w:rPr>
    </w:pPr>
  </w:p>
  <w:p w14:paraId="2783410E">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4"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JH/J8q+AQAAcwMAAA4AAAAAAAAAAQAgAAAAIgEAAGRycy9lMm9Eb2MueG1sUEsF&#10;BgAAAAAGAAYAWQEAAFIFAAAAAA==&#10;">
              <v:fill on="f" focussize="0,0"/>
              <v:stroke on="f"/>
              <v:imagedata o:title=""/>
              <o:lock v:ext="edit" aspectratio="f"/>
              <v:textbox inset="0mm,0mm,0mm,0mm">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C226F">
    <w:pPr>
      <w:pStyle w:val="7"/>
      <w:pBdr>
        <w:bottom w:val="single" w:color="auto" w:sz="6" w:space="1"/>
      </w:pBdr>
      <w:rPr>
        <w:rFonts w:ascii="仿宋_GB2312" w:eastAsia="仿宋_GB2312"/>
        <w:sz w:val="21"/>
        <w:szCs w:val="21"/>
      </w:rPr>
    </w:pPr>
  </w:p>
  <w:p w14:paraId="70C3430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57785" cy="131445"/>
              <wp:effectExtent l="0" t="0" r="0" b="0"/>
              <wp:wrapNone/>
              <wp:docPr id="27"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745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dK3CK+AQAAcwMAAA4AAAAAAAAAAQAgAAAAIgEAAGRycy9lMm9Eb2MueG1sUEsF&#10;BgAAAAAGAAYAWQEAAFIFAAAAAA==&#10;">
              <v:fill on="f" focussize="0,0"/>
              <v:stroke on="f"/>
              <v:imagedata o:title=""/>
              <o:lock v:ext="edit" aspectratio="f"/>
              <v:textbox inset="0mm,0mm,0mm,0mm">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42AA8">
    <w:pPr>
      <w:pStyle w:val="7"/>
      <w:pBdr>
        <w:bottom w:val="single" w:color="auto" w:sz="6" w:space="1"/>
      </w:pBdr>
      <w:rPr>
        <w:rFonts w:ascii="仿宋_GB2312" w:eastAsia="仿宋_GB2312"/>
        <w:sz w:val="21"/>
        <w:szCs w:val="21"/>
      </w:rPr>
    </w:pPr>
  </w:p>
  <w:p w14:paraId="7B874CD7">
    <w:pPr>
      <w:pStyle w:val="7"/>
    </w:pPr>
    <w:r/>
    <w:r>
      <w:rPr>
        <w:rFonts w:ascii="仿宋_GB2312" w:hAnsi="仿宋_GB2312" w:eastAsia="仿宋_GB2312" w:cs="仿宋_GB2312"/>
        <w:sz w:val="21"/>
      </w:rPr>
      <w:t xml:space="preserve">{{ appraisal_org }}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3C14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report_no }}</w:t>
    </w:r>
  </w:p>
  <w:p w14:paraId="3ABBC4BB">
    <w:pPr>
      <w:pStyle w:val="8"/>
      <w:pBdr>
        <w:top w:val="none" w:color="auto" w:sz="0" w:space="0"/>
        <w:left w:val="none" w:color="auto" w:sz="0" w:space="0"/>
        <w:bottom w:val="none" w:color="auto" w:sz="0" w:space="1"/>
        <w:right w:val="none" w:color="auto" w:sz="0" w:space="0"/>
        <w:between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F92CF">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640FF">
    <w:pPr>
      <w:pStyle w:val="8"/>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AD5A6">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34</w:t>
    </w:r>
    <w:r>
      <w:rPr>
        <w:rFonts w:hint="eastAsia" w:ascii="仿宋_GB2312" w:hAnsi="仿宋_GB2312" w:eastAsia="仿宋_GB2312" w:cs="仿宋_GB2312"/>
        <w:sz w:val="21"/>
        <w:szCs w:val="21"/>
      </w:rPr>
      <w:t>号</w:t>
    </w:r>
  </w:p>
  <w:p w14:paraId="603F9CA6">
    <w:pPr>
      <w:pStyle w:val="8"/>
      <w:pBdr>
        <w:top w:val="none" w:color="auto" w:sz="0" w:space="0"/>
        <w:left w:val="none" w:color="auto" w:sz="0" w:space="0"/>
        <w:bottom w:val="none" w:color="auto" w:sz="0" w:space="1"/>
        <w:right w:val="none" w:color="auto" w:sz="0" w:space="0"/>
        <w:between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047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46AB9">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3FE18">
    <w:pPr>
      <w:pStyle w:val="8"/>
      <w:jc w:val="both"/>
    </w:pPr>
    <w:r>
      <w:drawing>
        <wp:anchor distT="0" distB="0" distL="114300" distR="114300" simplePos="0" relativeHeight="251666432"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DEBA5">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report_no }}</w:t>
    </w:r>
  </w:p>
  <w:p w14:paraId="1607CD45">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82A6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technical_report_no }}</w:t>
    </w:r>
  </w:p>
  <w:p w14:paraId="16860AF1">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1DA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816DA">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CB22F">
    <w:pPr>
      <w:pStyle w:val="8"/>
      <w:jc w:val="both"/>
    </w:pPr>
    <w:r>
      <w:drawing>
        <wp:anchor distT="0" distB="0" distL="114300" distR="114300" simplePos="0" relativeHeight="251668480"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A0179B"/>
    <w:rsid w:val="01AA37AF"/>
    <w:rsid w:val="069833AA"/>
    <w:rsid w:val="0FB82485"/>
    <w:rsid w:val="11553800"/>
    <w:rsid w:val="12531C9B"/>
    <w:rsid w:val="1A6D6AE8"/>
    <w:rsid w:val="1E07311D"/>
    <w:rsid w:val="1F210279"/>
    <w:rsid w:val="1F4B28C0"/>
    <w:rsid w:val="205E3D7E"/>
    <w:rsid w:val="22DF7BFA"/>
    <w:rsid w:val="2D224A15"/>
    <w:rsid w:val="31CF685F"/>
    <w:rsid w:val="3A44225D"/>
    <w:rsid w:val="3AB62A61"/>
    <w:rsid w:val="3F282F28"/>
    <w:rsid w:val="3FBA0B4E"/>
    <w:rsid w:val="428A3831"/>
    <w:rsid w:val="44452090"/>
    <w:rsid w:val="46A0179B"/>
    <w:rsid w:val="50C86CD0"/>
    <w:rsid w:val="51027B59"/>
    <w:rsid w:val="56313756"/>
    <w:rsid w:val="5C9719EC"/>
    <w:rsid w:val="5F6841AD"/>
    <w:rsid w:val="5FCF78A6"/>
    <w:rsid w:val="64351986"/>
    <w:rsid w:val="670A5468"/>
    <w:rsid w:val="693B342C"/>
    <w:rsid w:val="6C5D6B7B"/>
    <w:rsid w:val="6D833554"/>
    <w:rsid w:val="729F57FE"/>
    <w:rsid w:val="78DA7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99"/>
    <w:pPr>
      <w:spacing w:after="120"/>
      <w:ind w:left="420" w:leftChars="200" w:firstLine="420" w:firstLineChars="200"/>
    </w:pPr>
    <w:rPr>
      <w:sz w:val="21"/>
      <w:szCs w:val="24"/>
    </w:rPr>
  </w:style>
  <w:style w:type="paragraph" w:styleId="3">
    <w:name w:val="Body Text Indent"/>
    <w:basedOn w:val="1"/>
    <w:next w:val="4"/>
    <w:qFormat/>
    <w:uiPriority w:val="0"/>
    <w:pPr>
      <w:spacing w:line="520" w:lineRule="exact"/>
      <w:ind w:left="360"/>
    </w:pPr>
    <w:rPr>
      <w:sz w:val="28"/>
    </w:rPr>
  </w:style>
  <w:style w:type="paragraph" w:customStyle="1" w:styleId="4">
    <w:name w:val="标准"/>
    <w:basedOn w:val="1"/>
    <w:qFormat/>
    <w:uiPriority w:val="0"/>
    <w:pPr>
      <w:autoSpaceDE w:val="0"/>
      <w:autoSpaceDN w:val="0"/>
      <w:adjustRightInd w:val="0"/>
      <w:spacing w:line="480" w:lineRule="atLeast"/>
      <w:textAlignment w:val="bottom"/>
    </w:pPr>
    <w:rPr>
      <w:rFonts w:ascii="昆仑仿宋" w:eastAsia="昆仑仿宋"/>
      <w:spacing w:val="40"/>
      <w:kern w:val="0"/>
      <w:sz w:val="28"/>
      <w:szCs w:val="20"/>
    </w:rPr>
  </w:style>
  <w:style w:type="paragraph" w:styleId="5">
    <w:name w:val="annotation text"/>
    <w:basedOn w:val="1"/>
    <w:qFormat/>
    <w:uiPriority w:val="0"/>
    <w:pPr>
      <w:jc w:val="left"/>
    </w:pPr>
  </w:style>
  <w:style w:type="paragraph" w:styleId="6">
    <w:name w:val="Plain Text"/>
    <w:basedOn w:val="1"/>
    <w:qFormat/>
    <w:uiPriority w:val="0"/>
    <w:rPr>
      <w:rFonts w:ascii="宋体"/>
      <w:sz w:val="2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1表格文字压缩"/>
    <w:basedOn w:val="1"/>
    <w:next w:val="1"/>
    <w:autoRedefine/>
    <w:qFormat/>
    <w:uiPriority w:val="0"/>
    <w:pPr>
      <w:widowControl/>
      <w:spacing w:line="260" w:lineRule="exact"/>
      <w:jc w:val="center"/>
      <w:textAlignment w:val="center"/>
    </w:pPr>
    <w:rPr>
      <w:rFonts w:ascii="仿宋_GB2312" w:hAnsi="宋体" w:eastAsia="仿宋_GB2312" w:cs="宋体"/>
      <w:spacing w:val="-20"/>
      <w:kern w:val="0"/>
      <w:szCs w:val="21"/>
    </w:rPr>
  </w:style>
  <w:style w:type="paragraph" w:customStyle="1" w:styleId="13">
    <w:name w:val="四号仿宋28磅"/>
    <w:basedOn w:val="1"/>
    <w:autoRedefine/>
    <w:qFormat/>
    <w:uiPriority w:val="0"/>
    <w:pPr>
      <w:spacing w:line="560" w:lineRule="exact"/>
      <w:ind w:firstLine="200" w:firstLineChars="200"/>
    </w:pPr>
    <w:rPr>
      <w:rFonts w:ascii="仿宋_GB2312" w:eastAsia="仿宋_GB2312"/>
      <w:sz w:val="28"/>
    </w:rPr>
  </w:style>
  <w:style w:type="paragraph" w:customStyle="1" w:styleId="14">
    <w:name w:val="列出段落1"/>
    <w:basedOn w:val="15"/>
    <w:autoRedefine/>
    <w:qFormat/>
    <w:uiPriority w:val="0"/>
    <w:pPr>
      <w:ind w:firstLine="420" w:firstLineChars="200"/>
    </w:pPr>
  </w:style>
  <w:style w:type="paragraph" w:customStyle="1" w:styleId="15">
    <w:name w:val="正文_10_43"/>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6">
    <w:name w:val="font81"/>
    <w:basedOn w:val="11"/>
    <w:qFormat/>
    <w:uiPriority w:val="0"/>
    <w:rPr>
      <w:rFonts w:hint="eastAsia" w:ascii="仿宋" w:hAnsi="仿宋" w:eastAsia="仿宋" w:cs="仿宋"/>
      <w:color w:val="000000"/>
      <w:sz w:val="21"/>
      <w:szCs w:val="21"/>
      <w:u w:val="none"/>
    </w:rPr>
  </w:style>
  <w:style w:type="character" w:customStyle="1" w:styleId="17">
    <w:name w:val="font91"/>
    <w:basedOn w:val="11"/>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image" Target="media/image13.jpeg"/><Relationship Id="rId44" Type="http://schemas.openxmlformats.org/officeDocument/2006/relationships/image" Target="media/image12.jpeg"/><Relationship Id="rId43" Type="http://schemas.openxmlformats.org/officeDocument/2006/relationships/image" Target="media/image11.png"/><Relationship Id="rId42" Type="http://schemas.openxmlformats.org/officeDocument/2006/relationships/image" Target="media/image10.jpeg"/><Relationship Id="rId41" Type="http://schemas.openxmlformats.org/officeDocument/2006/relationships/image" Target="media/image9.png"/><Relationship Id="rId40" Type="http://schemas.openxmlformats.org/officeDocument/2006/relationships/image" Target="media/image8.png"/><Relationship Id="rId4" Type="http://schemas.openxmlformats.org/officeDocument/2006/relationships/header" Target="header2.xml"/><Relationship Id="rId39" Type="http://schemas.openxmlformats.org/officeDocument/2006/relationships/image" Target="media/image7.jpeg"/><Relationship Id="rId38" Type="http://schemas.openxmlformats.org/officeDocument/2006/relationships/image" Target="media/image6.jpeg"/><Relationship Id="rId37" Type="http://schemas.openxmlformats.org/officeDocument/2006/relationships/image" Target="media/image5.png"/><Relationship Id="rId36" Type="http://schemas.openxmlformats.org/officeDocument/2006/relationships/chart" Target="charts/chart4.xml"/><Relationship Id="rId35" Type="http://schemas.openxmlformats.org/officeDocument/2006/relationships/chart" Target="charts/chart3.xml"/><Relationship Id="rId34" Type="http://schemas.openxmlformats.org/officeDocument/2006/relationships/chart" Target="charts/chart2.xml"/><Relationship Id="rId33" Type="http://schemas.openxmlformats.org/officeDocument/2006/relationships/image" Target="media/image4.emf"/><Relationship Id="rId32" Type="http://schemas.openxmlformats.org/officeDocument/2006/relationships/chart" Target="charts/chart1.xml"/><Relationship Id="rId31" Type="http://schemas.openxmlformats.org/officeDocument/2006/relationships/image" Target="media/image3.jpeg"/><Relationship Id="rId30" Type="http://schemas.openxmlformats.org/officeDocument/2006/relationships/image" Target="media/image2.png"/><Relationship Id="rId3" Type="http://schemas.openxmlformats.org/officeDocument/2006/relationships/header" Target="header1.xml"/><Relationship Id="rId29" Type="http://schemas.openxmlformats.org/officeDocument/2006/relationships/theme" Target="theme/theme1.xml"/><Relationship Id="rId28" Type="http://schemas.openxmlformats.org/officeDocument/2006/relationships/footer" Target="footer14.xml"/><Relationship Id="rId27" Type="http://schemas.openxmlformats.org/officeDocument/2006/relationships/footer" Target="footer13.xml"/><Relationship Id="rId26" Type="http://schemas.openxmlformats.org/officeDocument/2006/relationships/header" Target="header12.xml"/><Relationship Id="rId25" Type="http://schemas.openxmlformats.org/officeDocument/2006/relationships/footer" Target="foot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 Id="rId48" Type="http://schemas.openxmlformats.org/officeDocument/2006/relationships/image" Target="media/image14.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36433056168336"/>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45596470388597"/>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119</Pages>
  <Words>9689</Words>
  <Characters>11224</Characters>
  <Lines>0</Lines>
  <Paragraphs>0</Paragraphs>
  <TotalTime>0</TotalTime>
  <ScaleCrop>false</ScaleCrop>
  <LinksUpToDate>false</LinksUpToDate>
  <CharactersWithSpaces>11728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2025-11-27T14:34:00Z</dcterms:created>
  <dc:creator>熙里处</dc:creator>
  <cp:lastModifiedBy>歪比八卜</cp:lastModifiedBy>
  <dcterms:modified xsi:type="dcterms:W3CDTF">2026-06-01T02:51:24Z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098284A2088F430A8E5A60FDD1D00DE4_13</vt:lpwstr>
  </property>
  <property fmtid="{D5CDD505-2E9C-101B-9397-08002B2CF9AE}" pid="4" name="KSOTemplateDocerSaveRecord">
    <vt:lpwstr>eyJoZGlkIjoiYzg2ZDFhZjAxODU1NmRlODQ1YThmY2VjYmViZjg0YjgiLCJ1c2VySWQiOiIyNTc4NTE1ODcifQ==</vt:lpwstr>
  </property>
</Properties>
</file>