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BC51A">
      <w:pPr>
        <w:spacing w:line="520" w:lineRule="exact"/>
        <w:jc w:val="center"/>
        <w:rPr>
          <w:rFonts w:ascii="宋体"/>
          <w:b/>
          <w:color w:val="000000" w:themeColor="text1"/>
          <w:sz w:val="44"/>
          <w:szCs w:val="44"/>
          <w:highlight w:val="none"/>
          <w14:textFill>
            <w14:solidFill>
              <w14:schemeClr w14:val="tx1"/>
            </w14:solidFill>
          </w14:textFill>
        </w:rPr>
      </w:pPr>
      <w:bookmarkStart w:id="0" w:name="_GoBack"/>
      <w:bookmarkEnd w:id="0"/>
    </w:p>
    <w:p w14:paraId="6654ABD8">
      <w:pPr>
        <w:spacing w:line="520" w:lineRule="exact"/>
        <w:jc w:val="center"/>
        <w:rPr>
          <w:rFonts w:ascii="宋体"/>
          <w:b/>
          <w:color w:val="000000" w:themeColor="text1"/>
          <w:sz w:val="44"/>
          <w:szCs w:val="44"/>
          <w:highlight w:val="none"/>
          <w14:textFill>
            <w14:solidFill>
              <w14:schemeClr w14:val="tx1"/>
            </w14:solidFill>
          </w14:textFill>
        </w:rPr>
      </w:pPr>
    </w:p>
    <w:p w14:paraId="64D29931">
      <w:pPr>
        <w:spacing w:line="560" w:lineRule="exact" w:before="0" w:after="0"/>
        <w:jc w:val="center"/>
        <w:rPr>
          <w:rFonts w:ascii="宋体"/>
          <w:b/>
          <w:bCs/>
          <w:color w:val="000000" w:themeColor="text1"/>
          <w:sz w:val="44"/>
          <w:szCs w:val="44"/>
          <w:highlight w:val="none"/>
          <w14:textFill>
            <w14:solidFill>
              <w14:schemeClr w14:val="tx1"/>
            </w14:solidFill>
          </w14:textFill>
        </w:rPr>
      </w:pPr>
      <w:r>
        <w:rPr>
          <w:rFonts w:hint="eastAsia" w:ascii="宋体" w:hAnsi="宋体" w:eastAsia="宋体" w:cs="宋体"/>
          <w:b/>
          <w:bCs/>
          <w:color w:val="000000" w:themeColor="text1"/>
          <w:sz w:val="44"/>
          <w:szCs w:val="44"/>
          <w:highlight w:val="none"/>
          <w14:textFill>
            <w14:solidFill>
              <w14:schemeClr w14:val="tx1"/>
            </w14:solidFill>
          </w14:textFill>
        </w:rPr>
        <w:t>土 地 估 价 报 告</w:t>
      </w:r>
    </w:p>
    <w:p w14:paraId="76422A75">
      <w:pPr>
        <w:spacing w:line="520" w:lineRule="exact"/>
        <w:rPr>
          <w:color w:val="000000" w:themeColor="text1"/>
          <w:sz w:val="32"/>
          <w:highlight w:val="none"/>
          <w14:textFill>
            <w14:solidFill>
              <w14:schemeClr w14:val="tx1"/>
            </w14:solidFill>
          </w14:textFill>
        </w:rPr>
      </w:pPr>
    </w:p>
    <w:p w14:paraId="5BC0D033">
      <w:pPr>
        <w:spacing w:line="520" w:lineRule="exact"/>
        <w:rPr>
          <w:color w:val="000000" w:themeColor="text1"/>
          <w:sz w:val="32"/>
          <w:highlight w:val="none"/>
          <w14:textFill>
            <w14:solidFill>
              <w14:schemeClr w14:val="tx1"/>
            </w14:solidFill>
          </w14:textFill>
        </w:rPr>
      </w:pPr>
    </w:p>
    <w:p w14:paraId="6F2FBCBF">
      <w:pPr>
        <w:spacing w:line="520" w:lineRule="exact"/>
        <w:rPr>
          <w:color w:val="000000" w:themeColor="text1"/>
          <w:sz w:val="32"/>
          <w:highlight w:val="none"/>
          <w14:textFill>
            <w14:solidFill>
              <w14:schemeClr w14:val="tx1"/>
            </w14:solidFill>
          </w14:textFill>
        </w:rPr>
      </w:pPr>
    </w:p>
    <w:tbl>
      <w:tblPr>
        <w:tblStyle w:val="9"/>
        <w:tblW w:w="9560" w:type="dxa"/>
        <w:jc w:val="center"/>
        <w:tblLayout w:type="fixed"/>
        <w:tblCellMar>
          <w:top w:w="0" w:type="dxa"/>
          <w:left w:w="108" w:type="dxa"/>
          <w:bottom w:w="0" w:type="dxa"/>
          <w:right w:w="108" w:type="dxa"/>
        </w:tblCellMar>
      </w:tblPr>
      <w:tblGrid>
        <w:gridCol w:w="3364"/>
        <w:gridCol w:w="6196"/>
      </w:tblGrid>
      <w:tr w14:paraId="189AF926">
        <w:tblPrEx>
          <w:tblCellMar>
            <w:top w:w="0" w:type="dxa"/>
            <w:left w:w="108" w:type="dxa"/>
            <w:bottom w:w="0" w:type="dxa"/>
            <w:right w:w="108" w:type="dxa"/>
          </w:tblCellMar>
        </w:tblPrEx>
        <w:trPr>
          <w:trHeight w:val="1410" w:hRule="atLeast"/>
          <w:jc w:val="center"/>
        </w:trPr>
        <w:tc>
          <w:tcPr>
            <w:tcW w:w="3364" w:type="dxa"/>
            <w:vAlign w:val="center"/>
          </w:tcPr>
          <w:p w14:paraId="7922849E">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6196" w:type="dxa"/>
            <w:vAlign w:val="center"/>
          </w:tcPr>
          <w:p w14:paraId="574CB272">
            <w:pPr>
              <w:pStyle w:val="6"/>
              <w:keepNext w:val="0"/>
              <w:keepLines w:val="0"/>
              <w:suppressLineNumbers w:val="0"/>
              <w:tabs>
                <w:tab w:val="left" w:pos="0"/>
                <w:tab w:val="left" w:pos="2340"/>
              </w:tabs>
              <w:adjustRightInd w:val="0"/>
              <w:snapToGrid w:val="0"/>
              <w:spacing w:before="0" w:beforeAutospacing="0" w:after="0" w:afterAutospacing="0" w:line="0" w:lineRule="atLeast"/>
              <w:ind w:left="2" w:right="0" w:hanging="2"/>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xml:space="preserve">我的测试项目名称</w:t>
            </w:r>
          </w:p>
        </w:tc>
      </w:tr>
      <w:tr w14:paraId="08884643">
        <w:tblPrEx>
          <w:tblCellMar>
            <w:top w:w="0" w:type="dxa"/>
            <w:left w:w="108" w:type="dxa"/>
            <w:bottom w:w="0" w:type="dxa"/>
            <w:right w:w="108" w:type="dxa"/>
          </w:tblCellMar>
        </w:tblPrEx>
        <w:trPr>
          <w:trHeight w:val="1134" w:hRule="atLeast"/>
          <w:jc w:val="center"/>
        </w:trPr>
        <w:tc>
          <w:tcPr>
            <w:tcW w:w="3364" w:type="dxa"/>
            <w:vAlign w:val="center"/>
          </w:tcPr>
          <w:p w14:paraId="6713592C">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6196" w:type="dxa"/>
            <w:vAlign w:val="center"/>
          </w:tcPr>
          <w:p w14:paraId="55C85EB9">
            <w:pPr>
              <w:pStyle w:val="6"/>
              <w:keepNext w:val="0"/>
              <w:keepLines w:val="0"/>
              <w:suppressLineNumbers w:val="0"/>
              <w:tabs>
                <w:tab w:val="left" w:pos="0"/>
                <w:tab w:val="left" w:pos="2340"/>
              </w:tabs>
              <w:adjustRightInd w:val="0"/>
              <w:snapToGrid w:val="0"/>
              <w:spacing w:before="0" w:beforeAutospacing="0" w:after="0" w:afterAutospacing="0" w:line="0" w:lineRule="atLeast"/>
              <w:ind w:left="-6" w:leftChars="-3" w:right="0"/>
              <w:jc w:val="left"/>
              <w:rPr>
                <w:rFonts w:ascii="楷体" w:hAnsi="楷体" w:eastAsia="楷体"/>
                <w:color w:val="000000" w:themeColor="text1"/>
                <w:spacing w:val="14"/>
                <w:sz w:val="32"/>
                <w:szCs w:val="32"/>
                <w:highlight w:val="none"/>
                <w14:textFill>
                  <w14:solidFill>
                    <w14:schemeClr w14:val="tx1"/>
                  </w14:solidFill>
                </w14:textFill>
              </w:rPr>
            </w:pPr>
            <w:r/>
            <w:r>
              <w:rPr>
                <w:rFonts w:ascii="仿宋_GB2312" w:hAnsi="仿宋_GB2312" w:eastAsia="仿宋_GB2312" w:cs="仿宋_GB2312"/>
                <w:color w:val="000000"/>
                <w:sz w:val="32"/>
              </w:rPr>
              <w:t xml:space="preserve"/>
            </w:r>
          </w:p>
        </w:tc>
      </w:tr>
      <w:tr w14:paraId="011EDA8E">
        <w:tblPrEx>
          <w:tblCellMar>
            <w:top w:w="0" w:type="dxa"/>
            <w:left w:w="108" w:type="dxa"/>
            <w:bottom w:w="0" w:type="dxa"/>
            <w:right w:w="108" w:type="dxa"/>
          </w:tblCellMar>
        </w:tblPrEx>
        <w:trPr>
          <w:trHeight w:val="1134" w:hRule="atLeast"/>
          <w:jc w:val="center"/>
        </w:trPr>
        <w:tc>
          <w:tcPr>
            <w:tcW w:w="3364" w:type="dxa"/>
            <w:vAlign w:val="center"/>
          </w:tcPr>
          <w:p w14:paraId="742A7F66">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6196" w:type="dxa"/>
            <w:vAlign w:val="center"/>
          </w:tcPr>
          <w:p w14:paraId="770D2DD8">
            <w:pPr>
              <w:pStyle w:val="6"/>
              <w:keepNext w:val="0"/>
              <w:keepLines w:val="0"/>
              <w:suppressLineNumbers w:val="0"/>
              <w:tabs>
                <w:tab w:val="left" w:pos="0"/>
                <w:tab w:val="left" w:pos="234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xml:space="preserve"/>
            </w:r>
          </w:p>
        </w:tc>
      </w:tr>
      <w:tr w14:paraId="06059496">
        <w:tblPrEx>
          <w:tblCellMar>
            <w:top w:w="0" w:type="dxa"/>
            <w:left w:w="108" w:type="dxa"/>
            <w:bottom w:w="0" w:type="dxa"/>
            <w:right w:w="108" w:type="dxa"/>
          </w:tblCellMar>
        </w:tblPrEx>
        <w:trPr>
          <w:trHeight w:val="1134" w:hRule="atLeast"/>
          <w:jc w:val="center"/>
        </w:trPr>
        <w:tc>
          <w:tcPr>
            <w:tcW w:w="3364" w:type="dxa"/>
            <w:vAlign w:val="center"/>
          </w:tcPr>
          <w:p w14:paraId="7549ABCC">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ascii="楷体" w:hAnsi="楷体" w:eastAsia="楷体" w:cs="Times New Roman"/>
                <w:b/>
                <w:bCs/>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6196" w:type="dxa"/>
            <w:vAlign w:val="center"/>
          </w:tcPr>
          <w:p w14:paraId="5B193721">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t>详见备案页</w:t>
            </w:r>
          </w:p>
        </w:tc>
      </w:tr>
      <w:tr w14:paraId="28305D6E">
        <w:tblPrEx>
          <w:tblCellMar>
            <w:top w:w="0" w:type="dxa"/>
            <w:left w:w="108" w:type="dxa"/>
            <w:bottom w:w="0" w:type="dxa"/>
            <w:right w:w="108" w:type="dxa"/>
          </w:tblCellMar>
        </w:tblPrEx>
        <w:trPr>
          <w:trHeight w:val="1134" w:hRule="atLeast"/>
          <w:jc w:val="center"/>
        </w:trPr>
        <w:tc>
          <w:tcPr>
            <w:tcW w:w="3364" w:type="dxa"/>
            <w:vAlign w:val="center"/>
          </w:tcPr>
          <w:p w14:paraId="42D8D80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left"/>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6196" w:type="dxa"/>
            <w:vAlign w:val="center"/>
          </w:tcPr>
          <w:p w14:paraId="42FEE57D">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xml:space="preserve"/>
            </w:r>
          </w:p>
        </w:tc>
      </w:tr>
    </w:tbl>
    <w:p w14:paraId="7F67BAAE">
      <w:pPr>
        <w:spacing w:line="520" w:lineRule="exact"/>
        <w:rPr>
          <w:color w:val="000000" w:themeColor="text1"/>
          <w:sz w:val="32"/>
          <w:highlight w:val="none"/>
          <w14:textFill>
            <w14:solidFill>
              <w14:schemeClr w14:val="tx1"/>
            </w14:solidFill>
          </w14:textFill>
        </w:rPr>
      </w:pPr>
    </w:p>
    <w:p w14:paraId="5D1D63C7">
      <w:pPr>
        <w:spacing w:line="520" w:lineRule="exact"/>
        <w:rPr>
          <w:color w:val="000000" w:themeColor="text1"/>
          <w:sz w:val="32"/>
          <w:highlight w:val="none"/>
          <w14:textFill>
            <w14:solidFill>
              <w14:schemeClr w14:val="tx1"/>
            </w14:solidFill>
          </w14:textFill>
        </w:rPr>
      </w:pPr>
    </w:p>
    <w:p w14:paraId="7C4572D0">
      <w:pPr>
        <w:spacing w:line="520" w:lineRule="exact"/>
        <w:rPr>
          <w:color w:val="000000" w:themeColor="text1"/>
          <w:sz w:val="32"/>
          <w:highlight w:val="none"/>
          <w14:textFill>
            <w14:solidFill>
              <w14:schemeClr w14:val="tx1"/>
            </w14:solidFill>
          </w14:textFill>
        </w:rPr>
      </w:pPr>
    </w:p>
    <w:p w14:paraId="424CEEA7">
      <w:pPr>
        <w:spacing w:line="520" w:lineRule="exact"/>
        <w:rPr>
          <w:color w:val="000000" w:themeColor="text1"/>
          <w:sz w:val="32"/>
          <w:highlight w:val="none"/>
          <w14:textFill>
            <w14:solidFill>
              <w14:schemeClr w14:val="tx1"/>
            </w14:solidFill>
          </w14:textFill>
        </w:rPr>
      </w:pPr>
    </w:p>
    <w:p w14:paraId="5F1F0DED">
      <w:pPr>
        <w:spacing w:line="520" w:lineRule="exact"/>
        <w:rPr>
          <w:color w:val="000000" w:themeColor="text1"/>
          <w:sz w:val="32"/>
          <w:highlight w:val="none"/>
          <w14:textFill>
            <w14:solidFill>
              <w14:schemeClr w14:val="tx1"/>
            </w14:solidFill>
          </w14:textFill>
        </w:rPr>
      </w:pPr>
    </w:p>
    <w:p w14:paraId="45A7C87E">
      <w:pPr>
        <w:spacing w:line="360" w:lineRule="auto"/>
        <w:rPr>
          <w:rFonts w:ascii="楷体_GB2312" w:eastAsia="楷体_GB2312"/>
          <w:b/>
          <w:bCs/>
          <w:color w:val="000000" w:themeColor="text1"/>
          <w:sz w:val="32"/>
          <w:highlight w:val="none"/>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endnotePr>
            <w:numFmt w:val="decimal"/>
          </w:endnotePr>
          <w:pgSz w:w="11906" w:h="16838"/>
          <w:pgMar w:top="1440" w:right="1797" w:bottom="1440" w:left="1797" w:header="851" w:footer="992" w:gutter="0"/>
          <w:pgNumType w:fmt="decimal" w:start="1"/>
          <w:cols w:space="720" w:num="1"/>
          <w:titlePg/>
          <w:docGrid w:linePitch="312" w:charSpace="0"/>
        </w:sectPr>
      </w:pPr>
    </w:p>
    <w:p w14:paraId="768E58D4">
      <w:pPr>
        <w:pStyle w:val="12"/>
        <w:keepNext w:val="0"/>
        <w:keepLines w:val="0"/>
        <w:pageBreakBefore w:val="0"/>
        <w:kinsoku/>
        <w:wordWrap/>
        <w:overflowPunct/>
        <w:topLinePunct w:val="0"/>
        <w:autoSpaceDE/>
        <w:autoSpaceDN/>
        <w:bidi w:val="0"/>
        <w:adjustRightInd/>
        <w:snapToGrid w:val="0"/>
        <w:spacing w:line="560" w:lineRule="exact" w:before="0" w:after="0"/>
        <w:jc w:val="center"/>
        <w:outlineLvl w:val="0"/>
        <w:rPr>
          <w:rFonts w:ascii="宋体" w:eastAsia="宋体"/>
          <w:color w:val="000000" w:themeColor="text1"/>
          <w:sz w:val="32"/>
          <w:szCs w:val="32"/>
          <w:highlight w:val="none"/>
          <w14:textFill>
            <w14:solidFill>
              <w14:schemeClr w14:val="tx1"/>
            </w14:solidFill>
          </w14:textFill>
        </w:rPr>
      </w:pPr>
      <w:r>
        <w:rPr>
          <w:rFonts w:hint="eastAsia" w:ascii="宋体" w:eastAsia="宋体" w:hAnsi="宋体" w:cs="宋体"/>
          <w:b/>
          <w:bCs/>
          <w:color w:val="000000" w:themeColor="text1"/>
          <w:sz w:val="44"/>
          <w:szCs w:val="32"/>
          <w:highlight w:val="none"/>
          <w14:textFill>
            <w14:solidFill>
              <w14:schemeClr w14:val="tx1"/>
            </w14:solidFill>
          </w14:textFill>
        </w:rPr>
        <w:t>土 地 估 价 报 告</w:t>
      </w:r>
    </w:p>
    <w:p w14:paraId="0F89BD83">
      <w:pPr>
        <w:pStyle w:val="13"/>
        <w:keepNext w:val="0"/>
        <w:keepLines w:val="0"/>
        <w:pageBreakBefore w:val="0"/>
        <w:kinsoku/>
        <w:wordWrap/>
        <w:overflowPunct/>
        <w:topLinePunct w:val="0"/>
        <w:autoSpaceDE/>
        <w:autoSpaceDN/>
        <w:bidi w:val="0"/>
        <w:adjustRightInd/>
        <w:snapToGrid w:val="0"/>
        <w:spacing w:before="0" w:beforeLines="50" w:after="0" w:afterLines="100" w:line="560" w:lineRule="exact"/>
        <w:ind w:firstLine="0" w:firstLineChars="0"/>
        <w:jc w:val="center"/>
        <w:outlineLvl w:val="0"/>
        <w:rPr>
          <w:rFonts w:ascii="宋体" w:hAnsi="宋体" w:eastAsia="宋体" w:cs="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摘要</w:t>
      </w:r>
    </w:p>
    <w:p w14:paraId="7A480F7C">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一、估价项目名称</w:t>
      </w:r>
    </w:p>
    <w:p w14:paraId="3263ECE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xml:space="preserve">我的测试项目名称</w:t>
      </w:r>
    </w:p>
    <w:p w14:paraId="0AB73EC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二、委托估价方</w:t>
      </w:r>
    </w:p>
    <w:p w14:paraId="377B17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委托人测试公司</w:t>
      </w:r>
    </w:p>
    <w:p w14:paraId="5A8AA14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bCs/>
          <w:color w:val="000000" w:themeColor="text1"/>
          <w:sz w:val="28"/>
          <w:szCs w:val="28"/>
          <w:highlight w:val="none"/>
          <w14:textFill>
            <w14:solidFill>
              <w14:schemeClr w14:val="tx1"/>
            </w14:solidFill>
          </w14:textFill>
        </w:rPr>
        <w:t>三、</w:t>
      </w:r>
      <w:r>
        <w:rPr>
          <w:rFonts w:hint="eastAsia" w:ascii="宋体" w:eastAsia="宋体" w:hAnsi="宋体" w:cs="宋体"/>
          <w:b/>
          <w:color w:val="000000" w:themeColor="text1"/>
          <w:sz w:val="28"/>
          <w:szCs w:val="28"/>
          <w:highlight w:val="none"/>
          <w14:textFill>
            <w14:solidFill>
              <w14:schemeClr w14:val="tx1"/>
            </w14:solidFill>
          </w14:textFill>
        </w:rPr>
        <w:t>估价目的</w:t>
      </w:r>
    </w:p>
    <w:p w14:paraId="7ADA03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xml:space="preserve">委托人测试公司拟按《关于国有建设用地的规划条件的函》（2025年9月11日）确定的规划条件，对位于的国有建设用地使用权开展相关工作。</w:t>
      </w:r>
      <w:r>
        <w:rPr>
          <w:rFonts w:ascii="仿宋_GB2312" w:hAnsi="仿宋_GB2312" w:eastAsia="仿宋_GB2312" w:cs="仿宋_GB2312"/>
          <w:color w:val="000000"/>
          <w:sz w:val="28"/>
        </w:rPr>
      </w:r>
    </w:p>
    <w:p w14:paraId="3D67BC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ascii="仿宋_GB2312" w:hAnsi="仿宋_GB2312" w:eastAsia="仿宋_GB2312" w:cs="仿宋_GB2312"/>
          <w:sz w:val="28"/>
        </w:rPr>
        <w:t xml:space="preserve">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委托人测试公司委托，为委托方办理相关事项提供设定条件下国有建设用地使用权正常市场价格参考依据。</w:t>
      </w:r>
      <w:r>
        <w:rPr>
          <w:rFonts w:ascii="仿宋_GB2312" w:hAnsi="仿宋_GB2312" w:eastAsia="仿宋_GB2312" w:cs="仿宋_GB2312"/>
          <w:color w:val="000000"/>
          <w:sz w:val="28"/>
        </w:rPr>
      </w:r>
    </w:p>
    <w:p w14:paraId="60B2B325">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四、估价期日</w:t>
      </w:r>
    </w:p>
    <w:p w14:paraId="0AF12F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 xml:space="preserve">本次土地估价师现场勘查日期为2026年04月23日，结合本次估价目的和委托估价方提供的《评估委托书》，本次估价设定估价期日为2026年04月23日。</w:t>
      </w:r>
    </w:p>
    <w:p w14:paraId="20A7FB4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五、估价日期</w:t>
      </w:r>
    </w:p>
    <w:p w14:paraId="40E3E99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 xml:space="preserve">2026年4月23日至2026年4月27日</w:t>
      </w:r>
    </w:p>
    <w:p w14:paraId="2CC98B2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六、地价定义</w:t>
      </w:r>
    </w:p>
    <w:p w14:paraId="1E93723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 xml:space="preserve">根据委托方出具的《关于国有建设用地的规划条件的函》（2025年9月11日）及现场勘查状况，估价对象总土地面积为平方米，估价对象规划用途为，至估价期日，估价对象实际土地开发程度为。</w:t>
      </w:r>
      <w:r>
        <w:rPr>
          <w:rFonts w:ascii="仿宋_GB2312" w:hAnsi="仿宋_GB2312" w:eastAsia="仿宋_GB2312" w:cs="仿宋_GB2312"/>
          <w:color w:val="000000"/>
          <w:sz w:val="28"/>
        </w:rPr>
      </w:r>
    </w:p>
    <w:p w14:paraId="483DD28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3A96644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7667C5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 xml:space="preserve">本次土地估价师现场勘查日期为2026年04月23日，本次估价设定估价期日为2026年04月23日。</w:t>
      </w:r>
    </w:p>
    <w:p w14:paraId="1F017B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33E316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 xml:space="preserve">根据土地估价师现场勘查及委托方提供资料，估价对象现状用途及规划用途以委托方资料为准。根据《关于国有建设用地的规划条件的函》（2025年9月11日），估价对象规划用途为，根据《土地利用现状分类》(GB/T21010-2017，2017年11月01日)和估价目的，本次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31B7B57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1A331AA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 xml:space="preserve">至估价期日止，估价对象原登记或现状权利类型为，结合本次估价目的，本次评估设定土地使用权类型为。</w:t>
      </w:r>
    </w:p>
    <w:p w14:paraId="2FB19EA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5987A8B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根据《中华人民共和国城镇国有土地使用权出让和转让暂行条例》（1990年5月19日国务院令第55号）规定，并结合《评估委托书》约定和估价目的，估价对象土地使用权出让年限为，此次评估设定土地使用权年限为。</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AC576E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2375872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 xml:space="preserve">根据土地估价师实地勘查，估价对象于估价期日2026年04月23日实际开发程度为。结合估价目的及实际情况，本次评估设定土地开发程度为。</w:t>
      </w:r>
    </w:p>
    <w:p w14:paraId="4BACEB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222F81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 xml:space="preserve">根据实地勘查和《关于国有建设用地的规划条件的函》（2025年9月11日），估价对象规划建筑密度-，容积率，绿地率，建筑限高。根据土地最有效利用原则，本次评估设定容积率为。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C2DE8B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2FE76CB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337ACB1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 xml:space="preserve">综上所述，此次评估的地价内涵是指：估价对象在公开市场条件下，于估价期日2026年04月23日，土地使用权面积平方米，土地用途设定为，容积率设定为，土地使用权类型设定为，出让年期为，土地开发程度设定为条件下的土地使用权市场价格。</w:t>
      </w:r>
    </w:p>
    <w:p w14:paraId="336FAC8E">
      <w:pPr>
        <w:keepNext w:val="0"/>
        <w:keepLines w:val="0"/>
        <w:pageBreakBefore w:val="0"/>
        <w:widowControl w:val="0"/>
        <w:numPr>
          <w:ilvl w:val="0"/>
          <w:numId w:val="0"/>
        </w:numPr>
        <w:kinsoku/>
        <w:wordWrap/>
        <w:overflowPunct/>
        <w:topLinePunct w:val="0"/>
        <w:autoSpaceDE/>
        <w:autoSpaceDN/>
        <w:bidi w:val="0"/>
        <w:spacing w:line="460" w:lineRule="exact"/>
        <w:ind w:firstLine="562" w:firstLineChars="200"/>
        <w:textAlignment w:val="auto"/>
        <w:outlineLvl w:val="9"/>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p>
    <w:p w14:paraId="15F1BAD4">
      <w:pP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br w:type="page"/>
      </w:r>
    </w:p>
    <w:p w14:paraId="6B18444E">
      <w:pPr>
        <w:keepNext w:val="0"/>
        <w:keepLines w:val="0"/>
        <w:pageBreakBefore w:val="0"/>
        <w:widowControl w:val="0"/>
        <w:numPr>
          <w:ilvl w:val="0"/>
          <w:numId w:val="0"/>
        </w:numPr>
        <w:kinsoku/>
        <w:wordWrap/>
        <w:overflowPunct/>
        <w:topLinePunct w:val="0"/>
        <w:autoSpaceDE/>
        <w:autoSpaceDN/>
        <w:bidi w:val="0"/>
        <w:spacing w:line="480" w:lineRule="exact" w:before="0" w:after="0"/>
        <w:ind w:firstLine="562" w:firstLineChars="200"/>
        <w:textAlignment w:val="auto"/>
        <w:outlineLvl w:val="1"/>
        <w:rPr>
          <w:rFonts w:hint="eastAsia" w:ascii="仿宋_GB2312" w:eastAsia="仿宋_GB2312"/>
          <w:b/>
          <w:color w:val="000000" w:themeColor="text1"/>
          <w:sz w:val="28"/>
          <w:szCs w:val="28"/>
          <w:highlight w:val="none"/>
          <w14:textFill>
            <w14:solidFill>
              <w14:schemeClr w14:val="tx1"/>
            </w14:solidFill>
          </w14:textFill>
        </w:rPr>
      </w:pPr>
      <w:r>
        <w:rPr>
          <w:rFonts w:hint="eastAsia" w:ascii="宋体" w:hAnsi="宋体" w:eastAsia="宋体" w:cs="宋体"/>
          <w:b/>
          <w:color w:val="000000" w:themeColor="text1"/>
          <w:kern w:val="2"/>
          <w:sz w:val="28"/>
          <w:szCs w:val="28"/>
          <w:highlight w:val="none"/>
          <w:lang w:val="en-US" w:eastAsia="zh-CN" w:bidi="ar-SA"/>
          <w14:textFill>
            <w14:solidFill>
              <w14:schemeClr w14:val="tx1"/>
            </w14:solidFill>
          </w14:textFill>
        </w:rPr>
        <w:t>七、</w:t>
      </w:r>
      <w:r>
        <w:rPr>
          <w:rFonts w:hint="eastAsia" w:ascii="宋体" w:eastAsia="宋体" w:hAnsi="宋体" w:cs="宋体"/>
          <w:b/>
          <w:color w:val="000000" w:themeColor="text1"/>
          <w:sz w:val="28"/>
          <w:szCs w:val="28"/>
          <w:highlight w:val="none"/>
          <w14:textFill>
            <w14:solidFill>
              <w14:schemeClr w14:val="tx1"/>
            </w14:solidFill>
          </w14:textFill>
        </w:rPr>
        <w:t>估价结果</w:t>
      </w:r>
    </w:p>
    <w:p w14:paraId="354B2AD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w:t>
      </w: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估价结论</w:t>
      </w:r>
    </w:p>
    <w:p>
      <w:pPr>
        <w:spacing w:before="0" w:after="0" w:line="480" w:lineRule="exact"/>
        <w:ind w:left="561" w:firstLine="0"/>
      </w:pPr>
      <w:r>
        <w:rPr>
          <w:rFonts w:ascii="仿宋_GB2312" w:hAnsi="仿宋_GB2312" w:eastAsia="仿宋_GB2312" w:cs="仿宋_GB2312"/>
          <w:sz w:val="28"/>
        </w:rPr>
        <w:t xml:space="preserve"/>
      </w:r>
    </w:p>
    <w:p w14:paraId="5E5DA2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（二）出让底价建议</w:t>
      </w:r>
    </w:p>
    <w:p w14:paraId="56C99E7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 xml:space="preserve">根据土地市场情况及有关法律法规和政策规定，该地区土地出让底价由选定的估价机构的估价结果水平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283DC6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的简单算术平均值作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7FF80E8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38E2EB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 xml:space="preserve">2.通过湖南省国土资源网上交易系统、中国土地交易市场网查询，近期通过“招拍挂”途径出让的估价对象周边土地单位面积地价与估价结果较为接近，估价结果符合该区域规划发展的趋势。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5B77391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56E24D36">
      <w:pPr>
        <w:rPr>
          <w:rFonts w:hint="eastAsia" w:ascii="仿宋_GB2312" w:hAnsi="仿宋_GB2312"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br w:type="page"/>
      </w:r>
    </w:p>
    <w:p w14:paraId="07E2B988">
      <w:pPr>
        <w:spacing w:before="0" w:beforeLines="-2147483648" w:line="480" w:lineRule="exact" w:after="0"/>
        <w:ind w:firstLine="562" w:firstLineChars="200"/>
        <w:outlineLvl w:val="9"/>
        <w:rPr>
          <w:rFonts w:ascii="仿宋_GB2312" w:eastAsia="仿宋_GB2312"/>
          <w:b/>
          <w:color w:val="000000" w:themeColor="text1"/>
          <w:szCs w:val="28"/>
          <w:highlight w:val="none"/>
          <w14:textFill>
            <w14:solidFill>
              <w14:schemeClr w14:val="tx1"/>
            </w14:solidFill>
          </w14:textFill>
        </w:rPr>
      </w:pPr>
      <w:r>
        <w:rPr>
          <w:rFonts w:hint="eastAsia" w:ascii="宋体" w:hAnsi="宋体" w:eastAsia="宋体" w:cs="宋体"/>
          <w:b/>
          <w:color w:val="000000" w:themeColor="text1"/>
          <w:sz w:val="28"/>
          <w:szCs w:val="28"/>
          <w:highlight w:val="none"/>
          <w14:textFill>
            <w14:solidFill>
              <w14:schemeClr w14:val="tx1"/>
            </w14:solidFill>
          </w14:textFill>
        </w:rPr>
        <w:t>八、土地估价师签字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2CD78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2DAC57FC">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6B5234F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6E9C668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7D123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7465A432">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5605A63A">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4CB171A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94F0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548710EB">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4B7C996E">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0C56E8FF">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5AAFD7C0">
      <w:pPr>
        <w:spacing w:line="480" w:lineRule="exact" w:before="0" w:after="0"/>
        <w:ind w:firstLine="562" w:firstLineChars="200"/>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九、土地估价机构</w:t>
      </w:r>
    </w:p>
    <w:p w14:paraId="53022D82">
      <w:pPr>
        <w:tabs>
          <w:tab w:val="left" w:pos="3780"/>
        </w:tabs>
        <w:spacing w:before="0" w:beforeLines="100" w:line="480" w:lineRule="exact" w:after="0"/>
        <w:jc w:val="left"/>
        <w:rPr>
          <w:rFonts w:ascii="仿宋_GB2312" w:eastAsia="仿宋_GB2312"/>
          <w:color w:val="000000" w:themeColor="text1"/>
          <w:sz w:val="28"/>
          <w:highlight w:val="none"/>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估价机构法定代表人签字：</w:t>
      </w:r>
    </w:p>
    <w:p w14:paraId="50444B32">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0EE88D38">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40DD68A0">
      <w:pPr>
        <w:keepNext w:val="0"/>
        <w:keepLines w:val="0"/>
        <w:pageBreakBefore w:val="0"/>
        <w:widowControl w:val="0"/>
        <w:kinsoku/>
        <w:wordWrap/>
        <w:overflowPunct/>
        <w:topLinePunct w:val="0"/>
        <w:autoSpaceDE/>
        <w:autoSpaceDN/>
        <w:bidi w:val="0"/>
        <w:spacing w:line="480" w:lineRule="exact" w:before="0" w:after="0"/>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
      </w:r>
    </w:p>
    <w:p w14:paraId="1B0F9F6C">
      <w:pPr>
        <w:pStyle w:val="13"/>
        <w:keepNext w:val="0"/>
        <w:keepLines w:val="0"/>
        <w:pageBreakBefore w:val="0"/>
        <w:widowControl w:val="0"/>
        <w:kinsoku/>
        <w:wordWrap/>
        <w:overflowPunct/>
        <w:topLinePunct w:val="0"/>
        <w:autoSpaceDE/>
        <w:autoSpaceDN/>
        <w:bidi w:val="0"/>
        <w:spacing w:line="480" w:lineRule="exact" w:before="0" w:after="0"/>
        <w:ind w:firstLine="560"/>
        <w:textAlignment w:val="auto"/>
        <w:rPr>
          <w:rFonts w:hint="eastAsia" w:eastAsia="仿宋_GB2312"/>
          <w:color w:val="000000" w:themeColor="text1"/>
          <w:highlight w:val="none"/>
          <w:lang w:eastAsia="zh-CN"/>
          <w14:textFill>
            <w14:solidFill>
              <w14:schemeClr w14:val="tx1"/>
            </w14:solidFill>
          </w14:textFill>
        </w:rPr>
        <w:sectPr>
          <w:headerReference r:id="rId9" w:type="first"/>
          <w:footerReference r:id="rId10" w:type="first"/>
          <w:endnotePr>
            <w:numFmt w:val="decimal"/>
          </w:endnotePr>
          <w:pgSz w:w="11906" w:h="16838"/>
          <w:pgMar w:top="1440" w:right="1800" w:bottom="1440" w:left="1800" w:header="851" w:footer="992" w:gutter="0"/>
          <w:pgNumType w:fmt="decimal" w:start="1"/>
          <w:cols w:space="720" w:num="1"/>
          <w:titlePg/>
          <w:docGrid w:linePitch="312" w:charSpace="0"/>
        </w:sectPr>
      </w:pPr>
      <w:r>
        <w:rPr>
          <w:rFonts w:ascii="仿宋_GB2312" w:hAnsi="仿宋_GB2312" w:eastAsia="仿宋_GB2312" w:cs="仿宋_GB2312"/>
          <w:color w:val="000000"/>
          <w:sz w:val="28"/>
        </w:rPr>
        <w:t xml:space="preserve">                              </w:t>
      </w:r>
    </w:p>
    <w:p w14:paraId="11A4184C">
      <w:pPr>
        <w:keepNext w:val="0"/>
        <w:keepLines w:val="0"/>
        <w:pageBreakBefore w:val="0"/>
        <w:widowControl w:val="0"/>
        <w:kinsoku/>
        <w:wordWrap/>
        <w:overflowPunct/>
        <w:topLinePunct w:val="0"/>
        <w:autoSpaceDE/>
        <w:autoSpaceDN/>
        <w:bidi w:val="0"/>
        <w:adjustRightInd/>
        <w:snapToGrid/>
        <w:spacing w:line="200" w:lineRule="exact"/>
        <w:ind w:left="0" w:hanging="537" w:hangingChars="192"/>
        <w:jc w:val="center"/>
        <w:textAlignment w:val="auto"/>
        <w:outlineLvl w:val="9"/>
        <w:rPr>
          <w:rFonts w:hint="eastAsia" w:ascii="仿宋_GB2312" w:eastAsia="仿宋_GB2312"/>
          <w:b/>
          <w:bCs/>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w:t>
      </w:r>
      <w:r>
        <w:rPr>
          <w:rFonts w:hint="eastAsia" w:ascii="仿宋_GB2312" w:eastAsia="仿宋_GB2312"/>
          <w:b/>
          <w:bCs/>
          <w:color w:val="000000" w:themeColor="text1"/>
          <w:sz w:val="28"/>
          <w:highlight w:val="none"/>
          <w14:textFill>
            <w14:solidFill>
              <w14:schemeClr w14:val="tx1"/>
            </w14:solidFill>
          </w14:textFill>
        </w:rPr>
        <w:t xml:space="preserve"> </w:t>
      </w:r>
    </w:p>
    <w:p w14:paraId="0CF0DCC1">
      <w:pPr>
        <w:spacing w:line="480" w:lineRule="exact" w:before="0" w:after="0"/>
        <w:ind w:left="538" w:hanging="540" w:hangingChars="192"/>
        <w:jc w:val="center"/>
        <w:outlineLvl w:val="2"/>
        <w:rPr>
          <w:rFonts w:ascii="仿宋_GB2312" w:eastAsia="仿宋_GB2312"/>
          <w:b/>
          <w:bCs/>
          <w:color w:val="000000" w:themeColor="text1"/>
          <w:sz w:val="28"/>
          <w:highlight w:val="none"/>
          <w14:textFill>
            <w14:solidFill>
              <w14:schemeClr w14:val="tx1"/>
            </w14:solidFill>
          </w14:textFill>
        </w:rPr>
      </w:pPr>
      <w:r>
        <w:rPr>
          <w:rFonts w:hint="eastAsia" w:ascii="仿宋_GB2312" w:eastAsia="仿宋_GB2312" w:hAnsi="仿宋_GB2312" w:cs="仿宋_GB2312"/>
          <w:b/>
          <w:bCs/>
          <w:color w:val="000000" w:themeColor="text1"/>
          <w:sz w:val="28"/>
          <w:highlight w:val="none"/>
          <w14:textFill>
            <w14:solidFill>
              <w14:schemeClr w14:val="tx1"/>
            </w14:solidFill>
          </w14:textFill>
        </w:rPr>
        <w:t xml:space="preserve"> 土地估价结果一览表</w:t>
      </w:r>
    </w:p>
    <w:p w14:paraId="170F58C6">
      <w:pPr>
        <w:spacing w:line="480" w:lineRule="exact" w:before="0" w:after="0"/>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sz w:val="28"/>
        </w:rPr>
        <w:t xml:space="preserve">估价机构：                                                          估价期日：2026年04月23日</w:t>
      </w:r>
    </w:p>
    <w:p w14:paraId="44C42AC6">
      <w:pPr>
        <w:spacing w:line="480" w:lineRule="exact" w:before="0" w:after="0"/>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 xml:space="preserve">估价报告编号：           估价目的：                    估价期日的土地使用权性质：</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2"/>
        <w:gridCol w:w="975"/>
        <w:gridCol w:w="1127"/>
        <w:gridCol w:w="825"/>
        <w:gridCol w:w="809"/>
        <w:gridCol w:w="554"/>
        <w:gridCol w:w="607"/>
        <w:gridCol w:w="811"/>
        <w:gridCol w:w="466"/>
        <w:gridCol w:w="941"/>
        <w:gridCol w:w="1353"/>
        <w:gridCol w:w="1615"/>
        <w:gridCol w:w="840"/>
        <w:gridCol w:w="1007"/>
        <w:gridCol w:w="689"/>
        <w:gridCol w:w="724"/>
        <w:gridCol w:w="891"/>
        <w:gridCol w:w="683"/>
      </w:tblGrid>
      <w:tr w14:paraId="5C06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60" w:type="pct"/>
            <w:vMerge w:val="restart"/>
            <w:vAlign w:val="center"/>
            <w:tcMar>
              <w:top w:w="35" w:type="dxa"/>
              <w:left w:w="35" w:type="dxa"/>
              <w:bottom w:w="35" w:type="dxa"/>
              <w:right w:w="35" w:type="dxa"/>
            </w:tcMar>
          </w:tcPr>
          <w:p w14:paraId="4DFF3B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5" w:type="pct"/>
            <w:vMerge w:val="restart"/>
            <w:vAlign w:val="center"/>
            <w:tcMar>
              <w:top w:w="35" w:type="dxa"/>
              <w:left w:w="35" w:type="dxa"/>
              <w:bottom w:w="35" w:type="dxa"/>
              <w:right w:w="35" w:type="dxa"/>
            </w:tcMar>
          </w:tcPr>
          <w:p w14:paraId="1B4172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5AE49D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63" w:type="pct"/>
            <w:vMerge w:val="restart"/>
            <w:vAlign w:val="center"/>
            <w:tcMar>
              <w:top w:w="35" w:type="dxa"/>
              <w:left w:w="35" w:type="dxa"/>
              <w:bottom w:w="35" w:type="dxa"/>
              <w:right w:w="35" w:type="dxa"/>
            </w:tcMar>
          </w:tcPr>
          <w:p w14:paraId="52AEE5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7" w:type="pct"/>
            <w:vMerge w:val="restart"/>
            <w:vAlign w:val="center"/>
            <w:tcMar>
              <w:top w:w="35" w:type="dxa"/>
              <w:left w:w="35" w:type="dxa"/>
              <w:bottom w:w="35" w:type="dxa"/>
              <w:right w:w="35" w:type="dxa"/>
            </w:tcMar>
          </w:tcPr>
          <w:p w14:paraId="561DE0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41" w:type="pct"/>
            <w:gridSpan w:val="3"/>
            <w:vAlign w:val="center"/>
            <w:tcMar>
              <w:top w:w="35" w:type="dxa"/>
              <w:left w:w="35" w:type="dxa"/>
              <w:bottom w:w="35" w:type="dxa"/>
              <w:right w:w="35" w:type="dxa"/>
            </w:tcMar>
          </w:tcPr>
          <w:p w14:paraId="0B8DB7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628" w:type="pct"/>
            <w:gridSpan w:val="3"/>
            <w:vAlign w:val="center"/>
            <w:tcMar>
              <w:top w:w="35" w:type="dxa"/>
              <w:left w:w="35" w:type="dxa"/>
              <w:bottom w:w="35" w:type="dxa"/>
              <w:right w:w="35" w:type="dxa"/>
            </w:tcMar>
          </w:tcPr>
          <w:p w14:paraId="65740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5" w:type="pct"/>
            <w:vMerge w:val="restart"/>
            <w:vAlign w:val="center"/>
            <w:tcMar>
              <w:top w:w="35" w:type="dxa"/>
              <w:left w:w="35" w:type="dxa"/>
              <w:bottom w:w="35" w:type="dxa"/>
              <w:right w:w="35" w:type="dxa"/>
            </w:tcMar>
          </w:tcPr>
          <w:p w14:paraId="3E9CF4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8" w:type="pct"/>
            <w:vMerge w:val="restart"/>
            <w:vAlign w:val="center"/>
            <w:tcMar>
              <w:top w:w="35" w:type="dxa"/>
              <w:left w:w="35" w:type="dxa"/>
              <w:bottom w:w="35" w:type="dxa"/>
              <w:right w:w="35" w:type="dxa"/>
            </w:tcMar>
          </w:tcPr>
          <w:p w14:paraId="60931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72" w:type="pct"/>
            <w:vMerge w:val="restart"/>
            <w:vAlign w:val="center"/>
            <w:tcMar>
              <w:top w:w="35" w:type="dxa"/>
              <w:left w:w="35" w:type="dxa"/>
              <w:bottom w:w="35" w:type="dxa"/>
              <w:right w:w="35" w:type="dxa"/>
            </w:tcMar>
          </w:tcPr>
          <w:p w14:paraId="45052E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5" w:type="pct"/>
            <w:vMerge w:val="restart"/>
            <w:vAlign w:val="center"/>
            <w:tcMar>
              <w:top w:w="35" w:type="dxa"/>
              <w:left w:w="35" w:type="dxa"/>
              <w:bottom w:w="35" w:type="dxa"/>
              <w:right w:w="35" w:type="dxa"/>
            </w:tcMar>
          </w:tcPr>
          <w:p w14:paraId="7E5885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24" w:type="pct"/>
            <w:vMerge w:val="restart"/>
            <w:vAlign w:val="center"/>
            <w:tcMar>
              <w:top w:w="35" w:type="dxa"/>
              <w:left w:w="35" w:type="dxa"/>
              <w:bottom w:w="35" w:type="dxa"/>
              <w:right w:w="35" w:type="dxa"/>
            </w:tcMar>
          </w:tcPr>
          <w:p w14:paraId="3DF9A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35" w:type="pct"/>
            <w:vMerge w:val="restart"/>
            <w:vAlign w:val="center"/>
            <w:tcMar>
              <w:top w:w="35" w:type="dxa"/>
              <w:left w:w="35" w:type="dxa"/>
              <w:bottom w:w="35" w:type="dxa"/>
              <w:right w:w="35" w:type="dxa"/>
            </w:tcMar>
          </w:tcPr>
          <w:p w14:paraId="3CDEE8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8" w:type="pct"/>
            <w:vMerge w:val="restart"/>
            <w:vAlign w:val="center"/>
            <w:tcMar>
              <w:top w:w="35" w:type="dxa"/>
              <w:left w:w="35" w:type="dxa"/>
              <w:bottom w:w="35" w:type="dxa"/>
              <w:right w:w="35" w:type="dxa"/>
            </w:tcMar>
          </w:tcPr>
          <w:p w14:paraId="2FA94C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2673F6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22" w:type="pct"/>
            <w:vMerge w:val="restart"/>
            <w:vAlign w:val="center"/>
            <w:tcMar>
              <w:top w:w="35" w:type="dxa"/>
              <w:left w:w="35" w:type="dxa"/>
              <w:bottom w:w="35" w:type="dxa"/>
              <w:right w:w="35" w:type="dxa"/>
            </w:tcMar>
          </w:tcPr>
          <w:p w14:paraId="033E87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CC7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60" w:type="pct"/>
            <w:vMerge w:val="continue"/>
            <w:vAlign w:val="center"/>
          </w:tcPr>
          <w:p w14:paraId="24FAB2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5" w:type="pct"/>
            <w:vMerge w:val="continue"/>
            <w:vAlign w:val="center"/>
          </w:tcPr>
          <w:p w14:paraId="0A4C36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63" w:type="pct"/>
            <w:vMerge w:val="continue"/>
            <w:vAlign w:val="center"/>
          </w:tcPr>
          <w:p w14:paraId="05055C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140DF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Align w:val="center"/>
            <w:tcMar>
              <w:top w:w="35" w:type="dxa"/>
              <w:left w:w="35" w:type="dxa"/>
              <w:bottom w:w="35" w:type="dxa"/>
              <w:right w:w="35" w:type="dxa"/>
            </w:tcMar>
          </w:tcPr>
          <w:p w14:paraId="285EC9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81" w:type="pct"/>
            <w:vAlign w:val="center"/>
            <w:tcMar>
              <w:top w:w="35" w:type="dxa"/>
              <w:left w:w="35" w:type="dxa"/>
              <w:bottom w:w="35" w:type="dxa"/>
              <w:right w:w="35" w:type="dxa"/>
            </w:tcMar>
          </w:tcPr>
          <w:p w14:paraId="0D225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7" w:type="pct"/>
            <w:vAlign w:val="center"/>
            <w:tcMar>
              <w:top w:w="35" w:type="dxa"/>
              <w:left w:w="35" w:type="dxa"/>
              <w:bottom w:w="35" w:type="dxa"/>
              <w:right w:w="35" w:type="dxa"/>
            </w:tcMar>
          </w:tcPr>
          <w:p w14:paraId="4F974C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171" w:type="pct"/>
            <w:vAlign w:val="center"/>
            <w:tcMar>
              <w:top w:w="35" w:type="dxa"/>
              <w:left w:w="35" w:type="dxa"/>
              <w:bottom w:w="35" w:type="dxa"/>
              <w:right w:w="35" w:type="dxa"/>
            </w:tcMar>
          </w:tcPr>
          <w:p w14:paraId="2E6AEB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53" w:type="pct"/>
            <w:vAlign w:val="center"/>
            <w:tcMar>
              <w:top w:w="35" w:type="dxa"/>
              <w:left w:w="35" w:type="dxa"/>
              <w:bottom w:w="35" w:type="dxa"/>
              <w:right w:w="35" w:type="dxa"/>
            </w:tcMar>
          </w:tcPr>
          <w:p w14:paraId="4961F4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3" w:type="pct"/>
            <w:vAlign w:val="center"/>
            <w:tcMar>
              <w:top w:w="35" w:type="dxa"/>
              <w:left w:w="35" w:type="dxa"/>
              <w:bottom w:w="35" w:type="dxa"/>
              <w:right w:w="35" w:type="dxa"/>
            </w:tcMar>
          </w:tcPr>
          <w:p w14:paraId="3A47FA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5" w:type="pct"/>
            <w:vMerge w:val="continue"/>
            <w:vAlign w:val="center"/>
          </w:tcPr>
          <w:p w14:paraId="10C4B6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8" w:type="pct"/>
            <w:vMerge w:val="continue"/>
            <w:vAlign w:val="center"/>
          </w:tcPr>
          <w:p w14:paraId="6092D3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72" w:type="pct"/>
            <w:vMerge w:val="continue"/>
            <w:vAlign w:val="center"/>
          </w:tcPr>
          <w:p w14:paraId="05E18C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5" w:type="pct"/>
            <w:vMerge w:val="continue"/>
            <w:vAlign w:val="center"/>
          </w:tcPr>
          <w:p w14:paraId="7B2B2A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4" w:type="pct"/>
            <w:vMerge w:val="continue"/>
            <w:vAlign w:val="center"/>
          </w:tcPr>
          <w:p w14:paraId="2FDEA4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35" w:type="pct"/>
            <w:vMerge w:val="continue"/>
            <w:vAlign w:val="center"/>
          </w:tcPr>
          <w:p w14:paraId="29F8A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8" w:type="pct"/>
            <w:vMerge w:val="continue"/>
            <w:vAlign w:val="center"/>
          </w:tcPr>
          <w:p w14:paraId="58823D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2" w:type="pct"/>
            <w:vMerge w:val="continue"/>
            <w:vAlign w:val="center"/>
          </w:tcPr>
          <w:p w14:paraId="7BAF88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CD8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60" w:type="pct"/>
            <w:vAlign w:val="center"/>
            <w:tcMar>
              <w:top w:w="35" w:type="dxa"/>
              <w:left w:w="35" w:type="dxa"/>
              <w:bottom w:w="35" w:type="dxa"/>
              <w:right w:w="35" w:type="dxa"/>
            </w:tcMar>
          </w:tcPr>
          <w:p w14:paraId="683A53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xml:space="preserve"/>
            </w:r>
          </w:p>
        </w:tc>
        <w:tc>
          <w:tcPr>
            <w:tcW w:w="315" w:type="pct"/>
            <w:vAlign w:val="center"/>
            <w:tcMar>
              <w:top w:w="35" w:type="dxa"/>
              <w:left w:w="35" w:type="dxa"/>
              <w:bottom w:w="35" w:type="dxa"/>
              <w:right w:w="35" w:type="dxa"/>
            </w:tcMar>
          </w:tcPr>
          <w:p w14:paraId="75AC0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xml:space="preserve"/>
            </w:r>
          </w:p>
        </w:tc>
        <w:tc>
          <w:tcPr>
            <w:tcW w:w="363" w:type="pct"/>
            <w:vAlign w:val="center"/>
            <w:tcMar>
              <w:top w:w="35" w:type="dxa"/>
              <w:left w:w="35" w:type="dxa"/>
              <w:bottom w:w="35" w:type="dxa"/>
              <w:right w:w="35" w:type="dxa"/>
            </w:tcMar>
          </w:tcPr>
          <w:p w14:paraId="0A0D7F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xml:space="preserve"/>
            </w:r>
          </w:p>
        </w:tc>
        <w:tc>
          <w:tcPr>
            <w:tcW w:w="267" w:type="pct"/>
            <w:vAlign w:val="center"/>
            <w:tcMar>
              <w:top w:w="35" w:type="dxa"/>
              <w:left w:w="35" w:type="dxa"/>
              <w:bottom w:w="35" w:type="dxa"/>
              <w:right w:w="35" w:type="dxa"/>
            </w:tcMar>
          </w:tcPr>
          <w:p w14:paraId="695D0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62" w:type="pct"/>
            <w:vAlign w:val="center"/>
            <w:tcMar>
              <w:top w:w="35" w:type="dxa"/>
              <w:left w:w="35" w:type="dxa"/>
              <w:bottom w:w="35" w:type="dxa"/>
              <w:right w:w="35" w:type="dxa"/>
            </w:tcMar>
          </w:tcPr>
          <w:p w14:paraId="178012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xml:space="preserve"/>
            </w:r>
          </w:p>
        </w:tc>
        <w:tc>
          <w:tcPr>
            <w:tcW w:w="181" w:type="pct"/>
            <w:vAlign w:val="center"/>
            <w:tcMar>
              <w:top w:w="35" w:type="dxa"/>
              <w:left w:w="35" w:type="dxa"/>
              <w:bottom w:w="35" w:type="dxa"/>
              <w:right w:w="35" w:type="dxa"/>
            </w:tcMar>
          </w:tcPr>
          <w:p w14:paraId="5C5964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7" w:type="pct"/>
            <w:vAlign w:val="center"/>
            <w:tcMar>
              <w:top w:w="35" w:type="dxa"/>
              <w:left w:w="35" w:type="dxa"/>
              <w:bottom w:w="35" w:type="dxa"/>
              <w:right w:w="35" w:type="dxa"/>
            </w:tcMar>
          </w:tcPr>
          <w:p w14:paraId="3B503D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xml:space="preserve"/>
            </w:r>
          </w:p>
        </w:tc>
        <w:tc>
          <w:tcPr>
            <w:tcW w:w="171" w:type="pct"/>
            <w:vAlign w:val="center"/>
            <w:tcMar>
              <w:top w:w="35" w:type="dxa"/>
              <w:left w:w="35" w:type="dxa"/>
              <w:bottom w:w="35" w:type="dxa"/>
              <w:right w:w="35" w:type="dxa"/>
            </w:tcMar>
          </w:tcPr>
          <w:p w14:paraId="7695D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xml:space="preserve"/>
            </w:r>
          </w:p>
        </w:tc>
        <w:tc>
          <w:tcPr>
            <w:tcW w:w="153" w:type="pct"/>
            <w:vAlign w:val="center"/>
            <w:tcMar>
              <w:top w:w="35" w:type="dxa"/>
              <w:left w:w="35" w:type="dxa"/>
              <w:bottom w:w="35" w:type="dxa"/>
              <w:right w:w="35" w:type="dxa"/>
            </w:tcMar>
          </w:tcPr>
          <w:p w14:paraId="46C1A9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3" w:type="pct"/>
            <w:vAlign w:val="center"/>
            <w:tcMar>
              <w:top w:w="35" w:type="dxa"/>
              <w:left w:w="35" w:type="dxa"/>
              <w:bottom w:w="35" w:type="dxa"/>
              <w:right w:w="35" w:type="dxa"/>
            </w:tcMar>
          </w:tcPr>
          <w:p w14:paraId="35A8B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xml:space="preserve"/>
            </w:r>
          </w:p>
        </w:tc>
        <w:tc>
          <w:tcPr>
            <w:tcW w:w="435" w:type="pct"/>
            <w:vAlign w:val="center"/>
            <w:tcMar>
              <w:top w:w="35" w:type="dxa"/>
              <w:left w:w="35" w:type="dxa"/>
              <w:bottom w:w="35" w:type="dxa"/>
              <w:right w:w="35" w:type="dxa"/>
            </w:tcMar>
          </w:tcPr>
          <w:p w14:paraId="0DF97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xml:space="preserve"/>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8" w:type="pct"/>
            <w:vAlign w:val="center"/>
            <w:tcMar>
              <w:top w:w="35" w:type="dxa"/>
              <w:left w:w="35" w:type="dxa"/>
              <w:bottom w:w="35" w:type="dxa"/>
              <w:right w:w="35" w:type="dxa"/>
            </w:tcMar>
          </w:tcPr>
          <w:p w14:paraId="44D12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xml:space="preserve"/>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72" w:type="pct"/>
            <w:vAlign w:val="center"/>
            <w:tcMar>
              <w:top w:w="35" w:type="dxa"/>
              <w:left w:w="35" w:type="dxa"/>
              <w:bottom w:w="35" w:type="dxa"/>
              <w:right w:w="35" w:type="dxa"/>
            </w:tcMar>
          </w:tcPr>
          <w:p w14:paraId="15C70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xml:space="preserve"/>
            </w:r>
          </w:p>
        </w:tc>
        <w:tc>
          <w:tcPr>
            <w:tcW w:w="325" w:type="pct"/>
            <w:vAlign w:val="center"/>
            <w:tcMar>
              <w:top w:w="35" w:type="dxa"/>
              <w:left w:w="35" w:type="dxa"/>
              <w:bottom w:w="35" w:type="dxa"/>
              <w:right w:w="35" w:type="dxa"/>
            </w:tcMar>
          </w:tcPr>
          <w:p w14:paraId="197EBC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xml:space="preserve"/>
            </w:r>
          </w:p>
        </w:tc>
        <w:tc>
          <w:tcPr>
            <w:tcW w:w="224" w:type="pct"/>
            <w:vAlign w:val="center"/>
            <w:tcMar>
              <w:top w:w="35" w:type="dxa"/>
              <w:left w:w="35" w:type="dxa"/>
              <w:bottom w:w="35" w:type="dxa"/>
              <w:right w:w="35" w:type="dxa"/>
            </w:tcMar>
          </w:tcPr>
          <w:p w14:paraId="4EF12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xml:space="preserve"/>
            </w:r>
          </w:p>
        </w:tc>
        <w:tc>
          <w:tcPr>
            <w:tcW w:w="235" w:type="pct"/>
            <w:vAlign w:val="center"/>
            <w:tcMar>
              <w:top w:w="35" w:type="dxa"/>
              <w:left w:w="35" w:type="dxa"/>
              <w:bottom w:w="35" w:type="dxa"/>
              <w:right w:w="35" w:type="dxa"/>
            </w:tcMar>
          </w:tcPr>
          <w:p w14:paraId="6B11CD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8" w:type="pct"/>
            <w:shd w:val="clear" w:color="auto" w:fill="auto"/>
            <w:vAlign w:val="center"/>
            <w:tcMar>
              <w:top w:w="35" w:type="dxa"/>
              <w:left w:w="35" w:type="dxa"/>
              <w:bottom w:w="35" w:type="dxa"/>
              <w:right w:w="35" w:type="dxa"/>
            </w:tcMar>
          </w:tcPr>
          <w:p w14:paraId="3C51D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xml:space="preserve"/>
            </w:r>
          </w:p>
        </w:tc>
        <w:tc>
          <w:tcPr>
            <w:tcW w:w="222" w:type="pct"/>
            <w:vAlign w:val="center"/>
            <w:tcMar>
              <w:top w:w="35" w:type="dxa"/>
              <w:left w:w="35" w:type="dxa"/>
              <w:bottom w:w="35" w:type="dxa"/>
              <w:right w:w="35" w:type="dxa"/>
            </w:tcMar>
          </w:tcPr>
          <w:p w14:paraId="02E196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7891DF7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排水、供水</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7F132A0A">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一、上述土地估价结果的限定条件</w:t>
      </w:r>
    </w:p>
    <w:p w14:paraId="370D3D0D">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 xml:space="preserve">1.根据《关于国有建设用地的规划条件的函》（2025年9月11日），估价对象位于，估价对象土地所有权为国有，本次评估设定土地使用权性质为，土地使用者为。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sz w:val="28"/>
        </w:rPr>
      </w:r>
    </w:p>
    <w:p w14:paraId="7785B2A9">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 xml:space="preserve">2.基础设施条件：估价对象土地实际开发程度为，详见下表。</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2322"/>
        <w:gridCol w:w="3011"/>
        <w:gridCol w:w="2048"/>
        <w:gridCol w:w="2448"/>
        <w:gridCol w:w="4194"/>
      </w:tblGrid>
      <w:tr w14:paraId="1E1D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1" w:type="pct"/>
            <w:noWrap w:val="0"/>
            <w:vAlign w:val="center"/>
          </w:tcPr>
          <w:p w14:paraId="44D543C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3A447D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15C9E47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651" w:type="pct"/>
            <w:noWrap w:val="0"/>
            <w:vAlign w:val="center"/>
          </w:tcPr>
          <w:p w14:paraId="096C27E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778" w:type="pct"/>
            <w:noWrap w:val="0"/>
            <w:vAlign w:val="center"/>
          </w:tcPr>
          <w:p w14:paraId="6FB3AF1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333" w:type="pct"/>
            <w:noWrap w:val="0"/>
            <w:vAlign w:val="center"/>
          </w:tcPr>
          <w:p w14:paraId="7F48AD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42EB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41" w:type="pct"/>
            <w:noWrap w:val="0"/>
            <w:vAlign w:val="center"/>
          </w:tcPr>
          <w:p w14:paraId="7B088AAB">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22A5966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0B559232">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1072708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651" w:type="pct"/>
            <w:noWrap w:val="0"/>
            <w:vAlign w:val="center"/>
          </w:tcPr>
          <w:p w14:paraId="7E44F5B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8" w:type="pct"/>
            <w:noWrap w:val="0"/>
            <w:vAlign w:val="center"/>
          </w:tcPr>
          <w:p w14:paraId="1180883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33" w:type="pct"/>
            <w:noWrap w:val="0"/>
            <w:vAlign w:val="center"/>
          </w:tcPr>
          <w:p w14:paraId="1F929EE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5D89970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 xml:space="preserve">3.规划限制条件：根据《关于国有建设用地的规划条件的函》（2025年9月11日），估价对象位于，用地面积平方米。</w:t>
      </w:r>
      <w:r>
        <w:rPr>
          <w:rFonts w:ascii="仿宋_GB2312" w:hAnsi="仿宋_GB2312" w:eastAsia="仿宋_GB2312" w:cs="仿宋_GB2312"/>
          <w:color w:val="000000"/>
          <w:sz w:val="28"/>
        </w:rPr>
      </w:r>
    </w:p>
    <w:p w14:paraId="72DFE86F">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4.影响土地价值的其他限定条件：无。</w:t>
      </w:r>
    </w:p>
    <w:p w14:paraId="2B47F6B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 xml:space="preserve">二、其他需要说明的事项 </w:t>
      </w:r>
    </w:p>
    <w:p w14:paraId="7A3E6D39">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2BCEE574">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 xml:space="preserve">2.本估价报告有效期自提交估价报告日至一年内有效。</w:t>
      </w:r>
    </w:p>
    <w:p w14:paraId="459F75BC">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3.估价结果按规定须报请自然资源主管部门备案。</w:t>
      </w:r>
    </w:p>
    <w:p w14:paraId="03091924">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 xml:space="preserve">4.本评估报告中涉及的土地面积、土地权属、土地用途、规划利用指标以委托方提供的《关于国有建设用地的规划条件的函》（2025年9月11日）和《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sz w:val="28"/>
        </w:rPr>
      </w:r>
    </w:p>
    <w:p w14:paraId="329D4C3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5.依据委托人测试公司《关于国有建设用地的规划条件的函》（2025年9月11日），用地面积平方米，本次评估面积以拟出让地块红线图的供应面积为准。</w:t>
      </w:r>
    </w:p>
    <w:p w14:paraId="7C2B4B6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szCs w:val="21"/>
          <w:highlight w:val="none"/>
          <w14:textFill>
            <w14:solidFill>
              <w14:schemeClr w14:val="tx1"/>
            </w14:solidFill>
          </w14:textFill>
        </w:rPr>
        <w:t xml:space="preserve">.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099D94EF">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4682344D">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                                                                                                                                                                                                                    </w:t>
      </w:r>
    </w:p>
    <w:p w14:paraId="2B90C411">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w:t>
      </w:r>
    </w:p>
    <w:p w14:paraId="1890A5BA">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type w:val="continuous"/>
          <w:pgSz w:w="16838" w:h="11906" w:orient="landscape"/>
          <w:pgMar w:top="720" w:right="663" w:bottom="720" w:left="663" w:header="624" w:footer="624" w:gutter="0"/>
          <w:pgNumType w:fmt="decimal"/>
          <w:cols w:space="720" w:num="1"/>
          <w:docGrid w:linePitch="312" w:charSpace="0"/>
        </w:sectPr>
      </w:pPr>
    </w:p>
    <w:p w14:paraId="6BD788E0">
      <w:pPr>
        <w:spacing w:before="0" w:beforeLines="50" w:after="0" w:afterLines="100" w:line="560" w:lineRule="exact"/>
        <w:ind w:left="641" w:firstLine="180" w:firstLineChars="56"/>
        <w:jc w:val="center"/>
        <w:outlineLvl w:val="0"/>
        <w:rPr>
          <w:rFonts w:ascii="宋体" w:hAnsi="宋体"/>
          <w:b/>
          <w:color w:val="000000" w:themeColor="text1"/>
          <w:sz w:val="32"/>
          <w:szCs w:val="32"/>
          <w:highlight w:val="none"/>
          <w14:textFill>
            <w14:solidFill>
              <w14:schemeClr w14:val="tx1"/>
            </w14:solidFill>
          </w14:textFill>
        </w:rPr>
      </w:pPr>
      <w:r>
        <w:rPr>
          <w:rFonts w:hint="eastAsia" w:ascii="宋体" w:hAnsi="宋体" w:eastAsia="宋体" w:cs="宋体"/>
          <w:b/>
          <w:bCs/>
          <w:color w:val="000000" w:themeColor="text1"/>
          <w:sz w:val="32"/>
          <w:highlight w:val="none"/>
          <w14:textFill>
            <w14:solidFill>
              <w14:schemeClr w14:val="tx1"/>
            </w14:solidFill>
          </w14:textFill>
        </w:rPr>
        <w:t>第二部分    估价对象界定</w:t>
      </w:r>
    </w:p>
    <w:p w14:paraId="3CD27D98">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 xml:space="preserve">一、委托估价方</w:t>
      </w:r>
    </w:p>
    <w:p w14:paraId="222853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委托估价方：委托人测试公司 </w:t>
      </w:r>
    </w:p>
    <w:p w14:paraId="5210314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社会统一信用代码：</w:t>
      </w:r>
    </w:p>
    <w:p w14:paraId="10EAE09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负责人：</w:t>
      </w:r>
    </w:p>
    <w:p w14:paraId="0EA4EA1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机构性质：</w:t>
      </w:r>
    </w:p>
    <w:p w14:paraId="023DBD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机构地址：</w:t>
      </w:r>
    </w:p>
    <w:p w14:paraId="0507BE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 xml:space="preserve">联 系 人：</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r>
      <w:r>
        <w:rPr>
          <w:rFonts w:hint="eastAsia" w:ascii="仿宋_GB2312" w:eastAsia="仿宋_GB2312" w:hAnsi="仿宋_GB2312" w:cs="仿宋_GB2312"/>
          <w:color w:val="000000" w:themeColor="text1"/>
          <w:sz w:val="28"/>
          <w:szCs w:val="30"/>
          <w:highlight w:val="none"/>
          <w14:textFill>
            <w14:solidFill>
              <w14:schemeClr w14:val="tx1"/>
            </w14:solidFill>
          </w14:textFill>
        </w:rPr>
      </w:r>
    </w:p>
    <w:p w14:paraId="556188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 xml:space="preserve">联系电话：</w:t>
      </w:r>
    </w:p>
    <w:p w14:paraId="441D6F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邮    编：</w:t>
      </w:r>
    </w:p>
    <w:p w14:paraId="5639949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 xml:space="preserve">与估价对象土地使用者之间的关系：委托方为本次估价委托方，土地使用者为。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72789BC">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二、估价对象</w:t>
      </w:r>
    </w:p>
    <w:p w14:paraId="29E9AA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 xml:space="preserve">本次估价对象为委托人测试公司涉及的位于的国有建设用地使用权，根据《评估委托书》、、《号地块建设用地规划红线图》等资料，估价对象土地面积为平方米，土地开发程度为，土地使用者为。</w:t>
      </w:r>
      <w:r>
        <w:rPr>
          <w:rFonts w:ascii="仿宋_GB2312" w:hAnsi="仿宋_GB2312" w:eastAsia="仿宋_GB2312" w:cs="仿宋_GB2312"/>
          <w:color w:val="000000"/>
          <w:sz w:val="28"/>
        </w:rPr>
      </w:r>
    </w:p>
    <w:p w14:paraId="5650E2D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估价对象仅为国有建设用地使用权，不包括其他土地附着物、动产、债权债务、特许经营权等其他财产或权益。</w:t>
      </w:r>
    </w:p>
    <w:p w14:paraId="066C5006">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三、估价对象概况</w:t>
      </w:r>
    </w:p>
    <w:p w14:paraId="403B3C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（一）土地登记状况</w:t>
      </w:r>
    </w:p>
    <w:p>
      <w:pPr>
        <w:spacing w:before="0" w:after="0" w:line="480" w:lineRule="exact"/>
        <w:ind w:left="561" w:firstLine="0"/>
      </w:pPr>
      <w:r>
        <w:rPr>
          <w:rFonts w:ascii="仿宋_GB2312" w:hAnsi="仿宋_GB2312" w:eastAsia="仿宋_GB2312" w:cs="仿宋_GB2312"/>
          <w:sz w:val="28"/>
        </w:rPr>
        <w:t xml:space="preserve"/>
      </w:r>
    </w:p>
    <w:p w14:paraId="3A3D5A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（二）土地权利状况</w:t>
      </w:r>
    </w:p>
    <w:p>
      <w:pPr>
        <w:spacing w:before="0" w:after="0" w:line="480" w:lineRule="exact"/>
        <w:ind w:left="561" w:firstLine="0"/>
      </w:pPr>
      <w:r>
        <w:rPr>
          <w:rFonts w:ascii="仿宋_GB2312" w:hAnsi="仿宋_GB2312" w:eastAsia="仿宋_GB2312" w:cs="仿宋_GB2312"/>
          <w:sz w:val="28"/>
        </w:rPr>
        <w:t xml:space="preserve"/>
      </w:r>
    </w:p>
    <w:p w14:paraId="6EC8BC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（三）土地利用状况</w:t>
      </w:r>
    </w:p>
    <w:p w14:paraId="75B8A2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80" w:lineRule="exact"/>
        <w:ind w:left="561" w:firstLine="0"/>
      </w:pPr>
      <w:r>
        <w:rPr>
          <w:rFonts w:ascii="仿宋_GB2312" w:hAnsi="仿宋_GB2312" w:eastAsia="仿宋_GB2312" w:cs="仿宋_GB2312"/>
          <w:sz w:val="28"/>
        </w:rPr>
        <w:t xml:space="preserve"/>
      </w:r>
    </w:p>
    <w:p>
      <w:pPr>
        <w:spacing w:before="0" w:after="0" w:line="480" w:lineRule="exact"/>
        <w:ind w:left="561" w:firstLine="0"/>
      </w:pPr>
      <w:r>
        <w:rPr>
          <w:rFonts w:ascii="仿宋_GB2312" w:hAnsi="仿宋_GB2312" w:eastAsia="仿宋_GB2312" w:cs="仿宋_GB2312"/>
          <w:sz w:val="28"/>
        </w:rPr>
        <w:t>估价对象利用现状如下：</w:t>
      </w:r>
    </w:p>
    <w:p w14:paraId="3892FF0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34C703D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333228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xml:space="preserve">根据《关于国有建设用地的规划条件的函》（2025年9月11日）及现场勘查状况，估价对象土地面积为平方米，规划建筑密度-，容积率，绿地率，建筑限高，规划指标批准机关为，批准日期为2025年9月11日。</w:t>
      </w:r>
      <w:r>
        <w:rPr>
          <w:rFonts w:ascii="仿宋_GB2312" w:hAnsi="仿宋_GB2312" w:eastAsia="仿宋_GB2312" w:cs="仿宋_GB2312"/>
          <w:color w:val="000000"/>
          <w:sz w:val="28"/>
        </w:rPr>
      </w:r>
    </w:p>
    <w:p w14:paraId="6FB5FD1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7F99139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 xml:space="preserve">本次评估根据最有效利用原则，估价对象在规划利用下价值利用状况为最有效利用。故设定估价对象用途为，设定容积率为，其余指标均取规划值为最佳利用方式。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4D8F55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681B729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D814087">
      <w:pPr>
        <w:keepNext w:val="0"/>
        <w:keepLines w:val="0"/>
        <w:pageBreakBefore w:val="0"/>
        <w:widowControl w:val="0"/>
        <w:tabs>
          <w:tab w:val="left" w:pos="1050"/>
        </w:tabs>
        <w:kinsoku/>
        <w:wordWrap/>
        <w:overflowPunct/>
        <w:topLinePunct w:val="0"/>
        <w:autoSpaceDE/>
        <w:autoSpaceDN/>
        <w:bidi w:val="0"/>
        <w:spacing w:line="480" w:lineRule="exact" w:before="0" w:after="0"/>
        <w:ind w:right="23" w:firstLine="562" w:firstLineChars="200"/>
        <w:textAlignment w:val="auto"/>
        <w:outlineLvl w:val="1"/>
        <w:rPr>
          <w:rFonts w:ascii="仿宋" w:hAnsi="仿宋" w:eastAsia="仿宋"/>
          <w:color w:val="000000" w:themeColor="text1"/>
          <w:sz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四、影响地价的因素说明</w:t>
      </w:r>
    </w:p>
    <w:p w14:paraId="4B572F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(一)一般因素</w:t>
      </w:r>
    </w:p>
    <w:p w14:paraId="4366BDE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422B526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2C42317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2895C41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00C9C0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6A6EA4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35009D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48A7CD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791385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BA3D32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25152C2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758EAF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61AF73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359D6CA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2A3CC0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690BC0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2022年2月8日，道县第三次国土调查结果经县政府、永州市“三调”办审议并原则同意后，道县第三次国土调查领导小组办公室、委托人测试公司、道县统计局印发了《道县第三次国土调查主要数据公报》，道县主要地类数据如下：</w:t>
      </w:r>
    </w:p>
    <w:p w14:paraId="1D4F5A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4B7DD3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435FC6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3AFFA5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2863155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3F986F8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26D1C2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140AF5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D54A7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7E56D9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3CED0E1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69AA2A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0647595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58B98C2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566DB3B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6DF65C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7D4A51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0C1A436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3A92DB8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7E2A0F5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70412E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384E11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099965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17AF1EA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418ABB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CEE065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4470CB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1F64BA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4DE428B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782FF9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7FF5A8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2EB033E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21F8B2B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 xml:space="preserve">2020年8月18日，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1627E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108631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29F31E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9FE85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A43D0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97222D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243AB6D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17811CF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2CC2199">
      <w:pPr>
        <w:keepLines w:val="0"/>
        <w:pageBreakBefore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0E950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A34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FE5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81C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09E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63D84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FA9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554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F56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9A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1FA62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8D8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492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DA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425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25BB6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F58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70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894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EF8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1E0C1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36E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81D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1C5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D77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7888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B1E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CBA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AE5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B50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2740F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F19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1C9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F3C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31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596E0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5D8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B64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952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3FB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17A47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01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F62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6B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9A8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1D04DA12">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547DD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654550" cy="2590800"/>
            <wp:effectExtent l="4445" t="4445" r="19685" b="10795"/>
            <wp:docPr id="1001" name="图表 4"/>
            <wp:cNvGraphicFramePr/>
            <a:graphic xmlns:a="http://schemas.openxmlformats.org/drawingml/2006/main">
              <a:graphicData uri="http://schemas.openxmlformats.org/drawingml/2006/chart">
                <c:chart xmlns:c="http://schemas.openxmlformats.org/drawingml/2006/chart" r:id="rId32"/>
              </a:graphicData>
            </a:graphic>
          </wp:inline>
        </w:drawing>
      </w:r>
    </w:p>
    <w:p w14:paraId="3A26772A">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道县2020-2024年土地供应总量图</w:t>
      </w:r>
    </w:p>
    <w:p w14:paraId="7997F6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4DD3CD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3A34AC59">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道县2020-2024年土地供应情况表</w:t>
      </w:r>
    </w:p>
    <w:p w14:paraId="1646A79D">
      <w:pPr>
        <w:pStyle w:val="14"/>
        <w:spacing w:before="0" w:after="0" w:line="480" w:lineRule="exact"/>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p w14:paraId="08CB0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757545" cy="2015490"/>
            <wp:effectExtent l="0" t="0" r="3175" b="11430"/>
            <wp:docPr id="10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inline>
        </w:drawing>
      </w:r>
    </w:p>
    <w:p w14:paraId="641D1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color w:val="000000" w:themeColor="text1"/>
          <w:highlight w:val="none"/>
          <w14:textFill>
            <w14:solidFill>
              <w14:schemeClr w14:val="tx1"/>
            </w14:solidFill>
          </w14:textFill>
        </w:rPr>
      </w:pPr>
    </w:p>
    <w:p w14:paraId="5FAE31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742055" cy="2219960"/>
            <wp:effectExtent l="4445" t="4445" r="17780" b="15875"/>
            <wp:docPr id="1003"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r:id="rId34"/>
              </a:graphicData>
            </a:graphic>
          </wp:inline>
        </w:drawing>
      </w:r>
    </w:p>
    <w:p w14:paraId="0E715250">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道县2020-2024年土地供应结构图</w:t>
      </w:r>
    </w:p>
    <w:p w14:paraId="777A777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273227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32AE3E1A">
      <w:pPr>
        <w:keepLines w:val="0"/>
        <w:pageBreakBefore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道县2020-2024年土地供应方式情况表</w:t>
      </w:r>
    </w:p>
    <w:p w14:paraId="2508AB32">
      <w:pPr>
        <w:pStyle w:val="14"/>
        <w:spacing w:before="0" w:after="0" w:line="480" w:lineRule="exact"/>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5C47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CF2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E7F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C15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41D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4B280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7E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60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4A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5E8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484C9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06A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CCA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90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932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02B1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227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9E1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9D4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4B2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7A63F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914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87A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926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DF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42F58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96F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9CF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4BF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AE3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4225C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7A7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836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4F4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A74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31B0D5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00ACBD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767141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35D638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045728A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F8377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0E950E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74FC75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284F8C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F16EE2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68FB6F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B47FC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13AF87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E56D8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08EED6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21A8A8A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6009B6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261B2C4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170778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1B190A2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36DE5F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19A1E75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1DFF65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4569ED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752D8D6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3CB2CF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2C482D6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1A178A7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4935300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6D6D9E5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xml:space="preserve">2023年5月，关于印发《道县进一步促进房地产市场平稳健康发展的十条措施》的通知，结合道县实际，制定十条措施保障房地产市场健康发展：</w:t>
      </w:r>
    </w:p>
    <w:p w14:paraId="0121425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4D63031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4300DCA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53E7E0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780B662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52F96E0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0AC076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01BC37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2CC2A0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4915A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D58C2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18E2EAE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5C5841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64A9F2F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2506580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285AFE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13EC95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1EB3273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5AB957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7E2468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203B1A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66564A5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4717502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375509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01E50F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4686AF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374A230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687B82C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4187B9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431201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21A0AE5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53194B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209973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51ADAA4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19EE114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82951A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61C1328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477FD08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180E96D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1874895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2AE0A27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51F13C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51231C9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5D3D4DC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7FF10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458F9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3CDF9A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5D39204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66E929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158EAB8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62304E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6159FA4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01F1BC0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62A6B2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3DD93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7E663FD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1D47E46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7227A8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6386851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7A01944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3C96210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1BA8E4D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22F87B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339E2D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6C8C11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38DA4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6124C4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722C1C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3CA7E4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5F8DE56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6994D63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4FAB7E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679167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AD583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367D1B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949A5E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2F22614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090B29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28FA135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0E8544C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215608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4F2952E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0286C6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C61EA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661AD1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44DA3D7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52F1821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0A4BE403">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7FAFBBA">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18B8BE7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276D25C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5CB6D88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284489C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05C1ABB">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xml:space="preserve">根据网发布的消息，道县目前城市经济布局主要突出以下几个方面：</w:t>
      </w:r>
    </w:p>
    <w:p w14:paraId="4163C2F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71B0B69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3B65C784">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302882E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02ED6B67">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7E45BD32">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2F16459C">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330A78C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31B8B2C8">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4477E263">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0933A585">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75F2DA9C">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A5A03E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5970DA3E">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5B971D0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501ECDA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69E303B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(二)区域因素</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ab/>
      </w:r>
    </w:p>
    <w:p w14:paraId="72714E1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1D4C8D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37D86E7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0D70EA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估价对象位于。</w:t>
      </w:r>
    </w:p>
    <w:p w14:paraId="6544F15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6403E6F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42DB945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2D1CC2E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64B7D7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xml:space="preserve">城镇基准地价的颁布实施时间为，批准文号为，文件名称为（，），批准机关为，基准地价估价基准日为，距基准地价估价基准日已满年，故暂无土地级别信息。</w:t>
      </w:r>
    </w:p>
    <w:p w14:paraId="56CB68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0900C5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6049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47C88F47">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（1）对内交通条件</w:t>
      </w:r>
    </w:p>
    <w:p w14:paraId="044D550C">
      <w:pPr>
        <w:spacing w:line="480" w:lineRule="exact" w:before="0" w:after="0"/>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境内有县城到</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CE0F72F">
      <w:pPr>
        <w:spacing w:line="480" w:lineRule="exact" w:before="0" w:after="0"/>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估价对象距四马桥镇客运站12km。</w:t>
      </w:r>
    </w:p>
    <w:p w14:paraId="089F9922">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（2）对外交通条件</w:t>
      </w:r>
    </w:p>
    <w:p w14:paraId="545AF4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hAnsi="仿宋_GB2312" w:cs="仿宋_GB2312"/>
          <w:color w:val="000000" w:themeColor="text1"/>
          <w:sz w:val="28"/>
          <w:szCs w:val="30"/>
          <w:highlight w:val="none"/>
          <w14:textFill>
            <w14:solidFill>
              <w14:schemeClr w14:val="tx1"/>
            </w14:solidFill>
          </w14:textFill>
        </w:rPr>
        <w:t>区域的外联道路主要</w:t>
      </w:r>
      <w:r>
        <w:rPr>
          <w:rFonts w:hint="default" w:ascii="仿宋_GB2312" w:eastAsia="仿宋_GB2312" w:hAnsi="仿宋_GB2312" w:cs="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等。</w:t>
      </w:r>
    </w:p>
    <w:p w14:paraId="4FFD9DF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709A43D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2F38F0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52E6987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510F37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2C2C6E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E41B4B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5A59E0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593BE6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113B5DA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11428BE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667DBA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1735F52D">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（1）人文环境</w:t>
      </w:r>
    </w:p>
    <w:p w14:paraId="2607F4A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536EBFB5">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（2）自然环境</w:t>
      </w:r>
    </w:p>
    <w:p w14:paraId="1BB2278B">
      <w:pPr>
        <w:spacing w:line="480" w:lineRule="exact" w:before="0" w:after="0"/>
        <w:ind w:firstLine="560" w:firstLineChars="200"/>
        <w:outlineLvl w:val="9"/>
        <w:rPr>
          <w:rFonts w:hint="default" w:ascii="仿宋_GB2312" w:eastAsia="仿宋_GB2312"/>
          <w:color w:val="auto"/>
          <w:sz w:val="28"/>
          <w:szCs w:val="30"/>
          <w:highlight w:val="none"/>
        </w:rPr>
      </w:pPr>
      <w:r>
        <w:rPr>
          <w:rFonts w:hint="default" w:ascii="仿宋_GB2312" w:eastAsia="仿宋_GB2312" w:hAnsi="仿宋_GB2312" w:cs="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22F4227B">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auto"/>
          <w:sz w:val="28"/>
          <w:szCs w:val="30"/>
          <w:highlight w:val="none"/>
        </w:rPr>
        <w:t>宗地所在区域，地质条</w:t>
      </w:r>
      <w:r>
        <w:rPr>
          <w:rFonts w:hint="eastAsia" w:ascii="仿宋_GB2312" w:eastAsia="仿宋_GB2312" w:hAnsi="仿宋_GB2312" w:cs="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hAnsi="仿宋_GB2312" w:cs="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F2840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2EC25ED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5688FE8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39FA9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61E131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4A12677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估价对象位于，估价对价对象交通由支路构成，区域交通条件差。距离最近火车站（江华火车站）约12km，距火车站距离差；区域基础设施状况一般，区域内产业集聚度差。</w:t>
      </w:r>
    </w:p>
    <w:p w14:paraId="145F5F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364019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(三)个别因素</w:t>
      </w:r>
    </w:p>
    <w:p w14:paraId="4C8C8F28">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0D565D1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7DF5C5BA">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估价对象位于。</w:t>
      </w:r>
    </w:p>
    <w:p w14:paraId="05C13040">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406E676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根据委托估价方提供的《关于国有建设用地的规划条件的函》（2025年9月11日），估价对象土地面积为平方米，面积适中，对土地利用有利。</w:t>
      </w:r>
    </w:p>
    <w:p w14:paraId="0BF01DA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77D8C53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3504F6AD">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523EACAC">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51680C86">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xml:space="preserve">根据委托估价方提供的《号地块建设用地规划红线图》，宗地形状基本规则，对利用无影响。</w:t>
      </w:r>
      <w:r>
        <w:rPr>
          <w:rFonts w:ascii="仿宋_GB2312" w:hAnsi="仿宋_GB2312" w:eastAsia="仿宋_GB2312" w:cs="仿宋_GB2312"/>
          <w:color w:val="000000"/>
          <w:sz w:val="28"/>
        </w:rPr>
      </w:r>
    </w:p>
    <w:p w14:paraId="0FCC2F77">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2ADABEAB">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834E80">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221558E6">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A907B0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76C90B0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FE6979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6CA09E1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6CD3C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61B55515">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004" name="图片 1"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5D9B8107">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1005" name="图片 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02073010">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60982C1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1AF2793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xml:space="preserve">根据《关于国有建设用地的规划条件的函》（2025年9月11日）及现场勘查状况，估价对象土地面积为平方米，规划建筑密度-，容积率，绿地率，建筑限高，规划指标批准机关为，批准日期为2025年9月11日。</w:t>
      </w:r>
      <w:r>
        <w:rPr>
          <w:rFonts w:ascii="仿宋_GB2312" w:hAnsi="仿宋_GB2312" w:eastAsia="仿宋_GB2312" w:cs="仿宋_GB2312"/>
          <w:color w:val="000000"/>
          <w:sz w:val="28"/>
        </w:rPr>
      </w:r>
    </w:p>
    <w:p w14:paraId="6849B2D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7C88930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本次评估根据最有效利用原则，估价对象在规划利用下价值利用状况为最有效利用。故设定估价对象用途为，设定容积率为，其余指标均取规划值为最佳利用方式。</w:t>
      </w:r>
    </w:p>
    <w:p w14:paraId="37F0EB9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6EBA7B6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11A7E29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46A524AA">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5C96FA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516EFC0F">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6D7AC5FB">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310ED1DA">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68010F06">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9EF1C13">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11" w:type="first"/>
          <w:footerReference r:id="rId12" w:type="first"/>
          <w:endnotePr>
            <w:numFmt w:val="decimal"/>
          </w:endnotePr>
          <w:type w:val="continuous"/>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6A8170F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D4FE92F">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3" w:type="first"/>
          <w:footerReference r:id="rId14"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A2C50C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0DD4A18E">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5" w:type="first"/>
          <w:footerReference r:id="rId16"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7B6D4CF8">
      <w:pPr>
        <w:tabs>
          <w:tab w:val="left" w:pos="0"/>
        </w:tabs>
        <w:spacing w:before="0" w:beforeLines="50" w:after="0" w:afterLines="100" w:line="560" w:lineRule="exact"/>
        <w:jc w:val="center"/>
        <w:outlineLvl w:val="1"/>
        <w:rPr>
          <w:rFonts w:ascii="宋体" w:hAnsi="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第三部分   土地估价结果及其使用</w:t>
      </w:r>
    </w:p>
    <w:p w14:paraId="11C473B3">
      <w:pPr>
        <w:keepNext w:val="0"/>
        <w:keepLines w:val="0"/>
        <w:pageBreakBefore w:val="0"/>
        <w:widowControl w:val="0"/>
        <w:kinsoku/>
        <w:wordWrap/>
        <w:topLinePunct w:val="0"/>
        <w:bidi w:val="0"/>
        <w:spacing w:line="480" w:lineRule="exact" w:before="0" w:after="0"/>
        <w:ind w:firstLine="562" w:firstLineChars="200"/>
        <w:textAlignment w:val="auto"/>
        <w:outlineLvl w:val="1"/>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一、估价依据</w:t>
      </w:r>
    </w:p>
    <w:p w14:paraId="1648BD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（一）国家相关法律、法规及行政规章</w:t>
      </w:r>
    </w:p>
    <w:p w14:paraId="1B5806B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6F3C2A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0BC1F6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63647F1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128CF79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497821B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1A4656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4F133C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E36E0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4AA5D2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512B02D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227F01E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33FB13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ABC4EE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0535F00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5ACFB4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3FCDC4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68AFA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7FBA967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2F0B971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4CA2CE4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5EE35B3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333AF4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071A13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0B5784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7A4D49E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3ED8EC0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2391820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5862CE3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6F488D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2FBB4B4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7D2BEB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03436E5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3EFDB13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311FB5F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745EFC4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1A7D8E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5F5DB1F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p>
    <w:p w14:paraId="07171B1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2064FA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70439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C7F72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3841216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47E5D6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93D3BC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EB1900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eastAsia="宋体"/>
          <w:color w:val="000000" w:themeColor="text1"/>
          <w:highlight w:val="none"/>
          <w:lang w:eastAsia="zh-CN"/>
          <w14:textFill>
            <w14:solidFill>
              <w14:schemeClr w14:val="tx1"/>
            </w14:solidFill>
          </w14:textFill>
        </w:rPr>
      </w:pPr>
      <w:r>
        <w:rPr>
          <w:rFonts w:ascii="仿宋_GB2312" w:hAnsi="仿宋_GB2312" w:eastAsia="仿宋_GB2312" w:cs="仿宋_GB2312"/>
          <w:sz w:val="28"/>
        </w:rPr>
        <w:t xml:space="preserve">19.湖南省人民政府、永州市人民政府、及有关部门颁布的其他有关政策、规定、实施办法、通知等法规文件。</w:t>
      </w:r>
    </w:p>
    <w:p w14:paraId="2EB04C7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（三）采用的技术规程及标准</w:t>
      </w:r>
    </w:p>
    <w:p w14:paraId="4580E31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5F7FC82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3806C0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5768618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F58DE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393CF9A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7E4E17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7520538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28D702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72FD319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（四）委托估价方提供的资料</w:t>
      </w:r>
    </w:p>
    <w:p w14:paraId="06B9039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737795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860A0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7DE881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xml:space="preserve">4.《号地块建设用地规划红线图》；</w:t>
      </w:r>
      <w:r>
        <w:rPr>
          <w:rFonts w:ascii="仿宋_GB2312" w:hAnsi="仿宋_GB2312" w:eastAsia="仿宋_GB2312" w:cs="仿宋_GB2312"/>
          <w:color w:val="000000"/>
          <w:sz w:val="28"/>
        </w:rPr>
      </w:r>
    </w:p>
    <w:p w14:paraId="079C58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xml:space="preserve">5、；</w:t>
      </w:r>
    </w:p>
    <w:p w14:paraId="7A0635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3BC56B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50A820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0C1BE1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103DBC9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4674A0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55F178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67CECE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06D94A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081122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3D4162E3">
      <w:pPr>
        <w:keepNext w:val="0"/>
        <w:keepLines w:val="0"/>
        <w:pageBreakBefore w:val="0"/>
        <w:widowControl w:val="0"/>
        <w:kinsoku/>
        <w:wordWrap/>
        <w:topLinePunct w:val="0"/>
        <w:bidi w:val="0"/>
        <w:spacing w:line="480" w:lineRule="exact" w:before="0" w:after="0"/>
        <w:ind w:firstLine="562" w:firstLineChars="200"/>
        <w:textAlignment w:val="auto"/>
        <w:outlineLvl w:val="1"/>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二、土地估价</w:t>
      </w:r>
    </w:p>
    <w:p w14:paraId="209AB8D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（一）估价原则</w:t>
      </w:r>
    </w:p>
    <w:p w14:paraId="24AD22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768AF22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3A7D9F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709CED6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基准地价系数修正法中对区域平均级别价进行修正也体现了替代原则。</w:t>
      </w:r>
    </w:p>
    <w:p w14:paraId="4EE74F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04EE36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176814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40B2B1D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3F22DE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771A04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DA7748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473489F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3BA17BE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0DCD62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341FFD2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4C401BB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0AD336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0B0CAF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7EF393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339AFB7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（二）估价方法</w:t>
      </w:r>
    </w:p>
    <w:p w14:paraId="3188F8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3B78B8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210A7E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64B9C6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2B5FE5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0CE2545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0DB8C8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（5）评估位于中心城区的工业仓储用地，一般情况下不宜采用成本逼近法。</w:t>
      </w:r>
    </w:p>
    <w:p w14:paraId="2027E3A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1256CB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3297361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7B8CE97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31791D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0430F97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69B64C1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11098C9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7701A15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80" w:lineRule="exact"/>
        <w:ind w:left="561" w:firstLine="0"/>
      </w:pPr>
      <w:r>
        <w:rPr>
          <w:rFonts w:ascii="仿宋_GB2312" w:hAnsi="仿宋_GB2312" w:eastAsia="仿宋_GB2312" w:cs="仿宋_GB2312"/>
          <w:sz w:val="28"/>
        </w:rPr>
        <w:t xml:space="preserve"/>
      </w:r>
    </w:p>
    <w:p>
      <w:pPr>
        <w:spacing w:before="0" w:after="0" w:line="480" w:lineRule="exact"/>
        <w:ind w:left="561" w:firstLine="0"/>
      </w:pPr>
      <w:r>
        <w:rPr>
          <w:rFonts w:ascii="仿宋_GB2312" w:hAnsi="仿宋_GB2312" w:eastAsia="仿宋_GB2312" w:cs="仿宋_GB2312"/>
          <w:sz w:val="28"/>
        </w:rPr>
        <w:t xml:space="preserve"/>
      </w:r>
    </w:p>
    <w:p w14:paraId="2D9A1B3A">
      <w:pPr>
        <w:keepNext w:val="0"/>
        <w:keepLines w:val="0"/>
        <w:pageBreakBefore w:val="0"/>
        <w:widowControl w:val="0"/>
        <w:kinsoku/>
        <w:wordWrap/>
        <w:overflowPunct w:val="0"/>
        <w:topLinePunct w:val="0"/>
        <w:autoSpaceDE w:val="0"/>
        <w:autoSpaceDN w:val="0"/>
        <w:bidi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 xml:space="preserve"> （三）估价结果</w:t>
      </w:r>
    </w:p>
    <w:p w14:paraId="52A87E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pPr>
        <w:keepNext/>
        <w:spacing w:before="0" w:after="0" w:line="480" w:lineRule="exact"/>
        <w:ind w:firstLine="561"/>
      </w:pPr>
      <w:r>
        <w:rPr>
          <w:rFonts w:ascii="仿宋_GB2312" w:hAnsi="仿宋_GB2312" w:eastAsia="仿宋_GB2312" w:cs="仿宋_GB2312"/>
          <w:b/>
          <w:sz w:val="28"/>
        </w:rPr>
        <w:t>★基准地价系数修正法</w:t>
      </w:r>
    </w:p>
    <w:p>
      <w:pPr>
        <w:spacing w:before="0" w:after="0" w:line="480" w:lineRule="exact"/>
      </w:pPr>
      <w:r>
        <w:rPr>
          <w:rFonts w:ascii="仿宋_GB2312" w:hAnsi="仿宋_GB2312" w:eastAsia="仿宋_GB2312" w:cs="仿宋_GB2312"/>
          <w:sz w:val="28"/>
        </w:rPr>
        <w:t xml:space="preserve"/>
      </w:r>
    </w:p>
    <w:p>
      <w:pPr>
        <w:keepNext/>
        <w:spacing w:before="0" w:after="0" w:line="480" w:lineRule="exact"/>
        <w:ind w:firstLine="561"/>
      </w:pPr>
      <w:r>
        <w:rPr>
          <w:rFonts w:ascii="仿宋_GB2312" w:hAnsi="仿宋_GB2312" w:eastAsia="仿宋_GB2312" w:cs="仿宋_GB2312"/>
          <w:b/>
          <w:sz w:val="28"/>
        </w:rPr>
        <w:t>★剩余法</w:t>
      </w:r>
    </w:p>
    <w:p>
      <w:pPr>
        <w:spacing w:before="0" w:after="0" w:line="480" w:lineRule="exact"/>
      </w:pPr>
      <w:r>
        <w:rPr>
          <w:rFonts w:ascii="仿宋_GB2312" w:hAnsi="仿宋_GB2312" w:eastAsia="仿宋_GB2312" w:cs="仿宋_GB2312"/>
          <w:sz w:val="28"/>
        </w:rPr>
        <w:t xml:space="preserve"/>
      </w:r>
    </w:p>
    <w:p>
      <w:pPr>
        <w:spacing w:before="0" w:after="0" w:line="480" w:lineRule="exact"/>
        <w:ind w:left="561" w:firstLine="0"/>
      </w:pPr>
      <w:r>
        <w:rPr>
          <w:rFonts w:ascii="仿宋_GB2312" w:hAnsi="仿宋_GB2312" w:eastAsia="仿宋_GB2312" w:cs="仿宋_GB2312"/>
          <w:sz w:val="28"/>
        </w:rPr>
        <w:t xml:space="preserve"/>
      </w:r>
    </w:p>
    <w:p w14:paraId="32C9FBCE">
      <w:pPr>
        <w:keepNext/>
        <w:spacing w:line="480" w:lineRule="exact" w:before="157" w:after="10"/>
        <w:ind w:firstLine="0" w:left="0" w:right="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0"/>
        <w:gridCol w:w="1390"/>
        <w:gridCol w:w="781"/>
        <w:gridCol w:w="1143"/>
        <w:gridCol w:w="778"/>
        <w:gridCol w:w="1214"/>
        <w:gridCol w:w="1546"/>
      </w:tblGrid>
      <w:tr w14:paraId="17FB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5EFBCB2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D20C3E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33BEEAD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36B704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3FCE9E5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28D2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5639B7C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6F7076F2">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3AB8D74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6433603A">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4623621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55719BB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63BB559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042D911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7515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23C6A175">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xml:space="preserve"/>
            </w:r>
          </w:p>
        </w:tc>
        <w:tc>
          <w:tcPr>
            <w:tcW w:w="1391" w:type="dxa"/>
            <w:shd w:val="clear" w:color="auto" w:fill="auto"/>
            <w:vAlign w:val="center"/>
          </w:tcPr>
          <w:p w14:paraId="7EDAD7F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xml:space="preserve"/>
            </w:r>
          </w:p>
        </w:tc>
        <w:tc>
          <w:tcPr>
            <w:tcW w:w="781" w:type="dxa"/>
            <w:shd w:val="clear" w:color="auto" w:fill="auto"/>
            <w:vAlign w:val="center"/>
          </w:tcPr>
          <w:p w14:paraId="1F76BBC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0C911FBA">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xml:space="preserve"/>
            </w:r>
          </w:p>
        </w:tc>
        <w:tc>
          <w:tcPr>
            <w:tcW w:w="778" w:type="dxa"/>
            <w:shd w:val="clear" w:color="auto" w:fill="auto"/>
            <w:vAlign w:val="center"/>
          </w:tcPr>
          <w:p w14:paraId="458E9F2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4730094C">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xml:space="preserve"/>
            </w:r>
          </w:p>
        </w:tc>
        <w:tc>
          <w:tcPr>
            <w:tcW w:w="1547" w:type="dxa"/>
            <w:shd w:val="clear" w:color="auto" w:fill="auto"/>
            <w:vAlign w:val="center"/>
          </w:tcPr>
          <w:p w14:paraId="7DCA2BB8">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xml:space="preserve"/>
            </w:r>
          </w:p>
        </w:tc>
      </w:tr>
    </w:tbl>
    <w:p w14:paraId="2789BB6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0" w:line="480" w:lineRule="exact"/>
        <w:ind w:left="561" w:firstLine="0"/>
      </w:pPr>
      <w:r>
        <w:rPr>
          <w:rFonts w:ascii="仿宋_GB2312" w:hAnsi="仿宋_GB2312" w:eastAsia="仿宋_GB2312" w:cs="仿宋_GB2312"/>
          <w:sz w:val="28"/>
        </w:rPr>
        <w:t xml:space="preserve"/>
      </w:r>
    </w:p>
    <w:p w14:paraId="0477BC2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rPr>
          <w:rFonts w:hint="eastAsia" w:ascii="仿宋_GB2312" w:eastAsia="仿宋_GB2312"/>
          <w:color w:val="000000" w:themeColor="text1"/>
          <w:sz w:val="28"/>
          <w:szCs w:val="30"/>
          <w:highlight w:val="none"/>
          <w14:textFill>
            <w14:solidFill>
              <w14:schemeClr w14:val="tx1"/>
            </w14:solidFill>
          </w14:textFill>
        </w:rPr>
      </w:pPr>
      <w:r>
        <w:rPr>
          <w:rFonts w:hint="eastAsia" w:ascii="宋体" w:eastAsia="宋体" w:hAnsi="宋体" w:cs="宋体"/>
          <w:b/>
          <w:bCs/>
          <w:color w:val="000000" w:themeColor="text1"/>
          <w:sz w:val="28"/>
          <w:szCs w:val="30"/>
          <w:highlight w:val="none"/>
          <w14:textFill>
            <w14:solidFill>
              <w14:schemeClr w14:val="tx1"/>
            </w14:solidFill>
          </w14:textFill>
        </w:rPr>
        <w:t>三、估价结果和估价报告的使用</w:t>
      </w:r>
    </w:p>
    <w:p w14:paraId="06B947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（一）估价的前提条件和假设条件</w:t>
      </w:r>
    </w:p>
    <w:p w14:paraId="3D4A528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xml:space="preserve">1.本次估价中估价对象的土地权属、土地用途、使用权类型、土地面积、土地利用条件等以《关于国有建设用地的规划条件的函》（2025年9月11日）、、《号地块建设用地规划红线图》等有关资料为重要依据，并以以上资料合法、真实、有效为前提条件；</w:t>
      </w:r>
      <w:r>
        <w:rPr>
          <w:rFonts w:ascii="仿宋_GB2312" w:hAnsi="仿宋_GB2312" w:eastAsia="仿宋_GB2312" w:cs="仿宋_GB2312"/>
          <w:sz w:val="28"/>
        </w:rPr>
      </w:r>
    </w:p>
    <w:p w14:paraId="403084A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2.估价对象所处区域的不动产市场在估价期日及之后可预期的一定时期内为公开、平等、自愿、平稳持续发展的客观交易市场；</w:t>
      </w:r>
    </w:p>
    <w:p w14:paraId="3D3A7A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3.本次评估地价内涵为估价对象在满足地价定义及本次估价的前提和假设条件下，不包括红线范围内其他土地附着物、动产、债权债务、特许经营权等其他财产或权益在内的土地使用权客观市场价格；</w:t>
      </w:r>
    </w:p>
    <w:p w14:paraId="12E99D7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4.估价对象按照《关于国有建设用地的规划条件的函》（2025年9月11日）确定的规划指标开发利用，并能持续产生土地收益；</w:t>
      </w:r>
    </w:p>
    <w:p w14:paraId="06A56B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 xml:space="preserve">5.本次评估的价格是指估价对象在公开市场条件下，于估价期日2026年04月23日，评估设定开发程度为宗地红线外围“五通”（即通路、通电、通讯、供水、排水）红线内场地平整，按规划条件设定用途为工业用地，容积率设定为1.5，设定土地使用年期为30年的国有建设用地使用权市场价格。本报告及估价结果基于以上“地价定义”,如果以上“地价定义”中的参数发生变化，则地价有可能改变；</w:t>
      </w:r>
    </w:p>
    <w:p w14:paraId="62FE459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 xml:space="preserve">6.任何有关估价对象的运作方式及程序符合国家、湖南省、永州市和道县于估价期日2026年04月23日的有关法律法规规章和技术性规范。</w:t>
      </w:r>
    </w:p>
    <w:p w14:paraId="735B21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（二）估价结果与估价报告的使用</w:t>
      </w:r>
    </w:p>
    <w:p w14:paraId="4C2A99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1.本估价报告和估价结果依据《中华人民共和国土地管理法》《中华人民共和国城市房地产管理法》、自然资源部《城镇土地估价规程》等法律、法规的规定发生法律效力；</w:t>
      </w:r>
    </w:p>
    <w:p w14:paraId="1ABAC3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估价报告为委托估价方通过集体决策确定估价对象挂牌出让底价提供国有出让建设用地使用权市场价格参考依据，不能用于除此以外的其他任何经济活动。违背规定或超越本报告特定目的及限制条件使用本估价报告和估价结果而产生的法律责任及经济损失，本估价机构概不负责；</w:t>
      </w:r>
    </w:p>
    <w:p w14:paraId="71D72AC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 xml:space="preserve">3.本估价报告和估价结果的有效使用期为一年，即至；</w:t>
      </w:r>
    </w:p>
    <w:p w14:paraId="4EF999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4.本估价报告和估价结果的使用权归委托估价方所有，对估价报告及估价结果拥有解释权。未经本公司书面同意，本估价报告书的全部或部分不得使用于公开的文件、通告或报告中，也不得以任何方式向第三者提供报告全文或其中内容；</w:t>
      </w:r>
    </w:p>
    <w:p w14:paraId="383752D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本报告估价结果，需经两名以上（含两名）土地估价师签名、土地估价机构盖章后方能生效。本报告必须完整使用（尤其是价格）方为有效，对仅使用本报告中的部分内容所导致的可能发生的损失，受托估价机构不承担任何责任。</w:t>
      </w:r>
    </w:p>
    <w:p w14:paraId="2056B6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本报告及估价结果仅为本报告设定的估价目的服务，当用于其它目的，本报告估价结果无效。本报告必须完整使用，对仅使用报告中的部分内容所导致的有关损失，受托估价机构不承担责任。估价机构不承担违规使用本估价报告和估价结果的法律责任。</w:t>
      </w:r>
    </w:p>
    <w:p w14:paraId="46D825C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（三）需要特殊说明的事项</w:t>
      </w:r>
    </w:p>
    <w:p w14:paraId="69D84F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1.评估依据资料来源情况说明</w:t>
      </w:r>
    </w:p>
    <w:p w14:paraId="54DD6DD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212713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4CF680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（3）区域经济发展状况、统计数据、城市规划资料、基准地价资料、估价中的相关参数资料等由土地估价师通过查阅政府部门相关文件及公开媒体资讯等途径获取。</w:t>
      </w:r>
    </w:p>
    <w:p w14:paraId="3DCBB9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（4）土地估价师结合执业经验，对上述相关评估资料的真实性、合法性、有效性、适用性进行了尽职核实和专业判断。</w:t>
      </w:r>
    </w:p>
    <w:p w14:paraId="2892C5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92EC35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2.对估价结果和估价工作可能影响的变化事项</w:t>
      </w:r>
    </w:p>
    <w:p w14:paraId="52B9CD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0FE626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FAC5E8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5222C7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3.估价对象的特殊性、估价中未考虑的因素及采取的特殊处理</w:t>
      </w:r>
    </w:p>
    <w:p w14:paraId="27A9B3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54C8DA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7E3CCC8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6045C6C">
      <w:pPr>
        <w:spacing w:line="460" w:lineRule="exact"/>
        <w:jc w:val="center"/>
        <w:outlineLvl w:val="9"/>
        <w:rPr>
          <w:rFonts w:ascii="宋体" w:hAnsi="宋体" w:cs="仿宋_GB2312"/>
          <w:b/>
          <w:color w:val="000000" w:themeColor="text1"/>
          <w:sz w:val="32"/>
          <w:szCs w:val="32"/>
          <w:highlight w:val="none"/>
          <w14:textFill>
            <w14:solidFill>
              <w14:schemeClr w14:val="tx1"/>
            </w14:solidFill>
          </w14:textFill>
        </w:rPr>
      </w:pPr>
      <w:r>
        <w:rPr>
          <w:rFonts w:hint="eastAsia" w:ascii="仿宋_GB2312" w:eastAsia="仿宋_GB2312"/>
          <w:bCs/>
          <w:color w:val="000000" w:themeColor="text1"/>
          <w:sz w:val="28"/>
          <w:szCs w:val="28"/>
          <w:highlight w:val="none"/>
          <w14:textFill>
            <w14:solidFill>
              <w14:schemeClr w14:val="tx1"/>
            </w14:solidFill>
          </w14:textFill>
        </w:rPr>
        <w:br w:type="page"/>
      </w:r>
    </w:p>
    <w:p w14:paraId="2B74101E">
      <w:pPr>
        <w:pageBreakBefore/>
        <w:tabs>
          <w:tab w:val="left" w:pos="-105"/>
          <w:tab w:val="left" w:pos="735"/>
          <w:tab w:val="left" w:pos="1785"/>
        </w:tabs>
        <w:adjustRightInd w:val="0"/>
        <w:snapToGrid w:val="0"/>
        <w:spacing w:line="560" w:lineRule="exact" w:before="0" w:after="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第四部分    附   件</w:t>
      </w:r>
    </w:p>
    <w:p w14:paraId="033B851C">
      <w:pPr>
        <w:tabs>
          <w:tab w:val="left" w:pos="-105"/>
          <w:tab w:val="left" w:pos="735"/>
          <w:tab w:val="left" w:pos="1785"/>
        </w:tabs>
        <w:adjustRightInd w:val="0"/>
        <w:snapToGrid w:val="0"/>
        <w:spacing w:line="400" w:lineRule="exact"/>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156F5CA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61A8B9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2322AF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xml:space="preserve">3.；</w:t>
      </w:r>
    </w:p>
    <w:p w14:paraId="2B5069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0AFEE75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xml:space="preserve">5.《号地块建设用地规划红线图》；</w:t>
      </w:r>
      <w:r>
        <w:rPr>
          <w:rFonts w:ascii="仿宋_GB2312" w:hAnsi="仿宋_GB2312" w:eastAsia="仿宋_GB2312" w:cs="仿宋_GB2312"/>
          <w:color w:val="000000"/>
          <w:sz w:val="28"/>
        </w:rPr>
      </w:r>
    </w:p>
    <w:p w14:paraId="529FDBD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6FD37B7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2136C5E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4BB9C2F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1A4502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4FDC97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2AD428B8">
      <w:pPr>
        <w:pStyle w:val="2"/>
        <w:spacing w:before="0" w:after="0" w:line="480" w:lineRule="exact"/>
        <w:ind w:left="0" w:leftChars="0" w:firstLine="5320" w:firstLineChars="1900"/>
        <w:rPr>
          <w:color w:val="000000" w:themeColor="text1"/>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（以上资料均为复印件）</w:t>
      </w:r>
    </w:p>
    <w:p w14:paraId="52219999">
      <w:pPr>
        <w:spacing w:line="520" w:lineRule="exact"/>
        <w:jc w:val="center"/>
        <w:outlineLvl w:val="9"/>
        <w:rPr>
          <w:rFonts w:hint="eastAsia" w:ascii="宋体" w:hAnsi="宋体"/>
          <w:b/>
          <w:color w:val="000000" w:themeColor="text1"/>
          <w:sz w:val="44"/>
          <w:szCs w:val="44"/>
          <w:highlight w:val="none"/>
          <w14:textFill>
            <w14:solidFill>
              <w14:schemeClr w14:val="tx1"/>
            </w14:solidFill>
          </w14:textFill>
        </w:rPr>
        <w:sectPr>
          <w:headerReference r:id="rId17" w:type="default"/>
          <w:footerReference r:id="rId18" w:type="default"/>
          <w:endnotePr>
            <w:numFmt w:val="decimal"/>
          </w:endnotePr>
          <w:pgSz w:w="11906" w:h="16838"/>
          <w:pgMar w:top="1440" w:right="1803" w:bottom="1440" w:left="1803" w:header="851" w:footer="992" w:gutter="0"/>
          <w:pgNumType w:fmt="decimal"/>
          <w:cols w:space="720" w:num="1"/>
          <w:docGrid w:linePitch="312" w:charSpace="0"/>
        </w:sectPr>
      </w:pPr>
    </w:p>
    <w:p w14:paraId="06EECCE1">
      <w:pPr>
        <w:pStyle w:val="2"/>
        <w:rPr>
          <w:rFonts w:hint="eastAsia"/>
          <w:color w:val="000000" w:themeColor="text1"/>
          <w:highlight w:val="none"/>
          <w14:textFill>
            <w14:solidFill>
              <w14:schemeClr w14:val="tx1"/>
            </w14:solidFill>
          </w14:textFill>
        </w:rPr>
      </w:pPr>
    </w:p>
    <w:p w14:paraId="4972A347">
      <w:pPr>
        <w:spacing w:line="560" w:lineRule="exact" w:before="0" w:after="0"/>
        <w:jc w:val="center"/>
        <w:rPr>
          <w:rFonts w:ascii="宋体" w:hAnsi="宋体"/>
          <w:b/>
          <w:color w:val="000000" w:themeColor="text1"/>
          <w:sz w:val="44"/>
          <w:szCs w:val="44"/>
          <w:highlight w:val="none"/>
          <w14:textFill>
            <w14:solidFill>
              <w14:schemeClr w14:val="tx1"/>
            </w14:solidFill>
          </w14:textFill>
        </w:rPr>
      </w:pPr>
      <w:r>
        <w:rPr>
          <w:rFonts w:hint="eastAsia" w:ascii="宋体" w:hAnsi="宋体" w:eastAsia="宋体" w:cs="宋体"/>
          <w:b/>
          <w:color w:val="000000" w:themeColor="text1"/>
          <w:sz w:val="44"/>
          <w:szCs w:val="44"/>
          <w:highlight w:val="none"/>
          <w14:textFill>
            <w14:solidFill>
              <w14:schemeClr w14:val="tx1"/>
            </w14:solidFill>
          </w14:textFill>
        </w:rPr>
        <w:t>土地估价技术报告</w:t>
      </w:r>
    </w:p>
    <w:p w14:paraId="11F8E308">
      <w:pPr>
        <w:spacing w:line="480" w:lineRule="exact" w:before="0" w:after="0"/>
        <w:jc w:val="center"/>
        <w:rPr>
          <w:rFonts w:ascii="仿宋_GB2312" w:eastAsia="仿宋_GB2312"/>
          <w:color w:val="000000" w:themeColor="text1"/>
          <w:sz w:val="32"/>
          <w:highlight w:val="none"/>
          <w14:textFill>
            <w14:solidFill>
              <w14:schemeClr w14:val="tx1"/>
            </w14:solidFill>
          </w14:textFill>
        </w:rPr>
      </w:pPr>
      <w:r>
        <w:rPr>
          <w:rFonts w:hint="eastAsia" w:ascii="仿宋_GB2312" w:hAnsi="仿宋_GB2312" w:eastAsia="仿宋_GB2312" w:cs="仿宋_GB2312"/>
          <w:b/>
          <w:color w:val="000000" w:themeColor="text1"/>
          <w:sz w:val="28"/>
          <w:szCs w:val="44"/>
          <w:highlight w:val="none"/>
          <w14:textFill>
            <w14:solidFill>
              <w14:schemeClr w14:val="tx1"/>
            </w14:solidFill>
          </w14:textFill>
        </w:rPr>
        <w:t>（评估工作底稿）</w:t>
      </w:r>
    </w:p>
    <w:tbl>
      <w:tblPr>
        <w:tblStyle w:val="9"/>
        <w:tblW w:w="0" w:type="auto"/>
        <w:jc w:val="center"/>
        <w:tblLayout w:type="fixed"/>
        <w:tblCellMar>
          <w:top w:w="0" w:type="dxa"/>
          <w:left w:w="108" w:type="dxa"/>
          <w:bottom w:w="0" w:type="dxa"/>
          <w:right w:w="108" w:type="dxa"/>
        </w:tblCellMar>
      </w:tblPr>
      <w:tblGrid>
        <w:gridCol w:w="3686"/>
        <w:gridCol w:w="5729"/>
      </w:tblGrid>
      <w:tr w14:paraId="0EDE72EF">
        <w:tblPrEx>
          <w:tblCellMar>
            <w:top w:w="0" w:type="dxa"/>
            <w:left w:w="108" w:type="dxa"/>
            <w:bottom w:w="0" w:type="dxa"/>
            <w:right w:w="108" w:type="dxa"/>
          </w:tblCellMar>
        </w:tblPrEx>
        <w:trPr>
          <w:trHeight w:val="1134" w:hRule="atLeast"/>
          <w:jc w:val="center"/>
        </w:trPr>
        <w:tc>
          <w:tcPr>
            <w:tcW w:w="3686" w:type="dxa"/>
            <w:vAlign w:val="center"/>
          </w:tcPr>
          <w:p w14:paraId="7A890EB2">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5729" w:type="dxa"/>
            <w:vAlign w:val="center"/>
          </w:tcPr>
          <w:p w14:paraId="2B726D3A">
            <w:pPr>
              <w:pStyle w:val="6"/>
              <w:keepNext w:val="0"/>
              <w:keepLines w:val="0"/>
              <w:suppressLineNumbers w:val="0"/>
              <w:tabs>
                <w:tab w:val="left" w:pos="0"/>
                <w:tab w:val="left" w:pos="2340"/>
                <w:tab w:val="left" w:pos="3360"/>
              </w:tabs>
              <w:adjustRightInd w:val="0"/>
              <w:snapToGrid w:val="0"/>
              <w:spacing w:before="0" w:beforeAutospacing="0" w:after="0" w:afterAutospacing="0" w:line="0" w:lineRule="atLeast"/>
              <w:ind w:left="2" w:right="0" w:hanging="2"/>
              <w:rPr>
                <w:rFonts w:ascii="楷体" w:hAnsi="楷体" w:eastAsia="楷体"/>
                <w:color w:val="000000" w:themeColor="text1"/>
                <w:spacing w:val="14"/>
                <w:sz w:val="32"/>
                <w:szCs w:val="32"/>
                <w:highlight w:val="none"/>
                <w14:textFill>
                  <w14:solidFill>
                    <w14:schemeClr w14:val="tx1"/>
                  </w14:solidFill>
                </w14:textFill>
              </w:rPr>
            </w:pPr>
            <w:r>
              <w:rPr>
                <w:rFonts w:ascii="仿宋_GB2312" w:hAnsi="仿宋_GB2312" w:eastAsia="仿宋_GB2312" w:cs="仿宋_GB2312"/>
              </w:rPr>
              <w:t xml:space="preserve">我的测试项目名称（）</w:t>
            </w:r>
          </w:p>
        </w:tc>
      </w:tr>
      <w:tr w14:paraId="00AF4FCE">
        <w:tblPrEx>
          <w:tblCellMar>
            <w:top w:w="0" w:type="dxa"/>
            <w:left w:w="108" w:type="dxa"/>
            <w:bottom w:w="0" w:type="dxa"/>
            <w:right w:w="108" w:type="dxa"/>
          </w:tblCellMar>
        </w:tblPrEx>
        <w:trPr>
          <w:trHeight w:val="1134" w:hRule="atLeast"/>
          <w:jc w:val="center"/>
        </w:trPr>
        <w:tc>
          <w:tcPr>
            <w:tcW w:w="3686" w:type="dxa"/>
            <w:vAlign w:val="center"/>
          </w:tcPr>
          <w:p w14:paraId="23D5F873">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5729" w:type="dxa"/>
            <w:vAlign w:val="center"/>
          </w:tcPr>
          <w:p w14:paraId="6BC75290">
            <w:pPr>
              <w:pStyle w:val="6"/>
              <w:keepNext w:val="0"/>
              <w:keepLines w:val="0"/>
              <w:suppressLineNumbers w:val="0"/>
              <w:tabs>
                <w:tab w:val="left" w:pos="0"/>
                <w:tab w:val="left" w:pos="2340"/>
              </w:tabs>
              <w:adjustRightInd w:val="0"/>
              <w:snapToGrid w:val="0"/>
              <w:spacing w:before="0" w:beforeAutospacing="0" w:after="0" w:afterAutospacing="0" w:line="0" w:lineRule="atLeast"/>
              <w:ind w:left="-10" w:leftChars="-5" w:right="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xml:space="preserve"/>
            </w:r>
          </w:p>
        </w:tc>
      </w:tr>
      <w:tr w14:paraId="459EF903">
        <w:tblPrEx>
          <w:tblCellMar>
            <w:top w:w="0" w:type="dxa"/>
            <w:left w:w="108" w:type="dxa"/>
            <w:bottom w:w="0" w:type="dxa"/>
            <w:right w:w="108" w:type="dxa"/>
          </w:tblCellMar>
        </w:tblPrEx>
        <w:trPr>
          <w:trHeight w:val="1134" w:hRule="atLeast"/>
          <w:jc w:val="center"/>
        </w:trPr>
        <w:tc>
          <w:tcPr>
            <w:tcW w:w="3686" w:type="dxa"/>
            <w:vAlign w:val="center"/>
          </w:tcPr>
          <w:p w14:paraId="443674ED">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5729" w:type="dxa"/>
            <w:vAlign w:val="center"/>
          </w:tcPr>
          <w:p w14:paraId="093BD832">
            <w:pPr>
              <w:pStyle w:val="6"/>
              <w:keepNext w:val="0"/>
              <w:keepLines w:val="0"/>
              <w:suppressLineNumbers w:val="0"/>
              <w:tabs>
                <w:tab w:val="left" w:pos="0"/>
                <w:tab w:val="left" w:pos="2340"/>
              </w:tabs>
              <w:adjustRightInd w:val="0"/>
              <w:snapToGrid w:val="0"/>
              <w:spacing w:before="0" w:beforeAutospacing="0" w:after="0" w:afterAutospacing="0" w:line="0" w:lineRule="atLeast"/>
              <w:ind w:left="0" w:leftChars="0" w:right="0" w:firstLine="0" w:firstLineChars="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xml:space="preserve"/>
            </w:r>
          </w:p>
        </w:tc>
      </w:tr>
      <w:tr w14:paraId="6493152D">
        <w:tblPrEx>
          <w:tblCellMar>
            <w:top w:w="0" w:type="dxa"/>
            <w:left w:w="108" w:type="dxa"/>
            <w:bottom w:w="0" w:type="dxa"/>
            <w:right w:w="108" w:type="dxa"/>
          </w:tblCellMar>
        </w:tblPrEx>
        <w:trPr>
          <w:trHeight w:val="1303" w:hRule="atLeast"/>
          <w:jc w:val="center"/>
        </w:trPr>
        <w:tc>
          <w:tcPr>
            <w:tcW w:w="3686" w:type="dxa"/>
            <w:vAlign w:val="center"/>
          </w:tcPr>
          <w:p w14:paraId="41C71B30">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土地</w:t>
            </w:r>
            <w:r>
              <w:rPr>
                <w:rFonts w:ascii="楷体" w:hAnsi="楷体" w:eastAsia="楷体"/>
                <w:b/>
                <w:bCs/>
                <w:color w:val="000000" w:themeColor="text1"/>
                <w:spacing w:val="14"/>
                <w:sz w:val="32"/>
                <w:szCs w:val="32"/>
                <w:highlight w:val="none"/>
                <w14:textFill>
                  <w14:solidFill>
                    <w14:schemeClr w14:val="tx1"/>
                  </w14:solidFill>
                </w14:textFill>
              </w:rPr>
              <w:t>估价技术报告</w:t>
            </w:r>
          </w:p>
          <w:p w14:paraId="02A01E41">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（评估工作</w:t>
            </w:r>
            <w:r>
              <w:rPr>
                <w:rFonts w:ascii="楷体" w:hAnsi="楷体" w:eastAsia="楷体"/>
                <w:b/>
                <w:bCs/>
                <w:color w:val="000000" w:themeColor="text1"/>
                <w:spacing w:val="14"/>
                <w:sz w:val="32"/>
                <w:szCs w:val="32"/>
                <w:highlight w:val="none"/>
                <w14:textFill>
                  <w14:solidFill>
                    <w14:schemeClr w14:val="tx1"/>
                  </w14:solidFill>
                </w14:textFill>
              </w:rPr>
              <w:t>底稿）编号：</w:t>
            </w:r>
          </w:p>
        </w:tc>
        <w:tc>
          <w:tcPr>
            <w:tcW w:w="5729" w:type="dxa"/>
            <w:vAlign w:val="center"/>
          </w:tcPr>
          <w:p w14:paraId="7443F6D1">
            <w:pPr>
              <w:pStyle w:val="6"/>
              <w:keepNext w:val="0"/>
              <w:keepLines w:val="0"/>
              <w:suppressLineNumbers w:val="0"/>
              <w:tabs>
                <w:tab w:val="left" w:pos="0"/>
                <w:tab w:val="left" w:pos="2235"/>
                <w:tab w:val="left" w:pos="2340"/>
              </w:tabs>
              <w:adjustRightInd w:val="0"/>
              <w:snapToGrid w:val="0"/>
              <w:spacing w:before="0" w:beforeAutospacing="0" w:after="0" w:afterAutospacing="0" w:line="0" w:lineRule="atLeast"/>
              <w:ind w:left="0" w:right="-78" w:rightChars="-37"/>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xml:space="preserve"/>
            </w:r>
          </w:p>
        </w:tc>
      </w:tr>
      <w:tr w14:paraId="273DE4B2">
        <w:tblPrEx>
          <w:tblCellMar>
            <w:top w:w="0" w:type="dxa"/>
            <w:left w:w="108" w:type="dxa"/>
            <w:bottom w:w="0" w:type="dxa"/>
            <w:right w:w="108" w:type="dxa"/>
          </w:tblCellMar>
        </w:tblPrEx>
        <w:trPr>
          <w:trHeight w:val="1303" w:hRule="atLeast"/>
          <w:jc w:val="center"/>
        </w:trPr>
        <w:tc>
          <w:tcPr>
            <w:tcW w:w="3686" w:type="dxa"/>
            <w:vAlign w:val="center"/>
          </w:tcPr>
          <w:p w14:paraId="417DE6E6">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hint="eastAsia"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5729" w:type="dxa"/>
            <w:vAlign w:val="center"/>
          </w:tcPr>
          <w:p w14:paraId="2568F5A9">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olor w:val="000000" w:themeColor="text1"/>
                <w:spacing w:val="-11"/>
                <w:sz w:val="32"/>
                <w:szCs w:val="32"/>
                <w:highlight w:val="none"/>
                <w:lang w:val="en-US" w:eastAsia="zh-CN"/>
                <w14:textFill>
                  <w14:solidFill>
                    <w14:schemeClr w14:val="tx1"/>
                  </w14:solidFill>
                </w14:textFill>
              </w:rPr>
            </w:pPr>
            <w:r>
              <w:rPr>
                <w:rFonts w:hint="eastAsia" w:ascii="楷体" w:hAnsi="楷体" w:eastAsia="楷体"/>
                <w:color w:val="000000" w:themeColor="text1"/>
                <w:spacing w:val="-11"/>
                <w:sz w:val="32"/>
                <w:szCs w:val="32"/>
                <w:highlight w:val="none"/>
                <w:lang w:val="en-US" w:eastAsia="zh-CN"/>
                <w14:textFill>
                  <w14:solidFill>
                    <w14:schemeClr w14:val="tx1"/>
                  </w14:solidFill>
                </w14:textFill>
              </w:rPr>
              <w:t>详见备案页</w:t>
            </w:r>
          </w:p>
        </w:tc>
      </w:tr>
      <w:tr w14:paraId="631CAA27">
        <w:tblPrEx>
          <w:tblCellMar>
            <w:top w:w="0" w:type="dxa"/>
            <w:left w:w="108" w:type="dxa"/>
            <w:bottom w:w="0" w:type="dxa"/>
            <w:right w:w="108" w:type="dxa"/>
          </w:tblCellMar>
        </w:tblPrEx>
        <w:trPr>
          <w:trHeight w:val="1134" w:hRule="atLeast"/>
          <w:jc w:val="center"/>
        </w:trPr>
        <w:tc>
          <w:tcPr>
            <w:tcW w:w="3686" w:type="dxa"/>
            <w:vAlign w:val="center"/>
          </w:tcPr>
          <w:p w14:paraId="2606B66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5729" w:type="dxa"/>
            <w:vAlign w:val="center"/>
          </w:tcPr>
          <w:p w14:paraId="0ECF64B3">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xml:space="preserve"/>
            </w:r>
          </w:p>
        </w:tc>
      </w:tr>
      <w:tr w14:paraId="322DFC10">
        <w:tblPrEx>
          <w:tblCellMar>
            <w:top w:w="0" w:type="dxa"/>
            <w:left w:w="108" w:type="dxa"/>
            <w:bottom w:w="0" w:type="dxa"/>
            <w:right w:w="108" w:type="dxa"/>
          </w:tblCellMar>
        </w:tblPrEx>
        <w:trPr>
          <w:trHeight w:val="609" w:hRule="atLeast"/>
          <w:jc w:val="center"/>
        </w:trPr>
        <w:tc>
          <w:tcPr>
            <w:tcW w:w="3686" w:type="dxa"/>
            <w:vAlign w:val="center"/>
          </w:tcPr>
          <w:p w14:paraId="0A37E88A">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p>
        </w:tc>
        <w:tc>
          <w:tcPr>
            <w:tcW w:w="5729" w:type="dxa"/>
            <w:vAlign w:val="center"/>
          </w:tcPr>
          <w:p w14:paraId="633DAF45">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p>
        </w:tc>
      </w:tr>
    </w:tbl>
    <w:tbl>
      <w:tblPr>
        <w:tblStyle w:val="10"/>
        <w:tblpPr w:leftFromText="180" w:rightFromText="180" w:vertAnchor="text" w:horzAnchor="page" w:tblpX="1355" w:tblpY="831"/>
        <w:tblOverlap w:val="never"/>
        <w:tblW w:w="94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2"/>
        <w:gridCol w:w="7523"/>
      </w:tblGrid>
      <w:tr w14:paraId="3CF05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8" w:hRule="atLeast"/>
        </w:trPr>
        <w:tc>
          <w:tcPr>
            <w:tcW w:w="1892" w:type="dxa"/>
            <w:vAlign w:val="center"/>
          </w:tcPr>
          <w:p w14:paraId="54F89A7C">
            <w:pPr>
              <w:keepNext w:val="0"/>
              <w:keepLines w:val="0"/>
              <w:suppressLineNumbers w:val="0"/>
              <w:spacing w:before="0" w:beforeAutospacing="0" w:after="0" w:afterAutospacing="0" w:line="360" w:lineRule="auto"/>
              <w:ind w:left="0" w:right="0"/>
              <w:jc w:val="distribute"/>
              <w:rPr>
                <w:rFonts w:ascii="楷体" w:hAnsi="楷体" w:eastAsia="楷体"/>
                <w:b/>
                <w:color w:val="000000" w:themeColor="text1"/>
                <w:spacing w:val="14"/>
                <w:sz w:val="32"/>
                <w:szCs w:val="32"/>
                <w:highlight w:val="none"/>
                <w14:textFill>
                  <w14:solidFill>
                    <w14:schemeClr w14:val="tx1"/>
                  </w14:solidFill>
                </w14:textFill>
              </w:rPr>
            </w:pPr>
            <w:r>
              <w:rPr>
                <w:rFonts w:hint="eastAsia" w:ascii="楷体" w:hAnsi="楷体" w:eastAsia="楷体"/>
                <w:color w:val="000000" w:themeColor="text1"/>
                <w:spacing w:val="14"/>
                <w:sz w:val="32"/>
                <w:szCs w:val="32"/>
                <w:highlight w:val="none"/>
                <w14:textFill>
                  <w14:solidFill>
                    <w14:schemeClr w14:val="tx1"/>
                  </w14:solidFill>
                </w14:textFill>
              </w:rPr>
              <w:t>关键词：</w:t>
            </w:r>
          </w:p>
        </w:tc>
        <w:tc>
          <w:tcPr>
            <w:tcW w:w="7523" w:type="dxa"/>
            <w:vAlign w:val="center"/>
          </w:tcPr>
          <w:p w14:paraId="2E8B3852">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z w:val="32"/>
                <w:szCs w:val="32"/>
                <w:highlight w:val="none"/>
                <w:lang w:val="en-US" w:eastAsia="zh-CN"/>
                <w14:textFill>
                  <w14:solidFill>
                    <w14:schemeClr w14:val="tx1"/>
                  </w14:solidFill>
                </w14:textFill>
              </w:rPr>
              <w:t xml:space="preserve"/>
            </w:r>
            <w:r>
              <w:rPr>
                <w:rFonts w:hint="eastAsia" w:ascii="楷体" w:hAnsi="楷体" w:eastAsia="楷体"/>
                <w:color w:val="000000" w:themeColor="text1"/>
                <w:sz w:val="32"/>
                <w:szCs w:val="32"/>
                <w:highlight w:val="none"/>
                <w14:textFill>
                  <w14:solidFill>
                    <w14:schemeClr w14:val="tx1"/>
                  </w14:solidFill>
                </w14:textFill>
              </w:rPr>
            </w:r>
            <w:r>
              <w:rPr>
                <w:rFonts w:hint="eastAsia" w:ascii="楷体" w:hAnsi="楷体" w:eastAsia="楷体"/>
                <w:color w:val="000000" w:themeColor="text1"/>
                <w:sz w:val="32"/>
                <w:szCs w:val="32"/>
                <w:highlight w:val="none"/>
                <w:lang w:val="en-US" w:eastAsia="zh-CN"/>
                <w14:textFill>
                  <w14:solidFill>
                    <w14:schemeClr w14:val="tx1"/>
                  </w14:solidFill>
                </w14:textFill>
              </w:rPr>
            </w:r>
          </w:p>
        </w:tc>
      </w:tr>
      <w:tr w14:paraId="42728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trPr>
        <w:tc>
          <w:tcPr>
            <w:tcW w:w="1892" w:type="dxa"/>
            <w:vAlign w:val="center"/>
          </w:tcPr>
          <w:p w14:paraId="7585336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7AC77F87">
            <w:pPr>
              <w:keepNext w:val="0"/>
              <w:keepLines w:val="0"/>
              <w:suppressLineNumbers w:val="0"/>
              <w:spacing w:before="0" w:beforeAutospacing="0" w:after="0" w:afterAutospacing="0" w:line="360" w:lineRule="auto"/>
              <w:ind w:left="0" w:right="0"/>
              <w:rPr>
                <w:rFonts w:hint="default" w:ascii="楷体" w:hAnsi="楷体" w:eastAsia="楷体"/>
                <w:b/>
                <w:color w:val="000000" w:themeColor="text1"/>
                <w:spacing w:val="14"/>
                <w:sz w:val="32"/>
                <w:szCs w:val="32"/>
                <w:highlight w:val="none"/>
                <w:lang w:val="en-US" w:eastAsia="zh-CN"/>
                <w14:textFill>
                  <w14:solidFill>
                    <w14:schemeClr w14:val="tx1"/>
                  </w14:solidFill>
                </w14:textFill>
              </w:rPr>
            </w:pPr>
            <w:r>
              <w:rPr>
                <w:rFonts w:hint="eastAsia" w:ascii="楷体" w:hAnsi="楷体" w:eastAsia="楷体"/>
                <w:b w:val="0"/>
                <w:bCs/>
                <w:color w:val="000000" w:themeColor="text1"/>
                <w:spacing w:val="14"/>
                <w:sz w:val="32"/>
                <w:szCs w:val="32"/>
                <w:highlight w:val="none"/>
                <w:lang w:val="en-US" w:eastAsia="zh-CN"/>
                <w14:textFill>
                  <w14:solidFill>
                    <w14:schemeClr w14:val="tx1"/>
                  </w14:solidFill>
                </w14:textFill>
              </w:rPr>
              <w:t>出让</w:t>
            </w:r>
          </w:p>
        </w:tc>
      </w:tr>
      <w:tr w14:paraId="76917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892" w:type="dxa"/>
            <w:vAlign w:val="center"/>
          </w:tcPr>
          <w:p w14:paraId="51DB07B7">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53899026">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xml:space="preserve"/>
            </w:r>
          </w:p>
        </w:tc>
      </w:tr>
      <w:tr w14:paraId="63D08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6" w:hRule="atLeast"/>
        </w:trPr>
        <w:tc>
          <w:tcPr>
            <w:tcW w:w="1892" w:type="dxa"/>
            <w:vAlign w:val="center"/>
          </w:tcPr>
          <w:p w14:paraId="05B3D7B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1D85D4CF">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xml:space="preserve"/>
            </w:r>
          </w:p>
        </w:tc>
      </w:tr>
    </w:tbl>
    <w:p w14:paraId="18F7A8E1">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pPr>
    </w:p>
    <w:p w14:paraId="78F28FD3">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sectPr>
          <w:headerReference r:id="rId19" w:type="default"/>
          <w:footerReference r:id="rId20" w:type="default"/>
          <w:endnotePr>
            <w:numFmt w:val="decimal"/>
          </w:endnotePr>
          <w:pgSz w:w="11906" w:h="16838"/>
          <w:pgMar w:top="1440" w:right="1803" w:bottom="1440" w:left="1803" w:header="851" w:footer="850" w:gutter="0"/>
          <w:pgNumType w:fmt="decimal"/>
          <w:cols w:space="720" w:num="1"/>
          <w:docGrid w:linePitch="312" w:charSpace="0"/>
        </w:sectPr>
      </w:pPr>
    </w:p>
    <w:p w14:paraId="5B1DDF0A">
      <w:pPr>
        <w:pStyle w:val="13"/>
        <w:keepNext w:val="0"/>
        <w:keepLines w:val="0"/>
        <w:pageBreakBefore w:val="0"/>
        <w:widowControl w:val="0"/>
        <w:kinsoku/>
        <w:wordWrap/>
        <w:overflowPunct/>
        <w:topLinePunct w:val="0"/>
        <w:autoSpaceDE/>
        <w:autoSpaceDN/>
        <w:bidi w:val="0"/>
        <w:adjustRightInd w:val="0"/>
        <w:snapToGrid w:val="0"/>
        <w:spacing w:before="0" w:beforeLines="50" w:after="0" w:afterLines="100" w:line="480" w:lineRule="exact"/>
        <w:ind w:firstLine="643"/>
        <w:jc w:val="center"/>
        <w:textAlignment w:val="auto"/>
        <w:outlineLvl w:val="2"/>
        <w:rPr>
          <w:rFonts w:ascii="宋体" w:hAnsi="宋体" w:eastAsia="宋体" w:cs="仿宋_GB2312"/>
          <w:b/>
          <w:color w:val="000000" w:themeColor="text1"/>
          <w:sz w:val="32"/>
          <w:szCs w:val="32"/>
          <w:highlight w:val="none"/>
          <w14:textFill>
            <w14:solidFill>
              <w14:schemeClr w14:val="tx1"/>
            </w14:solidFill>
          </w14:textFill>
        </w:rPr>
      </w:pPr>
      <w:r>
        <w:rPr>
          <w:rFonts w:hint="eastAsia" w:ascii="仿宋_GB2312" w:hAnsi="仿宋_GB2312" w:eastAsia="仿宋_GB2312" w:cs="仿宋_GB2312"/>
          <w:b/>
          <w:color w:val="000000" w:themeColor="text1"/>
          <w:sz w:val="28"/>
          <w:szCs w:val="32"/>
          <w:highlight w:val="none"/>
          <w14:textFill>
            <w14:solidFill>
              <w14:schemeClr w14:val="tx1"/>
            </w14:solidFill>
          </w14:textFill>
        </w:rPr>
        <w:t>土地估价技术报告（评估工作底稿）</w:t>
      </w:r>
    </w:p>
    <w:p w14:paraId="4B26D5AC">
      <w:pPr>
        <w:pStyle w:val="13"/>
        <w:keepNext w:val="0"/>
        <w:keepLines w:val="0"/>
        <w:pageBreakBefore w:val="0"/>
        <w:widowControl w:val="0"/>
        <w:kinsoku/>
        <w:wordWrap/>
        <w:overflowPunct/>
        <w:topLinePunct w:val="0"/>
        <w:autoSpaceDE/>
        <w:autoSpaceDN/>
        <w:bidi w:val="0"/>
        <w:adjustRightInd w:val="0"/>
        <w:snapToGrid w:val="0"/>
        <w:spacing w:before="0" w:beforeLines="50" w:after="0" w:afterLines="100" w:line="560" w:lineRule="exact"/>
        <w:ind w:firstLine="643"/>
        <w:jc w:val="center"/>
        <w:textAlignment w:val="auto"/>
        <w:outlineLvl w:val="1"/>
        <w:rPr>
          <w:rFonts w:ascii="宋体" w:hAnsi="宋体" w:eastAsia="宋体" w:cs="仿宋_GB2312"/>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总  述</w:t>
      </w:r>
    </w:p>
    <w:p w14:paraId="72376AF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一、估价项目名称</w:t>
      </w:r>
    </w:p>
    <w:p w14:paraId="01DE21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xml:space="preserve">我的测试项目名称（）</w:t>
      </w:r>
    </w:p>
    <w:p w14:paraId="5CC112C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 xml:space="preserve">二、委托估价方</w:t>
      </w:r>
    </w:p>
    <w:p w14:paraId="54EFEF6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委托估价方：委托人测试公司 </w:t>
      </w:r>
    </w:p>
    <w:p w14:paraId="5A32024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社会统一信用代码：</w:t>
      </w:r>
    </w:p>
    <w:p w14:paraId="37FE95B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负责人：</w:t>
      </w:r>
    </w:p>
    <w:p w14:paraId="061C797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机构性质：</w:t>
      </w:r>
    </w:p>
    <w:p w14:paraId="257F81F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机构地址：</w:t>
      </w:r>
    </w:p>
    <w:p w14:paraId="1F8602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 xml:space="preserve">联 系 人：</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r>
      <w:r>
        <w:rPr>
          <w:rFonts w:hint="eastAsia" w:ascii="仿宋_GB2312" w:eastAsia="仿宋_GB2312" w:hAnsi="仿宋_GB2312" w:cs="仿宋_GB2312"/>
          <w:color w:val="000000" w:themeColor="text1"/>
          <w:sz w:val="28"/>
          <w:szCs w:val="30"/>
          <w:highlight w:val="none"/>
          <w14:textFill>
            <w14:solidFill>
              <w14:schemeClr w14:val="tx1"/>
            </w14:solidFill>
          </w14:textFill>
        </w:rPr>
      </w:r>
    </w:p>
    <w:p w14:paraId="175360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 xml:space="preserve">联系电话：</w:t>
      </w:r>
    </w:p>
    <w:p w14:paraId="24D255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邮    编：</w:t>
      </w:r>
    </w:p>
    <w:p w14:paraId="0ACFDDA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 xml:space="preserve">与估价对象土地使用者之间的关系：委托方为本次估价委托方，土地使用者为。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p>
    <w:p w14:paraId="030F9BDE">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三、受托估价方</w:t>
      </w:r>
    </w:p>
    <w:p w14:paraId="28EC2EC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名    称：</w:t>
      </w:r>
    </w:p>
    <w:p w14:paraId="5C5120B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类    型：有限责任公司（自然人投资或控股）</w:t>
      </w:r>
    </w:p>
    <w:p w14:paraId="4047D0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住所：湖南省长沙市芙蓉区荷花园街道远大一路348号东方摩卡二楼201房-584号</w:t>
      </w:r>
    </w:p>
    <w:p w14:paraId="2DB71AA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法定代表人：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066E5E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注册资本：贰佰万元整</w:t>
      </w:r>
    </w:p>
    <w:p w14:paraId="2ADB809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成立日期：20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p>
    <w:p w14:paraId="66536C0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经营范围：经营范围包括许可项目：国土空间规划编制；测绘服务（依法须经批准的项目，经相关部门批准后方可开展经营活动，具体经营项目以相关部门批准文件或许可证件为准）一般项目：土地调查评估服务；土地整治服务；不动产登记代理服务；土地使用权租赁；农业专业及辅助性活动；规划设计管理；环保咨询服务；数据处理和存储支持服务；工程技术服务（规划管理、勘察、设计、监理除外）；信息技术咨询服务；卫星遥感应用系统集成；工业设计服务；水土流失防治服务；工程造价咨询业务；水利相关咨询服务；信息咨询服务（不含许可类信息咨询服务）；房地产评估；房地产咨询；地理遥感信息服务；社会稳定风险评估；基础地质勘查；地质勘查技术服务；资产评估；矿产资源储量估算和报告编制服务（须在中国矿业权评估师协会完成登记备案后方可从事经营活动）；矿业权评估服务；矿产资源储量评估服务（须在中国矿业权评估师协会完成登记备案后方可从事经营活动）（除依法须经批准的项目外，凭营业执照依法自主开展经营活动）。</w:t>
      </w:r>
    </w:p>
    <w:p w14:paraId="3C2664D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机构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备案编号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2022430010</w:t>
      </w:r>
    </w:p>
    <w:p w14:paraId="6235E5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 系 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523DD7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联系电话：</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15388005188</w:t>
      </w:r>
    </w:p>
    <w:p w14:paraId="270CB9A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邮    编：4100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00</w:t>
      </w:r>
    </w:p>
    <w:p w14:paraId="28F87BE8">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四、估价目的</w:t>
      </w:r>
    </w:p>
    <w:p w14:paraId="44A7FA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xml:space="preserve">委托人测试公司拟按《关于国有建设用地的规划条件的函》（2025年9月11日）确定的规划条件，对位于的国有建设用地使用权开展相关工作。</w:t>
      </w:r>
      <w:r>
        <w:rPr>
          <w:rFonts w:ascii="仿宋_GB2312" w:hAnsi="仿宋_GB2312" w:eastAsia="仿宋_GB2312" w:cs="仿宋_GB2312"/>
          <w:color w:val="000000"/>
          <w:sz w:val="28"/>
        </w:rPr>
      </w:r>
    </w:p>
    <w:p w14:paraId="71359E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ascii="仿宋_GB2312" w:hAnsi="仿宋_GB2312" w:eastAsia="仿宋_GB2312" w:cs="仿宋_GB2312"/>
          <w:sz w:val="28"/>
        </w:rPr>
        <w:t xml:space="preserve">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委托人测试公司委托，为委托方办理相关事项提供设定条件下国有建设用地使用权正常市场价格参考依据。</w:t>
      </w:r>
      <w:r>
        <w:rPr>
          <w:rFonts w:ascii="仿宋_GB2312" w:hAnsi="仿宋_GB2312" w:eastAsia="仿宋_GB2312" w:cs="仿宋_GB2312"/>
          <w:color w:val="000000"/>
          <w:sz w:val="28"/>
        </w:rPr>
      </w:r>
    </w:p>
    <w:p w14:paraId="26074F7F">
      <w:pPr>
        <w:keepNext w:val="0"/>
        <w:keepLines w:val="0"/>
        <w:pageBreakBefore w:val="0"/>
        <w:widowControl w:val="0"/>
        <w:kinsoku/>
        <w:wordWrap/>
        <w:topLinePunct w:val="0"/>
        <w:bidi w:val="0"/>
        <w:spacing w:line="480" w:lineRule="exact" w:before="0" w:after="0"/>
        <w:ind w:firstLine="562" w:firstLineChars="200"/>
        <w:textAlignment w:val="auto"/>
        <w:outlineLvl w:val="2"/>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五、估价依据</w:t>
      </w:r>
    </w:p>
    <w:p w14:paraId="5E2DAC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（一）国家相关法律、法规及行政规章</w:t>
      </w:r>
    </w:p>
    <w:p w14:paraId="18140F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340EE58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3210C97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46301B3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06D3F9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32306CD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42EE733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7DC546E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1713F0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248868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6DF3CDE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508235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4139C23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37EAA8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165F43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700CFD5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59DADC8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AE259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56AF31C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11F1BC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30688E5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1CEACAA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70C758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5670CE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382CAC6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49445E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70C8A83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581F7FA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1A32ECB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4F9AE6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0EECA29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1A69C74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183652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7CE384D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187269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19CCC1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678B79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404D3D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p>
    <w:p w14:paraId="6DB786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72F6DB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689C6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3FAAD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57F9CE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2BD5F20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B289DD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E7A514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xml:space="preserve">19.湖南省人民政府、永州市人民政府、及有关部门颁布的其他有关政策、规定、实施办法、通知等法规文件。</w:t>
      </w:r>
    </w:p>
    <w:p w14:paraId="1A7026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（三）采用的技术规程及标准</w:t>
      </w:r>
    </w:p>
    <w:p w14:paraId="10DF80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3F70022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48CF03F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1B26097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6AC2D3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6EE893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4C67D83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616631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14EAC42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2001F8C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（四）委托估价方提供的资料</w:t>
      </w:r>
    </w:p>
    <w:p w14:paraId="7FAE25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4120CE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385A10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0A09C35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xml:space="preserve">4.《号地块建设用地规划红线图》；</w:t>
      </w:r>
      <w:r>
        <w:rPr>
          <w:rFonts w:ascii="仿宋_GB2312" w:hAnsi="仿宋_GB2312" w:eastAsia="仿宋_GB2312" w:cs="仿宋_GB2312"/>
          <w:color w:val="000000"/>
          <w:sz w:val="28"/>
        </w:rPr>
      </w:r>
    </w:p>
    <w:p w14:paraId="442BA5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xml:space="preserve">5、；</w:t>
      </w:r>
    </w:p>
    <w:p w14:paraId="1F366D0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09283F7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4E0ABC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14ABC0D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2D9141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7F70FD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3003321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43767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1A6FE54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7D9DA36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7DDABD0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六、估价期日</w:t>
      </w:r>
    </w:p>
    <w:p w14:paraId="123C69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 xml:space="preserve">本次土地估价师现场勘查日期为2026年04月23日，结合本次估价目的和委托估价方提供的《评估委托书》，本次估价设定估价期日为2026年04月23日。</w:t>
      </w:r>
    </w:p>
    <w:p w14:paraId="74BE4A5E">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七</w:t>
      </w:r>
      <w:r>
        <w:rPr>
          <w:rFonts w:hint="eastAsia" w:ascii="宋体" w:eastAsia="宋体" w:hAnsi="宋体" w:cs="宋体"/>
          <w:b/>
          <w:color w:val="000000" w:themeColor="text1"/>
          <w:sz w:val="28"/>
          <w:szCs w:val="28"/>
          <w:highlight w:val="none"/>
          <w14:textFill>
            <w14:solidFill>
              <w14:schemeClr w14:val="tx1"/>
            </w14:solidFill>
          </w14:textFill>
        </w:rPr>
        <w:t>、估价日期</w:t>
      </w:r>
    </w:p>
    <w:p w14:paraId="08CFC2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color w:val="000000"/>
          <w:sz w:val="28"/>
        </w:rPr>
        <w:t xml:space="preserve">2026年4月23日至2026年4月27日。</w:t>
      </w:r>
    </w:p>
    <w:p w14:paraId="6A96C30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八、</w:t>
      </w:r>
      <w:r>
        <w:rPr>
          <w:rFonts w:hint="eastAsia" w:ascii="宋体" w:eastAsia="宋体" w:hAnsi="宋体" w:cs="宋体"/>
          <w:b/>
          <w:color w:val="000000" w:themeColor="text1"/>
          <w:sz w:val="28"/>
          <w:szCs w:val="28"/>
          <w:highlight w:val="none"/>
          <w14:textFill>
            <w14:solidFill>
              <w14:schemeClr w14:val="tx1"/>
            </w14:solidFill>
          </w14:textFill>
        </w:rPr>
        <w:t>地价定义</w:t>
      </w:r>
    </w:p>
    <w:p w14:paraId="4B8FF7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 xml:space="preserve">根据委托方出具的《关于国有建设用地的规划条件的函》（2025年9月11日）及现场勘查状况，估价对象总土地面积为平方米，估价对象规划用途为，至估价期日，估价对象实际土地开发程度为。</w:t>
      </w:r>
      <w:r>
        <w:rPr>
          <w:rFonts w:ascii="仿宋_GB2312" w:hAnsi="仿宋_GB2312" w:eastAsia="仿宋_GB2312" w:cs="仿宋_GB2312"/>
          <w:color w:val="000000"/>
          <w:sz w:val="28"/>
        </w:rPr>
      </w:r>
    </w:p>
    <w:p w14:paraId="0DE086C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5D07852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5840598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 xml:space="preserve">本次土地估价师现场勘查日期为2026年04月23日，本次估价设定估价期日为2026年04月23日。</w:t>
      </w:r>
    </w:p>
    <w:p w14:paraId="5CCE34A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45D0486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 xml:space="preserve">根据土地估价师现场勘查及委托方提供资料，估价对象现状用途及规划用途以委托方资料为准。根据《关于国有建设用地的规划条件的函》（2025年9月11日），估价对象规划用途为，根据《土地利用现状分类》(GB/T21010-2017，2017年11月01日)和估价目的，本次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2DAAE98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4FBADCF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 xml:space="preserve">至估价期日止，估价对象原登记或现状权利类型为，结合本次估价目的，本次评估设定土地使用权类型为。</w:t>
      </w:r>
    </w:p>
    <w:p w14:paraId="5291152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7E4026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根据《中华人民共和国城镇国有土地使用权出让和转让暂行条例》（1990年5月19日国务院令第55号）规定，并结合《评估委托书》约定和估价目的，估价对象土地使用权出让年限为，此次评估设定土地使用权年限为。</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CF62B3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3E39277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 xml:space="preserve">根据土地估价师实地勘查，估价对象于估价期日2026年04月23日实际开发程度为。结合估价目的及实际情况，本次评估设定土地开发程度为。</w:t>
      </w:r>
    </w:p>
    <w:p w14:paraId="744985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5C69489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 xml:space="preserve">根据实地勘查和《关于国有建设用地的规划条件的函》（2025年9月11日），估价对象规划建筑密度-，容积率，绿地率，建筑限高。根据土地最有效利用原则，本次评估设定容积率为。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409DBE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7D0A0D3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03436F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 xml:space="preserve">综上所述，此次评估的地价内涵是指：估价对象在公开市场条件下，于估价期日2026年04月23日，土地使用权面积平方米，土地用途设定为，容积率设定为，土地使用权类型设定为，出让年期为，土地开发程度设定为条件下的土地使用权市场价格。</w:t>
      </w:r>
    </w:p>
    <w:p w14:paraId="2075FDA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 xml:space="preserve">九、估价结果 </w:t>
      </w:r>
    </w:p>
    <w:p w14:paraId="31924DA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w:t>
      </w: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估价结论</w:t>
      </w:r>
    </w:p>
    <w:p>
      <w:pPr>
        <w:spacing w:before="0" w:after="0" w:line="480" w:lineRule="exact"/>
        <w:ind w:left="561" w:firstLine="0"/>
      </w:pPr>
      <w:r>
        <w:rPr>
          <w:rFonts w:ascii="仿宋_GB2312" w:hAnsi="仿宋_GB2312" w:eastAsia="仿宋_GB2312" w:cs="仿宋_GB2312"/>
          <w:sz w:val="28"/>
        </w:rPr>
        <w:t xml:space="preserve"/>
      </w:r>
    </w:p>
    <w:p w14:paraId="52CF38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（二）出让底价建议</w:t>
      </w:r>
    </w:p>
    <w:p w14:paraId="4B4D1AE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 xml:space="preserve">根据土地市场情况及有关法律法规和政策规定，该地区土地出让底价由选定的估价机构的估价结果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1C791D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0B3585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55B93C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 xml:space="preserve">2.通过湖南省国土资源网上交易系统、中国土地交易市场网查询，近期通过“招拍挂”途径出让的估价对象周边土地单位面积地价与估价结果较为接近，估价结果符合该区域规划发展的趋势。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F12FB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31F1C200">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b/>
          <w:color w:val="000000" w:themeColor="text1"/>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十、需要特殊说明的事项</w:t>
      </w:r>
    </w:p>
    <w:p w14:paraId="1C659CC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(一)评估依据资料来源情况说明</w:t>
      </w:r>
    </w:p>
    <w:p w14:paraId="13FBE7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384BE3F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02045F7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3.区域经济发展状况、统计数据、城市规划资料、基准地价资料、估价中的相关参数资料等由土地估价师通过查阅政府部门相关文件及公开媒体资讯等途径获取。</w:t>
      </w:r>
    </w:p>
    <w:p w14:paraId="0B9D473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4.土地估价师结合执业经验，对上述相关评估资料的真实性、合法性、有效性、适用性进行了尽职核实和专业判断。</w:t>
      </w:r>
    </w:p>
    <w:p w14:paraId="413C68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0511C7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（二）对估价结果和估价工作可能影响的变化事项</w:t>
      </w:r>
    </w:p>
    <w:p w14:paraId="7FE3879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3903F4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7F44C0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44AACD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（三）估价对象的特殊性、估价中未考虑的因素及采取的特殊处理</w:t>
      </w:r>
    </w:p>
    <w:p w14:paraId="39BB66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2B6BA9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6839BD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C3FF39D">
      <w:pPr>
        <w:rPr>
          <w:rFonts w:hint="eastAsia"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br w:type="page"/>
      </w:r>
    </w:p>
    <w:p w14:paraId="36168FE4">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十一、土地估价师签字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57F89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4C1055E2">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2785300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3EA5FC2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69805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1D448017">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65796B58">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1DC309E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B53B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1C17DE07">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3CD3FA03">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12382CDA">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1541E1CE">
      <w:pPr>
        <w:spacing w:line="480" w:lineRule="exact" w:before="0" w:after="0"/>
        <w:ind w:firstLine="562" w:firstLineChars="200"/>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十二</w:t>
      </w:r>
      <w:r>
        <w:rPr>
          <w:rFonts w:hint="eastAsia" w:ascii="宋体" w:eastAsia="宋体" w:hAnsi="宋体" w:cs="宋体"/>
          <w:b/>
          <w:color w:val="000000" w:themeColor="text1"/>
          <w:sz w:val="28"/>
          <w:szCs w:val="28"/>
          <w:highlight w:val="none"/>
          <w14:textFill>
            <w14:solidFill>
              <w14:schemeClr w14:val="tx1"/>
            </w14:solidFill>
          </w14:textFill>
        </w:rPr>
        <w:t>、土地估价机构</w:t>
      </w:r>
    </w:p>
    <w:p w14:paraId="29C8241E">
      <w:pPr>
        <w:tabs>
          <w:tab w:val="left" w:pos="3780"/>
        </w:tabs>
        <w:spacing w:before="0" w:beforeLines="100" w:line="480" w:lineRule="exact" w:after="0"/>
        <w:jc w:val="left"/>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估价机构法定代表人签字：</w:t>
      </w:r>
    </w:p>
    <w:p w14:paraId="26F7102B">
      <w:pPr>
        <w:pStyle w:val="2"/>
        <w:rPr>
          <w:color w:val="000000" w:themeColor="text1"/>
          <w:highlight w:val="none"/>
          <w14:textFill>
            <w14:solidFill>
              <w14:schemeClr w14:val="tx1"/>
            </w14:solidFill>
          </w14:textFill>
        </w:rPr>
      </w:pPr>
    </w:p>
    <w:p w14:paraId="74287A11">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3253D565">
      <w:pPr>
        <w:keepNext w:val="0"/>
        <w:keepLines w:val="0"/>
        <w:pageBreakBefore w:val="0"/>
        <w:widowControl w:val="0"/>
        <w:kinsoku/>
        <w:wordWrap/>
        <w:overflowPunct/>
        <w:topLinePunct w:val="0"/>
        <w:autoSpaceDE/>
        <w:autoSpaceDN/>
        <w:bidi w:val="0"/>
        <w:spacing w:line="480" w:lineRule="exact" w:before="0" w:after="0"/>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
      </w:r>
    </w:p>
    <w:p w14:paraId="49E3943B">
      <w:pPr>
        <w:pStyle w:val="13"/>
        <w:keepNext w:val="0"/>
        <w:keepLines w:val="0"/>
        <w:pageBreakBefore w:val="0"/>
        <w:widowControl w:val="0"/>
        <w:kinsoku/>
        <w:wordWrap/>
        <w:overflowPunct/>
        <w:topLinePunct w:val="0"/>
        <w:autoSpaceDE/>
        <w:autoSpaceDN/>
        <w:bidi w:val="0"/>
        <w:adjustRightInd/>
        <w:snapToGrid/>
        <w:spacing w:line="480" w:lineRule="exact" w:before="0" w:after="0"/>
        <w:ind w:firstLine="560"/>
        <w:textAlignment w:val="auto"/>
        <w:rPr>
          <w:rFonts w:hint="eastAsia" w:eastAsia="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w:t>
      </w:r>
    </w:p>
    <w:p w14:paraId="4400C43F">
      <w:pPr>
        <w:keepNext w:val="0"/>
        <w:keepLines w:val="0"/>
        <w:pageBreakBefore w:val="0"/>
        <w:widowControl w:val="0"/>
        <w:kinsoku/>
        <w:wordWrap/>
        <w:overflowPunct/>
        <w:topLinePunct w:val="0"/>
        <w:autoSpaceDE/>
        <w:autoSpaceDN/>
        <w:bidi w:val="0"/>
        <w:adjustRightInd/>
        <w:snapToGrid/>
        <w:spacing w:line="480" w:lineRule="exact"/>
        <w:textAlignment w:val="auto"/>
        <w:rPr>
          <w:rFonts w:ascii="仿宋_GB2312" w:eastAsia="仿宋_GB2312"/>
          <w:color w:val="000000" w:themeColor="text1"/>
          <w:sz w:val="28"/>
          <w:highlight w:val="none"/>
          <w14:textFill>
            <w14:solidFill>
              <w14:schemeClr w14:val="tx1"/>
            </w14:solidFill>
          </w14:textFill>
        </w:rPr>
        <w:sectPr>
          <w:footerReference r:id="rId21" w:type="default"/>
          <w:endnotePr>
            <w:numFmt w:val="decimal"/>
          </w:endnotePr>
          <w:pgSz w:w="11906" w:h="16838"/>
          <w:pgMar w:top="1440" w:right="1800" w:bottom="1440" w:left="1800" w:header="851" w:footer="850" w:gutter="0"/>
          <w:pgNumType w:fmt="decimal"/>
          <w:cols w:space="720" w:num="1"/>
          <w:docGrid w:linePitch="312" w:charSpace="0"/>
        </w:sectPr>
      </w:pPr>
    </w:p>
    <w:p w14:paraId="0AC74737">
      <w:pPr>
        <w:spacing w:line="480" w:lineRule="exact" w:before="0" w:after="0"/>
        <w:ind w:left="538" w:hanging="537" w:hangingChars="192"/>
        <w:jc w:val="center"/>
        <w:outlineLvl w:val="3"/>
        <w:rPr>
          <w:rFonts w:hint="eastAsia" w:ascii="仿宋_GB2312" w:eastAsia="仿宋_GB2312"/>
          <w:b/>
          <w:bCs/>
          <w:color w:val="000000" w:themeColor="text1"/>
          <w:sz w:val="28"/>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w:t>
      </w:r>
      <w:r>
        <w:rPr>
          <w:rFonts w:hint="eastAsia" w:ascii="仿宋_GB2312" w:eastAsia="仿宋_GB2312" w:hAnsi="仿宋_GB2312" w:cs="仿宋_GB2312"/>
          <w:b/>
          <w:bCs/>
          <w:color w:val="000000" w:themeColor="text1"/>
          <w:sz w:val="28"/>
          <w:highlight w:val="none"/>
          <w14:textFill>
            <w14:solidFill>
              <w14:schemeClr w14:val="tx1"/>
            </w14:solidFill>
          </w14:textFill>
        </w:rPr>
        <w:t xml:space="preserve">  土地估价结果一览表</w:t>
      </w:r>
      <w:r>
        <w:rPr>
          <w:rFonts w:hint="eastAsia" w:ascii="仿宋_GB2312" w:eastAsia="仿宋_GB2312" w:hAnsi="仿宋_GB2312" w:cs="仿宋_GB2312"/>
          <w:b/>
          <w:bCs/>
          <w:color w:val="000000" w:themeColor="text1"/>
          <w:sz w:val="28"/>
          <w:highlight w:val="none"/>
          <w:lang w:val="en-US" w:eastAsia="zh-CN"/>
          <w14:textFill>
            <w14:solidFill>
              <w14:schemeClr w14:val="tx1"/>
            </w14:solidFill>
          </w14:textFill>
        </w:rPr>
        <w:t xml:space="preserve"> </w:t>
      </w:r>
    </w:p>
    <w:p w14:paraId="2D9E7F20">
      <w:pPr>
        <w:spacing w:line="480" w:lineRule="exact" w:before="0" w:after="0"/>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sz w:val="28"/>
        </w:rPr>
        <w:t xml:space="preserve">估价机构：                                                                                估价期日：2026年04月23日</w:t>
      </w:r>
    </w:p>
    <w:p w14:paraId="3F6401EE">
      <w:pPr>
        <w:spacing w:line="480" w:lineRule="exact" w:before="0" w:after="0"/>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 xml:space="preserve">估价报告编号：                      估价目的：出让                       估价期日的土地使用权性质：拟出让</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8"/>
        <w:gridCol w:w="975"/>
        <w:gridCol w:w="1126"/>
        <w:gridCol w:w="824"/>
        <w:gridCol w:w="809"/>
        <w:gridCol w:w="551"/>
        <w:gridCol w:w="611"/>
        <w:gridCol w:w="811"/>
        <w:gridCol w:w="463"/>
        <w:gridCol w:w="950"/>
        <w:gridCol w:w="1356"/>
        <w:gridCol w:w="1614"/>
        <w:gridCol w:w="840"/>
        <w:gridCol w:w="1007"/>
        <w:gridCol w:w="689"/>
        <w:gridCol w:w="721"/>
        <w:gridCol w:w="891"/>
        <w:gridCol w:w="683"/>
      </w:tblGrid>
      <w:tr w14:paraId="020E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54" w:type="pct"/>
            <w:vMerge w:val="restart"/>
            <w:vAlign w:val="center"/>
            <w:tcMar>
              <w:top w:w="35" w:type="dxa"/>
              <w:left w:w="35" w:type="dxa"/>
              <w:bottom w:w="35" w:type="dxa"/>
              <w:right w:w="35" w:type="dxa"/>
            </w:tcMar>
          </w:tcPr>
          <w:p w14:paraId="2E4576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0" w:type="pct"/>
            <w:vMerge w:val="restart"/>
            <w:vAlign w:val="center"/>
            <w:tcMar>
              <w:top w:w="35" w:type="dxa"/>
              <w:left w:w="35" w:type="dxa"/>
              <w:bottom w:w="35" w:type="dxa"/>
              <w:right w:w="35" w:type="dxa"/>
            </w:tcMar>
          </w:tcPr>
          <w:p w14:paraId="3F14AF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0C83D9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58" w:type="pct"/>
            <w:vMerge w:val="restart"/>
            <w:vAlign w:val="center"/>
            <w:tcMar>
              <w:top w:w="35" w:type="dxa"/>
              <w:left w:w="35" w:type="dxa"/>
              <w:bottom w:w="35" w:type="dxa"/>
              <w:right w:w="35" w:type="dxa"/>
            </w:tcMar>
          </w:tcPr>
          <w:p w14:paraId="4AE433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2" w:type="pct"/>
            <w:vMerge w:val="restart"/>
            <w:vAlign w:val="center"/>
            <w:tcMar>
              <w:top w:w="35" w:type="dxa"/>
              <w:left w:w="35" w:type="dxa"/>
              <w:bottom w:w="35" w:type="dxa"/>
              <w:right w:w="35" w:type="dxa"/>
            </w:tcMar>
          </w:tcPr>
          <w:p w14:paraId="59B919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26" w:type="pct"/>
            <w:gridSpan w:val="3"/>
            <w:vAlign w:val="center"/>
            <w:tcMar>
              <w:top w:w="35" w:type="dxa"/>
              <w:left w:w="35" w:type="dxa"/>
              <w:bottom w:w="35" w:type="dxa"/>
              <w:right w:w="35" w:type="dxa"/>
            </w:tcMar>
          </w:tcPr>
          <w:p w14:paraId="1BF04A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706" w:type="pct"/>
            <w:gridSpan w:val="3"/>
            <w:vAlign w:val="center"/>
            <w:tcMar>
              <w:top w:w="35" w:type="dxa"/>
              <w:left w:w="35" w:type="dxa"/>
              <w:bottom w:w="35" w:type="dxa"/>
              <w:right w:w="35" w:type="dxa"/>
            </w:tcMar>
          </w:tcPr>
          <w:p w14:paraId="3E1472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1" w:type="pct"/>
            <w:vMerge w:val="restart"/>
            <w:vAlign w:val="center"/>
            <w:tcMar>
              <w:top w:w="35" w:type="dxa"/>
              <w:left w:w="35" w:type="dxa"/>
              <w:bottom w:w="35" w:type="dxa"/>
              <w:right w:w="35" w:type="dxa"/>
            </w:tcMar>
          </w:tcPr>
          <w:p w14:paraId="2C34BB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3" w:type="pct"/>
            <w:vMerge w:val="restart"/>
            <w:vAlign w:val="center"/>
            <w:tcMar>
              <w:top w:w="35" w:type="dxa"/>
              <w:left w:w="35" w:type="dxa"/>
              <w:bottom w:w="35" w:type="dxa"/>
              <w:right w:w="35" w:type="dxa"/>
            </w:tcMar>
          </w:tcPr>
          <w:p w14:paraId="68D4D3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67" w:type="pct"/>
            <w:vMerge w:val="restart"/>
            <w:vAlign w:val="center"/>
            <w:tcMar>
              <w:top w:w="35" w:type="dxa"/>
              <w:left w:w="35" w:type="dxa"/>
              <w:bottom w:w="35" w:type="dxa"/>
              <w:right w:w="35" w:type="dxa"/>
            </w:tcMar>
          </w:tcPr>
          <w:p w14:paraId="69605D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0" w:type="pct"/>
            <w:vMerge w:val="restart"/>
            <w:vAlign w:val="center"/>
            <w:tcMar>
              <w:top w:w="35" w:type="dxa"/>
              <w:left w:w="35" w:type="dxa"/>
              <w:bottom w:w="35" w:type="dxa"/>
              <w:right w:w="35" w:type="dxa"/>
            </w:tcMar>
          </w:tcPr>
          <w:p w14:paraId="5789F9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19" w:type="pct"/>
            <w:vMerge w:val="restart"/>
            <w:vAlign w:val="center"/>
            <w:tcMar>
              <w:top w:w="35" w:type="dxa"/>
              <w:left w:w="35" w:type="dxa"/>
              <w:bottom w:w="35" w:type="dxa"/>
              <w:right w:w="35" w:type="dxa"/>
            </w:tcMar>
          </w:tcPr>
          <w:p w14:paraId="771137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29" w:type="pct"/>
            <w:vMerge w:val="restart"/>
            <w:vAlign w:val="center"/>
            <w:tcMar>
              <w:top w:w="35" w:type="dxa"/>
              <w:left w:w="35" w:type="dxa"/>
              <w:bottom w:w="35" w:type="dxa"/>
              <w:right w:w="35" w:type="dxa"/>
            </w:tcMar>
          </w:tcPr>
          <w:p w14:paraId="7A2444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3" w:type="pct"/>
            <w:vMerge w:val="restart"/>
            <w:vAlign w:val="center"/>
            <w:tcMar>
              <w:top w:w="35" w:type="dxa"/>
              <w:left w:w="35" w:type="dxa"/>
              <w:bottom w:w="35" w:type="dxa"/>
              <w:right w:w="35" w:type="dxa"/>
            </w:tcMar>
          </w:tcPr>
          <w:p w14:paraId="24CBC0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5527E3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17" w:type="pct"/>
            <w:vMerge w:val="restart"/>
            <w:vAlign w:val="center"/>
            <w:tcMar>
              <w:top w:w="35" w:type="dxa"/>
              <w:left w:w="35" w:type="dxa"/>
              <w:bottom w:w="35" w:type="dxa"/>
              <w:right w:w="35" w:type="dxa"/>
            </w:tcMar>
          </w:tcPr>
          <w:p w14:paraId="5447EB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0C0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54" w:type="pct"/>
            <w:vMerge w:val="continue"/>
            <w:vAlign w:val="center"/>
          </w:tcPr>
          <w:p w14:paraId="240571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0" w:type="pct"/>
            <w:vMerge w:val="continue"/>
            <w:vAlign w:val="center"/>
          </w:tcPr>
          <w:p w14:paraId="56CE40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58" w:type="pct"/>
            <w:vMerge w:val="continue"/>
            <w:vAlign w:val="center"/>
          </w:tcPr>
          <w:p w14:paraId="3E0A7C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Merge w:val="continue"/>
            <w:vAlign w:val="center"/>
          </w:tcPr>
          <w:p w14:paraId="71F2FA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57" w:type="pct"/>
            <w:vAlign w:val="center"/>
            <w:tcMar>
              <w:top w:w="35" w:type="dxa"/>
              <w:left w:w="35" w:type="dxa"/>
              <w:bottom w:w="35" w:type="dxa"/>
              <w:right w:w="35" w:type="dxa"/>
            </w:tcMar>
          </w:tcPr>
          <w:p w14:paraId="2D357C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75" w:type="pct"/>
            <w:vAlign w:val="center"/>
            <w:tcMar>
              <w:top w:w="35" w:type="dxa"/>
              <w:left w:w="35" w:type="dxa"/>
              <w:bottom w:w="35" w:type="dxa"/>
              <w:right w:w="35" w:type="dxa"/>
            </w:tcMar>
          </w:tcPr>
          <w:p w14:paraId="0517EB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4" w:type="pct"/>
            <w:vAlign w:val="center"/>
            <w:tcMar>
              <w:top w:w="35" w:type="dxa"/>
              <w:left w:w="35" w:type="dxa"/>
              <w:bottom w:w="35" w:type="dxa"/>
              <w:right w:w="35" w:type="dxa"/>
            </w:tcMar>
          </w:tcPr>
          <w:p w14:paraId="1EF5DD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257" w:type="pct"/>
            <w:vAlign w:val="center"/>
            <w:tcMar>
              <w:top w:w="35" w:type="dxa"/>
              <w:left w:w="35" w:type="dxa"/>
              <w:bottom w:w="35" w:type="dxa"/>
              <w:right w:w="35" w:type="dxa"/>
            </w:tcMar>
          </w:tcPr>
          <w:p w14:paraId="5E90F4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47" w:type="pct"/>
            <w:vAlign w:val="center"/>
            <w:tcMar>
              <w:top w:w="35" w:type="dxa"/>
              <w:left w:w="35" w:type="dxa"/>
              <w:bottom w:w="35" w:type="dxa"/>
              <w:right w:w="35" w:type="dxa"/>
            </w:tcMar>
          </w:tcPr>
          <w:p w14:paraId="1D6701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0" w:type="pct"/>
            <w:vAlign w:val="center"/>
            <w:tcMar>
              <w:top w:w="35" w:type="dxa"/>
              <w:left w:w="35" w:type="dxa"/>
              <w:bottom w:w="35" w:type="dxa"/>
              <w:right w:w="35" w:type="dxa"/>
            </w:tcMar>
          </w:tcPr>
          <w:p w14:paraId="794033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1" w:type="pct"/>
            <w:vMerge w:val="continue"/>
            <w:vAlign w:val="center"/>
          </w:tcPr>
          <w:p w14:paraId="2F7C8B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3" w:type="pct"/>
            <w:vMerge w:val="continue"/>
            <w:vAlign w:val="center"/>
          </w:tcPr>
          <w:p w14:paraId="2A8B7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2C5C4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0" w:type="pct"/>
            <w:vMerge w:val="continue"/>
            <w:vAlign w:val="center"/>
          </w:tcPr>
          <w:p w14:paraId="642B48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9" w:type="pct"/>
            <w:vMerge w:val="continue"/>
            <w:vAlign w:val="center"/>
          </w:tcPr>
          <w:p w14:paraId="1F8372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9" w:type="pct"/>
            <w:vMerge w:val="continue"/>
            <w:vAlign w:val="center"/>
          </w:tcPr>
          <w:p w14:paraId="4A4E5E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3" w:type="pct"/>
            <w:vMerge w:val="continue"/>
            <w:vAlign w:val="center"/>
          </w:tcPr>
          <w:p w14:paraId="0B303F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7" w:type="pct"/>
            <w:vMerge w:val="continue"/>
            <w:vAlign w:val="center"/>
          </w:tcPr>
          <w:p w14:paraId="717D6F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20F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54" w:type="pct"/>
            <w:vAlign w:val="center"/>
            <w:tcMar>
              <w:top w:w="35" w:type="dxa"/>
              <w:left w:w="35" w:type="dxa"/>
              <w:bottom w:w="35" w:type="dxa"/>
              <w:right w:w="35" w:type="dxa"/>
            </w:tcMar>
          </w:tcPr>
          <w:p w14:paraId="1A427A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xml:space="preserve"/>
            </w:r>
          </w:p>
        </w:tc>
        <w:tc>
          <w:tcPr>
            <w:tcW w:w="310" w:type="pct"/>
            <w:vAlign w:val="center"/>
            <w:tcMar>
              <w:top w:w="35" w:type="dxa"/>
              <w:left w:w="35" w:type="dxa"/>
              <w:bottom w:w="35" w:type="dxa"/>
              <w:right w:w="35" w:type="dxa"/>
            </w:tcMar>
          </w:tcPr>
          <w:p w14:paraId="38125F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xml:space="preserve"/>
            </w:r>
          </w:p>
        </w:tc>
        <w:tc>
          <w:tcPr>
            <w:tcW w:w="358" w:type="pct"/>
            <w:vAlign w:val="center"/>
            <w:tcMar>
              <w:top w:w="35" w:type="dxa"/>
              <w:left w:w="35" w:type="dxa"/>
              <w:bottom w:w="35" w:type="dxa"/>
              <w:right w:w="35" w:type="dxa"/>
            </w:tcMar>
          </w:tcPr>
          <w:p w14:paraId="565E58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xml:space="preserve"/>
            </w:r>
          </w:p>
        </w:tc>
        <w:tc>
          <w:tcPr>
            <w:tcW w:w="262" w:type="pct"/>
            <w:vAlign w:val="center"/>
            <w:tcMar>
              <w:top w:w="35" w:type="dxa"/>
              <w:left w:w="35" w:type="dxa"/>
              <w:bottom w:w="35" w:type="dxa"/>
              <w:right w:w="35" w:type="dxa"/>
            </w:tcMar>
          </w:tcPr>
          <w:p w14:paraId="05E391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57" w:type="pct"/>
            <w:vAlign w:val="center"/>
            <w:tcMar>
              <w:top w:w="35" w:type="dxa"/>
              <w:left w:w="35" w:type="dxa"/>
              <w:bottom w:w="35" w:type="dxa"/>
              <w:right w:w="35" w:type="dxa"/>
            </w:tcMar>
          </w:tcPr>
          <w:p w14:paraId="61EE4C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xml:space="preserve"/>
            </w:r>
          </w:p>
        </w:tc>
        <w:tc>
          <w:tcPr>
            <w:tcW w:w="175" w:type="pct"/>
            <w:vAlign w:val="center"/>
            <w:tcMar>
              <w:top w:w="35" w:type="dxa"/>
              <w:left w:w="35" w:type="dxa"/>
              <w:bottom w:w="35" w:type="dxa"/>
              <w:right w:w="35" w:type="dxa"/>
            </w:tcMar>
          </w:tcPr>
          <w:p w14:paraId="4AEB17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4" w:type="pct"/>
            <w:vAlign w:val="center"/>
            <w:tcMar>
              <w:top w:w="35" w:type="dxa"/>
              <w:left w:w="35" w:type="dxa"/>
              <w:bottom w:w="35" w:type="dxa"/>
              <w:right w:w="35" w:type="dxa"/>
            </w:tcMar>
          </w:tcPr>
          <w:p w14:paraId="159C3B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xml:space="preserve"/>
            </w:r>
          </w:p>
        </w:tc>
        <w:tc>
          <w:tcPr>
            <w:tcW w:w="257" w:type="pct"/>
            <w:vAlign w:val="center"/>
            <w:tcMar>
              <w:top w:w="35" w:type="dxa"/>
              <w:left w:w="35" w:type="dxa"/>
              <w:bottom w:w="35" w:type="dxa"/>
              <w:right w:w="35" w:type="dxa"/>
            </w:tcMar>
          </w:tcPr>
          <w:p w14:paraId="152F36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xml:space="preserve"/>
            </w:r>
          </w:p>
        </w:tc>
        <w:tc>
          <w:tcPr>
            <w:tcW w:w="147" w:type="pct"/>
            <w:vAlign w:val="center"/>
            <w:tcMar>
              <w:top w:w="35" w:type="dxa"/>
              <w:left w:w="35" w:type="dxa"/>
              <w:bottom w:w="35" w:type="dxa"/>
              <w:right w:w="35" w:type="dxa"/>
            </w:tcMar>
          </w:tcPr>
          <w:p w14:paraId="5EB5BF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0" w:type="pct"/>
            <w:vAlign w:val="center"/>
            <w:tcMar>
              <w:top w:w="35" w:type="dxa"/>
              <w:left w:w="35" w:type="dxa"/>
              <w:bottom w:w="35" w:type="dxa"/>
              <w:right w:w="35" w:type="dxa"/>
            </w:tcMar>
          </w:tcPr>
          <w:p w14:paraId="6EABBF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xml:space="preserve"/>
            </w:r>
          </w:p>
        </w:tc>
        <w:tc>
          <w:tcPr>
            <w:tcW w:w="431" w:type="pct"/>
            <w:vAlign w:val="center"/>
            <w:tcMar>
              <w:top w:w="35" w:type="dxa"/>
              <w:left w:w="35" w:type="dxa"/>
              <w:bottom w:w="35" w:type="dxa"/>
              <w:right w:w="35" w:type="dxa"/>
            </w:tcMar>
          </w:tcPr>
          <w:p w14:paraId="5182F0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xml:space="preserve"/>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3" w:type="pct"/>
            <w:vAlign w:val="center"/>
            <w:tcMar>
              <w:top w:w="35" w:type="dxa"/>
              <w:left w:w="35" w:type="dxa"/>
              <w:bottom w:w="35" w:type="dxa"/>
              <w:right w:w="35" w:type="dxa"/>
            </w:tcMar>
          </w:tcPr>
          <w:p w14:paraId="22DBE5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xml:space="preserve"/>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67" w:type="pct"/>
            <w:vAlign w:val="center"/>
            <w:tcMar>
              <w:top w:w="35" w:type="dxa"/>
              <w:left w:w="35" w:type="dxa"/>
              <w:bottom w:w="35" w:type="dxa"/>
              <w:right w:w="35" w:type="dxa"/>
            </w:tcMar>
          </w:tcPr>
          <w:p w14:paraId="3C2919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xml:space="preserve"/>
            </w:r>
          </w:p>
        </w:tc>
        <w:tc>
          <w:tcPr>
            <w:tcW w:w="320" w:type="pct"/>
            <w:vAlign w:val="center"/>
            <w:tcMar>
              <w:top w:w="35" w:type="dxa"/>
              <w:left w:w="35" w:type="dxa"/>
              <w:bottom w:w="35" w:type="dxa"/>
              <w:right w:w="35" w:type="dxa"/>
            </w:tcMar>
          </w:tcPr>
          <w:p w14:paraId="1F7F66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xml:space="preserve"/>
            </w:r>
          </w:p>
        </w:tc>
        <w:tc>
          <w:tcPr>
            <w:tcW w:w="219" w:type="pct"/>
            <w:vAlign w:val="center"/>
            <w:tcMar>
              <w:top w:w="35" w:type="dxa"/>
              <w:left w:w="35" w:type="dxa"/>
              <w:bottom w:w="35" w:type="dxa"/>
              <w:right w:w="35" w:type="dxa"/>
            </w:tcMar>
          </w:tcPr>
          <w:p w14:paraId="0FFD0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xml:space="preserve"/>
            </w:r>
          </w:p>
        </w:tc>
        <w:tc>
          <w:tcPr>
            <w:tcW w:w="229" w:type="pct"/>
            <w:vAlign w:val="center"/>
            <w:tcMar>
              <w:top w:w="35" w:type="dxa"/>
              <w:left w:w="35" w:type="dxa"/>
              <w:bottom w:w="35" w:type="dxa"/>
              <w:right w:w="35" w:type="dxa"/>
            </w:tcMar>
          </w:tcPr>
          <w:p w14:paraId="46A3BE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3" w:type="pct"/>
            <w:shd w:val="clear" w:color="auto" w:fill="auto"/>
            <w:vAlign w:val="center"/>
            <w:tcMar>
              <w:top w:w="35" w:type="dxa"/>
              <w:left w:w="35" w:type="dxa"/>
              <w:bottom w:w="35" w:type="dxa"/>
              <w:right w:w="35" w:type="dxa"/>
            </w:tcMar>
          </w:tcPr>
          <w:p w14:paraId="113C2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xml:space="preserve"/>
            </w:r>
          </w:p>
        </w:tc>
        <w:tc>
          <w:tcPr>
            <w:tcW w:w="217" w:type="pct"/>
            <w:vAlign w:val="center"/>
            <w:tcMar>
              <w:top w:w="35" w:type="dxa"/>
              <w:left w:w="35" w:type="dxa"/>
              <w:bottom w:w="35" w:type="dxa"/>
              <w:right w:w="35" w:type="dxa"/>
            </w:tcMar>
          </w:tcPr>
          <w:p w14:paraId="564A63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5EA0BA2B">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供水、排水</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70A56C7C">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一、上述土地估价结果的限定条件</w:t>
      </w:r>
    </w:p>
    <w:p w14:paraId="11A3E73B">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 xml:space="preserve">1.根据《关于国有建设用地的规划条件的函》（2025年9月11日），估价对象位于，估价对象土地所有权为国有，本次评估设定土地使用权性质为，土地使用者为。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sz w:val="28"/>
        </w:rPr>
      </w:r>
    </w:p>
    <w:p w14:paraId="764C00F5">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 xml:space="preserve">2.基础设施条件：估价对象土地实际开发程度为，详见下表。</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6"/>
        <w:gridCol w:w="2322"/>
        <w:gridCol w:w="3011"/>
        <w:gridCol w:w="2672"/>
        <w:gridCol w:w="2672"/>
        <w:gridCol w:w="3342"/>
      </w:tblGrid>
      <w:tr w14:paraId="050C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2" w:type="pct"/>
            <w:noWrap w:val="0"/>
            <w:vAlign w:val="center"/>
          </w:tcPr>
          <w:p w14:paraId="21D2CBE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1514222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619A401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849" w:type="pct"/>
            <w:noWrap w:val="0"/>
            <w:vAlign w:val="center"/>
          </w:tcPr>
          <w:p w14:paraId="775426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849" w:type="pct"/>
            <w:noWrap w:val="0"/>
            <w:vAlign w:val="center"/>
          </w:tcPr>
          <w:p w14:paraId="011F24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062" w:type="pct"/>
            <w:noWrap w:val="0"/>
            <w:vAlign w:val="center"/>
          </w:tcPr>
          <w:p w14:paraId="0A181C4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0F84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3" w:hRule="atLeast"/>
          <w:jc w:val="center"/>
        </w:trPr>
        <w:tc>
          <w:tcPr>
            <w:tcW w:w="542" w:type="pct"/>
            <w:noWrap w:val="0"/>
            <w:vAlign w:val="center"/>
          </w:tcPr>
          <w:p w14:paraId="14E7BCF4">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0D257ED3">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14914478">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3268153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849" w:type="pct"/>
            <w:noWrap w:val="0"/>
            <w:vAlign w:val="center"/>
          </w:tcPr>
          <w:p w14:paraId="6BBADA87">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849" w:type="pct"/>
            <w:noWrap w:val="0"/>
            <w:vAlign w:val="center"/>
          </w:tcPr>
          <w:p w14:paraId="4F3EE01A">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062" w:type="pct"/>
            <w:noWrap w:val="0"/>
            <w:vAlign w:val="center"/>
          </w:tcPr>
          <w:p w14:paraId="65083410">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694D251B">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 xml:space="preserve">3.规划限制条件：根据《关于国有建设用地的规划条件的函》（2025年9月11日），估价对象位于，用地面积平方米。</w:t>
      </w:r>
      <w:r>
        <w:rPr>
          <w:rFonts w:ascii="仿宋_GB2312" w:hAnsi="仿宋_GB2312" w:eastAsia="仿宋_GB2312" w:cs="仿宋_GB2312"/>
          <w:color w:val="000000"/>
          <w:sz w:val="28"/>
        </w:rPr>
      </w:r>
    </w:p>
    <w:p w14:paraId="09B67B4D">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4.影响土地价值的其他限定条件：无。</w:t>
      </w:r>
    </w:p>
    <w:p w14:paraId="37668B3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 xml:space="preserve">二、其他需要说明的事项 </w:t>
      </w:r>
    </w:p>
    <w:p w14:paraId="693969C3">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4C809085">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 xml:space="preserve">2.本估价报告有效期自提交估价报告日至一年内有效。</w:t>
      </w:r>
    </w:p>
    <w:p w14:paraId="0F35ED77">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3.估价结果按规定须报请自然资源主管部门备案。</w:t>
      </w:r>
    </w:p>
    <w:p w14:paraId="40C5D862">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 xml:space="preserve">4.本评估报告中涉及的土地面积、土地权属、土地用途、规划利用指标以委托方提供的《关于国有建设用地的规划条件的函》（2025年9月11日）和《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sz w:val="28"/>
        </w:rPr>
      </w:r>
    </w:p>
    <w:p w14:paraId="3B160255">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5.依据委托人测试公司《关于国有建设用地的规划条件的函》（2025年9月11日），用地面积平方米，本次评估面积以拟出让地块红线图的供应面积为准。</w:t>
      </w:r>
    </w:p>
    <w:p w14:paraId="0A4925A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szCs w:val="21"/>
          <w:highlight w:val="none"/>
          <w14:textFill>
            <w14:solidFill>
              <w14:schemeClr w14:val="tx1"/>
            </w14:solidFill>
          </w14:textFill>
        </w:rPr>
        <w:t xml:space="preserve">.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1834D88E">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505FC6D9">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                                                                                                                                                                                                                    </w:t>
      </w:r>
    </w:p>
    <w:p w14:paraId="68903E91">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w:t>
      </w:r>
    </w:p>
    <w:p w14:paraId="6E9FCE23">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pgSz w:w="16838" w:h="11906" w:orient="landscape"/>
          <w:pgMar w:top="720" w:right="663" w:bottom="720" w:left="663" w:header="624" w:footer="624" w:gutter="0"/>
          <w:pgNumType w:fmt="decimal"/>
          <w:cols w:space="720" w:num="1"/>
          <w:docGrid w:linePitch="312" w:charSpace="0"/>
        </w:sectPr>
      </w:pPr>
    </w:p>
    <w:p w14:paraId="21F5523A">
      <w:pPr>
        <w:pStyle w:val="13"/>
        <w:spacing w:before="0" w:beforeLines="50" w:after="0" w:afterLines="100" w:line="560" w:lineRule="exact"/>
        <w:ind w:firstLine="643"/>
        <w:jc w:val="center"/>
        <w:outlineLvl w:val="1"/>
        <w:rPr>
          <w:rFonts w:ascii="宋体" w:cs="宋体"/>
          <w:b/>
          <w:color w:val="000000" w:themeColor="text1"/>
          <w:sz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第二部分  估价对象描述及地价影响因素分析</w:t>
      </w:r>
    </w:p>
    <w:p w14:paraId="557DF9F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一、估价对象描述</w:t>
      </w:r>
    </w:p>
    <w:p w14:paraId="50C194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（一）土地登记状况</w:t>
      </w:r>
    </w:p>
    <w:p>
      <w:pPr>
        <w:spacing w:before="0" w:after="0" w:line="480" w:lineRule="exact"/>
        <w:ind w:left="561" w:firstLine="0"/>
      </w:pPr>
      <w:r>
        <w:rPr>
          <w:rFonts w:ascii="仿宋_GB2312" w:hAnsi="仿宋_GB2312" w:eastAsia="仿宋_GB2312" w:cs="仿宋_GB2312"/>
          <w:sz w:val="28"/>
        </w:rPr>
        <w:t xml:space="preserve"/>
      </w:r>
    </w:p>
    <w:p w14:paraId="647664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（二）土地权利状况</w:t>
      </w:r>
    </w:p>
    <w:p>
      <w:pPr>
        <w:spacing w:before="0" w:after="0" w:line="480" w:lineRule="exact"/>
        <w:ind w:left="561" w:firstLine="0"/>
      </w:pPr>
      <w:r>
        <w:rPr>
          <w:rFonts w:ascii="仿宋_GB2312" w:hAnsi="仿宋_GB2312" w:eastAsia="仿宋_GB2312" w:cs="仿宋_GB2312"/>
          <w:sz w:val="28"/>
        </w:rPr>
        <w:t xml:space="preserve"/>
      </w:r>
    </w:p>
    <w:p w14:paraId="4A6C838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（三）土地利用状况</w:t>
      </w:r>
    </w:p>
    <w:p w14:paraId="1936EE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80" w:lineRule="exact"/>
        <w:ind w:left="561" w:firstLine="0"/>
      </w:pPr>
      <w:r>
        <w:rPr>
          <w:rFonts w:ascii="仿宋_GB2312" w:hAnsi="仿宋_GB2312" w:eastAsia="仿宋_GB2312" w:cs="仿宋_GB2312"/>
          <w:sz w:val="28"/>
        </w:rPr>
        <w:t xml:space="preserve"/>
      </w:r>
    </w:p>
    <w:p>
      <w:pPr>
        <w:spacing w:before="0" w:after="0" w:line="480" w:lineRule="exact"/>
        <w:ind w:left="561" w:firstLine="0"/>
      </w:pPr>
      <w:r>
        <w:rPr>
          <w:rFonts w:ascii="仿宋_GB2312" w:hAnsi="仿宋_GB2312" w:eastAsia="仿宋_GB2312" w:cs="仿宋_GB2312"/>
          <w:sz w:val="28"/>
        </w:rPr>
        <w:t>估价对象利用现状如下：</w:t>
      </w:r>
    </w:p>
    <w:p w14:paraId="5DBDB51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70F136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5C6105B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xml:space="preserve">根据《关于国有建设用地的规划条件的函》（2025年9月11日）及现场勘查状况，估价对象土地面积为平方米，规划建筑密度-，容积率，绿地率，建筑限高，规划指标批准机关为，批准日期为2025年9月11日。</w:t>
      </w:r>
      <w:r>
        <w:rPr>
          <w:rFonts w:ascii="仿宋_GB2312" w:hAnsi="仿宋_GB2312" w:eastAsia="仿宋_GB2312" w:cs="仿宋_GB2312"/>
          <w:color w:val="000000"/>
          <w:sz w:val="28"/>
        </w:rPr>
      </w:r>
    </w:p>
    <w:p w14:paraId="3A8FFFC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34563E3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 xml:space="preserve">本次评估根据最有效利用原则，估价对象在规划利用下价值利用状况为最有效利用。故设定估价对象用途为，设定容积率为，其余指标均取规划值为最佳利用方式。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53D714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00FF7F8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574D599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二、地价影响因素分析</w:t>
      </w:r>
    </w:p>
    <w:p w14:paraId="643CF53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(一)一般因素</w:t>
      </w:r>
    </w:p>
    <w:p w14:paraId="3EBE37B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5B12B97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08B8F3A5">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587C0A3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642F9C5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488520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56D66B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0CCF567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00E6F6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6E0DE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0AE3F8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222041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231D9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76EF749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145ED8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0DD9A82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2022年2月8日，道县第三次国土调查结果经县政府、永州市“三调”办审议并原则同意后，道县第三次国土调查领导小组办公室、委托人测试公司、道县统计局印发了《道县第三次国土调查主要数据公报》，道县主要地类数据如下：</w:t>
      </w:r>
    </w:p>
    <w:p w14:paraId="2F97057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6F6E39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3F79FBF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2F89D7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341DB1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25EE97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3E8FDE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4931F8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3427B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5B9E0DF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1CB98AB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7DBF67E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65B5549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74266F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22F01A9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0A31F27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146E455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45A1A9C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443CB0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206ED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2D28514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5206E4B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46B61DC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599559F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047774F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1B91AF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029F12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3611448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22C2EF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4BB124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606D55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33EA55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0AF285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 xml:space="preserve">2020年8月18日，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BDE3A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7D3C7B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7BC7AB2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640B7B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294BE6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00CAF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3634BD1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54D960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725B682">
      <w:pPr>
        <w:keepNext w:val="0"/>
        <w:keepLines w:val="0"/>
        <w:pageBreakBefore w:val="0"/>
        <w:widowControl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6C1BE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36B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C30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95A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2A6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1C324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380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8D5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564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C31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3F18E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E1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973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072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C47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45965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63C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895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56B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9CF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6D384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E41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B53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E20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BA8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5E12B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868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6E7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E6F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69A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78833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C6C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15D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006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D81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07FEA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99B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6A0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A44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9B4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7A79E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9A3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DE5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27D8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CC8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744A3F63">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320C8676">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59264" behindDoc="0" locked="0" layoutInCell="1" allowOverlap="1">
            <wp:simplePos x="0" y="0"/>
            <wp:positionH relativeFrom="column">
              <wp:posOffset>385445</wp:posOffset>
            </wp:positionH>
            <wp:positionV relativeFrom="paragraph">
              <wp:posOffset>33020</wp:posOffset>
            </wp:positionV>
            <wp:extent cx="4654550" cy="2590800"/>
            <wp:effectExtent l="4445" t="4445" r="19685" b="10795"/>
            <wp:wrapTopAndBottom/>
            <wp:docPr id="1006" name="图表 4"/>
            <wp:cNvGraphicFramePr/>
            <a:graphic xmlns:a="http://schemas.openxmlformats.org/drawingml/2006/main">
              <a:graphicData uri="http://schemas.openxmlformats.org/drawingml/2006/chart">
                <c:chart xmlns:c="http://schemas.openxmlformats.org/drawingml/2006/chart" r:id="rId35"/>
              </a:graphicData>
            </a:graphic>
          </wp:anchor>
        </w:drawing>
      </w:r>
    </w:p>
    <w:p w14:paraId="6293E6B3">
      <w:pPr>
        <w:keepNext w:val="0"/>
        <w:keepLines w:val="0"/>
        <w:pageBreakBefore w:val="0"/>
        <w:widowControl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道县2020-2024年土地供应总量图</w:t>
      </w:r>
    </w:p>
    <w:p w14:paraId="08EBD6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35C0BF5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069582CC">
      <w:pPr>
        <w:keepNext w:val="0"/>
        <w:keepLines w:val="0"/>
        <w:pageBreakBefore w:val="0"/>
        <w:widowControl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道县2020-2024年土地供应情况表</w:t>
      </w:r>
    </w:p>
    <w:p w14:paraId="586B4914">
      <w:pPr>
        <w:pStyle w:val="14"/>
        <w:keepNext w:val="0"/>
        <w:keepLines w:val="0"/>
        <w:pageBreakBefore w:val="0"/>
        <w:widowControl w:val="0"/>
        <w:kinsoku/>
        <w:wordWrap/>
        <w:overflowPunct/>
        <w:topLinePunct w:val="0"/>
        <w:autoSpaceDE/>
        <w:autoSpaceDN/>
        <w:bidi w:val="0"/>
        <w:spacing w:line="480" w:lineRule="exact" w:before="0" w:after="0"/>
        <w:jc w:val="right"/>
        <w:textAlignment w:val="auto"/>
        <w:rPr>
          <w:rFonts w:hint="default"/>
          <w:color w:val="000000" w:themeColor="text1"/>
          <w:highlight w:val="none"/>
          <w:lang w:val="en-US" w:eastAsia="zh-CN"/>
          <w14:textFill>
            <w14:solidFill>
              <w14:schemeClr w14:val="tx1"/>
            </w14:solidFill>
          </w14:textFill>
        </w:rPr>
      </w:pPr>
      <w:r>
        <w:rPr>
          <w:rFonts w:ascii="仿宋_GB2312" w:hAnsi="仿宋_GB2312" w:eastAsia="仿宋_GB2312" w:cs="仿宋_GB2312"/>
          <w:color w:val="000000" w:themeColor="text1"/>
          <w:sz w:val="28"/>
          <w:highlight w:val="none"/>
          <w14:textFill>
            <w14:solidFill>
              <w14:schemeClr w14:val="tx1"/>
            </w14:solidFill>
          </w14:textFill>
        </w:rPr>
        <w:drawing>
          <wp:anchor distT="0" distB="0" distL="114300" distR="114300" simplePos="0" relativeHeight="251660288" behindDoc="0" locked="0" layoutInCell="1" allowOverlap="1">
            <wp:simplePos x="0" y="0"/>
            <wp:positionH relativeFrom="column">
              <wp:posOffset>-167005</wp:posOffset>
            </wp:positionH>
            <wp:positionV relativeFrom="paragraph">
              <wp:posOffset>125095</wp:posOffset>
            </wp:positionV>
            <wp:extent cx="5757545" cy="2015490"/>
            <wp:effectExtent l="0" t="0" r="3175" b="11430"/>
            <wp:wrapTopAndBottom/>
            <wp:docPr id="10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anchor>
        </w:drawing>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p w14:paraId="1CC80A2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61312" behindDoc="0" locked="0" layoutInCell="1" allowOverlap="1">
            <wp:simplePos x="0" y="0"/>
            <wp:positionH relativeFrom="column">
              <wp:posOffset>692150</wp:posOffset>
            </wp:positionH>
            <wp:positionV relativeFrom="paragraph">
              <wp:posOffset>285115</wp:posOffset>
            </wp:positionV>
            <wp:extent cx="3742055" cy="2219960"/>
            <wp:effectExtent l="4445" t="4445" r="17780" b="15875"/>
            <wp:wrapTopAndBottom/>
            <wp:docPr id="1008"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r:id="rId36"/>
              </a:graphicData>
            </a:graphic>
          </wp:anchor>
        </w:drawing>
      </w:r>
    </w:p>
    <w:p w14:paraId="68E8A7B7">
      <w:pPr>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道县2020-2024年土地供应结构图</w:t>
      </w:r>
    </w:p>
    <w:p w14:paraId="1C8CA7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04E543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12E476A0">
      <w:pPr>
        <w:keepNext w:val="0"/>
        <w:keepLines w:val="0"/>
        <w:pageBreakBefore w:val="0"/>
        <w:widowControl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道县2020-2024年土地供应方式情况表</w:t>
      </w:r>
    </w:p>
    <w:p w14:paraId="2F822F26">
      <w:pPr>
        <w:pStyle w:val="14"/>
        <w:keepNext w:val="0"/>
        <w:keepLines w:val="0"/>
        <w:pageBreakBefore w:val="0"/>
        <w:widowControl w:val="0"/>
        <w:kinsoku/>
        <w:wordWrap/>
        <w:overflowPunct/>
        <w:topLinePunct w:val="0"/>
        <w:autoSpaceDE/>
        <w:autoSpaceDN/>
        <w:bidi w:val="0"/>
        <w:spacing w:line="480" w:lineRule="exact" w:before="0" w:after="0"/>
        <w:jc w:val="right"/>
        <w:textAlignment w:val="auto"/>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491D6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641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FDC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5AD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CF0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58A24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768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F8A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383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A97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286B7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4BF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98F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4FA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E5F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7D641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EE5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3A6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233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036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0B107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0AD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515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302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834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8CCA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87B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A9E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BFF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66E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0E7DE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533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2CA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0F0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956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528D1F4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33B96F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58E1EE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63EE23F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49F5962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17220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278547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3FC6601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5969717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1926F5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16327F0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3E738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77B63B3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065C0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B2543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15DFB2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4F9A7D0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4F0872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2328BF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7B1F59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6BBCCCF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0B083B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57E51E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2802674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03888D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CC1414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68F08B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2CBB9D4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248952F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3366B83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xml:space="preserve">2023年5月，关于印发《道县进一步促进房地产市场平稳健康发展的十条措施》的通知，结合道县实际，制定十条措施保障房地产市场健康发展：</w:t>
      </w:r>
    </w:p>
    <w:p w14:paraId="1F63E7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37FA40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3083CB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20501B0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333C48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09E4CF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7CBD3F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3A64351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6FF72BA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2466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331E1A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2F28F3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7731C55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3114C8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6FBD5A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5A11D0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72FFE30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66284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16D4292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5556E1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63231B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07E59F3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370C26D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432DB6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6BF2DC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09E42EE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28A6C6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7E0F672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1F973F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2098259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75E9E0F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08C0B55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6D6D68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2573B4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6CB9271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35DB78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567AC34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0D3D99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51916D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6B322D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08558D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3DF1BCF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15413E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170C673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F0EF6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CC75A4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1E2C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445B93A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2F00544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26B2F2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E112F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0FC219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544497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34B1A0D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CBA6E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5D683A0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3E5640F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1C4633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11DDC3A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10873F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135CDC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4AC62B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0938E00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10B444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093922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73FBF4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2730BB0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033540D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0EC233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19CD904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2CA2D8D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5B4D7C3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14F54F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40DD6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133516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363CC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544DEC1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596C5E9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F0242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1519BA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676E3A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2DBDEA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361A6FD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66791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07C9CC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06C26BD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2145BA0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6382785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2173121">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2633AE54">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1CBCCFF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4B2A29B5">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4940064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33CAFA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xml:space="preserve">根据网发布的消息，道县目前城市经济布局主要突出以下几个方面：</w:t>
      </w:r>
    </w:p>
    <w:p w14:paraId="42EBDC7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67FEC096">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24BC7BE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575C7705">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6E551611">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24A2469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416E09D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0372FD1D">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2FCEBB0B">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1CA725A1">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3D1DAC3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153A940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FF7BB4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144B83A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36D886DC">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60FB60D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3CC6E7E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(二)区域因素</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ab/>
      </w:r>
    </w:p>
    <w:p w14:paraId="0A6009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57B46E1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184446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75ECDD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估价对象位于。</w:t>
      </w:r>
    </w:p>
    <w:p w14:paraId="540109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1DA882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71D124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7643CD2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99373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xml:space="preserve">城镇基准地价的颁布实施时间为，批准文号为，文件名称为（，），批准机关为，基准地价估价基准日为，距基准地价估价基准日已满年，故暂无土地级别信息。</w:t>
      </w:r>
    </w:p>
    <w:p w14:paraId="4EFEB1A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7FA8F6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F9C3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36EE100F">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（1）对内交通条件</w:t>
      </w:r>
    </w:p>
    <w:p w14:paraId="22A6A9A8">
      <w:pPr>
        <w:spacing w:line="480" w:lineRule="exact" w:before="0" w:after="0"/>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境内有县城到</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40C29A0">
      <w:pPr>
        <w:spacing w:line="480" w:lineRule="exact" w:before="0" w:after="0"/>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估价对象距四马桥镇客运站12km。</w:t>
      </w:r>
    </w:p>
    <w:p w14:paraId="3012DFBF">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（2）对外交通条件</w:t>
      </w:r>
    </w:p>
    <w:p w14:paraId="62BFA1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hAnsi="仿宋_GB2312" w:cs="仿宋_GB2312"/>
          <w:color w:val="000000" w:themeColor="text1"/>
          <w:sz w:val="28"/>
          <w:szCs w:val="30"/>
          <w:highlight w:val="none"/>
          <w14:textFill>
            <w14:solidFill>
              <w14:schemeClr w14:val="tx1"/>
            </w14:solidFill>
          </w14:textFill>
        </w:rPr>
        <w:t>区域的外联道路主要</w:t>
      </w:r>
      <w:r>
        <w:rPr>
          <w:rFonts w:hint="default" w:ascii="仿宋_GB2312" w:eastAsia="仿宋_GB2312" w:hAnsi="仿宋_GB2312" w:cs="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等。</w:t>
      </w:r>
    </w:p>
    <w:p w14:paraId="48E14F8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624E0E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31DF683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7EF3BA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0FF65E2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5AC4A5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DA4A3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4ABE21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1DA6C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73DB42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4D04D99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7E74A2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7E564168">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（1）人文环境</w:t>
      </w:r>
    </w:p>
    <w:p w14:paraId="209AB6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0F85F2CA">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（2）自然环境</w:t>
      </w:r>
    </w:p>
    <w:p w14:paraId="301FE25B">
      <w:pPr>
        <w:spacing w:line="480" w:lineRule="exact" w:before="0" w:after="0"/>
        <w:ind w:firstLine="560" w:firstLineChars="200"/>
        <w:outlineLvl w:val="9"/>
        <w:rPr>
          <w:rFonts w:hint="default" w:ascii="仿宋_GB2312" w:eastAsia="仿宋_GB2312"/>
          <w:color w:val="auto"/>
          <w:sz w:val="28"/>
          <w:szCs w:val="30"/>
          <w:highlight w:val="none"/>
        </w:rPr>
      </w:pPr>
      <w:r>
        <w:rPr>
          <w:rFonts w:hint="default" w:ascii="仿宋_GB2312" w:eastAsia="仿宋_GB2312" w:hAnsi="仿宋_GB2312" w:cs="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1278DDA5">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auto"/>
          <w:sz w:val="28"/>
          <w:szCs w:val="30"/>
          <w:highlight w:val="none"/>
        </w:rPr>
        <w:t>宗地所在区域，地质条</w:t>
      </w:r>
      <w:r>
        <w:rPr>
          <w:rFonts w:hint="eastAsia" w:ascii="仿宋_GB2312" w:eastAsia="仿宋_GB2312" w:hAnsi="仿宋_GB2312" w:cs="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hAnsi="仿宋_GB2312" w:cs="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01D6C7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019BF5E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7C2755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9D91A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35C0DC3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32E03FD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估价对象位于，估价对价对象交通由支路构成，区域交通条件差。距离最近火车站（江华火车站）约12km，距火车站距离差；区域基础设施状况一般，区域内产业集聚度差。</w:t>
      </w:r>
    </w:p>
    <w:p w14:paraId="01D169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4F3A20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(三)个别因素</w:t>
      </w:r>
    </w:p>
    <w:p w14:paraId="41488DB6">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39BBC5DD">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21CE7312">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估价对象位于。</w:t>
      </w:r>
    </w:p>
    <w:p w14:paraId="08A6E39F">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320D6C6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根据委托估价方提供的《关于国有建设用地的规划条件的函》（2025年9月11日），估价对象土地面积为平方米，面积适中，对土地利用有利。</w:t>
      </w:r>
    </w:p>
    <w:p w14:paraId="282E8E15">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0474EA8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50EED013">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1D28F27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763F5C9F">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xml:space="preserve">根据委托估价方提供的《号地块建设用地规划红线图》，宗地形状基本规则，对利用无影响。</w:t>
      </w:r>
      <w:r>
        <w:rPr>
          <w:rFonts w:ascii="仿宋_GB2312" w:hAnsi="仿宋_GB2312" w:eastAsia="仿宋_GB2312" w:cs="仿宋_GB2312"/>
          <w:color w:val="000000"/>
          <w:sz w:val="28"/>
        </w:rPr>
      </w:r>
    </w:p>
    <w:p w14:paraId="295C580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15B2C1D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EB7FF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1A7A143D">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41CD05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6F31C96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D34209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14177A7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1066E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463D352E">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009" name="图片 19"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43AB98BF">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1010" name="图片 1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1BEC50B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3AC578A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505CCBE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xml:space="preserve">根据《关于国有建设用地的规划条件的函》（2025年9月11日）及现场勘查状况，估价对象土地面积为平方米，规划建筑密度-，容积率，绿地率，建筑限高，规划指标批准机关为，批准日期为2025年9月11日。</w:t>
      </w:r>
      <w:r>
        <w:rPr>
          <w:rFonts w:ascii="仿宋_GB2312" w:hAnsi="仿宋_GB2312" w:eastAsia="仿宋_GB2312" w:cs="仿宋_GB2312"/>
          <w:color w:val="000000"/>
          <w:sz w:val="28"/>
        </w:rPr>
      </w:r>
    </w:p>
    <w:p w14:paraId="678B10F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5B241C40">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本次评估根据最有效利用原则，估价对象在规划利用下价值利用状况为最有效利用。故设定估价对象用途为，设定容积率为，其余指标均取规划值为最佳利用方式。</w:t>
      </w:r>
    </w:p>
    <w:p w14:paraId="2E49811A">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088C442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59D2F98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2144353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4BAD813">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6054CBC0">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32B2EBFF">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591D11B5">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1A45C66B">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EBE6F46">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22" w:type="first"/>
          <w:footerReference r:id="rId23" w:type="first"/>
          <w:endnotePr>
            <w:numFmt w:val="decimal"/>
          </w:endnotePr>
          <w:pgSz w:w="11906" w:h="16838"/>
          <w:pgMar w:top="1440" w:right="1800" w:bottom="1440" w:left="1800" w:header="851" w:footer="850"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15151C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7D5E358A">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4" w:type="first"/>
          <w:footerReference r:id="rId25"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EB4596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8481D74">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6" w:type="first"/>
          <w:footerReference r:id="rId27"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085EF71D">
      <w:pPr>
        <w:adjustRightInd w:val="0"/>
        <w:snapToGrid w:val="0"/>
        <w:spacing w:line="560" w:lineRule="exact" w:before="0" w:after="0"/>
        <w:ind w:firstLine="643" w:firstLineChars="20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第三部分  土地估价</w:t>
      </w:r>
    </w:p>
    <w:p w14:paraId="719AFE8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一、估价原则</w:t>
      </w:r>
    </w:p>
    <w:p w14:paraId="245563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0904C4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64604CB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00593F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w:t>
      </w:r>
    </w:p>
    <w:p w14:paraId="7DA3531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1D9131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5889C6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37933D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1EE1F1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548B81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86DEDF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184154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7A440F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3F31A0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5272A1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090101D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582E0D1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549656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4F6FB3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772B11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（二）估价方法</w:t>
      </w:r>
    </w:p>
    <w:p w14:paraId="5799354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57CEB9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6809CEE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1181B28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66C93F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57ED1D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3F3841D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（5）评估位于中心城区的工矿仓储用地，一般情况下不宜采用成本逼近法。</w:t>
      </w:r>
    </w:p>
    <w:p w14:paraId="56A0AD7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45B787A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0C637BE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4405FB0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59D533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2F793A3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49D354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6FC4B2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6561D8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80" w:lineRule="exact"/>
        <w:ind w:left="561" w:firstLine="0"/>
      </w:pPr>
      <w:r>
        <w:rPr>
          <w:rFonts w:ascii="仿宋_GB2312" w:hAnsi="仿宋_GB2312" w:eastAsia="仿宋_GB2312" w:cs="仿宋_GB2312"/>
          <w:sz w:val="28"/>
        </w:rPr>
        <w:t xml:space="preserve"/>
      </w:r>
    </w:p>
    <w:p>
      <w:pPr>
        <w:spacing w:before="0" w:after="0" w:line="480" w:lineRule="exact"/>
        <w:ind w:left="561" w:firstLine="0"/>
      </w:pPr>
      <w:r>
        <w:rPr>
          <w:rFonts w:ascii="仿宋_GB2312" w:hAnsi="仿宋_GB2312" w:eastAsia="仿宋_GB2312" w:cs="仿宋_GB2312"/>
          <w:sz w:val="28"/>
        </w:rPr>
        <w:t xml:space="preserve"/>
      </w:r>
    </w:p>
    <w:p w14:paraId="0745FAB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（二）估价过程</w:t>
      </w:r>
    </w:p>
    <w:p w14:paraId="467CA4EF">
      <w:pPr>
        <w:keepNext/>
        <w:keepLines w:val="0"/>
        <w:pageBreakBefore w:val="0"/>
        <w:widowControl w:val="0"/>
        <w:kinsoku/>
        <w:wordWrap/>
        <w:overflowPunct/>
        <w:topLinePunct w:val="0"/>
        <w:autoSpaceDE/>
        <w:autoSpaceDN/>
        <w:bidi w:val="0"/>
        <w:spacing w:line="480" w:lineRule="exact" w:before="0" w:after="0"/>
        <w:ind w:firstLineChars="200" w:firstLine="561"/>
        <w:textAlignment w:val="auto"/>
        <w:outlineLvl w:val="2"/>
        <w:rPr>
          <w:rFonts w:hint="eastAsia" w:ascii="仿宋_GB2312" w:hAnsi="Times New Roman" w:eastAsia="仿宋_GB2312" w:cs="Times New Roman"/>
          <w:b/>
          <w:bCs/>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b/>
          <w:bCs/>
          <w:color w:val="000000" w:themeColor="text1"/>
          <w:sz w:val="28"/>
          <w:szCs w:val="30"/>
          <w:highlight w:val="none"/>
          <w:lang w:val="en-GB"/>
          <w14:textFill>
            <w14:solidFill>
              <w14:schemeClr w14:val="tx1"/>
            </w14:solidFill>
          </w14:textFill>
        </w:rPr>
        <w:t>★</w:t>
      </w:r>
      <w:r>
        <w:rPr>
          <w:rFonts w:hint="eastAsia" w:ascii="仿宋_GB2312" w:eastAsia="仿宋_GB2312" w:cs="仿宋_GB2312" w:hAnsi="仿宋_GB2312"/>
          <w:b/>
          <w:bCs/>
          <w:color w:val="000000" w:themeColor="text1"/>
          <w:sz w:val="28"/>
          <w:szCs w:val="30"/>
          <w:highlight w:val="none"/>
          <w:lang w:val="en-US" w:eastAsia="zh-CN"/>
          <w14:textFill>
            <w14:solidFill>
              <w14:schemeClr w14:val="tx1"/>
            </w14:solidFill>
          </w14:textFill>
        </w:rPr>
        <w:t>成本逼近</w:t>
      </w:r>
      <w:r>
        <w:rPr>
          <w:rFonts w:hint="eastAsia" w:ascii="仿宋_GB2312" w:hAnsi="仿宋_GB2312" w:eastAsia="仿宋_GB2312" w:cs="仿宋_GB2312"/>
          <w:b/>
          <w:bCs/>
          <w:color w:val="000000" w:themeColor="text1"/>
          <w:sz w:val="28"/>
          <w:szCs w:val="30"/>
          <w:highlight w:val="none"/>
          <w:lang w:val="en-GB"/>
          <w14:textFill>
            <w14:solidFill>
              <w14:schemeClr w14:val="tx1"/>
            </w14:solidFill>
          </w14:textFill>
        </w:rPr>
        <w:t>法</w:t>
      </w:r>
    </w:p>
    <w:p w14:paraId="0910535E">
      <w:pPr>
        <w:spacing w:line="480" w:lineRule="exact" w:before="0" w:after="0"/>
        <w:ind w:firstLine="560" w:firstLineChars="200"/>
        <w:rPr>
          <w:rFonts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sz w:val="28"/>
        </w:rPr>
        <w:t xml:space="preserve"/>
      </w:r>
    </w:p>
    <w:p w14:paraId="30B9D8A1">
      <w:pPr>
        <w:snapToGrid w:val="0"/>
        <w:spacing w:line="480" w:lineRule="exact" w:before="0" w:after="0"/>
        <w:ind w:firstLine="560" w:firstLineChars="200"/>
        <w:rPr>
          <w:rFonts w:eastAsia="仿宋_GB2312"/>
          <w:color w:val="000000" w:themeColor="text1"/>
          <w:sz w:val="28"/>
          <w:szCs w:val="28"/>
          <w:highlight w:val="none"/>
          <w14:textFill>
            <w14:solidFill>
              <w14:schemeClr w14:val="tx1"/>
            </w14:solidFill>
          </w14:textFill>
        </w:rPr>
      </w:pPr>
      <w:r>
        <w:rPr>
          <w:rFonts w:eastAsia="仿宋_GB2312" w:ascii="仿宋_GB2312" w:hAnsi="仿宋_GB2312" w:cs="仿宋_GB2312"/>
          <w:color w:val="000000" w:themeColor="text1"/>
          <w:sz w:val="28"/>
          <w:szCs w:val="28"/>
          <w:highlight w:val="none"/>
          <w14:textFill>
            <w14:solidFill>
              <w14:schemeClr w14:val="tx1"/>
            </w14:solidFill>
          </w14:textFill>
        </w:rPr>
        <w:t>计算过程：</w:t>
      </w:r>
    </w:p>
    <w:p w14:paraId="7B0008FE">
      <w:pPr>
        <w:spacing w:line="480" w:lineRule="exact" w:before="0" w:after="0"/>
        <w:ind w:firstLine="560" w:firstLineChars="200"/>
        <w:rPr>
          <w:rFonts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sz w:val="28"/>
        </w:rPr>
        <w:t xml:space="preserve"/>
      </w:r>
    </w:p>
    <w:p w14:paraId="12014A94">
      <w:pPr>
        <w:pStyle w:val="3"/>
        <w:keepNext w:val="0"/>
        <w:keepLines w:val="0"/>
        <w:pageBreakBefore w:val="0"/>
        <w:widowControl w:val="0"/>
        <w:kinsoku/>
        <w:wordWrap/>
        <w:topLinePunct w:val="0"/>
        <w:bidi w:val="0"/>
        <w:adjustRightInd w:val="0"/>
        <w:snapToGrid w:val="0"/>
        <w:spacing w:line="480" w:lineRule="exact" w:before="0" w:after="0"/>
        <w:ind w:left="0" w:leftChars="0" w:firstLine="560" w:firstLineChars="200"/>
        <w:textAlignment w:val="auto"/>
        <w:outlineLvl w:val="9"/>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xml:space="preserve"/>
      </w:r>
    </w:p>
    <w:p w14:paraId="7635C4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1、土地取得费</w:t>
      </w:r>
    </w:p>
    <w:p w14:paraId="7D86FBF2">
      <w:pPr>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中华人民共和国土地管理法》（根据2019年8月26日第十三届全国人民代表大会常务委员会第十二次会议《关于修改〈中华人民共和国土地管理法〉、〈中华人民共和国城市房地产管理法〉的决定》第三次修正））第四十八条规定，征用土地的补偿费用包括土地补偿费、安置补助费以及农村村民住宅、其他地上附着物和青苗等的补偿费用、被征地农民的社会保障费用。</w:t>
      </w:r>
    </w:p>
    <w:p w14:paraId="65BC3185">
      <w:pPr>
        <w:spacing w:line="480" w:lineRule="exact" w:before="0" w:after="0"/>
        <w:ind w:firstLine="560" w:firstLineChars="200"/>
        <w:rPr>
          <w:rFonts w:hint="eastAsia" w:ascii="仿宋_GB2312" w:hAnsi="仿宋_GB2312" w:eastAsia="仿宋_GB2312" w:cs="仿宋_GB2312"/>
          <w:color w:val="000000" w:themeColor="text1"/>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①</w:t>
      </w:r>
      <w:r>
        <w:rPr>
          <w:rFonts w:hint="eastAsia" w:ascii="仿宋_GB2312" w:hAnsi="仿宋_GB2312" w:eastAsia="仿宋_GB2312" w:cs="仿宋_GB2312"/>
          <w:color w:val="000000" w:themeColor="text1"/>
          <w:sz w:val="28"/>
          <w:highlight w:val="none"/>
          <w14:textFill>
            <w14:solidFill>
              <w14:schemeClr w14:val="tx1"/>
            </w14:solidFill>
          </w14:textFill>
        </w:rPr>
        <w:t>征地补偿费和安置补助费</w:t>
      </w:r>
    </w:p>
    <w:p w14:paraId="3413BDC6">
      <w:pPr>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根据评估人员现场勘察和调查区域周边的土地利用状况，待估宗地所在区域土地利用类型主要</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为林地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r>
        <w:rPr>
          <w:rFonts w:hint="eastAsia" w:ascii="仿宋_GB2312" w:hAnsi="仿宋_GB2312" w:eastAsia="仿宋_GB2312" w:cs="仿宋_GB2312"/>
          <w:color w:val="000000" w:themeColor="text1"/>
          <w:sz w:val="28"/>
          <w:szCs w:val="28"/>
          <w:highlight w:val="none"/>
          <w14:textFill>
            <w14:solidFill>
              <w14:schemeClr w14:val="tx1"/>
            </w14:solidFill>
          </w14:textFill>
        </w:rPr>
        <w:t>及</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估价对象</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征地补偿区片</w:t>
      </w:r>
      <w:r>
        <w:rPr>
          <w:rFonts w:hint="default" w:ascii="仿宋_GB2312" w:hAnsi="仿宋_GB2312" w:eastAsia="仿宋_GB2312" w:cs="仿宋_GB2312"/>
          <w:color w:val="000000" w:themeColor="text1"/>
          <w:sz w:val="28"/>
          <w:szCs w:val="28"/>
          <w:highlight w:val="none"/>
          <w14:textFill>
            <w14:solidFill>
              <w14:schemeClr w14:val="tx1"/>
            </w14:solidFill>
          </w14:textFill>
        </w:rPr>
        <w:t>Ⅱ</w:t>
      </w:r>
      <w:r>
        <w:rPr>
          <w:rFonts w:hint="eastAsia" w:ascii="仿宋_GB2312" w:hAnsi="仿宋_GB2312" w:eastAsia="仿宋_GB2312" w:cs="仿宋_GB2312"/>
          <w:color w:val="000000" w:themeColor="text1"/>
          <w:sz w:val="28"/>
          <w:szCs w:val="28"/>
          <w:highlight w:val="none"/>
          <w14:textFill>
            <w14:solidFill>
              <w14:schemeClr w14:val="tx1"/>
            </w14:solidFill>
          </w14:textFill>
        </w:rPr>
        <w:t>区范围，</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补偿费为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61800×0.67=41406</w:t>
      </w:r>
      <w:r>
        <w:rPr>
          <w:rFonts w:hint="eastAsia" w:ascii="仿宋_GB2312" w:hAnsi="仿宋_GB2312" w:eastAsia="仿宋_GB2312" w:cs="仿宋_GB2312"/>
          <w:color w:val="000000" w:themeColor="text1"/>
          <w:sz w:val="28"/>
          <w:szCs w:val="28"/>
          <w:highlight w:val="none"/>
          <w14:textFill>
            <w14:solidFill>
              <w14:schemeClr w14:val="tx1"/>
            </w14:solidFill>
          </w14:textFill>
        </w:rPr>
        <w:t>元/亩</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则：</w:t>
      </w:r>
    </w:p>
    <w:p w14:paraId="242E0789">
      <w:pPr>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征地补偿费=</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41406</w:t>
      </w:r>
      <w:r>
        <w:rPr>
          <w:rFonts w:hint="eastAsia" w:ascii="仿宋_GB2312" w:hAnsi="仿宋_GB2312" w:eastAsia="仿宋_GB2312" w:cs="仿宋_GB2312"/>
          <w:color w:val="000000" w:themeColor="text1"/>
          <w:sz w:val="28"/>
          <w:szCs w:val="28"/>
          <w:highlight w:val="none"/>
          <w14:textFill>
            <w14:solidFill>
              <w14:schemeClr w14:val="tx1"/>
            </w14:solidFill>
          </w14:textFill>
        </w:rPr>
        <w:t>×0.0015=</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62.11</w:t>
      </w:r>
      <w:r>
        <w:rPr>
          <w:rFonts w:hint="eastAsia" w:ascii="仿宋_GB2312" w:hAnsi="仿宋_GB2312" w:eastAsia="仿宋_GB2312" w:cs="仿宋_GB2312"/>
          <w:color w:val="000000" w:themeColor="text1"/>
          <w:sz w:val="28"/>
          <w:szCs w:val="28"/>
          <w:highlight w:val="none"/>
          <w14:textFill>
            <w14:solidFill>
              <w14:schemeClr w14:val="tx1"/>
            </w14:solidFill>
          </w14:textFill>
        </w:rPr>
        <w:t>元/平方米。</w:t>
      </w:r>
    </w:p>
    <w:p w14:paraId="1BD53A44">
      <w:pPr>
        <w:snapToGrid w:val="0"/>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②</w:t>
      </w:r>
      <w:r>
        <w:rPr>
          <w:rFonts w:hint="eastAsia" w:ascii="仿宋_GB2312" w:hAnsi="仿宋_GB2312" w:eastAsia="仿宋_GB2312" w:cs="仿宋_GB2312"/>
          <w:color w:val="000000" w:themeColor="text1"/>
          <w:sz w:val="28"/>
          <w:highlight w:val="none"/>
          <w14:textFill>
            <w14:solidFill>
              <w14:schemeClr w14:val="tx1"/>
            </w14:solidFill>
          </w14:textFill>
        </w:rPr>
        <w:t>地上附着物补偿</w:t>
      </w:r>
    </w:p>
    <w:p w14:paraId="29F2A19E">
      <w:pPr>
        <w:snapToGrid w:val="0"/>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color w:val="000000" w:themeColor="text1"/>
          <w:sz w:val="28"/>
          <w:highlight w:val="none"/>
          <w14:textFill>
            <w14:solidFill>
              <w14:schemeClr w14:val="tx1"/>
            </w14:solidFill>
          </w14:textFill>
        </w:rPr>
        <w:t>永州市人民政府关于印发《永州市集体土地与房屋征收补偿安置办法》的通知（永政发〔2024〕4号，2024年5月11日）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的</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青苗补偿标准为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4000</w:t>
      </w:r>
      <w:r>
        <w:rPr>
          <w:rFonts w:hint="eastAsia" w:ascii="仿宋_GB2312" w:hAnsi="仿宋_GB2312" w:eastAsia="仿宋_GB2312" w:cs="仿宋_GB2312"/>
          <w:color w:val="000000" w:themeColor="text1"/>
          <w:sz w:val="28"/>
          <w:highlight w:val="none"/>
          <w14:textFill>
            <w14:solidFill>
              <w14:schemeClr w14:val="tx1"/>
            </w14:solidFill>
          </w14:textFill>
        </w:rPr>
        <w:t>元/亩，合</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highlight w:val="none"/>
          <w14:textFill>
            <w14:solidFill>
              <w14:schemeClr w14:val="tx1"/>
            </w14:solidFill>
          </w14:textFill>
        </w:rPr>
        <w:t>元/㎡；</w:t>
      </w:r>
    </w:p>
    <w:p w14:paraId="712D0A6E">
      <w:pPr>
        <w:snapToGrid w:val="0"/>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故：土地取得费＝①＋②=</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62.11</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5.4</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68.11</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16C88BB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2、相关税费</w:t>
      </w:r>
      <w:r>
        <w:rPr>
          <w:rFonts w:hint="eastAsia" w:ascii="仿宋_GB2312" w:hAnsi="仿宋_GB2312" w:eastAsia="仿宋_GB2312" w:cs="仿宋_GB2312"/>
          <w:color w:val="000000" w:themeColor="text1"/>
          <w:sz w:val="28"/>
          <w:szCs w:val="21"/>
          <w:highlight w:val="none"/>
          <w14:textFill>
            <w14:solidFill>
              <w14:schemeClr w14:val="tx1"/>
            </w14:solidFill>
          </w14:textFill>
        </w:rPr>
        <w:t>（T）</w:t>
      </w:r>
    </w:p>
    <w:p w14:paraId="2B82684F">
      <w:pPr>
        <w:keepNext w:val="0"/>
        <w:keepLines w:val="0"/>
        <w:pageBreakBefore w:val="0"/>
        <w:widowControl w:val="0"/>
        <w:kinsoku/>
        <w:wordWrap/>
        <w:overflowPunct/>
        <w:topLinePunct w:val="0"/>
        <w:autoSpaceDE/>
        <w:autoSpaceDN/>
        <w:bidi w:val="0"/>
        <w:snapToGrid w:val="0"/>
        <w:spacing w:line="480" w:lineRule="exact" w:before="0" w:after="0"/>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①水利建设基金</w:t>
      </w:r>
    </w:p>
    <w:p w14:paraId="61A1A959">
      <w:pPr>
        <w:keepNext w:val="0"/>
        <w:keepLines w:val="0"/>
        <w:pageBreakBefore w:val="0"/>
        <w:widowControl w:val="0"/>
        <w:kinsoku/>
        <w:wordWrap/>
        <w:overflowPunct/>
        <w:topLinePunct w:val="0"/>
        <w:autoSpaceDE/>
        <w:autoSpaceDN/>
        <w:bidi w:val="0"/>
        <w:snapToGrid w:val="0"/>
        <w:spacing w:line="480" w:lineRule="exact" w:before="0" w:after="0"/>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使用新增建设用地的单位和个人应缴纳的水利建设基金，由省国土资源厅在办理用地审批手续、征收新增建设用地有偿使用费时，按应缴新增建设用地有偿使用费的10%征收水利建设基金。根据湖南省财政厅 湖南省自然资源厅 中国人民银行长沙中心支行《关于调整新增建设用地土地有偿使用费征收管理有关政策的通知》（湘财综[2018]42号），道县新增建设用地土地有偿使用费征收等别为13等，征收标准为16元/平方米，故取水利建设基金为1.6元/平方米</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B81009F">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②耕地占用税</w:t>
      </w:r>
    </w:p>
    <w:p w14:paraId="6F59EDF5">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评估宗地考虑征用的土地为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根据《湖南省人民代表大会常务委员会关于湖南省耕地占用税适用税额的决定》(已经湖南省第十三届人民代表大会常务委员会第十二次会议通过，2019年7月31日)，湖南省道县耕地占用税税额标准为25元/平方米，占用林地的，耕地占用税具体适用税额在当地适用税额的基础上降低百分之二十。</w:t>
      </w:r>
    </w:p>
    <w:p w14:paraId="63B4C807">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故此次评估取</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占用税：</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25×0.8=20</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6CE7E048">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fldChar w:fldCharType="begin"/>
      </w:r>
      <w:r>
        <w:rPr>
          <w:rFonts w:hint="eastAsia" w:ascii="仿宋_GB2312" w:hAnsi="仿宋_GB2312" w:eastAsia="仿宋_GB2312" w:cs="仿宋_GB2312"/>
          <w:color w:val="000000" w:themeColor="text1"/>
          <w:sz w:val="28"/>
          <w:highlight w:val="none"/>
          <w14:textFill>
            <w14:solidFill>
              <w14:schemeClr w14:val="tx1"/>
            </w14:solidFill>
          </w14:textFill>
        </w:rPr>
        <w:instrText xml:space="preserve"> = 3 \* GB3 </w:instrTex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separate"/>
      </w:r>
      <w:r>
        <w:rPr>
          <w:rFonts w:hint="eastAsia" w:ascii="仿宋_GB2312" w:hAnsi="仿宋_GB2312" w:eastAsia="仿宋_GB2312" w:cs="仿宋_GB2312"/>
          <w:color w:val="000000" w:themeColor="text1"/>
          <w:sz w:val="28"/>
          <w:highlight w:val="none"/>
          <w14:textFill>
            <w14:solidFill>
              <w14:schemeClr w14:val="tx1"/>
            </w14:solidFill>
          </w14:textFill>
        </w:rPr>
        <w:t>③</w: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end"/>
      </w:r>
      <w:r>
        <w:rPr>
          <w:rFonts w:hint="eastAsia" w:ascii="仿宋_GB2312" w:hAnsi="仿宋_GB2312" w:eastAsia="仿宋_GB2312" w:cs="仿宋_GB2312"/>
          <w:color w:val="000000" w:themeColor="text1"/>
          <w:sz w:val="28"/>
          <w:highlight w:val="none"/>
          <w14:textFill>
            <w14:solidFill>
              <w14:schemeClr w14:val="tx1"/>
            </w14:solidFill>
          </w14:textFill>
        </w:rPr>
        <w:t>耕地开垦费</w:t>
      </w:r>
    </w:p>
    <w:p w14:paraId="7EDC0DA4">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估价对象</w:t>
      </w:r>
      <w:r>
        <w:rPr>
          <w:rFonts w:hint="eastAsia" w:ascii="仿宋_GB2312" w:hAnsi="仿宋_GB2312" w:eastAsia="仿宋_GB2312" w:cs="仿宋_GB2312"/>
          <w:color w:val="000000" w:themeColor="text1"/>
          <w:sz w:val="28"/>
          <w:highlight w:val="none"/>
          <w14:textFill>
            <w14:solidFill>
              <w14:schemeClr w14:val="tx1"/>
            </w14:solidFill>
          </w14:textFill>
        </w:rPr>
        <w:t>耕地开垦费征收标准为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32C700E3">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④社会保障资金</w:t>
      </w:r>
    </w:p>
    <w:p w14:paraId="23693356">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根据湖南省人力资源社会保障厅《关于进一步做好被征地农民社会保障工作的通知》（湘人社规〔2023〕1号，2023年4月28日），确定被征地农民社会保障费为30元/平方米。</w:t>
      </w:r>
    </w:p>
    <w:p w14:paraId="13C617A5">
      <w:pPr>
        <w:snapToGrid w:val="0"/>
        <w:spacing w:line="480" w:lineRule="exact" w:before="0" w:after="0"/>
        <w:ind w:firstLine="560"/>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⑤新菜地开发基金或森林植被恢复费</w:t>
      </w:r>
    </w:p>
    <w:p w14:paraId="5A4263D9">
      <w:pPr>
        <w:snapToGrid w:val="0"/>
        <w:spacing w:line="480" w:lineRule="exact" w:before="0" w:after="0"/>
        <w:ind w:firstLine="560"/>
        <w:rPr>
          <w:rFonts w:hint="default" w:ascii="仿宋_GB2312" w:hAnsi="仿宋_GB2312" w:eastAsia="仿宋_GB2312" w:cs="仿宋_GB2312"/>
          <w:color w:val="000000" w:themeColor="text1"/>
          <w:sz w:val="28"/>
          <w:highlight w:val="none"/>
          <w:lang w:val="en-US" w:eastAsia="zh-CN"/>
          <w14:textFill>
            <w14:solidFill>
              <w14:schemeClr w14:val="tx1"/>
            </w14:solidFill>
          </w14:textFill>
        </w:rPr>
      </w:pPr>
      <w:r>
        <w:rPr>
          <w:rFonts w:eastAsia="仿宋_GB2312" w:ascii="仿宋_GB2312" w:hAnsi="仿宋_GB2312" w:cs="仿宋_GB2312"/>
          <w:color w:val="000000" w:themeColor="text1"/>
          <w:sz w:val="28"/>
          <w:szCs w:val="28"/>
          <w:highlight w:val="none"/>
          <w14:textFill>
            <w14:solidFill>
              <w14:schemeClr w14:val="tx1"/>
            </w14:solidFill>
          </w14:textFill>
        </w:rPr>
        <w:t>根据</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关于印发&lt;湖南省森林植被恢复费征收使用管理实施办法&gt;的通知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（湘财税〔2024〕10号，2024年4月12日）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郁闭度0.2以上的乔木林地(含采伐迹地、火烧迹地)、竹林地、苗圃地,每平方米10元;灌木林地、疏林地、未成林造林地,每平方米6元</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sz w:val="28"/>
          <w:szCs w:val="28"/>
          <w:highlight w:val="none"/>
          <w:shd w:val="clear" w:fill="FFFFFF"/>
          <w14:textFill>
            <w14:solidFill>
              <w14:schemeClr w14:val="tx1"/>
            </w14:solidFill>
          </w14:textFill>
        </w:rPr>
        <w:t>（二）国家和省级公益林林地，按照（一）款规定征收标准的2倍征收</w:t>
      </w:r>
      <w:r>
        <w:rPr>
          <w:rFonts w:hint="eastAsia" w:ascii="仿宋_GB2312" w:hAnsi="仿宋_GB2312" w:eastAsia="仿宋_GB2312" w:cs="仿宋_GB2312"/>
          <w:i w:val="0"/>
          <w:iCs w:val="0"/>
          <w:caps w:val="0"/>
          <w:color w:val="000000" w:themeColor="text1"/>
          <w:spacing w:val="0"/>
          <w:sz w:val="28"/>
          <w:szCs w:val="28"/>
          <w:highlight w:val="none"/>
          <w:shd w:val="clear" w:fill="FFFFFF"/>
          <w:lang w:eastAsia="zh-CN"/>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sz w:val="28"/>
          <w:szCs w:val="28"/>
          <w:highlight w:val="none"/>
          <w:shd w:val="clear" w:fill="FFFFFF"/>
          <w:lang w:val="en-US" w:eastAsia="zh-CN"/>
          <w14:textFill>
            <w14:solidFill>
              <w14:schemeClr w14:val="tx1"/>
            </w14:solidFill>
          </w14:textFill>
        </w:rPr>
        <w:t>三</w:t>
      </w:r>
      <w:r>
        <w:rPr>
          <w:rFonts w:hint="eastAsia" w:ascii="仿宋_GB2312" w:hAnsi="仿宋_GB2312" w:eastAsia="仿宋_GB2312" w:cs="仿宋_GB2312"/>
          <w:i w:val="0"/>
          <w:iCs w:val="0"/>
          <w:caps w:val="0"/>
          <w:color w:val="000000" w:themeColor="text1"/>
          <w:spacing w:val="0"/>
          <w:sz w:val="28"/>
          <w:szCs w:val="28"/>
          <w:highlight w:val="none"/>
          <w:shd w:val="clear" w:fill="FFFFFF"/>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城市规划区外的林地,按占用征收林地建设项目性质实行不同征收标准。</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四</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属于公共基础设施、公共事业和国防建设项目的,按照(一)、(二)款规定征收标准征收;属于经营性建设项目的,按照第(一)、(二)款规定征收标准2倍征收。</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估计对象为乔木林地，确定估价对象森林植被恢复费为20元/平方米。</w:t>
      </w:r>
    </w:p>
    <w:p w14:paraId="1DC17F85">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则：各项税费合计为=1.6+2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+30</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71.6</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75D7E92F">
      <w:pPr>
        <w:keepNext/>
        <w:snapToGrid w:val="0"/>
        <w:spacing w:line="480" w:lineRule="exact" w:before="157" w:after="10"/>
        <w:ind w:firstLine="0" w:left="0" w:right="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表3-</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1</w:t>
      </w:r>
      <w:r>
        <w:rPr>
          <w:rFonts w:hint="eastAsia" w:ascii="仿宋_GB2312" w:hAnsi="仿宋_GB2312" w:eastAsia="仿宋_GB2312" w:cs="仿宋_GB2312"/>
          <w:b w:val="0"/>
          <w:color w:val="000000" w:themeColor="text1"/>
          <w:sz w:val="28"/>
          <w:highlight w:val="none"/>
          <w14:textFill>
            <w14:solidFill>
              <w14:schemeClr w14:val="tx1"/>
            </w14:solidFill>
          </w14:textFill>
        </w:rPr>
        <w:t xml:space="preserve"> 估价对象土地取得费及相关税费一览表</w:t>
      </w:r>
    </w:p>
    <w:tbl>
      <w:tblPr>
        <w:tblStyle w:val="9"/>
        <w:tblW w:w="4998" w:type="pct"/>
        <w:jc w:val="center"/>
        <w:tblLayout w:type="autofit"/>
        <w:tblCellMar>
          <w:top w:w="0" w:type="dxa"/>
          <w:left w:w="0" w:type="dxa"/>
          <w:bottom w:w="0" w:type="dxa"/>
          <w:right w:w="0" w:type="dxa"/>
        </w:tblCellMar>
      </w:tblPr>
      <w:tblGrid>
        <w:gridCol w:w="1051"/>
        <w:gridCol w:w="1154"/>
        <w:gridCol w:w="1228"/>
        <w:gridCol w:w="1206"/>
        <w:gridCol w:w="1178"/>
        <w:gridCol w:w="1351"/>
        <w:gridCol w:w="1351"/>
      </w:tblGrid>
      <w:tr w14:paraId="166BDAB5">
        <w:tblPrEx>
          <w:tblCellMar>
            <w:top w:w="0" w:type="dxa"/>
            <w:left w:w="0" w:type="dxa"/>
            <w:bottom w:w="0" w:type="dxa"/>
            <w:right w:w="0" w:type="dxa"/>
          </w:tblCellMar>
        </w:tblPrEx>
        <w:trPr>
          <w:trHeight w:val="850" w:hRule="atLeast"/>
          <w:jc w:val="center"/>
        </w:trPr>
        <w:tc>
          <w:tcPr>
            <w:tcW w:w="61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86D4F5F">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土地取得费（元/平方米）</w:t>
            </w:r>
          </w:p>
        </w:tc>
        <w:tc>
          <w:tcPr>
            <w:tcW w:w="67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936201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水利建设基金（元/平方米）</w:t>
            </w:r>
          </w:p>
        </w:tc>
        <w:tc>
          <w:tcPr>
            <w:tcW w:w="720"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6576F3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耕地占用税</w:t>
            </w:r>
          </w:p>
          <w:p w14:paraId="3EFA2A95">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（元/平方米）</w:t>
            </w:r>
          </w:p>
        </w:tc>
        <w:tc>
          <w:tcPr>
            <w:tcW w:w="70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3484F5B">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耕地开垦费（元/平方米）</w:t>
            </w:r>
          </w:p>
        </w:tc>
        <w:tc>
          <w:tcPr>
            <w:tcW w:w="69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8DDD68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社会保障费（元/平方米）</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E7F6D09">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新菜地开发基金或森林植被恢复费（元/平方米）</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D13B58A">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合计</w:t>
            </w:r>
          </w:p>
          <w:p w14:paraId="3055255E">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（元/平方米）</w:t>
            </w:r>
          </w:p>
        </w:tc>
      </w:tr>
      <w:tr w14:paraId="177AC768">
        <w:tblPrEx>
          <w:tblCellMar>
            <w:top w:w="0" w:type="dxa"/>
            <w:left w:w="0" w:type="dxa"/>
            <w:bottom w:w="0" w:type="dxa"/>
            <w:right w:w="0" w:type="dxa"/>
          </w:tblCellMar>
        </w:tblPrEx>
        <w:trPr>
          <w:trHeight w:val="484" w:hRule="atLeast"/>
          <w:jc w:val="center"/>
        </w:trPr>
        <w:tc>
          <w:tcPr>
            <w:tcW w:w="61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3D0751D">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67.51</w:t>
            </w:r>
          </w:p>
        </w:tc>
        <w:tc>
          <w:tcPr>
            <w:tcW w:w="67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0E4C79D">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1.6</w:t>
            </w:r>
          </w:p>
        </w:tc>
        <w:tc>
          <w:tcPr>
            <w:tcW w:w="720"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FCE92C3">
            <w:pPr>
              <w:snapToGrid w:val="0"/>
              <w:spacing w:line="240" w:lineRule="atLeast"/>
              <w:jc w:val="center"/>
              <w:rPr>
                <w:rFonts w:hint="eastAsia" w:ascii="仿宋_GB2312" w:hAnsi="仿宋_GB2312" w:eastAsia="仿宋_GB2312" w:cs="仿宋_GB2312"/>
                <w:color w:val="000000" w:themeColor="text1"/>
                <w:sz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2</w:t>
            </w: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0</w:t>
            </w:r>
          </w:p>
        </w:tc>
        <w:tc>
          <w:tcPr>
            <w:tcW w:w="70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0F46105">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0</w:t>
            </w:r>
          </w:p>
        </w:tc>
        <w:tc>
          <w:tcPr>
            <w:tcW w:w="69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7F42363">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30</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1853DF9">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20</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FDA3B87">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139.11</w:t>
            </w:r>
          </w:p>
        </w:tc>
      </w:tr>
    </w:tbl>
    <w:p w14:paraId="5D47A72E">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3、土地开发费</w:t>
      </w:r>
    </w:p>
    <w:p w14:paraId="20DDA16D">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本次评估设定的土地开发程度为宗地红线外</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“五通”（即通路、通电、通讯、供水、排水）</w:t>
      </w:r>
      <w:r>
        <w:rPr>
          <w:rFonts w:hint="eastAsia" w:ascii="仿宋_GB2312" w:hAnsi="仿宋_GB2312" w:eastAsia="仿宋_GB2312" w:cs="仿宋_GB2312"/>
          <w:color w:val="000000" w:themeColor="text1"/>
          <w:sz w:val="28"/>
          <w:highlight w:val="none"/>
          <w14:textFill>
            <w14:solidFill>
              <w14:schemeClr w14:val="tx1"/>
            </w14:solidFill>
          </w14:textFill>
        </w:rPr>
        <w:t>及红线</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内场地平整</w:t>
      </w:r>
      <w:r>
        <w:rPr>
          <w:rFonts w:hint="eastAsia" w:ascii="仿宋_GB2312" w:hAnsi="仿宋_GB2312" w:eastAsia="仿宋_GB2312" w:cs="仿宋_GB2312"/>
          <w:color w:val="000000" w:themeColor="text1"/>
          <w:sz w:val="28"/>
          <w:highlight w:val="none"/>
          <w14:textFill>
            <w14:solidFill>
              <w14:schemeClr w14:val="tx1"/>
            </w14:solidFill>
          </w14:textFill>
        </w:rPr>
        <w:t>，根据估价人员市场调查的资料，确定区域开发费用“</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highlight w:val="none"/>
          <w14:textFill>
            <w14:solidFill>
              <w14:schemeClr w14:val="tx1"/>
            </w14:solidFill>
          </w14:textFill>
        </w:rPr>
        <w:t>及场地平整”约为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82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0E719C38">
      <w:pPr>
        <w:keepNext/>
        <w:spacing w:before="157" w:beforeLines="50" w:after="10" w:afterLines="50" w:line="480" w:lineRule="exact"/>
        <w:ind w:firstLine="0" w:left="0" w:right="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表3-</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2道县</w:t>
      </w:r>
      <w:r>
        <w:rPr>
          <w:rFonts w:hint="eastAsia" w:ascii="仿宋_GB2312" w:hAnsi="仿宋_GB2312" w:eastAsia="仿宋_GB2312" w:cs="仿宋_GB2312"/>
          <w:b w:val="0"/>
          <w:color w:val="000000" w:themeColor="text1"/>
          <w:sz w:val="28"/>
          <w:highlight w:val="none"/>
          <w14:textFill>
            <w14:solidFill>
              <w14:schemeClr w14:val="tx1"/>
            </w14:solidFill>
          </w14:textFill>
        </w:rPr>
        <w:t>城区土地开发费用分项一览表</w:t>
      </w:r>
    </w:p>
    <w:tbl>
      <w:tblPr>
        <w:tblStyle w:val="9"/>
        <w:tblW w:w="85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1"/>
        <w:gridCol w:w="1128"/>
        <w:gridCol w:w="1050"/>
        <w:gridCol w:w="898"/>
        <w:gridCol w:w="837"/>
        <w:gridCol w:w="895"/>
        <w:gridCol w:w="1257"/>
        <w:gridCol w:w="771"/>
      </w:tblGrid>
      <w:tr w14:paraId="3E5F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1" w:type="dxa"/>
            <w:noWrap w:val="0"/>
            <w:vAlign w:val="center"/>
          </w:tcPr>
          <w:p w14:paraId="68134BC4">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土地开发项目</w:t>
            </w:r>
          </w:p>
        </w:tc>
        <w:tc>
          <w:tcPr>
            <w:tcW w:w="1128" w:type="dxa"/>
            <w:noWrap w:val="0"/>
            <w:vAlign w:val="center"/>
          </w:tcPr>
          <w:p w14:paraId="31346051">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通路</w:t>
            </w:r>
          </w:p>
        </w:tc>
        <w:tc>
          <w:tcPr>
            <w:tcW w:w="1050" w:type="dxa"/>
            <w:noWrap w:val="0"/>
            <w:vAlign w:val="center"/>
          </w:tcPr>
          <w:p w14:paraId="68F6FB98">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供水</w:t>
            </w:r>
          </w:p>
        </w:tc>
        <w:tc>
          <w:tcPr>
            <w:tcW w:w="898" w:type="dxa"/>
            <w:noWrap w:val="0"/>
            <w:vAlign w:val="center"/>
          </w:tcPr>
          <w:p w14:paraId="4EFA9600">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排水</w:t>
            </w:r>
          </w:p>
        </w:tc>
        <w:tc>
          <w:tcPr>
            <w:tcW w:w="837" w:type="dxa"/>
            <w:noWrap w:val="0"/>
            <w:vAlign w:val="center"/>
          </w:tcPr>
          <w:p w14:paraId="161F8D2D">
            <w:pPr>
              <w:snapToGrid w:val="0"/>
              <w:spacing w:line="440" w:lineRule="exact"/>
              <w:jc w:val="center"/>
              <w:rPr>
                <w:rFonts w:hint="eastAsia" w:ascii="仿宋_GB2312" w:hAnsi="仿宋_GB2312" w:eastAsia="仿宋_GB2312" w:cs="仿宋_GB2312"/>
                <w:color w:val="000000" w:themeColor="text1"/>
                <w:sz w:val="22"/>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通电</w:t>
            </w:r>
          </w:p>
        </w:tc>
        <w:tc>
          <w:tcPr>
            <w:tcW w:w="895" w:type="dxa"/>
            <w:noWrap w:val="0"/>
            <w:vAlign w:val="center"/>
          </w:tcPr>
          <w:p w14:paraId="0C6CDBAE">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通讯</w:t>
            </w:r>
          </w:p>
        </w:tc>
        <w:tc>
          <w:tcPr>
            <w:tcW w:w="1257" w:type="dxa"/>
            <w:noWrap w:val="0"/>
            <w:vAlign w:val="center"/>
          </w:tcPr>
          <w:p w14:paraId="6F8B8199">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场地平整</w:t>
            </w:r>
          </w:p>
        </w:tc>
        <w:tc>
          <w:tcPr>
            <w:tcW w:w="771" w:type="dxa"/>
            <w:noWrap w:val="0"/>
            <w:vAlign w:val="center"/>
          </w:tcPr>
          <w:p w14:paraId="4ADDBAAE">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合计</w:t>
            </w:r>
          </w:p>
        </w:tc>
      </w:tr>
      <w:tr w14:paraId="3860E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1" w:type="dxa"/>
            <w:noWrap w:val="0"/>
            <w:vAlign w:val="center"/>
          </w:tcPr>
          <w:p w14:paraId="28DA4D32">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费用（元/㎡）</w:t>
            </w:r>
          </w:p>
        </w:tc>
        <w:tc>
          <w:tcPr>
            <w:tcW w:w="1128" w:type="dxa"/>
            <w:noWrap w:val="0"/>
            <w:vAlign w:val="center"/>
          </w:tcPr>
          <w:p w14:paraId="6B904843">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15-20</w:t>
            </w:r>
          </w:p>
        </w:tc>
        <w:tc>
          <w:tcPr>
            <w:tcW w:w="1050" w:type="dxa"/>
            <w:noWrap w:val="0"/>
            <w:vAlign w:val="center"/>
          </w:tcPr>
          <w:p w14:paraId="37BD6B0B">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12-15</w:t>
            </w:r>
          </w:p>
        </w:tc>
        <w:tc>
          <w:tcPr>
            <w:tcW w:w="898" w:type="dxa"/>
            <w:noWrap w:val="0"/>
            <w:vAlign w:val="center"/>
          </w:tcPr>
          <w:p w14:paraId="16F0EF9D">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13-15</w:t>
            </w:r>
          </w:p>
        </w:tc>
        <w:tc>
          <w:tcPr>
            <w:tcW w:w="837" w:type="dxa"/>
            <w:noWrap w:val="0"/>
            <w:vAlign w:val="center"/>
          </w:tcPr>
          <w:p w14:paraId="553E14EC">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13-15</w:t>
            </w:r>
          </w:p>
        </w:tc>
        <w:tc>
          <w:tcPr>
            <w:tcW w:w="895" w:type="dxa"/>
            <w:noWrap w:val="0"/>
            <w:vAlign w:val="center"/>
          </w:tcPr>
          <w:p w14:paraId="75E0FCA6">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5-10</w:t>
            </w:r>
          </w:p>
        </w:tc>
        <w:tc>
          <w:tcPr>
            <w:tcW w:w="1257" w:type="dxa"/>
            <w:noWrap w:val="0"/>
            <w:vAlign w:val="center"/>
          </w:tcPr>
          <w:p w14:paraId="10365306">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15-20</w:t>
            </w:r>
          </w:p>
        </w:tc>
        <w:tc>
          <w:tcPr>
            <w:tcW w:w="771" w:type="dxa"/>
            <w:noWrap w:val="0"/>
            <w:vAlign w:val="center"/>
          </w:tcPr>
          <w:p w14:paraId="4B57F1F8">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73-95</w:t>
            </w:r>
          </w:p>
        </w:tc>
      </w:tr>
    </w:tbl>
    <w:p w14:paraId="753AB5B3">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4、投资利息</w:t>
      </w:r>
    </w:p>
    <w:p w14:paraId="639EF8B8">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根据待估宗地的开发程度和开发规模及实际调查分析，确定土地开发周期为1年，中国人民银行授权全国银行间同业拆借中心公布，2025年</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 w:val="28"/>
          <w:highlight w:val="none"/>
          <w14:textFill>
            <w14:solidFill>
              <w14:schemeClr w14:val="tx1"/>
            </w14:solidFill>
          </w14:textFill>
        </w:rPr>
        <w:t>月2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日贷款市场报价利率（LPR）为：1年期LPR为3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%，5年期以上LPR为3.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本次</w:t>
      </w:r>
      <w:r>
        <w:rPr>
          <w:rFonts w:hint="eastAsia" w:ascii="仿宋_GB2312" w:hAnsi="仿宋_GB2312" w:eastAsia="仿宋_GB2312" w:cs="仿宋_GB2312"/>
          <w:color w:val="000000" w:themeColor="text1"/>
          <w:sz w:val="28"/>
          <w:highlight w:val="none"/>
          <w14:textFill>
            <w14:solidFill>
              <w14:schemeClr w14:val="tx1"/>
            </w14:solidFill>
          </w14:textFill>
        </w:rPr>
        <w:t>投资利息率按取3.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%。其中土地征地费及相关税费在征地时一次投入，土地开发费在开发期内均匀投入，单利计息，则：</w:t>
      </w:r>
    </w:p>
    <w:p w14:paraId="269FB4AD">
      <w:pPr>
        <w:tabs>
          <w:tab w:val="left" w:pos="8520"/>
        </w:tabs>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投资利息=（土地取得费＋相关税费）×开发周期×利息率＋土地开发费×开发周期×1/2×利息率</w:t>
      </w:r>
    </w:p>
    <w:p w14:paraId="451208F3">
      <w:pPr>
        <w:snapToGrid w:val="0"/>
        <w:spacing w:line="480" w:lineRule="exact" w:before="0" w:after="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45</w:t>
      </w:r>
      <w:r>
        <w:rPr>
          <w:rFonts w:hint="eastAsia" w:ascii="仿宋_GB2312" w:hAnsi="仿宋_GB2312" w:eastAsia="仿宋_GB2312" w:cs="仿宋_GB2312"/>
          <w:color w:val="000000" w:themeColor="text1"/>
          <w:sz w:val="28"/>
          <w:highlight w:val="none"/>
          <w14:textFill>
            <w14:solidFill>
              <w14:schemeClr w14:val="tx1"/>
            </w14:solidFill>
          </w14:textFill>
        </w:rPr>
        <w:t>×1/2×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E91A58E">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5.42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777753B0">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5、投资利润</w:t>
      </w:r>
    </w:p>
    <w:p w14:paraId="04F82BA0">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土地作为一种生产要素进入企业的生产过程，土地资产与其它生产要素相结合产生了利润，土地投资应获得与其资产量相对应的回报。</w:t>
      </w:r>
    </w:p>
    <w:p w14:paraId="06ED8042">
      <w:pPr>
        <w:keepNext w:val="0"/>
        <w:keepLines w:val="0"/>
        <w:pageBreakBefore w:val="0"/>
        <w:widowControl w:val="0"/>
        <w:kinsoku/>
        <w:wordWrap/>
        <w:overflowPunct/>
        <w:topLinePunct w:val="0"/>
        <w:autoSpaceDE/>
        <w:autoSpaceDN/>
        <w:bidi w:val="0"/>
        <w:snapToGrid w:val="0"/>
        <w:spacing w:line="480" w:lineRule="exact" w:before="0" w:after="0"/>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根据估价对象所在区域土地开发企业投资利润率的情况，考虑</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道县房地产</w:t>
      </w:r>
      <w:r>
        <w:rPr>
          <w:rFonts w:hint="eastAsia" w:ascii="仿宋_GB2312" w:hAnsi="仿宋_GB2312" w:eastAsia="仿宋_GB2312" w:cs="仿宋_GB2312"/>
          <w:color w:val="000000" w:themeColor="text1"/>
          <w:sz w:val="28"/>
          <w:highlight w:val="none"/>
          <w14:textFill>
            <w14:solidFill>
              <w14:schemeClr w14:val="tx1"/>
            </w14:solidFill>
          </w14:textFill>
        </w:rPr>
        <w:t>开发投资回报率水平及委托方实际经营投资收益情况，以</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％作为本次土地评估的投资利润率。则：</w:t>
      </w:r>
    </w:p>
    <w:p w14:paraId="75B35539">
      <w:pPr>
        <w:keepNext w:val="0"/>
        <w:keepLines w:val="0"/>
        <w:pageBreakBefore w:val="0"/>
        <w:widowControl w:val="0"/>
        <w:kinsoku/>
        <w:wordWrap/>
        <w:overflowPunct/>
        <w:topLinePunct w:val="0"/>
        <w:autoSpaceDE/>
        <w:autoSpaceDN/>
        <w:bidi w:val="0"/>
        <w:snapToGrid w:val="0"/>
        <w:spacing w:line="480" w:lineRule="exact" w:before="0" w:after="0"/>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投资利润=（土地取得费+有关税费+土地开发费）×</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FC35A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67.51+71.6+82</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11.09</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483BD6CE">
      <w:pPr>
        <w:adjustRightInd w:val="0"/>
        <w:snapToGrid w:val="0"/>
        <w:spacing w:line="480" w:lineRule="exact" w:before="0" w:after="0"/>
        <w:ind w:left="561"/>
        <w:rPr>
          <w:rFonts w:hint="eastAsia"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、土地增值收益</w:t>
      </w:r>
    </w:p>
    <w:p w14:paraId="0CB1562C">
      <w:pPr>
        <w:adjustRightInd w:val="0"/>
        <w:snapToGrid w:val="0"/>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eastAsia="仿宋_GB2312" w:ascii="仿宋_GB2312" w:hAnsi="仿宋_GB2312" w:cs="仿宋_GB2312"/>
          <w:color w:val="000000" w:themeColor="text1"/>
          <w:sz w:val="28"/>
          <w:szCs w:val="28"/>
          <w:highlight w:val="none"/>
          <w14:textFill>
            <w14:solidFill>
              <w14:schemeClr w14:val="tx1"/>
            </w14:solidFill>
          </w14:textFill>
        </w:rPr>
        <w:t>土地增值是待估土地因改变用途或进行土地开发，达到建设用地的某种利用条件而发生的价值增加，是土地开发后市场价格与成本价格之间的差额。估价人员通过对</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永州市道县工业</w:t>
      </w:r>
      <w:r>
        <w:rPr>
          <w:rFonts w:eastAsia="仿宋_GB2312" w:ascii="仿宋_GB2312" w:hAnsi="仿宋_GB2312" w:cs="仿宋_GB2312"/>
          <w:color w:val="000000" w:themeColor="text1"/>
          <w:sz w:val="28"/>
          <w:szCs w:val="28"/>
          <w:highlight w:val="none"/>
          <w14:textFill>
            <w14:solidFill>
              <w14:schemeClr w14:val="tx1"/>
            </w14:solidFill>
          </w14:textFill>
        </w:rPr>
        <w:t>用地的增值收益情况的调查，</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永州市道县</w:t>
      </w:r>
      <w:r>
        <w:rPr>
          <w:rFonts w:eastAsia="仿宋_GB2312" w:ascii="仿宋_GB2312" w:hAnsi="仿宋_GB2312" w:cs="仿宋_GB2312"/>
          <w:color w:val="000000" w:themeColor="text1"/>
          <w:sz w:val="28"/>
          <w:szCs w:val="28"/>
          <w:highlight w:val="none"/>
          <w14:textFill>
            <w14:solidFill>
              <w14:schemeClr w14:val="tx1"/>
            </w14:solidFill>
          </w14:textFill>
        </w:rPr>
        <w:t>公用</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工业用地</w:t>
      </w:r>
      <w:r>
        <w:rPr>
          <w:rFonts w:eastAsia="仿宋_GB2312" w:ascii="仿宋_GB2312" w:hAnsi="仿宋_GB2312" w:cs="仿宋_GB2312"/>
          <w:color w:val="000000" w:themeColor="text1"/>
          <w:sz w:val="28"/>
          <w:szCs w:val="28"/>
          <w:highlight w:val="none"/>
          <w14:textFill>
            <w14:solidFill>
              <w14:schemeClr w14:val="tx1"/>
            </w14:solidFill>
          </w14:textFill>
        </w:rPr>
        <w:t>增值收益率为土地成本价格的</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5</w:t>
      </w:r>
      <w:r>
        <w:rPr>
          <w:rFonts w:eastAsia="仿宋_GB2312" w:ascii="仿宋_GB2312" w:hAnsi="仿宋_GB2312" w:cs="仿宋_GB2312"/>
          <w:color w:val="000000" w:themeColor="text1"/>
          <w:sz w:val="28"/>
          <w:szCs w:val="28"/>
          <w:highlight w:val="none"/>
          <w14:textFill>
            <w14:solidFill>
              <w14:schemeClr w14:val="tx1"/>
            </w14:solidFill>
          </w14:textFill>
        </w:rPr>
        <w:t>%，结合宗地所在区域土地市场行情，此次评估确定取土地成本的</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5</w:t>
      </w:r>
      <w:r>
        <w:rPr>
          <w:rFonts w:eastAsia="仿宋_GB2312" w:ascii="仿宋_GB2312" w:hAnsi="仿宋_GB2312" w:cs="仿宋_GB2312"/>
          <w:color w:val="000000" w:themeColor="text1"/>
          <w:sz w:val="28"/>
          <w:szCs w:val="28"/>
          <w:highlight w:val="none"/>
          <w14:textFill>
            <w14:solidFill>
              <w14:schemeClr w14:val="tx1"/>
            </w14:solidFill>
          </w14:textFill>
        </w:rPr>
        <w:t>%为土地增值收益率</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p>
    <w:p w14:paraId="4D61C400">
      <w:pPr>
        <w:adjustRightInd w:val="0"/>
        <w:snapToGrid w:val="0"/>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土地增值收益=土地成本价格×土地增值收益率</w:t>
      </w:r>
    </w:p>
    <w:p w14:paraId="756FEAF2">
      <w:pPr>
        <w:adjustRightInd w:val="0"/>
        <w:snapToGrid w:val="0"/>
        <w:spacing w:line="480" w:lineRule="exact" w:before="0" w:after="0"/>
        <w:ind w:firstLine="2240" w:firstLineChars="8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67.51+71.6+82+5.42+11.09</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p>
    <w:p w14:paraId="3150796B">
      <w:pPr>
        <w:pStyle w:val="2"/>
        <w:spacing w:before="0" w:after="0" w:line="480" w:lineRule="exact"/>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11.91元</w:t>
      </w:r>
      <w:r>
        <w:rPr>
          <w:rFonts w:hint="eastAsia" w:ascii="仿宋_GB2312" w:hAnsi="仿宋_GB2312" w:eastAsia="仿宋_GB2312" w:cs="仿宋_GB2312"/>
          <w:color w:val="000000" w:themeColor="text1"/>
          <w:sz w:val="28"/>
          <w:szCs w:val="28"/>
          <w:highlight w:val="none"/>
          <w14:textFill>
            <w14:solidFill>
              <w14:schemeClr w14:val="tx1"/>
            </w14:solidFill>
          </w14:textFill>
        </w:rPr>
        <w:t xml:space="preserve">/平方米 </w:t>
      </w:r>
    </w:p>
    <w:p w14:paraId="05745F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highlight w:val="none"/>
          <w14:textFill>
            <w14:solidFill>
              <w14:schemeClr w14:val="tx1"/>
            </w14:solidFill>
          </w14:textFill>
        </w:rPr>
        <w:t>、土地使用年期修正系数</w:t>
      </w:r>
    </w:p>
    <w:p w14:paraId="0B56739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土地使用年期</w:t>
      </w:r>
      <w:r>
        <w:rPr>
          <w:rFonts w:hint="eastAsia" w:ascii="仿宋_GB2312" w:hAnsi="仿宋_GB2312" w:eastAsia="仿宋_GB2312" w:cs="仿宋_GB2312"/>
          <w:bCs/>
          <w:color w:val="000000" w:themeColor="text1"/>
          <w:sz w:val="28"/>
          <w:highlight w:val="none"/>
          <w14:textFill>
            <w14:solidFill>
              <w14:schemeClr w14:val="tx1"/>
            </w14:solidFill>
          </w14:textFill>
        </w:rPr>
        <w:t>修正系数为：</w:t>
      </w:r>
    </w:p>
    <w:p w14:paraId="527D24A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年期修正系数=1－1/ (1+r)</w:t>
      </w:r>
      <w:r>
        <w:rPr>
          <w:rFonts w:hint="eastAsia" w:ascii="仿宋_GB2312" w:hAnsi="仿宋_GB2312" w:eastAsia="仿宋_GB2312" w:cs="仿宋_GB2312"/>
          <w:bCs/>
          <w:color w:val="000000" w:themeColor="text1"/>
          <w:sz w:val="28"/>
          <w:highlight w:val="none"/>
          <w:vertAlign w:val="superscript"/>
          <w14:textFill>
            <w14:solidFill>
              <w14:schemeClr w14:val="tx1"/>
            </w14:solidFill>
          </w14:textFill>
        </w:rPr>
        <w:t>n</w:t>
      </w:r>
    </w:p>
    <w:p w14:paraId="67179F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其中: r─土地还原利率；</w:t>
      </w:r>
    </w:p>
    <w:p w14:paraId="13EB30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 xml:space="preserve">     n─估价对象设定土地使用年期；</w:t>
      </w:r>
    </w:p>
    <w:p w14:paraId="2584B326">
      <w:pPr>
        <w:overflowPunct w:val="0"/>
        <w:autoSpaceDE w:val="0"/>
        <w:autoSpaceDN w:val="0"/>
        <w:snapToGrid w:val="0"/>
        <w:spacing w:line="480" w:lineRule="exact" w:before="0" w:after="0"/>
        <w:ind w:firstLine="565" w:firstLineChars="202"/>
        <w:rPr>
          <w:rFonts w:hint="eastAsia" w:ascii="仿宋" w:hAnsi="仿宋" w:eastAsia="仿宋"/>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土地还原率确定</w:t>
      </w:r>
      <w:r>
        <w:rPr>
          <w:rFonts w:ascii="仿宋_GB2312" w:hAnsi="仿宋_GB2312" w:eastAsia="仿宋_GB2312" w:cs="仿宋_GB2312"/>
          <w:snapToGrid w:val="0"/>
          <w:color w:val="000000" w:themeColor="text1"/>
          <w:kern w:val="0"/>
          <w:sz w:val="28"/>
          <w:szCs w:val="28"/>
          <w:highlight w:val="none"/>
          <w14:textFill>
            <w14:solidFill>
              <w14:schemeClr w14:val="tx1"/>
            </w14:solidFill>
          </w14:textFill>
        </w:rPr>
        <w:t>过程</w:t>
      </w: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w:t>
      </w:r>
    </w:p>
    <w:p w14:paraId="7870B36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还原利率的确定方法是安全利率加风险调整值法，安全利率采用中国外汇交易中心（全国银行间同业拆借中心）公布的一年期国债收益率1.4453%（2025年5月19日中国外汇交易中心（全国银行间同业拆借中心）），风险调整值根据各市场风险因素对土地市场的影响程度而确定。</w:t>
      </w:r>
    </w:p>
    <w:p w14:paraId="69F9C1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①土地市场风险程度分析</w:t>
      </w:r>
    </w:p>
    <w:p w14:paraId="0B2D18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投资过程是一种预测未知将来需求而进行产品生产的过程，由于未来需求的不确定性，决定了地产投资是一种典型的风险投资。这些风险因素主要源于地产位置的固定性及地产投资的周期长久性。由于地产位置固定性带来的土地地理环境变化的风险及土地投资周期长使开发商难以精确预测房地产市场的供求变化与国家政策调整方案等风险。本次评估结合道县社会经济发展及土地市场情况，通过实地调查与咨询专家，总结了各种风险因素对用地的影响程度。各风险因素因子对不同土地利用类型的影响程度分析见下表。</w:t>
      </w:r>
    </w:p>
    <w:p w14:paraId="40074E14">
      <w:pPr>
        <w:keepNext/>
        <w:spacing w:before="157" w:after="10" w:line="480" w:lineRule="exact"/>
        <w:ind w:firstLine="0" w:left="0" w:right="0"/>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表3-3 风险因素因子对不同土地利用类型的影响程度分析</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9"/>
        <w:gridCol w:w="3892"/>
        <w:gridCol w:w="2268"/>
      </w:tblGrid>
      <w:tr w14:paraId="7B57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noWrap w:val="0"/>
            <w:vAlign w:val="center"/>
          </w:tcPr>
          <w:p w14:paraId="5355725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风险因素</w:t>
            </w:r>
          </w:p>
        </w:tc>
        <w:tc>
          <w:tcPr>
            <w:tcW w:w="2284" w:type="pct"/>
            <w:noWrap w:val="0"/>
            <w:vAlign w:val="center"/>
          </w:tcPr>
          <w:p w14:paraId="223D972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风险因子</w:t>
            </w:r>
          </w:p>
        </w:tc>
        <w:tc>
          <w:tcPr>
            <w:tcW w:w="1331" w:type="pct"/>
            <w:noWrap w:val="0"/>
            <w:vAlign w:val="center"/>
          </w:tcPr>
          <w:p w14:paraId="0556CBD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lang w:val="en-US" w:eastAsia="zh-CN"/>
                <w14:textFill>
                  <w14:solidFill>
                    <w14:schemeClr w14:val="tx1"/>
                  </w14:solidFill>
                </w14:textFill>
              </w:rPr>
              <w:t>工业</w:t>
            </w:r>
            <w:r>
              <w:rPr>
                <w:rFonts w:hint="eastAsia" w:ascii="仿宋" w:hAnsi="仿宋" w:eastAsia="仿宋"/>
                <w:color w:val="000000" w:themeColor="text1"/>
                <w:szCs w:val="21"/>
                <w:highlight w:val="none"/>
                <w14:textFill>
                  <w14:solidFill>
                    <w14:schemeClr w14:val="tx1"/>
                  </w14:solidFill>
                </w14:textFill>
              </w:rPr>
              <w:t>用地</w:t>
            </w:r>
          </w:p>
        </w:tc>
      </w:tr>
      <w:tr w14:paraId="7B60D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64AF9BF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政策风险</w:t>
            </w:r>
          </w:p>
        </w:tc>
        <w:tc>
          <w:tcPr>
            <w:tcW w:w="2284" w:type="pct"/>
            <w:noWrap w:val="0"/>
            <w:vAlign w:val="center"/>
          </w:tcPr>
          <w:p w14:paraId="5AF53C1D">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产业政策</w:t>
            </w:r>
          </w:p>
        </w:tc>
        <w:tc>
          <w:tcPr>
            <w:tcW w:w="1331" w:type="pct"/>
            <w:noWrap w:val="0"/>
            <w:vAlign w:val="center"/>
          </w:tcPr>
          <w:p w14:paraId="13A4D5E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4D9E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13A46147">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6AF2E7A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土地使用制度改革</w:t>
            </w:r>
          </w:p>
        </w:tc>
        <w:tc>
          <w:tcPr>
            <w:tcW w:w="1331" w:type="pct"/>
            <w:noWrap w:val="0"/>
            <w:vAlign w:val="center"/>
          </w:tcPr>
          <w:p w14:paraId="4183A5D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C</w:t>
            </w:r>
          </w:p>
        </w:tc>
      </w:tr>
      <w:tr w14:paraId="33817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8200AC8">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40F7E52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住房制度</w:t>
            </w:r>
          </w:p>
        </w:tc>
        <w:tc>
          <w:tcPr>
            <w:tcW w:w="1331" w:type="pct"/>
            <w:noWrap w:val="0"/>
            <w:vAlign w:val="center"/>
          </w:tcPr>
          <w:p w14:paraId="2AD2B1E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1897A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2EE8406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29BE88CD">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环保变化</w:t>
            </w:r>
          </w:p>
        </w:tc>
        <w:tc>
          <w:tcPr>
            <w:tcW w:w="1331" w:type="pct"/>
            <w:noWrap w:val="0"/>
            <w:vAlign w:val="center"/>
          </w:tcPr>
          <w:p w14:paraId="035CA1A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03B3C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0D2AD461">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经济风险</w:t>
            </w:r>
          </w:p>
        </w:tc>
        <w:tc>
          <w:tcPr>
            <w:tcW w:w="2284" w:type="pct"/>
            <w:noWrap w:val="0"/>
            <w:vAlign w:val="center"/>
          </w:tcPr>
          <w:p w14:paraId="3429C2C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市场供求</w:t>
            </w:r>
          </w:p>
        </w:tc>
        <w:tc>
          <w:tcPr>
            <w:tcW w:w="1331" w:type="pct"/>
            <w:noWrap w:val="0"/>
            <w:vAlign w:val="center"/>
          </w:tcPr>
          <w:p w14:paraId="4B19E27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8E98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EECAC9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33F9A6A3">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财务风险</w:t>
            </w:r>
          </w:p>
        </w:tc>
        <w:tc>
          <w:tcPr>
            <w:tcW w:w="1331" w:type="pct"/>
            <w:noWrap w:val="0"/>
            <w:vAlign w:val="center"/>
          </w:tcPr>
          <w:p w14:paraId="470A4D13">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346E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811EF34">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53B5EE2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管理风险</w:t>
            </w:r>
          </w:p>
        </w:tc>
        <w:tc>
          <w:tcPr>
            <w:tcW w:w="1331" w:type="pct"/>
            <w:noWrap w:val="0"/>
            <w:vAlign w:val="center"/>
          </w:tcPr>
          <w:p w14:paraId="3EFA205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4598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206B495D">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4104347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当地经济发展</w:t>
            </w:r>
          </w:p>
        </w:tc>
        <w:tc>
          <w:tcPr>
            <w:tcW w:w="1331" w:type="pct"/>
            <w:noWrap w:val="0"/>
            <w:vAlign w:val="center"/>
          </w:tcPr>
          <w:p w14:paraId="0367518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0827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04354B0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社会风险</w:t>
            </w:r>
          </w:p>
        </w:tc>
        <w:tc>
          <w:tcPr>
            <w:tcW w:w="2284" w:type="pct"/>
            <w:noWrap w:val="0"/>
            <w:vAlign w:val="center"/>
          </w:tcPr>
          <w:p w14:paraId="490950C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城市规划</w:t>
            </w:r>
          </w:p>
        </w:tc>
        <w:tc>
          <w:tcPr>
            <w:tcW w:w="1331" w:type="pct"/>
            <w:noWrap w:val="0"/>
            <w:vAlign w:val="center"/>
          </w:tcPr>
          <w:p w14:paraId="40F441B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0CF5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6D356247">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5C00021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区域发展</w:t>
            </w:r>
          </w:p>
        </w:tc>
        <w:tc>
          <w:tcPr>
            <w:tcW w:w="1331" w:type="pct"/>
            <w:noWrap w:val="0"/>
            <w:vAlign w:val="center"/>
          </w:tcPr>
          <w:p w14:paraId="6AC202E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4EF3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6A427C4A">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68BE599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治安</w:t>
            </w:r>
          </w:p>
        </w:tc>
        <w:tc>
          <w:tcPr>
            <w:tcW w:w="1331" w:type="pct"/>
            <w:noWrap w:val="0"/>
            <w:vAlign w:val="center"/>
          </w:tcPr>
          <w:p w14:paraId="43E4DD5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bl>
    <w:p w14:paraId="509E1C1C">
      <w:pPr>
        <w:spacing w:line="480" w:lineRule="exact" w:before="0" w:after="0"/>
        <w:ind w:firstLine="600" w:firstLineChars="250"/>
        <w:rPr>
          <w:rFonts w:hint="eastAsia" w:ascii="仿宋" w:hAnsi="仿宋" w:eastAsia="仿宋"/>
          <w:color w:val="000000" w:themeColor="text1"/>
          <w:sz w:val="24"/>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注：A最严重；B较严重；C不严重；D无影响</w:t>
      </w:r>
    </w:p>
    <w:p w14:paraId="6AC84F1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②风险因素因子权重值的确定</w:t>
      </w:r>
    </w:p>
    <w:p w14:paraId="14A15A5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由于各种风险因素对用地的影响程度不同，需要选用风险因素因子权重来量化各种风险因素对用地的影响程度。因此，采用特尔斐法确定各风险因素因子的权重值。道县地产投资风险因素、因子及权重值见下表。</w:t>
      </w:r>
    </w:p>
    <w:p w14:paraId="77CEFCC7">
      <w:pPr>
        <w:keepNext/>
        <w:spacing w:before="157" w:after="10" w:line="480" w:lineRule="exact"/>
        <w:ind w:firstLine="0" w:left="0" w:right="0"/>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表3-4 风险因素、因子权重值</w:t>
      </w:r>
    </w:p>
    <w:tbl>
      <w:tblPr>
        <w:tblStyle w:val="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1"/>
        <w:gridCol w:w="1617"/>
        <w:gridCol w:w="2911"/>
        <w:gridCol w:w="2230"/>
      </w:tblGrid>
      <w:tr w14:paraId="15088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noWrap w:val="0"/>
            <w:vAlign w:val="center"/>
          </w:tcPr>
          <w:p w14:paraId="748E8316">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影响因素</w:t>
            </w:r>
          </w:p>
        </w:tc>
        <w:tc>
          <w:tcPr>
            <w:tcW w:w="949" w:type="pct"/>
            <w:noWrap w:val="0"/>
            <w:vAlign w:val="center"/>
          </w:tcPr>
          <w:p w14:paraId="0B94524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权重值</w:t>
            </w:r>
          </w:p>
        </w:tc>
        <w:tc>
          <w:tcPr>
            <w:tcW w:w="1708" w:type="pct"/>
            <w:noWrap w:val="0"/>
            <w:vAlign w:val="center"/>
          </w:tcPr>
          <w:p w14:paraId="25701CF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影响因子</w:t>
            </w:r>
          </w:p>
        </w:tc>
        <w:tc>
          <w:tcPr>
            <w:tcW w:w="1308" w:type="pct"/>
            <w:noWrap w:val="0"/>
            <w:vAlign w:val="center"/>
          </w:tcPr>
          <w:p w14:paraId="649C724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权重值</w:t>
            </w:r>
          </w:p>
        </w:tc>
      </w:tr>
      <w:tr w14:paraId="3BFCA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33" w:type="pct"/>
            <w:vMerge w:val="restart"/>
            <w:noWrap w:val="0"/>
            <w:vAlign w:val="center"/>
          </w:tcPr>
          <w:p w14:paraId="0047DB3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政策风险</w:t>
            </w:r>
          </w:p>
        </w:tc>
        <w:tc>
          <w:tcPr>
            <w:tcW w:w="949" w:type="pct"/>
            <w:vMerge w:val="restart"/>
            <w:noWrap w:val="0"/>
            <w:vAlign w:val="center"/>
          </w:tcPr>
          <w:p w14:paraId="2E44153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0.3234</w:t>
            </w:r>
          </w:p>
        </w:tc>
        <w:tc>
          <w:tcPr>
            <w:tcW w:w="1708" w:type="pct"/>
            <w:noWrap w:val="0"/>
            <w:vAlign w:val="center"/>
          </w:tcPr>
          <w:p w14:paraId="3442FA0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产业政策</w:t>
            </w:r>
          </w:p>
        </w:tc>
        <w:tc>
          <w:tcPr>
            <w:tcW w:w="1308" w:type="pct"/>
            <w:noWrap w:val="0"/>
            <w:vAlign w:val="center"/>
          </w:tcPr>
          <w:p w14:paraId="6C4DD7A5">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0.2957</w:t>
            </w:r>
          </w:p>
        </w:tc>
      </w:tr>
      <w:tr w14:paraId="5873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6D268D0">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712AF12C">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538C23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土地使用制度改革</w:t>
            </w:r>
          </w:p>
        </w:tc>
        <w:tc>
          <w:tcPr>
            <w:tcW w:w="1308" w:type="pct"/>
            <w:noWrap w:val="0"/>
            <w:vAlign w:val="center"/>
          </w:tcPr>
          <w:p w14:paraId="1774CE8B">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0.2121</w:t>
            </w:r>
          </w:p>
        </w:tc>
      </w:tr>
      <w:tr w14:paraId="004B0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76C6E48E">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20B243AC">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EEF866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住房制度</w:t>
            </w:r>
          </w:p>
        </w:tc>
        <w:tc>
          <w:tcPr>
            <w:tcW w:w="1308" w:type="pct"/>
            <w:noWrap w:val="0"/>
            <w:vAlign w:val="center"/>
          </w:tcPr>
          <w:p w14:paraId="344D36DD">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0.2734</w:t>
            </w:r>
          </w:p>
        </w:tc>
      </w:tr>
      <w:tr w14:paraId="039D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38B70432">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07879F9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3D6EF28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环保变化</w:t>
            </w:r>
          </w:p>
        </w:tc>
        <w:tc>
          <w:tcPr>
            <w:tcW w:w="1308" w:type="pct"/>
            <w:noWrap w:val="0"/>
            <w:vAlign w:val="center"/>
          </w:tcPr>
          <w:p w14:paraId="5AAEE8D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0.2188</w:t>
            </w:r>
          </w:p>
        </w:tc>
      </w:tr>
      <w:tr w14:paraId="6EF59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493E1A0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经济风险</w:t>
            </w:r>
          </w:p>
        </w:tc>
        <w:tc>
          <w:tcPr>
            <w:tcW w:w="949" w:type="pct"/>
            <w:vMerge w:val="restart"/>
            <w:noWrap w:val="0"/>
            <w:vAlign w:val="center"/>
          </w:tcPr>
          <w:p w14:paraId="1F96B4C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0.3922</w:t>
            </w:r>
          </w:p>
        </w:tc>
        <w:tc>
          <w:tcPr>
            <w:tcW w:w="1708" w:type="pct"/>
            <w:noWrap w:val="0"/>
            <w:vAlign w:val="center"/>
          </w:tcPr>
          <w:p w14:paraId="207551F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市场供求</w:t>
            </w:r>
          </w:p>
        </w:tc>
        <w:tc>
          <w:tcPr>
            <w:tcW w:w="1308" w:type="pct"/>
            <w:noWrap w:val="0"/>
            <w:vAlign w:val="center"/>
          </w:tcPr>
          <w:p w14:paraId="38CCEE7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0.3434</w:t>
            </w:r>
          </w:p>
        </w:tc>
      </w:tr>
      <w:tr w14:paraId="4593E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6D5EEDD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3BF654D4">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09D614C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财务风险</w:t>
            </w:r>
          </w:p>
        </w:tc>
        <w:tc>
          <w:tcPr>
            <w:tcW w:w="1308" w:type="pct"/>
            <w:noWrap w:val="0"/>
            <w:vAlign w:val="center"/>
          </w:tcPr>
          <w:p w14:paraId="2E5C4B3C">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0.2119</w:t>
            </w:r>
          </w:p>
        </w:tc>
      </w:tr>
      <w:tr w14:paraId="6BE1D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29668AB3">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683D347A">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13E3F47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管理风险</w:t>
            </w:r>
          </w:p>
        </w:tc>
        <w:tc>
          <w:tcPr>
            <w:tcW w:w="1308" w:type="pct"/>
            <w:noWrap w:val="0"/>
            <w:vAlign w:val="center"/>
          </w:tcPr>
          <w:p w14:paraId="492420CF">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0.2365</w:t>
            </w:r>
          </w:p>
        </w:tc>
      </w:tr>
      <w:tr w14:paraId="20A4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1AB4AA2">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61D9ACE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54C3BEE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当地经济发展</w:t>
            </w:r>
          </w:p>
        </w:tc>
        <w:tc>
          <w:tcPr>
            <w:tcW w:w="1308" w:type="pct"/>
            <w:noWrap w:val="0"/>
            <w:vAlign w:val="center"/>
          </w:tcPr>
          <w:p w14:paraId="18C0A46C">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0.2082</w:t>
            </w:r>
          </w:p>
        </w:tc>
      </w:tr>
      <w:tr w14:paraId="3651F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6F8B77A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社会风险</w:t>
            </w:r>
          </w:p>
        </w:tc>
        <w:tc>
          <w:tcPr>
            <w:tcW w:w="949" w:type="pct"/>
            <w:vMerge w:val="restart"/>
            <w:noWrap w:val="0"/>
            <w:vAlign w:val="center"/>
          </w:tcPr>
          <w:p w14:paraId="7FD4373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0.2844</w:t>
            </w:r>
          </w:p>
        </w:tc>
        <w:tc>
          <w:tcPr>
            <w:tcW w:w="1708" w:type="pct"/>
            <w:noWrap w:val="0"/>
            <w:vAlign w:val="center"/>
          </w:tcPr>
          <w:p w14:paraId="655F35C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城市规划</w:t>
            </w:r>
          </w:p>
        </w:tc>
        <w:tc>
          <w:tcPr>
            <w:tcW w:w="1308" w:type="pct"/>
            <w:noWrap w:val="0"/>
            <w:vAlign w:val="center"/>
          </w:tcPr>
          <w:p w14:paraId="4636214F">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0.3762</w:t>
            </w:r>
          </w:p>
        </w:tc>
      </w:tr>
      <w:tr w14:paraId="7D0F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7541114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373757C1">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67213B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区域发展</w:t>
            </w:r>
          </w:p>
        </w:tc>
        <w:tc>
          <w:tcPr>
            <w:tcW w:w="1308" w:type="pct"/>
            <w:noWrap w:val="0"/>
            <w:vAlign w:val="center"/>
          </w:tcPr>
          <w:p w14:paraId="241442BA">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0.3113</w:t>
            </w:r>
          </w:p>
        </w:tc>
      </w:tr>
      <w:tr w14:paraId="2F89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033" w:type="pct"/>
            <w:vMerge w:val="continue"/>
            <w:noWrap w:val="0"/>
            <w:vAlign w:val="center"/>
          </w:tcPr>
          <w:p w14:paraId="4143324D">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1ADDB8A8">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57B7595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治安</w:t>
            </w:r>
          </w:p>
        </w:tc>
        <w:tc>
          <w:tcPr>
            <w:tcW w:w="1308" w:type="pct"/>
            <w:noWrap w:val="0"/>
            <w:vAlign w:val="center"/>
          </w:tcPr>
          <w:p w14:paraId="5602C21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0.3125</w:t>
            </w:r>
          </w:p>
        </w:tc>
      </w:tr>
    </w:tbl>
    <w:p w14:paraId="6221BD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③风险调整值的确定</w:t>
      </w:r>
    </w:p>
    <w:p w14:paraId="5FB3484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风险调整值的大小由市场风险因素因子对土地市场的影响程度决定，本次评估将对市场风险影响程度赋值，即：风险因素对土地市场无影响时，风险调整值为0；风险因素对土地市场影响不严重时，风险调整值为2%；风险因素对土地市场影响较严重时，风险调整值为4%；风险因素对土地市场影响最严重时，风险调整值为6%。</w:t>
      </w:r>
    </w:p>
    <w:p w14:paraId="4EBE8394">
      <w:pPr>
        <w:keepNext/>
        <w:spacing w:before="157" w:after="10" w:line="480" w:lineRule="exact"/>
        <w:ind w:firstLine="0" w:left="0" w:right="0"/>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表3-5 风险调整值赋值表</w:t>
      </w:r>
    </w:p>
    <w:tbl>
      <w:tblPr>
        <w:tblStyle w:val="9"/>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760"/>
        <w:gridCol w:w="1611"/>
        <w:gridCol w:w="1716"/>
        <w:gridCol w:w="1717"/>
        <w:gridCol w:w="1718"/>
      </w:tblGrid>
      <w:tr w14:paraId="5AE4D8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58" w:hRule="atLeast"/>
          <w:jc w:val="center"/>
        </w:trPr>
        <w:tc>
          <w:tcPr>
            <w:tcW w:w="1993" w:type="dxa"/>
            <w:noWrap w:val="0"/>
            <w:vAlign w:val="center"/>
          </w:tcPr>
          <w:p w14:paraId="6A8DC8C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pacing w:val="-20"/>
                <w:sz w:val="18"/>
                <w:szCs w:val="18"/>
                <w:highlight w:val="none"/>
                <w14:textFill>
                  <w14:solidFill>
                    <w14:schemeClr w14:val="tx1"/>
                  </w14:solidFill>
                </w14:textFill>
              </w:rPr>
            </w:pPr>
            <w:r>
              <w:rPr>
                <w:rFonts w:hint="eastAsia" w:ascii="仿宋" w:hAnsi="仿宋" w:eastAsia="仿宋"/>
                <w:color w:val="000000" w:themeColor="text1"/>
                <w:spacing w:val="-20"/>
                <w:sz w:val="18"/>
                <w:szCs w:val="18"/>
                <w:highlight w:val="none"/>
                <w14:textFill>
                  <w14:solidFill>
                    <w14:schemeClr w14:val="tx1"/>
                  </w14:solidFill>
                </w14:textFill>
              </w:rPr>
              <w:t>市场风险影响程度</w:t>
            </w:r>
          </w:p>
        </w:tc>
        <w:tc>
          <w:tcPr>
            <w:tcW w:w="1773" w:type="dxa"/>
            <w:noWrap w:val="0"/>
            <w:vAlign w:val="center"/>
          </w:tcPr>
          <w:p w14:paraId="69CC2E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无影响（D）</w:t>
            </w:r>
          </w:p>
        </w:tc>
        <w:tc>
          <w:tcPr>
            <w:tcW w:w="1896" w:type="dxa"/>
            <w:noWrap w:val="0"/>
            <w:vAlign w:val="center"/>
          </w:tcPr>
          <w:p w14:paraId="1A9439A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不严重（C）</w:t>
            </w:r>
          </w:p>
        </w:tc>
        <w:tc>
          <w:tcPr>
            <w:tcW w:w="1897" w:type="dxa"/>
            <w:noWrap w:val="0"/>
            <w:vAlign w:val="center"/>
          </w:tcPr>
          <w:p w14:paraId="37F29F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较严重（B）</w:t>
            </w:r>
          </w:p>
        </w:tc>
        <w:tc>
          <w:tcPr>
            <w:tcW w:w="1897" w:type="dxa"/>
            <w:noWrap w:val="0"/>
            <w:vAlign w:val="center"/>
          </w:tcPr>
          <w:p w14:paraId="1FE0A5C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最严重（A）</w:t>
            </w:r>
          </w:p>
        </w:tc>
      </w:tr>
      <w:tr w14:paraId="1047B9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67" w:hRule="atLeast"/>
          <w:jc w:val="center"/>
        </w:trPr>
        <w:tc>
          <w:tcPr>
            <w:tcW w:w="1993" w:type="dxa"/>
            <w:noWrap w:val="0"/>
            <w:vAlign w:val="center"/>
          </w:tcPr>
          <w:p w14:paraId="12AA43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风险调整值</w:t>
            </w:r>
          </w:p>
        </w:tc>
        <w:tc>
          <w:tcPr>
            <w:tcW w:w="1773" w:type="dxa"/>
            <w:noWrap w:val="0"/>
            <w:vAlign w:val="center"/>
          </w:tcPr>
          <w:p w14:paraId="24A12CF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0</w:t>
            </w:r>
          </w:p>
        </w:tc>
        <w:tc>
          <w:tcPr>
            <w:tcW w:w="1896" w:type="dxa"/>
            <w:noWrap w:val="0"/>
            <w:vAlign w:val="center"/>
          </w:tcPr>
          <w:p w14:paraId="026CD5E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2%</w:t>
            </w:r>
          </w:p>
        </w:tc>
        <w:tc>
          <w:tcPr>
            <w:tcW w:w="1897" w:type="dxa"/>
            <w:noWrap w:val="0"/>
            <w:vAlign w:val="center"/>
          </w:tcPr>
          <w:p w14:paraId="0675095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4%</w:t>
            </w:r>
          </w:p>
        </w:tc>
        <w:tc>
          <w:tcPr>
            <w:tcW w:w="1897" w:type="dxa"/>
            <w:noWrap w:val="0"/>
            <w:vAlign w:val="center"/>
          </w:tcPr>
          <w:p w14:paraId="2B8131E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8%</w:t>
            </w:r>
          </w:p>
        </w:tc>
      </w:tr>
    </w:tbl>
    <w:p w14:paraId="390489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根据风险调整值赋值与道县风险因素、因子权重值，确定的道县风险调整值结果见下表。</w:t>
      </w:r>
    </w:p>
    <w:p w14:paraId="43385650">
      <w:pPr>
        <w:keepNext/>
        <w:spacing w:line="480" w:lineRule="exact" w:before="157" w:after="10"/>
        <w:ind w:firstLineChars="200" w:firstLine="0" w:left="0" w:right="0"/>
        <w:jc w:val="center"/>
        <w:rPr>
          <w:rFonts w:hint="eastAsia" w:ascii="仿宋" w:hAnsi="仿宋" w:eastAsia="仿宋"/>
          <w:color w:val="000000" w:themeColor="text1"/>
          <w:sz w:val="24"/>
          <w:highlight w:val="none"/>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表3-6 道县土地市场风险调整值结果</w:t>
      </w:r>
    </w:p>
    <w:tbl>
      <w:tblPr>
        <w:tblStyle w:val="9"/>
        <w:tblW w:w="4999"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2495"/>
        <w:gridCol w:w="6025"/>
      </w:tblGrid>
      <w:tr w14:paraId="10E3A5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243" w:hRule="atLeast"/>
        </w:trPr>
        <w:tc>
          <w:tcPr>
            <w:tcW w:w="1464" w:type="pct"/>
            <w:noWrap w:val="0"/>
            <w:vAlign w:val="center"/>
          </w:tcPr>
          <w:p w14:paraId="69340F59">
            <w:pPr>
              <w:snapToGrid w:val="0"/>
              <w:jc w:val="center"/>
              <w:rPr>
                <w:rFonts w:hint="eastAsia" w:ascii="仿宋" w:hAnsi="仿宋" w:eastAsia="仿宋"/>
                <w:color w:val="000000" w:themeColor="text1"/>
                <w:spacing w:val="-20"/>
                <w:szCs w:val="21"/>
                <w:highlight w:val="none"/>
                <w14:textFill>
                  <w14:solidFill>
                    <w14:schemeClr w14:val="tx1"/>
                  </w14:solidFill>
                </w14:textFill>
              </w:rPr>
            </w:pPr>
            <w:r>
              <w:rPr>
                <w:rFonts w:hint="eastAsia" w:ascii="仿宋" w:hAnsi="仿宋" w:eastAsia="仿宋"/>
                <w:color w:val="000000" w:themeColor="text1"/>
                <w:spacing w:val="-20"/>
                <w:szCs w:val="21"/>
                <w:highlight w:val="none"/>
                <w14:textFill>
                  <w14:solidFill>
                    <w14:schemeClr w14:val="tx1"/>
                  </w14:solidFill>
                </w14:textFill>
              </w:rPr>
              <w:t>土地市场</w:t>
            </w:r>
          </w:p>
        </w:tc>
        <w:tc>
          <w:tcPr>
            <w:tcW w:w="3535" w:type="pct"/>
            <w:noWrap w:val="0"/>
            <w:vAlign w:val="center"/>
          </w:tcPr>
          <w:p w14:paraId="28FC1F2D">
            <w:pPr>
              <w:snapToGrid w:val="0"/>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lang w:val="en-US" w:eastAsia="zh-CN"/>
                <w14:textFill>
                  <w14:solidFill>
                    <w14:schemeClr w14:val="tx1"/>
                  </w14:solidFill>
                </w14:textFill>
              </w:rPr>
              <w:t>工业</w:t>
            </w:r>
            <w:r>
              <w:rPr>
                <w:rFonts w:hint="eastAsia" w:ascii="仿宋" w:hAnsi="仿宋" w:eastAsia="仿宋"/>
                <w:color w:val="000000" w:themeColor="text1"/>
                <w:szCs w:val="21"/>
                <w:highlight w:val="none"/>
                <w14:textFill>
                  <w14:solidFill>
                    <w14:schemeClr w14:val="tx1"/>
                  </w14:solidFill>
                </w14:textFill>
              </w:rPr>
              <w:t>用地</w:t>
            </w:r>
          </w:p>
        </w:tc>
      </w:tr>
      <w:tr w14:paraId="5FA8BB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96" w:hRule="atLeast"/>
        </w:trPr>
        <w:tc>
          <w:tcPr>
            <w:tcW w:w="1464" w:type="pct"/>
            <w:noWrap w:val="0"/>
            <w:vAlign w:val="center"/>
          </w:tcPr>
          <w:p w14:paraId="34CE9705">
            <w:pPr>
              <w:snapToGrid w:val="0"/>
              <w:jc w:val="center"/>
              <w:rPr>
                <w:rFonts w:hint="eastAsia" w:ascii="仿宋" w:hAnsi="仿宋" w:eastAsia="仿宋"/>
                <w:color w:val="000000" w:themeColor="text1"/>
                <w:spacing w:val="-20"/>
                <w:szCs w:val="21"/>
                <w:highlight w:val="none"/>
                <w14:textFill>
                  <w14:solidFill>
                    <w14:schemeClr w14:val="tx1"/>
                  </w14:solidFill>
                </w14:textFill>
              </w:rPr>
            </w:pPr>
            <w:r>
              <w:rPr>
                <w:rFonts w:hint="eastAsia" w:ascii="仿宋" w:hAnsi="仿宋" w:eastAsia="仿宋"/>
                <w:color w:val="000000" w:themeColor="text1"/>
                <w:spacing w:val="-20"/>
                <w:szCs w:val="21"/>
                <w:highlight w:val="none"/>
                <w14:textFill>
                  <w14:solidFill>
                    <w14:schemeClr w14:val="tx1"/>
                  </w14:solidFill>
                </w14:textFill>
              </w:rPr>
              <w:t>风险调整值</w:t>
            </w:r>
          </w:p>
        </w:tc>
        <w:tc>
          <w:tcPr>
            <w:tcW w:w="3535" w:type="pct"/>
            <w:noWrap w:val="0"/>
            <w:vAlign w:val="center"/>
          </w:tcPr>
          <w:p w14:paraId="512EC383">
            <w:pPr>
              <w:snapToGrid w:val="0"/>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w:t>
            </w:r>
            <w:r>
              <w:rPr>
                <w:rFonts w:ascii="仿宋" w:hAnsi="仿宋" w:eastAsia="仿宋"/>
                <w:color w:val="000000" w:themeColor="text1"/>
                <w:szCs w:val="21"/>
                <w:highlight w:val="none"/>
                <w14:textFill>
                  <w14:solidFill>
                    <w14:schemeClr w14:val="tx1"/>
                  </w14:solidFill>
                </w14:textFill>
              </w:rPr>
              <w:t>3234×</w:t>
            </w:r>
            <w:r>
              <w:rPr>
                <w:rFonts w:hint="eastAsia" w:ascii="仿宋" w:hAnsi="仿宋" w:eastAsia="仿宋"/>
                <w:color w:val="000000" w:themeColor="text1"/>
                <w:szCs w:val="21"/>
                <w:highlight w:val="none"/>
                <w:lang w:val="en-US" w:eastAsia="zh-CN"/>
                <w14:textFill>
                  <w14:solidFill>
                    <w14:schemeClr w14:val="tx1"/>
                  </w14:solidFill>
                </w14:textFill>
              </w:rPr>
              <w:t>3.00</w:t>
            </w:r>
            <w:r>
              <w:rPr>
                <w:rFonts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14:textFill>
                  <w14:solidFill>
                    <w14:schemeClr w14:val="tx1"/>
                  </w14:solidFill>
                </w14:textFill>
              </w:rPr>
              <w:t>＋</w:t>
            </w:r>
            <w:r>
              <w:rPr>
                <w:rFonts w:ascii="仿宋" w:hAnsi="仿宋" w:eastAsia="仿宋"/>
                <w:color w:val="000000" w:themeColor="text1"/>
                <w:szCs w:val="21"/>
                <w:highlight w:val="none"/>
                <w14:textFill>
                  <w14:solidFill>
                    <w14:schemeClr w14:val="tx1"/>
                  </w14:solidFill>
                </w14:textFill>
              </w:rPr>
              <w:t>0.3922×</w:t>
            </w:r>
            <w:r>
              <w:rPr>
                <w:rFonts w:hint="eastAsia" w:ascii="仿宋" w:hAnsi="仿宋" w:eastAsia="仿宋"/>
                <w:color w:val="000000" w:themeColor="text1"/>
                <w:szCs w:val="21"/>
                <w:highlight w:val="none"/>
                <w:lang w:val="en-US" w:eastAsia="zh-CN"/>
                <w14:textFill>
                  <w14:solidFill>
                    <w14:schemeClr w14:val="tx1"/>
                  </w14:solidFill>
                </w14:textFill>
              </w:rPr>
              <w:t>4.00%</w:t>
            </w:r>
            <w:r>
              <w:rPr>
                <w:rFonts w:hint="eastAsia" w:ascii="仿宋" w:hAnsi="仿宋" w:eastAsia="仿宋"/>
                <w:color w:val="000000" w:themeColor="text1"/>
                <w:szCs w:val="21"/>
                <w:highlight w:val="none"/>
                <w14:textFill>
                  <w14:solidFill>
                    <w14:schemeClr w14:val="tx1"/>
                  </w14:solidFill>
                </w14:textFill>
              </w:rPr>
              <w:t>＋0.</w:t>
            </w:r>
            <w:r>
              <w:rPr>
                <w:rFonts w:ascii="仿宋" w:hAnsi="仿宋" w:eastAsia="仿宋"/>
                <w:color w:val="000000" w:themeColor="text1"/>
                <w:szCs w:val="21"/>
                <w:highlight w:val="none"/>
                <w14:textFill>
                  <w14:solidFill>
                    <w14:schemeClr w14:val="tx1"/>
                  </w14:solidFill>
                </w14:textFill>
              </w:rPr>
              <w:t>2844×</w:t>
            </w:r>
            <w:r>
              <w:rPr>
                <w:rFonts w:hint="eastAsia" w:ascii="仿宋" w:hAnsi="仿宋" w:eastAsia="仿宋"/>
                <w:color w:val="000000" w:themeColor="text1"/>
                <w:szCs w:val="21"/>
                <w:highlight w:val="none"/>
                <w:lang w:val="en-US" w:eastAsia="zh-CN"/>
                <w14:textFill>
                  <w14:solidFill>
                    <w14:schemeClr w14:val="tx1"/>
                  </w14:solidFill>
                </w14:textFill>
              </w:rPr>
              <w:t>5</w:t>
            </w:r>
            <w:r>
              <w:rPr>
                <w:rFonts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lang w:val="en-US" w:eastAsia="zh-CN"/>
                <w14:textFill>
                  <w14:solidFill>
                    <w14:schemeClr w14:val="tx1"/>
                  </w14:solidFill>
                </w14:textFill>
              </w:rPr>
              <w:t>3.96</w:t>
            </w:r>
            <w:r>
              <w:rPr>
                <w:rFonts w:ascii="仿宋" w:hAnsi="仿宋" w:eastAsia="仿宋"/>
                <w:color w:val="000000" w:themeColor="text1"/>
                <w:szCs w:val="21"/>
                <w:highlight w:val="none"/>
                <w14:textFill>
                  <w14:solidFill>
                    <w14:schemeClr w14:val="tx1"/>
                  </w14:solidFill>
                </w14:textFill>
              </w:rPr>
              <w:t>%</w:t>
            </w:r>
          </w:p>
        </w:tc>
      </w:tr>
    </w:tbl>
    <w:p w14:paraId="61D651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④还原利率的确定</w:t>
      </w:r>
    </w:p>
    <w:p w14:paraId="7BAC3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根据安全利率加风险调整值法确定还原利率的公式，由于前文已经确定了商业用地及住宅用地的还原利率，因此，根据还原利率=安全利率+风险调整值。</w:t>
      </w:r>
    </w:p>
    <w:p w14:paraId="57B736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default" w:ascii="仿宋" w:hAnsi="仿宋" w:eastAsia="仿宋"/>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工业用地还原利率＝1.4453%＋3.96%≈5.4%</w:t>
      </w:r>
    </w:p>
    <w:p w14:paraId="39F2CF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估价对象</w:t>
      </w:r>
      <w:r>
        <w:rPr>
          <w:rFonts w:hint="eastAsia" w:ascii="仿宋_GB2312" w:hAnsi="仿宋_GB2312" w:eastAsia="仿宋_GB2312" w:cs="仿宋_GB2312"/>
          <w:bCs/>
          <w:color w:val="000000" w:themeColor="text1"/>
          <w:sz w:val="28"/>
          <w:highlight w:val="none"/>
          <w:lang w:eastAsia="zh-CN"/>
          <w14:textFill>
            <w14:solidFill>
              <w14:schemeClr w14:val="tx1"/>
            </w14:solidFill>
          </w14:textFill>
        </w:rPr>
        <w:t>设定使用年期为</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工业用地30年，土地还原率为5.4%，则年期修正系数=1-（1/（1+5.4%）</w:t>
      </w:r>
      <w:r>
        <w:rPr>
          <w:rFonts w:hint="eastAsia" w:ascii="仿宋_GB2312" w:hAnsi="仿宋_GB2312" w:eastAsia="仿宋_GB2312" w:cs="仿宋_GB2312"/>
          <w:bCs/>
          <w:color w:val="000000" w:themeColor="text1"/>
          <w:sz w:val="28"/>
          <w:highlight w:val="none"/>
          <w:vertAlign w:val="superscript"/>
          <w:lang w:val="en-US" w:eastAsia="zh-CN"/>
          <w14:textFill>
            <w14:solidFill>
              <w14:schemeClr w14:val="tx1"/>
            </w14:solidFill>
          </w14:textFill>
        </w:rPr>
        <w:t>30</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）=0.7936。</w:t>
      </w:r>
    </w:p>
    <w:p w14:paraId="3022FD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8、区位修正系数</w:t>
      </w:r>
    </w:p>
    <w:p w14:paraId="67D898D9">
      <w:pPr>
        <w:keepNext w:val="0"/>
        <w:keepLines w:val="0"/>
        <w:pageBreakBefore w:val="0"/>
        <w:widowControl w:val="0"/>
        <w:kinsoku/>
        <w:wordWrap/>
        <w:overflowPunct/>
        <w:topLinePunct w:val="0"/>
        <w:autoSpaceDE/>
        <w:autoSpaceDN/>
        <w:bidi w:val="0"/>
        <w:adjustRightInd/>
        <w:snapToGrid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成本逼近法所评估的地价为估价对象所在区域的平均价格，因为宗地所具有的个别属性，所以宗地地价应该根据宗地所在区域内的位置和宗地自身条件，在平均价格的基础上进行个别因素修正。</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根据道县所在区域的特点，参照《城镇土地估价规程》提供的参考因素</w:t>
      </w:r>
      <w:r>
        <w:rPr>
          <w:rFonts w:hint="eastAsia" w:ascii="仿宋_GB2312" w:hAnsi="仿宋_GB2312" w:eastAsia="仿宋_GB2312" w:cs="仿宋_GB2312"/>
          <w:color w:val="000000" w:themeColor="text1"/>
          <w:sz w:val="28"/>
          <w:szCs w:val="28"/>
          <w:highlight w:val="none"/>
          <w14:textFill>
            <w14:solidFill>
              <w14:schemeClr w14:val="tx1"/>
            </w14:solidFill>
          </w14:textFill>
        </w:rPr>
        <w:t>，确定</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道县城区商服用地和住宅用地</w:t>
      </w:r>
      <w:r>
        <w:rPr>
          <w:rFonts w:hint="eastAsia" w:ascii="仿宋_GB2312" w:hAnsi="仿宋_GB2312" w:eastAsia="仿宋_GB2312" w:cs="仿宋_GB2312"/>
          <w:color w:val="000000" w:themeColor="text1"/>
          <w:sz w:val="28"/>
          <w:szCs w:val="28"/>
          <w:highlight w:val="none"/>
          <w14:textFill>
            <w14:solidFill>
              <w14:schemeClr w14:val="tx1"/>
            </w14:solidFill>
          </w14:textFill>
        </w:rPr>
        <w:t>的地价区域影响因素</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选择层次分析法（AHP法），运用yaahp软件进行测算，得到最终修正因素的权重。</w:t>
      </w:r>
      <w:r>
        <w:rPr>
          <w:rFonts w:hint="eastAsia" w:ascii="仿宋_GB2312" w:hAnsi="仿宋_GB2312" w:eastAsia="仿宋_GB2312" w:cs="仿宋_GB2312"/>
          <w:color w:val="000000" w:themeColor="text1"/>
          <w:sz w:val="28"/>
          <w:szCs w:val="28"/>
          <w:highlight w:val="none"/>
          <w14:textFill>
            <w14:solidFill>
              <w14:schemeClr w14:val="tx1"/>
            </w14:solidFill>
          </w14:textFill>
        </w:rPr>
        <w:t>具体如下表所示</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CCB8F6E">
      <w:pPr>
        <w:keepNext/>
        <w:keepLines w:val="0"/>
        <w:pageBreakBefore w:val="0"/>
        <w:widowControl w:val="0"/>
        <w:kinsoku/>
        <w:wordWrap/>
        <w:overflowPunct/>
        <w:topLinePunct w:val="0"/>
        <w:autoSpaceDE/>
        <w:autoSpaceDN/>
        <w:bidi w:val="0"/>
        <w:adjustRightInd/>
        <w:spacing w:line="480" w:lineRule="exact" w:before="157" w:after="10"/>
        <w:ind w:firstLine="0" w:left="0" w:right="0"/>
        <w:jc w:val="center"/>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3-7</w:t>
      </w:r>
      <w:r>
        <w:rPr>
          <w:rFonts w:hint="eastAsia" w:ascii="仿宋_GB2312" w:hAnsi="仿宋_GB2312" w:eastAsia="仿宋_GB2312" w:cs="仿宋_GB2312"/>
          <w:b w:val="0"/>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道县工业用地</w:t>
      </w:r>
      <w:r>
        <w:rPr>
          <w:rFonts w:hint="eastAsia" w:ascii="仿宋_GB2312" w:hAnsi="仿宋_GB2312" w:eastAsia="仿宋_GB2312" w:cs="仿宋_GB2312"/>
          <w:b w:val="0"/>
          <w:color w:val="000000" w:themeColor="text1"/>
          <w:sz w:val="28"/>
          <w:highlight w:val="none"/>
          <w14:textFill>
            <w14:solidFill>
              <w14:schemeClr w14:val="tx1"/>
            </w14:solidFill>
          </w14:textFill>
        </w:rPr>
        <w:t>宗地地价区域因素修正系数表（%）</w:t>
      </w:r>
    </w:p>
    <w:tbl>
      <w:tblPr>
        <w:tblStyle w:val="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55"/>
        <w:gridCol w:w="1735"/>
        <w:gridCol w:w="928"/>
        <w:gridCol w:w="953"/>
        <w:gridCol w:w="1015"/>
        <w:gridCol w:w="701"/>
        <w:gridCol w:w="1066"/>
        <w:gridCol w:w="1066"/>
      </w:tblGrid>
      <w:tr w14:paraId="2B186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tcBorders>
              <w:top w:val="single" w:color="auto" w:sz="4" w:space="0"/>
              <w:left w:val="single" w:color="auto" w:sz="4" w:space="0"/>
              <w:bottom w:val="single" w:color="auto" w:sz="4" w:space="0"/>
              <w:right w:val="single" w:color="auto" w:sz="4" w:space="0"/>
            </w:tcBorders>
            <w:shd w:val="clear" w:color="auto" w:fill="auto"/>
            <w:vAlign w:val="center"/>
          </w:tcPr>
          <w:p w14:paraId="622E49C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61ACCCB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53DC31F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权重</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5172F76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71F981F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较优</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632E391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一般</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DD67C4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较劣</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CEA987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劣</w:t>
            </w:r>
          </w:p>
        </w:tc>
      </w:tr>
      <w:tr w14:paraId="2C5B2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F08F0B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007EEFA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007E719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0.122</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0E9AE4B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2.2692</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2CC6564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1.1346</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0FB0F92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C10DB5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-0.9638</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254574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-1.9276</w:t>
            </w:r>
          </w:p>
        </w:tc>
      </w:tr>
      <w:tr w14:paraId="68C3E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A03D32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00477EF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1388829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0.225</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3E171F2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4.185</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5B348BF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2.0925</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40BCEFB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139D9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-1.7775</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2CEEA4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-3.555</w:t>
            </w:r>
          </w:p>
        </w:tc>
      </w:tr>
      <w:tr w14:paraId="16C9D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82CCBD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FE6ED7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7E9AAF5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0.148</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50F56F7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2.7528</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6399AD9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1.3764</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4EB0765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9BCA83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-1.1692</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967522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-2.3384</w:t>
            </w:r>
          </w:p>
        </w:tc>
      </w:tr>
      <w:tr w14:paraId="6882C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0A9473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1A6541D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3ED0C6D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0.125</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3EFDDDF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2.325</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291CC44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1.1625</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5790884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7B32C8C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-0.9875</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7D21F50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-1.975</w:t>
            </w:r>
          </w:p>
        </w:tc>
      </w:tr>
      <w:tr w14:paraId="19CED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5ABE3A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491B10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05FA8B0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0.124</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48C5D6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2.3064</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06BD6E9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1.1532</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389DB6B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D8AC2F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-0.9796</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5A26438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-1.9592</w:t>
            </w:r>
          </w:p>
        </w:tc>
      </w:tr>
      <w:tr w14:paraId="2F896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77F329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5295B13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4649AB8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0.117</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0076E56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2.1762</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705B429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1.0881</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5B6C56A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5BC3B49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-0.9243</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8F9C7B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-1.8486</w:t>
            </w:r>
          </w:p>
        </w:tc>
      </w:tr>
      <w:tr w14:paraId="73DE0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9" w:hRule="atLeast"/>
        </w:trPr>
        <w:tc>
          <w:tcPr>
            <w:tcW w:w="619" w:type="pct"/>
            <w:tcBorders>
              <w:top w:val="single" w:color="auto" w:sz="4" w:space="0"/>
              <w:left w:val="single" w:color="auto" w:sz="4" w:space="0"/>
              <w:bottom w:val="single" w:color="auto" w:sz="4" w:space="0"/>
              <w:right w:val="single" w:color="auto" w:sz="4" w:space="0"/>
            </w:tcBorders>
            <w:shd w:val="clear" w:color="auto" w:fill="auto"/>
            <w:vAlign w:val="center"/>
          </w:tcPr>
          <w:p w14:paraId="41D1BFE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72D17DD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5D1158D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0.139</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15A6851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2.5854</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3D46A84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1.2927</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7F08D83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6DE536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-1.0981</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65E065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-2.1962</w:t>
            </w:r>
          </w:p>
        </w:tc>
      </w:tr>
    </w:tbl>
    <w:p w14:paraId="1B48BDC2">
      <w:pPr>
        <w:keepNext/>
        <w:spacing w:before="157" w:after="10" w:line="480" w:lineRule="exact"/>
        <w:ind w:firstLine="0" w:left="0" w:right="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3-8道县工业用地</w:t>
      </w:r>
      <w:r>
        <w:rPr>
          <w:rFonts w:hint="eastAsia" w:ascii="仿宋_GB2312" w:hAnsi="仿宋_GB2312" w:eastAsia="仿宋_GB2312" w:cs="仿宋_GB2312"/>
          <w:b w:val="0"/>
          <w:color w:val="000000" w:themeColor="text1"/>
          <w:sz w:val="28"/>
          <w:highlight w:val="none"/>
          <w14:textFill>
            <w14:solidFill>
              <w14:schemeClr w14:val="tx1"/>
            </w14:solidFill>
          </w14:textFill>
        </w:rPr>
        <w:t>宗地地价区域因素修正系数指标说明表</w:t>
      </w:r>
    </w:p>
    <w:tbl>
      <w:tblPr>
        <w:tblStyle w:val="9"/>
        <w:tblW w:w="4985" w:type="pct"/>
        <w:tblInd w:w="0" w:type="dxa"/>
        <w:tblLayout w:type="fixed"/>
        <w:tblCellMar>
          <w:top w:w="0" w:type="dxa"/>
          <w:left w:w="108" w:type="dxa"/>
          <w:bottom w:w="0" w:type="dxa"/>
          <w:right w:w="108" w:type="dxa"/>
        </w:tblCellMar>
      </w:tblPr>
      <w:tblGrid>
        <w:gridCol w:w="850"/>
        <w:gridCol w:w="1303"/>
        <w:gridCol w:w="1247"/>
        <w:gridCol w:w="1423"/>
        <w:gridCol w:w="1658"/>
        <w:gridCol w:w="1076"/>
        <w:gridCol w:w="940"/>
      </w:tblGrid>
      <w:tr w14:paraId="5E4A0D5C">
        <w:tblPrEx>
          <w:tblCellMar>
            <w:top w:w="0" w:type="dxa"/>
            <w:left w:w="108" w:type="dxa"/>
            <w:bottom w:w="0" w:type="dxa"/>
            <w:right w:w="108" w:type="dxa"/>
          </w:tblCellMar>
        </w:tblPrEx>
        <w:trPr>
          <w:trHeight w:val="131" w:hRule="atLeast"/>
        </w:trPr>
        <w:tc>
          <w:tcPr>
            <w:tcW w:w="850" w:type="dxa"/>
            <w:tcBorders>
              <w:top w:val="single" w:color="auto" w:sz="4" w:space="0"/>
              <w:left w:val="single" w:color="auto" w:sz="4" w:space="0"/>
              <w:bottom w:val="single" w:color="auto" w:sz="4" w:space="0"/>
              <w:right w:val="single" w:color="auto" w:sz="4" w:space="0"/>
            </w:tcBorders>
            <w:noWrap w:val="0"/>
            <w:vAlign w:val="center"/>
          </w:tcPr>
          <w:p w14:paraId="7A1CD20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1F3EF90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4D1E00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6625AFC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较优</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EADEDB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078F777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较劣</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0DD7556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劣</w:t>
            </w:r>
          </w:p>
        </w:tc>
      </w:tr>
      <w:tr w14:paraId="08A1CE4A">
        <w:tblPrEx>
          <w:tblCellMar>
            <w:top w:w="0" w:type="dxa"/>
            <w:left w:w="108" w:type="dxa"/>
            <w:bottom w:w="0" w:type="dxa"/>
            <w:right w:w="108" w:type="dxa"/>
          </w:tblCellMar>
        </w:tblPrEx>
        <w:trPr>
          <w:trHeight w:val="257"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4BEF128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1AAD4CB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64F43AA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≤300</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20E729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300-400</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2025A01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400-500</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6FCF11A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500-800</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7C00F12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&gt;800</w:t>
            </w:r>
          </w:p>
        </w:tc>
      </w:tr>
      <w:tr w14:paraId="09180B2D">
        <w:tblPrEx>
          <w:tblCellMar>
            <w:top w:w="0" w:type="dxa"/>
            <w:left w:w="108" w:type="dxa"/>
            <w:bottom w:w="0" w:type="dxa"/>
            <w:right w:w="108" w:type="dxa"/>
          </w:tblCellMar>
        </w:tblPrEx>
        <w:trPr>
          <w:trHeight w:val="257"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563C1A6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F692BE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2D05C1D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临繁华主干道</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2940A57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临主干道</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B9251F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临繁华次干道</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5D42644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临次干道</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67DB4F3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临支路</w:t>
            </w:r>
          </w:p>
        </w:tc>
      </w:tr>
      <w:tr w14:paraId="3A9A22E2">
        <w:tblPrEx>
          <w:tblCellMar>
            <w:top w:w="0" w:type="dxa"/>
            <w:left w:w="108" w:type="dxa"/>
            <w:bottom w:w="0" w:type="dxa"/>
            <w:right w:w="108" w:type="dxa"/>
          </w:tblCellMar>
        </w:tblPrEx>
        <w:trPr>
          <w:trHeight w:val="144"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59A34E2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04BE3BA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5849B04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完善</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2EA7B51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较完善</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AAEB28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5723A8F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较差</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22515E9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差</w:t>
            </w:r>
          </w:p>
        </w:tc>
      </w:tr>
      <w:tr w14:paraId="04B9AF7C">
        <w:tblPrEx>
          <w:tblCellMar>
            <w:top w:w="0" w:type="dxa"/>
            <w:left w:w="108" w:type="dxa"/>
            <w:bottom w:w="0" w:type="dxa"/>
            <w:right w:w="108" w:type="dxa"/>
          </w:tblCellMar>
        </w:tblPrEx>
        <w:trPr>
          <w:trHeight w:val="131"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6EFC274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31DEF80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0F8955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完善</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2BE4BA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较完善</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5A482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7F7E804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较差</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5673791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差</w:t>
            </w:r>
          </w:p>
        </w:tc>
      </w:tr>
      <w:tr w14:paraId="11473675">
        <w:tblPrEx>
          <w:tblCellMar>
            <w:top w:w="0" w:type="dxa"/>
            <w:left w:w="108" w:type="dxa"/>
            <w:bottom w:w="0" w:type="dxa"/>
            <w:right w:w="108" w:type="dxa"/>
          </w:tblCellMar>
        </w:tblPrEx>
        <w:trPr>
          <w:trHeight w:val="509"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66AFB92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356E886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0AC4FF2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地势平坦适合建筑</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D0523E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地势较平坦适合建筑</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286D575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地势较平坦影响建筑</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2640603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地势有坡度影响建筑</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1F24F88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地势有坡度影响建筑大</w:t>
            </w:r>
          </w:p>
        </w:tc>
      </w:tr>
      <w:tr w14:paraId="1346067A">
        <w:tblPrEx>
          <w:tblCellMar>
            <w:top w:w="0" w:type="dxa"/>
            <w:left w:w="108" w:type="dxa"/>
            <w:bottom w:w="0" w:type="dxa"/>
            <w:right w:w="108" w:type="dxa"/>
          </w:tblCellMar>
        </w:tblPrEx>
        <w:trPr>
          <w:trHeight w:val="257"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2F6C919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7AAABED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4BABD9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&gt;25</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31B25C0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25-22</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5269EA4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22-18</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7EBC4F7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18-15</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28E614F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&lt;15</w:t>
            </w:r>
          </w:p>
        </w:tc>
      </w:tr>
      <w:tr w14:paraId="66CDC16F">
        <w:tblPrEx>
          <w:tblCellMar>
            <w:top w:w="0" w:type="dxa"/>
            <w:left w:w="108" w:type="dxa"/>
            <w:bottom w:w="0" w:type="dxa"/>
            <w:right w:w="108" w:type="dxa"/>
          </w:tblCellMar>
        </w:tblPrEx>
        <w:trPr>
          <w:trHeight w:val="513" w:hRule="atLeast"/>
        </w:trPr>
        <w:tc>
          <w:tcPr>
            <w:tcW w:w="850" w:type="dxa"/>
            <w:tcBorders>
              <w:top w:val="single" w:color="auto" w:sz="4" w:space="0"/>
              <w:left w:val="single" w:color="auto" w:sz="4" w:space="0"/>
              <w:bottom w:val="single" w:color="auto" w:sz="4" w:space="0"/>
              <w:right w:val="single" w:color="auto" w:sz="4" w:space="0"/>
            </w:tcBorders>
            <w:noWrap w:val="0"/>
            <w:vAlign w:val="center"/>
          </w:tcPr>
          <w:p w14:paraId="7C5C839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0ADABAE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3C82412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高新技术产业联系紧密区</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12609FC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高新技术产业联系一般区，一般产业联系紧密区</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C86466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高新技术产业联系松散区，一般产业联系一般区</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20D8157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一般产业联系松散区</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5ABAF0D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独立分布区</w:t>
            </w:r>
          </w:p>
        </w:tc>
      </w:tr>
    </w:tbl>
    <w:p w14:paraId="2073112B">
      <w:pPr>
        <w:pStyle w:val="5"/>
        <w:keepNext/>
        <w:spacing w:before="157" w:after="10" w:line="480" w:lineRule="exact"/>
        <w:ind w:firstLine="0" w:left="0" w:right="0"/>
        <w:jc w:val="center"/>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b w:val="0"/>
          <w:color w:val="000000" w:themeColor="text1"/>
          <w:sz w:val="28"/>
          <w:szCs w:val="28"/>
          <w:highlight w:val="none"/>
          <w14:textFill>
            <w14:solidFill>
              <w14:schemeClr w14:val="tx1"/>
            </w14:solidFill>
          </w14:textFill>
        </w:rPr>
        <w:t>表</w:t>
      </w:r>
      <w:r>
        <w:rPr>
          <w:rFonts w:hint="eastAsia" w:ascii="仿宋_GB2312" w:eastAsia="仿宋_GB2312" w:hAnsi="仿宋_GB2312" w:cs="仿宋_GB2312"/>
          <w:b w:val="0"/>
          <w:color w:val="000000" w:themeColor="text1"/>
          <w:sz w:val="28"/>
          <w:szCs w:val="28"/>
          <w:highlight w:val="none"/>
          <w:lang w:val="en-US" w:eastAsia="zh-CN"/>
          <w14:textFill>
            <w14:solidFill>
              <w14:schemeClr w14:val="tx1"/>
            </w14:solidFill>
          </w14:textFill>
        </w:rPr>
        <w:t>3</w:t>
      </w:r>
      <w:r>
        <w:rPr>
          <w:rFonts w:hint="eastAsia" w:ascii="仿宋_GB2312" w:eastAsia="仿宋_GB2312" w:hAnsi="仿宋_GB2312" w:cs="仿宋_GB2312"/>
          <w:b w:val="0"/>
          <w:color w:val="000000" w:themeColor="text1"/>
          <w:sz w:val="28"/>
          <w:szCs w:val="28"/>
          <w:highlight w:val="none"/>
          <w14:textFill>
            <w14:solidFill>
              <w14:schemeClr w14:val="tx1"/>
            </w14:solidFill>
          </w14:textFill>
        </w:rPr>
        <w:t>-</w:t>
      </w:r>
      <w:r>
        <w:rPr>
          <w:rFonts w:hint="eastAsia" w:ascii="仿宋_GB2312" w:eastAsia="仿宋_GB2312" w:hAnsi="仿宋_GB2312" w:cs="仿宋_GB2312"/>
          <w:b w:val="0"/>
          <w:color w:val="000000" w:themeColor="text1"/>
          <w:sz w:val="28"/>
          <w:szCs w:val="28"/>
          <w:highlight w:val="none"/>
          <w:lang w:val="en-US" w:eastAsia="zh-CN"/>
          <w14:textFill>
            <w14:solidFill>
              <w14:schemeClr w14:val="tx1"/>
            </w14:solidFill>
          </w14:textFill>
        </w:rPr>
        <w:t>9</w:t>
      </w:r>
      <w:r>
        <w:rPr>
          <w:rFonts w:hint="eastAsia" w:ascii="仿宋_GB2312" w:eastAsia="仿宋_GB2312" w:hAnsi="仿宋_GB2312" w:cs="仿宋_GB2312"/>
          <w:b w:val="0"/>
          <w:color w:val="000000" w:themeColor="text1"/>
          <w:sz w:val="28"/>
          <w:szCs w:val="28"/>
          <w:highlight w:val="none"/>
          <w14:textFill>
            <w14:solidFill>
              <w14:schemeClr w14:val="tx1"/>
            </w14:solidFill>
          </w14:textFill>
        </w:rPr>
        <w:t xml:space="preserve"> 宗地地价影响因素条件说明、修正系数表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11"/>
        <w:gridCol w:w="2115"/>
        <w:gridCol w:w="3028"/>
        <w:gridCol w:w="1007"/>
        <w:gridCol w:w="961"/>
      </w:tblGrid>
      <w:tr w14:paraId="108BE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A3BD6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0638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177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D5A0C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指标描述</w:t>
            </w:r>
          </w:p>
        </w:tc>
        <w:tc>
          <w:tcPr>
            <w:tcW w:w="5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6A34F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优劣度</w:t>
            </w:r>
          </w:p>
        </w:tc>
        <w:tc>
          <w:tcPr>
            <w:tcW w:w="5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FDB50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修正系数</w:t>
            </w:r>
          </w:p>
        </w:tc>
      </w:tr>
      <w:tr w14:paraId="325B2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B080A">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89A3C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F5AADE">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距汽车站12KM</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3A246">
            <w:pPr>
              <w:keepNext w:val="0"/>
              <w:keepLines w:val="0"/>
              <w:widowControl/>
              <w:suppressLineNumbers w:val="0"/>
              <w:spacing w:before="0" w:beforeAutospacing="0" w:after="0" w:afterAutospacing="0"/>
              <w:ind w:left="0" w:leftChars="0" w:right="0" w:rightChars="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55A0FBA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-1.9276</w:t>
            </w:r>
          </w:p>
        </w:tc>
      </w:tr>
      <w:tr w14:paraId="28645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5AF75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7875B">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ACB7E">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临支路</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5103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607AC2">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-3.555</w:t>
            </w:r>
          </w:p>
        </w:tc>
      </w:tr>
      <w:tr w14:paraId="742DC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DAAF4">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FF71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62DCC9">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182485">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91F45C">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0</w:t>
            </w:r>
          </w:p>
        </w:tc>
      </w:tr>
      <w:tr w14:paraId="7E64C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5"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CEB4E">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4D49B">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998090">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D6327">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77916F">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0</w:t>
            </w:r>
          </w:p>
        </w:tc>
      </w:tr>
      <w:tr w14:paraId="5F2AA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156A6">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8E7D9">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C014AA">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地势较平坦适合建筑</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9E074">
            <w:pPr>
              <w:keepNext w:val="0"/>
              <w:keepLines w:val="0"/>
              <w:widowControl/>
              <w:suppressLineNumbers w:val="0"/>
              <w:spacing w:before="0" w:beforeAutospacing="0" w:after="0" w:afterAutospacing="0"/>
              <w:ind w:left="0" w:leftChars="0" w:right="0" w:rightChars="0"/>
              <w:jc w:val="center"/>
              <w:outlineLvl w:val="9"/>
              <w:rPr>
                <w:rFonts w:hint="default" w:ascii="仿宋_GB2312" w:hAnsi="仿宋_GB2312" w:eastAsia="仿宋_GB2312" w:cs="仿宋_GB2312"/>
                <w:color w:val="000000" w:themeColor="text1"/>
                <w:kern w:val="0"/>
                <w:sz w:val="21"/>
                <w:szCs w:val="21"/>
                <w:highlight w:val="none"/>
                <w:lang w:val="en-US"/>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较优</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FB796C">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1.1532</w:t>
            </w:r>
          </w:p>
        </w:tc>
      </w:tr>
      <w:tr w14:paraId="36130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BEAA01">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E51F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CF7A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&gt;25</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B3F05">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优</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A42EC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2.1762</w:t>
            </w:r>
          </w:p>
        </w:tc>
      </w:tr>
      <w:tr w14:paraId="53235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7" w:hRule="atLeast"/>
        </w:trPr>
        <w:tc>
          <w:tcPr>
            <w:tcW w:w="8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FCE3B2">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23837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2A27A7">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独立分布区</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8162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6ABB9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-2.1962</w:t>
            </w:r>
          </w:p>
        </w:tc>
      </w:tr>
      <w:tr w14:paraId="27074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4436"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41ACA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合计</w:t>
            </w:r>
          </w:p>
        </w:tc>
        <w:tc>
          <w:tcPr>
            <w:tcW w:w="5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D4530">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-4.3494</w:t>
            </w:r>
          </w:p>
        </w:tc>
      </w:tr>
    </w:tbl>
    <w:p w14:paraId="39ABDD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根据上述修正过程，确定区位条件修正系数为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-4.3494</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3D2746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highlight w:val="none"/>
          <w14:textFill>
            <w14:solidFill>
              <w14:schemeClr w14:val="tx1"/>
            </w14:solidFill>
          </w14:textFill>
        </w:rPr>
        <w:t>、成本逼近法价格计算</w:t>
      </w:r>
    </w:p>
    <w:p w14:paraId="65E8E0B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P=</w:t>
      </w:r>
      <w:r>
        <w:rPr>
          <w:rFonts w:hint="eastAsia" w:ascii="仿宋_GB2312" w:hAnsi="仿宋_GB2312" w:eastAsia="仿宋_GB2312" w:cs="仿宋_GB2312"/>
          <w:color w:val="000000" w:themeColor="text1"/>
          <w:sz w:val="28"/>
          <w:highlight w:val="none"/>
          <w14:textFill>
            <w14:solidFill>
              <w14:schemeClr w14:val="tx1"/>
            </w14:solidFill>
          </w14:textFill>
        </w:rPr>
        <w:t>（土地取得费+相关税费+土地开发费+投资利息+投资利润</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+土地增值收益</w:t>
      </w:r>
      <w:r>
        <w:rPr>
          <w:rFonts w:hint="eastAsia" w:ascii="仿宋_GB2312" w:hAnsi="仿宋_GB2312" w:eastAsia="仿宋_GB2312" w:cs="仿宋_GB2312"/>
          <w:color w:val="000000" w:themeColor="text1"/>
          <w:sz w:val="28"/>
          <w:highlight w:val="none"/>
          <w14:textFill>
            <w14:solidFill>
              <w14:schemeClr w14:val="tx1"/>
            </w14:solidFill>
          </w14:textFill>
        </w:rPr>
        <w:t>）×土地使用年期修正系数×区位修正系数</w:t>
      </w:r>
    </w:p>
    <w:p w14:paraId="0E378DA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ascii="仿宋_GB2312" w:hAnsi="仿宋_GB2312" w:eastAsia="仿宋_GB2312" w:cs="仿宋_GB2312"/>
          <w:color w:val="000000"/>
          <w:sz w:val="28"/>
        </w:rPr>
        <w:t xml:space="preserve">P＝（67.51+71.6+82+5.42+11.09+11.91）×0.7936×（1-4.3494%）＝（元／平方米）</w:t>
      </w:r>
    </w:p>
    <w:p w14:paraId="12F594D5">
      <w:pPr>
        <w:pStyle w:val="3"/>
        <w:adjustRightInd w:val="0"/>
        <w:snapToGrid w:val="0"/>
        <w:spacing w:line="480" w:lineRule="exact" w:before="0" w:after="0"/>
        <w:ind w:left="0" w:firstLine="560" w:firstLineChars="200"/>
        <w:outlineLvl w:val="9"/>
        <w:rPr>
          <w:rFonts w:hint="eastAsia" w:ascii="仿宋_GB2312" w:hAnsi="仿宋_GB2312" w:eastAsia="仿宋_GB2312" w:cs="仿宋_GB2312"/>
          <w:color w:val="000000" w:themeColor="text1"/>
          <w:sz w:val="28"/>
          <w:highlight w:val="none"/>
          <w14:textFill>
            <w14:solidFill>
              <w14:schemeClr w14:val="tx1"/>
            </w14:solidFill>
          </w14:textFill>
        </w:rPr>
      </w:pPr>
      <w:r>
        <w:rPr>
          <w:rFonts w:ascii="仿宋_GB2312" w:hAnsi="仿宋_GB2312" w:eastAsia="仿宋_GB2312" w:cs="仿宋_GB2312"/>
          <w:color w:val="000000"/>
          <w:sz w:val="28"/>
        </w:rPr>
        <w:t xml:space="preserve">成本逼近法测算地价的结果为：估价对象于估价期日2026年04月23日，在设定土地用途，设定土地使用年限，设定土地开发程度，规划利用条件下的国有土地出让使用权价格为元/平方米。</w:t>
      </w:r>
    </w:p>
    <w:p w14:paraId="67948662">
      <w:pPr>
        <w:pStyle w:val="3"/>
        <w:keepNext/>
        <w:keepLines w:val="0"/>
        <w:pageBreakBefore w:val="0"/>
        <w:widowControl w:val="0"/>
        <w:kinsoku/>
        <w:wordWrap/>
        <w:overflowPunct/>
        <w:topLinePunct w:val="0"/>
        <w:autoSpaceDE/>
        <w:autoSpaceDN/>
        <w:bidi w:val="0"/>
        <w:adjustRightInd w:val="0"/>
        <w:snapToGrid w:val="0"/>
        <w:spacing w:line="480" w:lineRule="exact" w:before="0" w:after="0"/>
        <w:ind w:left="0" w:firstLineChars="200" w:firstLine="561"/>
        <w:textAlignment w:val="auto"/>
        <w:outlineLvl w:val="2"/>
        <w:rPr>
          <w:rFonts w:ascii="仿宋_GB2312" w:hAnsi="仿宋_GB2312" w:eastAsia="仿宋_GB2312" w:cs="仿宋_GB2312"/>
          <w:b/>
          <w:bCs/>
          <w:color w:val="000000" w:themeColor="text1"/>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★市场比较法</w:t>
      </w:r>
    </w:p>
    <w:p w14:paraId="74FAE49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ascii="仿宋_GB2312" w:hAnsi="仿宋_GB2312" w:eastAsia="仿宋_GB2312" w:cs="仿宋_GB2312"/>
          <w:sz w:val="28"/>
        </w:rPr>
        <w:t xml:space="preserve"/>
      </w:r>
    </w:p>
    <w:p w14:paraId="068C25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2.比较实例选择</w:t>
      </w:r>
    </w:p>
    <w:p>
      <w:pPr>
        <w:spacing w:before="0" w:after="0" w:line="480" w:lineRule="exact"/>
      </w:pPr>
      <w:r>
        <w:rPr>
          <w:rFonts w:ascii="仿宋_GB2312" w:hAnsi="仿宋_GB2312" w:eastAsia="仿宋_GB2312" w:cs="仿宋_GB2312"/>
          <w:sz w:val="28"/>
        </w:rPr>
        <w:t xml:space="preserve"/>
      </w:r>
    </w:p>
    <w:p w14:paraId="0AC229D4">
      <w:pPr>
        <w:keepNext/>
        <w:overflowPunct w:val="0"/>
        <w:autoSpaceDE w:val="0"/>
        <w:autoSpaceDN w:val="0"/>
        <w:snapToGrid w:val="0"/>
        <w:spacing w:line="480" w:lineRule="exact" w:before="157" w:after="10"/>
        <w:ind w:firstLine="0" w:left="0" w:right="0"/>
        <w:jc w:val="center"/>
        <w:outlineLvl w:val="9"/>
        <w:rPr>
          <w:rFonts w:ascii="仿宋_GB2312" w:hAnsi="仿宋_GB2312" w:eastAsia="仿宋_GB2312" w:cs="仿宋_GB2312"/>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14:textFill>
            <w14:solidFill>
              <w14:schemeClr w14:val="tx1"/>
            </w14:solidFill>
          </w14:textFill>
        </w:rPr>
        <w:t>表</w:t>
      </w:r>
      <w:r>
        <w:rPr>
          <w:rFonts w:hint="eastAsia" w:ascii="仿宋_GB2312" w:hAnsi="仿宋_GB2312" w:eastAsia="仿宋_GB2312" w:cs="仿宋_GB2312"/>
          <w:b w:val="0"/>
          <w:snapToGrid w:val="0"/>
          <w:color w:val="000000" w:themeColor="text1"/>
          <w:kern w:val="0"/>
          <w:sz w:val="28"/>
          <w:szCs w:val="28"/>
          <w:highlight w:val="none"/>
          <w:lang w:val="en-US" w:eastAsia="zh-CN"/>
          <w14:textFill>
            <w14:solidFill>
              <w14:schemeClr w14:val="tx1"/>
            </w14:solidFill>
          </w14:textFill>
        </w:rPr>
        <w:t>3-10</w:t>
      </w:r>
      <w:r>
        <w:rPr>
          <w:rFonts w:hint="eastAsia" w:ascii="仿宋_GB2312" w:hAnsi="仿宋_GB2312" w:eastAsia="仿宋_GB2312" w:cs="仿宋_GB2312"/>
          <w:b w:val="0"/>
          <w:snapToGrid w:val="0"/>
          <w:color w:val="000000" w:themeColor="text1"/>
          <w:kern w:val="0"/>
          <w:sz w:val="28"/>
          <w:szCs w:val="28"/>
          <w:highlight w:val="none"/>
          <w14:textFill>
            <w14:solidFill>
              <w14:schemeClr w14:val="tx1"/>
            </w14:solidFill>
          </w14:textFill>
        </w:rPr>
        <w:t xml:space="preserve">  比较实例基本情况表</w:t>
      </w:r>
    </w:p>
    <w:tbl>
      <w:tblPr>
        <w:tblStyle w:val="9"/>
        <w:tblW w:w="9117" w:type="dxa"/>
        <w:jc w:val="center"/>
        <w:tblLayout w:type="autofit"/>
        <w:tblCellMar>
          <w:top w:w="0" w:type="dxa"/>
          <w:left w:w="108" w:type="dxa"/>
          <w:bottom w:w="0" w:type="dxa"/>
          <w:right w:w="108" w:type="dxa"/>
        </w:tblCellMar>
      </w:tblPr>
      <w:tblGrid>
        <w:gridCol w:w="1871"/>
        <w:gridCol w:w="2044"/>
        <w:gridCol w:w="2746"/>
        <w:gridCol w:w="2456"/>
      </w:tblGrid>
      <w:tr w14:paraId="2277956A">
        <w:tblPrEx>
          <w:tblCellMar>
            <w:top w:w="0" w:type="dxa"/>
            <w:left w:w="108" w:type="dxa"/>
            <w:bottom w:w="0" w:type="dxa"/>
            <w:right w:w="108" w:type="dxa"/>
          </w:tblCellMar>
        </w:tblPrEx>
        <w:trPr>
          <w:trHeight w:val="342" w:hRule="atLeast"/>
          <w:jc w:val="center"/>
        </w:trPr>
        <w:tc>
          <w:tcPr>
            <w:tcW w:w="1871" w:type="dxa"/>
            <w:tcBorders>
              <w:top w:val="single" w:color="000000" w:sz="4" w:space="0"/>
              <w:left w:val="single" w:color="000000" w:sz="4" w:space="0"/>
              <w:bottom w:val="single" w:color="000000" w:sz="4" w:space="0"/>
              <w:right w:val="single" w:color="000000" w:sz="4" w:space="0"/>
              <w:tl2br w:val="single" w:color="000000" w:sz="4" w:space="0"/>
            </w:tcBorders>
            <w:vAlign w:val="center"/>
          </w:tcPr>
          <w:p w14:paraId="3DA33AA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估价对象与比较实例  项目</w:t>
            </w:r>
          </w:p>
        </w:tc>
        <w:tc>
          <w:tcPr>
            <w:tcW w:w="2044" w:type="dxa"/>
            <w:tcBorders>
              <w:top w:val="single" w:color="000000" w:sz="4" w:space="0"/>
              <w:left w:val="single" w:color="000000" w:sz="4" w:space="0"/>
              <w:bottom w:val="single" w:color="000000" w:sz="4" w:space="0"/>
              <w:right w:val="single" w:color="000000" w:sz="4" w:space="0"/>
            </w:tcBorders>
            <w:vAlign w:val="center"/>
          </w:tcPr>
          <w:p w14:paraId="6D50FE33">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比较实例A</w:t>
            </w:r>
          </w:p>
        </w:tc>
        <w:tc>
          <w:tcPr>
            <w:tcW w:w="2746" w:type="dxa"/>
            <w:tcBorders>
              <w:top w:val="single" w:color="000000" w:sz="4" w:space="0"/>
              <w:left w:val="single" w:color="000000" w:sz="4" w:space="0"/>
              <w:bottom w:val="single" w:color="000000" w:sz="4" w:space="0"/>
              <w:right w:val="single" w:color="000000" w:sz="4" w:space="0"/>
            </w:tcBorders>
            <w:vAlign w:val="center"/>
          </w:tcPr>
          <w:p w14:paraId="5445B74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比较实例B</w:t>
            </w:r>
          </w:p>
        </w:tc>
        <w:tc>
          <w:tcPr>
            <w:tcW w:w="2456" w:type="dxa"/>
            <w:tcBorders>
              <w:top w:val="single" w:color="000000" w:sz="4" w:space="0"/>
              <w:left w:val="single" w:color="000000" w:sz="4" w:space="0"/>
              <w:bottom w:val="single" w:color="000000" w:sz="4" w:space="0"/>
              <w:right w:val="single" w:color="000000" w:sz="4" w:space="0"/>
            </w:tcBorders>
            <w:vAlign w:val="center"/>
          </w:tcPr>
          <w:p w14:paraId="0349070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比较实例C</w:t>
            </w:r>
          </w:p>
        </w:tc>
      </w:tr>
      <w:tr w14:paraId="4980DCB9">
        <w:tblPrEx>
          <w:tblCellMar>
            <w:top w:w="0" w:type="dxa"/>
            <w:left w:w="108" w:type="dxa"/>
            <w:bottom w:w="0" w:type="dxa"/>
            <w:right w:w="108" w:type="dxa"/>
          </w:tblCellMar>
        </w:tblPrEx>
        <w:trPr>
          <w:trHeight w:val="23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0DA83E2E">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702CB58F">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634CFCD">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04840ECB">
        <w:tblPrEx>
          <w:tblCellMar>
            <w:top w:w="0" w:type="dxa"/>
            <w:left w:w="108" w:type="dxa"/>
            <w:bottom w:w="0" w:type="dxa"/>
            <w:right w:w="108" w:type="dxa"/>
          </w:tblCellMar>
        </w:tblPrEx>
        <w:trPr>
          <w:trHeight w:val="51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572D565C">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2E52B4F6">
        <w:tblPrEx>
          <w:tblCellMar>
            <w:top w:w="0" w:type="dxa"/>
            <w:left w:w="108" w:type="dxa"/>
            <w:bottom w:w="0" w:type="dxa"/>
            <w:right w:w="108" w:type="dxa"/>
          </w:tblCellMar>
        </w:tblPrEx>
        <w:trPr>
          <w:trHeight w:val="20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CAE4DBE">
        <w:tblPrEx>
          <w:tblCellMar>
            <w:top w:w="0" w:type="dxa"/>
            <w:left w:w="108" w:type="dxa"/>
            <w:bottom w:w="0" w:type="dxa"/>
            <w:right w:w="108" w:type="dxa"/>
          </w:tblCellMar>
        </w:tblPrEx>
        <w:trPr>
          <w:trHeight w:val="289"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2505AC4A">
        <w:tblPrEx>
          <w:tblCellMar>
            <w:top w:w="0" w:type="dxa"/>
            <w:left w:w="108" w:type="dxa"/>
            <w:bottom w:w="0" w:type="dxa"/>
            <w:right w:w="108" w:type="dxa"/>
          </w:tblCellMar>
        </w:tblPrEx>
        <w:trPr>
          <w:trHeight w:val="268"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AB793F3">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58615AC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F9FBC65">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3FF89AE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bl>
    <w:p w14:paraId="754F92EB">
      <w:pPr>
        <w:pStyle w:val="14"/>
        <w:spacing w:line="480" w:lineRule="exact"/>
        <w:ind w:firstLine="0" w:firstLineChars="0"/>
        <w:outlineLvl w:val="9"/>
        <w:rPr>
          <w:rFonts w:eastAsia="仿宋_GB2312"/>
          <w:b/>
          <w:bCs/>
          <w:color w:val="000000" w:themeColor="text1"/>
          <w:sz w:val="28"/>
          <w:szCs w:val="28"/>
          <w:highlight w:val="none"/>
          <w14:textFill>
            <w14:solidFill>
              <w14:schemeClr w14:val="tx1"/>
            </w14:solidFill>
          </w14:textFill>
        </w:rPr>
      </w:pPr>
    </w:p>
    <w:p w14:paraId="58EE0F42">
      <w:pPr>
        <w:pStyle w:val="14"/>
        <w:spacing w:line="480" w:lineRule="exact" w:before="0" w:after="0"/>
        <w:ind w:firstLine="0" w:firstLineChars="0"/>
        <w:outlineLvl w:val="9"/>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bCs/>
          <w:color w:val="000000" w:themeColor="text1"/>
          <w:sz w:val="28"/>
          <w:szCs w:val="28"/>
          <w:highlight w:val="none"/>
          <w14:textFill>
            <w14:solidFill>
              <w14:schemeClr w14:val="tx1"/>
            </w14:solidFill>
          </w14:textFill>
        </w:rPr>
        <w:t>比较实例A详细情况如下：</w:t>
      </w:r>
    </w:p>
    <w:p w14:paraId="31DE9F49">
      <w:pPr>
        <w:pStyle w:val="14"/>
        <w:spacing w:line="480" w:lineRule="exact" w:before="0" w:after="0"/>
        <w:ind w:firstLine="0" w:firstLineChars="0"/>
        <w:jc w:val="center"/>
        <w:outlineLvl w:val="9"/>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比较实例A</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03607D26">
      <w:pPr>
        <w:pStyle w:val="14"/>
        <w:spacing w:before="0" w:after="0" w:line="480" w:lineRule="exact"/>
        <w:ind w:firstLine="422"/>
        <w:jc w:val="center"/>
        <w:outlineLvl w:val="9"/>
        <w:rPr>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比较实例A位置图及现状图</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4245"/>
        <w:gridCol w:w="4365"/>
      </w:tblGrid>
      <w:tr w14:paraId="01FC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676" w:type="dxa"/>
            <w:vAlign w:val="center"/>
          </w:tcPr>
          <w:p w14:paraId="38EE65E2">
            <w:pPr>
              <w:pStyle w:val="14"/>
              <w:keepNext w:val="0"/>
              <w:keepLines w:val="0"/>
              <w:suppressLineNumbers w:val="0"/>
              <w:spacing w:before="0" w:beforeAutospacing="0" w:after="0" w:afterAutospacing="0"/>
              <w:ind w:left="0" w:right="0" w:firstLine="0" w:firstLineChars="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比较实例</w:t>
            </w:r>
          </w:p>
        </w:tc>
        <w:tc>
          <w:tcPr>
            <w:tcW w:w="4245" w:type="dxa"/>
            <w:vAlign w:val="center"/>
          </w:tcPr>
          <w:p w14:paraId="6E8202BD">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4365" w:type="dxa"/>
            <w:vAlign w:val="center"/>
          </w:tcPr>
          <w:p w14:paraId="6E3B30AA">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1F64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5" w:hRule="atLeast"/>
          <w:jc w:val="center"/>
        </w:trPr>
        <w:tc>
          <w:tcPr>
            <w:tcW w:w="676" w:type="dxa"/>
            <w:vAlign w:val="center"/>
          </w:tcPr>
          <w:p w14:paraId="2A20DF84">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实例A</w:t>
            </w:r>
          </w:p>
        </w:tc>
        <w:tc>
          <w:tcPr>
            <w:tcW w:w="4245" w:type="dxa"/>
            <w:vAlign w:val="center"/>
          </w:tcPr>
          <w:p w14:paraId="5F2693B1">
            <w:pPr>
              <w:pStyle w:val="14"/>
              <w:keepNext w:val="0"/>
              <w:keepLines w:val="0"/>
              <w:suppressLineNumbers w:val="0"/>
              <w:spacing w:before="0" w:beforeAutospacing="0" w:after="0" w:afterAutospacing="0"/>
              <w:ind w:left="0" w:right="0" w:firstLine="0" w:firstLineChars="0"/>
              <w:jc w:val="center"/>
              <w:outlineLvl w:val="9"/>
              <w:rPr>
                <w:rFonts w:hint="eastAsia" w:eastAsia="仿宋"/>
                <w:color w:val="000000" w:themeColor="text1"/>
                <w:szCs w:val="21"/>
                <w:highlight w:val="none"/>
                <w:lang w:eastAsia="zh-CN"/>
                <w14:textFill>
                  <w14:solidFill>
                    <w14:schemeClr w14:val="tx1"/>
                  </w14:solidFill>
                </w14:textFill>
              </w:rPr>
            </w:pPr>
            <w:r>
              <w:rPr>
                <w:rFonts w:hint="eastAsia" w:eastAsia="仿宋"/>
                <w:color w:val="000000" w:themeColor="text1"/>
                <w:szCs w:val="21"/>
                <w:highlight w:val="none"/>
                <w:lang w:eastAsia="zh-CN"/>
                <w14:textFill>
                  <w14:solidFill>
                    <w14:schemeClr w14:val="tx1"/>
                  </w14:solidFill>
                </w14:textFill>
              </w:rPr>
              <w:drawing>
                <wp:inline distT="0" distB="0" distL="114300" distR="114300">
                  <wp:extent cx="2628265" cy="1572260"/>
                  <wp:effectExtent l="0" t="0" r="8255" b="12700"/>
                  <wp:docPr id="1011" name="图片 35" descr="比较案例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比较案例A"/>
                          <pic:cNvPicPr>
                            <a:picLocks noChangeAspect="1"/>
                          </pic:cNvPicPr>
                        </pic:nvPicPr>
                        <pic:blipFill>
                          <a:blip r:embed="rId38"/>
                          <a:stretch>
                            <a:fillRect/>
                          </a:stretch>
                        </pic:blipFill>
                        <pic:spPr>
                          <a:xfrm>
                            <a:off x="0" y="0"/>
                            <a:ext cx="2628265" cy="1572260"/>
                          </a:xfrm>
                          <a:prstGeom prst="rect">
                            <a:avLst/>
                          </a:prstGeom>
                        </pic:spPr>
                      </pic:pic>
                    </a:graphicData>
                  </a:graphic>
                </wp:inline>
              </w:drawing>
            </w:r>
          </w:p>
        </w:tc>
        <w:tc>
          <w:tcPr>
            <w:tcW w:w="4365" w:type="dxa"/>
            <w:vAlign w:val="center"/>
          </w:tcPr>
          <w:p w14:paraId="2C8A8FD0">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drawing>
                <wp:inline distT="0" distB="0" distL="114300" distR="114300">
                  <wp:extent cx="2628265" cy="1572895"/>
                  <wp:effectExtent l="0" t="0" r="8255" b="12065"/>
                  <wp:docPr id="1012" name="图片 52" descr="689d6665ae17056abeb78e5d03d85f2"/>
                  <wp:cNvGraphicFramePr/>
                  <a:graphic xmlns:a="http://schemas.openxmlformats.org/drawingml/2006/main">
                    <a:graphicData uri="http://schemas.openxmlformats.org/drawingml/2006/picture">
                      <pic:pic xmlns:pic="http://schemas.openxmlformats.org/drawingml/2006/picture">
                        <pic:nvPicPr>
                          <pic:cNvPr id="52" name="图片 52" descr="689d6665ae17056abeb78e5d03d85f2"/>
                          <pic:cNvPicPr/>
                        </pic:nvPicPr>
                        <pic:blipFill>
                          <a:blip r:embed="rId39"/>
                          <a:stretch>
                            <a:fillRect/>
                          </a:stretch>
                        </pic:blipFill>
                        <pic:spPr>
                          <a:xfrm>
                            <a:off x="0" y="0"/>
                            <a:ext cx="2628265" cy="1572895"/>
                          </a:xfrm>
                          <a:prstGeom prst="rect">
                            <a:avLst/>
                          </a:prstGeom>
                          <a:noFill/>
                          <a:ln>
                            <a:noFill/>
                          </a:ln>
                        </pic:spPr>
                      </pic:pic>
                    </a:graphicData>
                  </a:graphic>
                </wp:inline>
              </w:drawing>
            </w:r>
          </w:p>
        </w:tc>
      </w:tr>
    </w:tbl>
    <w:p w14:paraId="4944F8E9">
      <w:pPr>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br w:type="page"/>
      </w:r>
    </w:p>
    <w:p w14:paraId="3E6C11B4">
      <w:pPr>
        <w:pStyle w:val="14"/>
        <w:spacing w:line="480" w:lineRule="exact" w:before="0" w:after="0"/>
        <w:ind w:firstLine="0" w:firstLineChars="0"/>
        <w:outlineLvl w:val="9"/>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比较实例B详细情况如下：</w:t>
      </w:r>
    </w:p>
    <w:p w14:paraId="7B7DDE56">
      <w:pPr>
        <w:pStyle w:val="14"/>
        <w:spacing w:line="480" w:lineRule="exact" w:before="0" w:after="0"/>
        <w:ind w:firstLine="0" w:firstLineChars="0"/>
        <w:jc w:val="center"/>
        <w:outlineLvl w:val="9"/>
        <w:rPr>
          <w:rFonts w:eastAsia="仿宋_GB2312"/>
          <w:b/>
          <w:bCs/>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比较实例B</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102E8177">
      <w:pPr>
        <w:pStyle w:val="14"/>
        <w:spacing w:before="0" w:after="0" w:line="480" w:lineRule="exact"/>
        <w:ind w:left="0" w:leftChars="0" w:firstLine="0" w:firstLineChars="0"/>
        <w:jc w:val="center"/>
        <w:rPr>
          <w:rFonts w:eastAsia="仿宋_GB2312"/>
          <w:b/>
          <w:color w:val="000000" w:themeColor="text1"/>
          <w:szCs w:val="21"/>
          <w:highlight w:val="none"/>
          <w14:textFill>
            <w14:solidFill>
              <w14:schemeClr w14:val="tx1"/>
            </w14:solidFill>
          </w14:textFill>
        </w:rPr>
      </w:pPr>
      <w:r>
        <w:rPr>
          <w:rFonts w:ascii="仿宋_GB2312" w:hAnsi="仿宋_GB2312" w:eastAsia="仿宋_GB2312" w:cs="仿宋_GB2312"/>
          <w:color w:val="000000" w:themeColor="text1"/>
          <w:sz w:val="28"/>
          <w:highlight w:val="none"/>
          <w14:textFill>
            <w14:solidFill>
              <w14:schemeClr w14:val="tx1"/>
            </w14:solidFill>
          </w14:textFill>
        </w:rPr>
        <w:drawing>
          <wp:inline distT="0" distB="0" distL="114300" distR="114300">
            <wp:extent cx="5271770" cy="3158490"/>
            <wp:effectExtent l="0" t="0" r="1270" b="11430"/>
            <wp:docPr id="10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40"/>
                    <a:stretch>
                      <a:fillRect/>
                    </a:stretch>
                  </pic:blipFill>
                  <pic:spPr>
                    <a:xfrm>
                      <a:off x="0" y="0"/>
                      <a:ext cx="5271770" cy="3158490"/>
                    </a:xfrm>
                    <a:prstGeom prst="rect">
                      <a:avLst/>
                    </a:prstGeom>
                    <a:noFill/>
                    <a:ln>
                      <a:noFill/>
                    </a:ln>
                  </pic:spPr>
                </pic:pic>
              </a:graphicData>
            </a:graphic>
          </wp:inline>
        </w:drawing>
      </w:r>
      <w:r>
        <w:rPr>
          <w:rFonts w:eastAsia="仿宋_GB2312" w:ascii="仿宋_GB2312" w:hAnsi="仿宋_GB2312" w:cs="仿宋_GB2312"/>
          <w:b/>
          <w:color w:val="000000" w:themeColor="text1"/>
          <w:sz w:val="28"/>
          <w:szCs w:val="21"/>
          <w:highlight w:val="none"/>
          <w14:textFill>
            <w14:solidFill>
              <w14:schemeClr w14:val="tx1"/>
            </w14:solidFill>
          </w14:textFill>
        </w:rPr>
        <w:t>比较实例B位置图及现状图</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0256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363" w:type="pct"/>
            <w:vAlign w:val="center"/>
          </w:tcPr>
          <w:p w14:paraId="6C10628A">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2285" w:type="pct"/>
            <w:vAlign w:val="center"/>
          </w:tcPr>
          <w:p w14:paraId="0B9C91CD">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2350" w:type="pct"/>
            <w:vAlign w:val="center"/>
          </w:tcPr>
          <w:p w14:paraId="721A9899">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4C34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3" w:hRule="atLeast"/>
        </w:trPr>
        <w:tc>
          <w:tcPr>
            <w:tcW w:w="363" w:type="pct"/>
            <w:vAlign w:val="center"/>
          </w:tcPr>
          <w:p w14:paraId="30CBF3F6">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实例B</w:t>
            </w:r>
          </w:p>
        </w:tc>
        <w:tc>
          <w:tcPr>
            <w:tcW w:w="2285" w:type="pct"/>
            <w:vAlign w:val="center"/>
          </w:tcPr>
          <w:p w14:paraId="24BAA9DC">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1014" name="图片 36" descr="案例B位置"/>
                  <wp:cNvGraphicFramePr/>
                  <a:graphic xmlns:a="http://schemas.openxmlformats.org/drawingml/2006/main">
                    <a:graphicData uri="http://schemas.openxmlformats.org/drawingml/2006/picture">
                      <pic:pic xmlns:pic="http://schemas.openxmlformats.org/drawingml/2006/picture">
                        <pic:nvPicPr>
                          <pic:cNvPr id="36" name="图片 36" descr="案例B位置"/>
                          <pic:cNvPicPr/>
                        </pic:nvPicPr>
                        <pic:blipFill>
                          <a:blip r:embed="rId41"/>
                          <a:srcRect l="8609" r="11894"/>
                          <a:stretch>
                            <a:fillRect/>
                          </a:stretch>
                        </pic:blipFill>
                        <pic:spPr>
                          <a:xfrm>
                            <a:off x="0" y="0"/>
                            <a:ext cx="2628265" cy="1572895"/>
                          </a:xfrm>
                          <a:prstGeom prst="rect">
                            <a:avLst/>
                          </a:prstGeom>
                        </pic:spPr>
                      </pic:pic>
                    </a:graphicData>
                  </a:graphic>
                </wp:inline>
              </w:drawing>
            </w:r>
          </w:p>
        </w:tc>
        <w:tc>
          <w:tcPr>
            <w:tcW w:w="2350" w:type="pct"/>
            <w:vAlign w:val="center"/>
          </w:tcPr>
          <w:p w14:paraId="32DDA442">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drawing>
                <wp:inline distT="0" distB="0" distL="114300" distR="114300">
                  <wp:extent cx="2628265" cy="1572895"/>
                  <wp:effectExtent l="0" t="0" r="8255" b="12065"/>
                  <wp:docPr id="1015" name="图片 37" descr="微信图片_20201222145553"/>
                  <wp:cNvGraphicFramePr/>
                  <a:graphic xmlns:a="http://schemas.openxmlformats.org/drawingml/2006/main">
                    <a:graphicData uri="http://schemas.openxmlformats.org/drawingml/2006/picture">
                      <pic:pic xmlns:pic="http://schemas.openxmlformats.org/drawingml/2006/picture">
                        <pic:nvPicPr>
                          <pic:cNvPr id="37" name="图片 37" descr="微信图片_20201222145553"/>
                          <pic:cNvPicPr/>
                        </pic:nvPicPr>
                        <pic:blipFill>
                          <a:blip r:embed="rId42" cstate="print">
                            <a:extLst>
                              <a:ext uri="{28A0092B-C50C-407E-A947-70E740481C1C}">
                                <a14:useLocalDpi xmlns:a14="http://schemas.microsoft.com/office/drawing/2010/main" val="0"/>
                              </a:ext>
                            </a:extLst>
                          </a:blip>
                          <a:srcRect l="2073" t="17109" r="42863" b="31843"/>
                          <a:stretch>
                            <a:fillRect/>
                          </a:stretch>
                        </pic:blipFill>
                        <pic:spPr>
                          <a:xfrm>
                            <a:off x="0" y="0"/>
                            <a:ext cx="2628265" cy="1572895"/>
                          </a:xfrm>
                          <a:prstGeom prst="rect">
                            <a:avLst/>
                          </a:prstGeom>
                        </pic:spPr>
                      </pic:pic>
                    </a:graphicData>
                  </a:graphic>
                </wp:inline>
              </w:drawing>
            </w:r>
          </w:p>
        </w:tc>
      </w:tr>
    </w:tbl>
    <w:p w14:paraId="7E168ECF">
      <w:pPr>
        <w:spacing w:before="0" w:after="0" w:line="480" w:lineRule="exact"/>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bCs/>
          <w:color w:val="000000" w:themeColor="text1"/>
          <w:sz w:val="28"/>
          <w:szCs w:val="28"/>
          <w:highlight w:val="none"/>
          <w14:textFill>
            <w14:solidFill>
              <w14:schemeClr w14:val="tx1"/>
            </w14:solidFill>
          </w14:textFill>
        </w:rPr>
        <w:br w:type="page"/>
      </w:r>
      <w:r>
        <w:rPr>
          <w:rFonts w:eastAsia="仿宋_GB2312" w:ascii="仿宋_GB2312" w:hAnsi="仿宋_GB2312" w:cs="仿宋_GB2312"/>
          <w:b/>
          <w:bCs/>
          <w:color w:val="000000" w:themeColor="text1"/>
          <w:sz w:val="28"/>
          <w:szCs w:val="28"/>
          <w:highlight w:val="none"/>
          <w14:textFill>
            <w14:solidFill>
              <w14:schemeClr w14:val="tx1"/>
            </w14:solidFill>
          </w14:textFill>
        </w:rPr>
        <w:t>比较实例C详细情况如下：</w:t>
      </w:r>
    </w:p>
    <w:p w14:paraId="736EFE6E">
      <w:pPr>
        <w:pStyle w:val="14"/>
        <w:spacing w:line="480" w:lineRule="exact" w:before="0" w:after="0"/>
        <w:ind w:firstLine="0" w:firstLineChars="0"/>
        <w:jc w:val="center"/>
        <w:rPr>
          <w:rFonts w:eastAsia="仿宋_GB2312"/>
          <w:b/>
          <w:bCs/>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比较实例C</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4ED4690A">
      <w:pPr>
        <w:pStyle w:val="14"/>
        <w:spacing w:before="0" w:after="0" w:line="480" w:lineRule="exact"/>
        <w:ind w:firstLine="422"/>
        <w:jc w:val="center"/>
        <w:rPr>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比较实例C位置图及现状图</w:t>
      </w:r>
    </w:p>
    <w:tbl>
      <w:tblPr>
        <w:tblStyle w:val="10"/>
        <w:tblpPr w:leftFromText="180" w:rightFromText="180" w:vertAnchor="text" w:horzAnchor="page" w:tblpX="1453" w:tblpY="2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2610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894920">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0" w:type="auto"/>
            <w:vAlign w:val="center"/>
          </w:tcPr>
          <w:p w14:paraId="4DCCF32F">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0" w:type="auto"/>
            <w:vAlign w:val="center"/>
          </w:tcPr>
          <w:p w14:paraId="459A7A21">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518A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0" w:hRule="atLeast"/>
        </w:trPr>
        <w:tc>
          <w:tcPr>
            <w:tcW w:w="0" w:type="auto"/>
            <w:vAlign w:val="center"/>
          </w:tcPr>
          <w:p w14:paraId="25BE6313">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实例C</w:t>
            </w:r>
          </w:p>
        </w:tc>
        <w:tc>
          <w:tcPr>
            <w:tcW w:w="0" w:type="auto"/>
            <w:vAlign w:val="center"/>
          </w:tcPr>
          <w:p w14:paraId="4D1AE78D">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1016" name="图片 33" descr="比较案例C"/>
                  <wp:cNvGraphicFramePr/>
                  <a:graphic xmlns:a="http://schemas.openxmlformats.org/drawingml/2006/main">
                    <a:graphicData uri="http://schemas.openxmlformats.org/drawingml/2006/picture">
                      <pic:pic xmlns:pic="http://schemas.openxmlformats.org/drawingml/2006/picture">
                        <pic:nvPicPr>
                          <pic:cNvPr id="33" name="图片 33" descr="比较案例C"/>
                          <pic:cNvPicPr/>
                        </pic:nvPicPr>
                        <pic:blipFill>
                          <a:blip r:embed="rId44"/>
                          <a:stretch>
                            <a:fillRect/>
                          </a:stretch>
                        </pic:blipFill>
                        <pic:spPr>
                          <a:xfrm>
                            <a:off x="0" y="0"/>
                            <a:ext cx="2628265" cy="1572895"/>
                          </a:xfrm>
                          <a:prstGeom prst="rect">
                            <a:avLst/>
                          </a:prstGeom>
                        </pic:spPr>
                      </pic:pic>
                    </a:graphicData>
                  </a:graphic>
                </wp:inline>
              </w:drawing>
            </w:r>
          </w:p>
        </w:tc>
        <w:tc>
          <w:tcPr>
            <w:tcW w:w="0" w:type="auto"/>
            <w:vAlign w:val="center"/>
          </w:tcPr>
          <w:p w14:paraId="45D65965">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ascii="仿宋_GB2312" w:eastAsia="仿宋_GB2312"/>
                <w:color w:val="000000" w:themeColor="text1"/>
                <w:sz w:val="28"/>
                <w:szCs w:val="30"/>
                <w:highlight w:val="none"/>
                <w14:textFill>
                  <w14:solidFill>
                    <w14:schemeClr w14:val="tx1"/>
                  </w14:solidFill>
                </w14:textFill>
              </w:rPr>
              <w:drawing>
                <wp:inline distT="0" distB="0" distL="114300" distR="114300">
                  <wp:extent cx="2628265" cy="1572895"/>
                  <wp:effectExtent l="0" t="0" r="8255" b="12065"/>
                  <wp:docPr id="1017" name="图片 3" descr="E:/永湘共享文件/外勘图片/2022年外勘/2022年12月13日外勘/长沙恩吉实业投资有限公司宗地/微信图片_202212131552021.jpg微信图片_202212131552021"/>
                  <wp:cNvGraphicFramePr/>
                  <a:graphic xmlns:a="http://schemas.openxmlformats.org/drawingml/2006/main">
                    <a:graphicData uri="http://schemas.openxmlformats.org/drawingml/2006/picture">
                      <pic:pic xmlns:pic="http://schemas.openxmlformats.org/drawingml/2006/picture">
                        <pic:nvPicPr>
                          <pic:cNvPr id="59" name="图片 3" descr="E:/永湘共享文件/外勘图片/2022年外勘/2022年12月13日外勘/长沙恩吉实业投资有限公司宗地/微信图片_202212131552021.jpg微信图片_202212131552021"/>
                          <pic:cNvPicPr/>
                        </pic:nvPicPr>
                        <pic:blipFill>
                          <a:blip r:embed="rId45"/>
                          <a:srcRect t="10974" b="10974"/>
                          <a:stretch>
                            <a:fillRect/>
                          </a:stretch>
                        </pic:blipFill>
                        <pic:spPr>
                          <a:xfrm>
                            <a:off x="0" y="0"/>
                            <a:ext cx="2628265" cy="1572895"/>
                          </a:xfrm>
                          <a:prstGeom prst="rect">
                            <a:avLst/>
                          </a:prstGeom>
                          <a:noFill/>
                          <a:ln>
                            <a:noFill/>
                          </a:ln>
                        </pic:spPr>
                      </pic:pic>
                    </a:graphicData>
                  </a:graphic>
                </wp:inline>
              </w:drawing>
            </w:r>
          </w:p>
        </w:tc>
      </w:tr>
    </w:tbl>
    <w:p w14:paraId="1856B96D">
      <w:pPr>
        <w:pStyle w:val="14"/>
        <w:jc w:val="center"/>
        <w:rPr>
          <w:color w:val="000000" w:themeColor="text1"/>
          <w:highlight w:val="none"/>
          <w14:textFill>
            <w14:solidFill>
              <w14:schemeClr w14:val="tx1"/>
            </w14:solidFill>
          </w14:textFill>
        </w:rPr>
      </w:pPr>
    </w:p>
    <w:p w14:paraId="49065A06">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9E6ADA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4F1D14D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4A649C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C6CEC5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7C1E27F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A70F61B">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3.建立价格可比基础</w:t>
      </w:r>
    </w:p>
    <w:p w14:paraId="55D9ACF5">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选取了比较实例后，一般应先对这些比较实例的成交价格进行换算处理，对价格内涵和形式进行“标准化”，使它们之间的口径一致、相互可比，为后续对比较实例成交价格进行修正和调整建立一个共同的基础。</w:t>
      </w:r>
    </w:p>
    <w:p w14:paraId="6D383542">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建立可比基础一般要做以下工作：①统一付款方式；②统一币种和货币单位；③统一面积内涵和面积单位等。</w:t>
      </w:r>
    </w:p>
    <w:p w14:paraId="11DD5D81">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对比较实例成交价格内涵和形式的调查分析与待估宗地价格比较，两者相同，具体情况为：付款方式为在交易日期一次性付清，税费负担为各付各税，计价单位为人民币元/平方米.土地面积，面积内涵不包含非土地成分，土地实物范围没有特殊情况，土地面积单位为平方米等。</w:t>
      </w:r>
    </w:p>
    <w:p w14:paraId="0399D17D">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可比实例与估价对象在付款方式、币种、货币单位、面积内涵和面积单位是统一的，价格可比基础相同，故无需进行调整。</w:t>
      </w:r>
    </w:p>
    <w:p w14:paraId="0FB91129">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4.比较因素的选择</w:t>
      </w:r>
    </w:p>
    <w:p w14:paraId="30F02594">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根据估价对象的宗地条件，影响估价对象价格的主要因素有：</w:t>
      </w:r>
    </w:p>
    <w:p w14:paraId="1F3D7141">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①交易时间：根据地价指数，确定估价期日修正系数。</w:t>
      </w:r>
    </w:p>
    <w:p w14:paraId="5EBC8558">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②交易情况：主要指交易是否正常、公开、公平、自愿的交易。</w:t>
      </w:r>
    </w:p>
    <w:p w14:paraId="5433840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③交易方式：主要指拍卖、招标、挂牌、协议出让、转让、企业改制、抵押等。</w:t>
      </w:r>
    </w:p>
    <w:p w14:paraId="1BBD88EB">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④土地用途：是指土地的具体用途，如商服用地、住宅用地、工矿仓储用地等。</w:t>
      </w:r>
    </w:p>
    <w:p w14:paraId="1D4B38A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⑤土地级别：级别相同、相近或可修正。</w:t>
      </w:r>
    </w:p>
    <w:p w14:paraId="2AB22DC3">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⑥土地使用年期：指待估宗地和比较实例的土地使用年期。</w:t>
      </w:r>
    </w:p>
    <w:p w14:paraId="1E6A0652">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⑦区域因素：主要有</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距高速出入口距离、距货运火车站距离、临近道路状况、产业集聚程度、公共配套设施完善度、环境质量优劣度</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等。</w:t>
      </w:r>
    </w:p>
    <w:p w14:paraId="326EADCC">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begin"/>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instrText xml:space="preserve"> = 8 \* GB3 \* MERGEFORMAT </w:instrTex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separate"/>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⑧</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end"/>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个别因素：主要有宗地</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规模</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、宗地形状、</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地势</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地质</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、规划限制等。</w:t>
      </w:r>
    </w:p>
    <w:p w14:paraId="61964A8D">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5.比较因素条件说明</w:t>
      </w:r>
    </w:p>
    <w:p w14:paraId="3B6B07B5">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根据估价对象的特点，综合确定交易时间、交易情况、交易方式、土地用途、土地使用年期、区域因素、个别因素作为本次估价的比较因素，估价对象与可比实例的比较因素具体情况见下表：</w:t>
      </w:r>
    </w:p>
    <w:p w14:paraId="74A633D9">
      <w:pPr>
        <w:keepNext/>
        <w:spacing w:line="480" w:lineRule="exact" w:before="157" w:after="10"/>
        <w:ind w:firstLine="0" w:left="0" w:right="0"/>
        <w:jc w:val="center"/>
        <w:outlineLvl w:val="9"/>
        <w:rPr>
          <w:rFonts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14:textFill>
            <w14:solidFill>
              <w14:schemeClr w14:val="tx1"/>
            </w14:solidFill>
          </w14:textFill>
        </w:rPr>
        <w:t>表3-</w:t>
      </w: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 w:val="0"/>
          <w:bCs/>
          <w:color w:val="000000" w:themeColor="text1"/>
          <w:sz w:val="28"/>
          <w:szCs w:val="28"/>
          <w:highlight w:val="none"/>
          <w14:textFill>
            <w14:solidFill>
              <w14:schemeClr w14:val="tx1"/>
            </w14:solidFill>
          </w14:textFill>
        </w:rPr>
        <w:t xml:space="preserve"> 比较因素条件说明表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75"/>
        <w:gridCol w:w="375"/>
        <w:gridCol w:w="1870"/>
        <w:gridCol w:w="1546"/>
        <w:gridCol w:w="1453"/>
        <w:gridCol w:w="1451"/>
        <w:gridCol w:w="1452"/>
      </w:tblGrid>
      <w:tr w14:paraId="39B74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AB39BE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待估宗地及本级实例</w:t>
            </w:r>
          </w:p>
        </w:tc>
        <w:tc>
          <w:tcPr>
            <w:tcW w:w="90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1BC7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31AC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6469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C6A8B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7F53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r>
      <w:tr w14:paraId="367B1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31EFB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72492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3232D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4B0FA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55E5E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0EE19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165B7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011E4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restart"/>
            <w:tcBorders>
              <w:top w:val="single" w:color="000000" w:sz="4" w:space="0"/>
              <w:left w:val="single" w:color="000000" w:sz="4" w:space="0"/>
              <w:bottom w:val="single" w:color="000000" w:sz="4" w:space="0"/>
              <w:right w:val="single" w:color="auto" w:sz="4" w:space="0"/>
            </w:tcBorders>
            <w:shd w:val="clear" w:color="auto" w:fill="auto"/>
            <w:vAlign w:val="center"/>
          </w:tcPr>
          <w:p>
            <w:r/>
          </w:p>
        </w:tc>
        <w:tc>
          <w:tcPr>
            <w:tcW w:w="22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643CC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4B6853A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900787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noWrap/>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0560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1E8A677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707443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89F8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543C48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39EC4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FA1635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7C623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DAE868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665ED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1317" w:type="pct"/>
            <w:gridSpan w:val="2"/>
            <w:tcBorders>
              <w:top w:val="single" w:color="auto"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nil"/>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3C061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721A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46C86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071C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23B5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FECEE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58CA2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8"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414A5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bl>
    <w:p w14:paraId="336907F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6.编制比较因素条件指数表</w:t>
      </w:r>
    </w:p>
    <w:tbl>
      <w:tblPr>
        <w:tblStyle w:val="9"/>
        <w:tblW w:w="543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9"/>
        <w:gridCol w:w="1828"/>
        <w:gridCol w:w="1738"/>
        <w:gridCol w:w="1723"/>
        <w:gridCol w:w="1880"/>
      </w:tblGrid>
      <w:tr w14:paraId="2665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14:paraId="2009CEE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估价对象与比较案例</w:t>
            </w:r>
          </w:p>
        </w:tc>
        <w:tc>
          <w:tcPr>
            <w:tcW w:w="987" w:type="pct"/>
            <w:noWrap w:val="0"/>
            <w:vAlign w:val="center"/>
          </w:tcPr>
          <w:p w14:paraId="259466A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938" w:type="pct"/>
            <w:noWrap w:val="0"/>
            <w:vAlign w:val="center"/>
          </w:tcPr>
          <w:p w14:paraId="02468E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实例A</w:t>
            </w:r>
          </w:p>
        </w:tc>
        <w:tc>
          <w:tcPr>
            <w:tcW w:w="930" w:type="pct"/>
            <w:noWrap w:val="0"/>
            <w:vAlign w:val="center"/>
          </w:tcPr>
          <w:p w14:paraId="4147C4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实例B</w:t>
            </w:r>
          </w:p>
        </w:tc>
        <w:tc>
          <w:tcPr>
            <w:tcW w:w="1015" w:type="pct"/>
            <w:noWrap w:val="0"/>
            <w:vAlign w:val="center"/>
          </w:tcPr>
          <w:p w14:paraId="14801E0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实例C</w:t>
            </w:r>
          </w:p>
        </w:tc>
      </w:tr>
      <w:tr w14:paraId="62639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1128" w:type="pct"/>
            <w:noWrap w:val="0"/>
            <w:vAlign w:val="center"/>
          </w:tcPr>
          <w:p>
            <w:r/>
          </w:p>
        </w:tc>
        <w:tc>
          <w:tcPr>
            <w:tcW w:w="987" w:type="pct"/>
            <w:noWrap w:val="0"/>
            <w:vAlign w:val="center"/>
          </w:tcPr>
          <w:p>
            <w:r/>
          </w:p>
        </w:tc>
        <w:tc>
          <w:tcPr>
            <w:tcW w:w="938" w:type="pct"/>
            <w:noWrap w:val="0"/>
            <w:vAlign w:val="center"/>
          </w:tcPr>
          <w:p>
            <w:r/>
          </w:p>
        </w:tc>
        <w:tc>
          <w:tcPr>
            <w:tcW w:w="930" w:type="pct"/>
            <w:noWrap w:val="0"/>
            <w:vAlign w:val="center"/>
          </w:tcPr>
          <w:p>
            <w:r/>
          </w:p>
        </w:tc>
        <w:tc>
          <w:tcPr>
            <w:tcW w:w="1015" w:type="pct"/>
            <w:noWrap w:val="0"/>
            <w:vAlign w:val="center"/>
          </w:tcPr>
          <w:p>
            <w:r/>
          </w:p>
        </w:tc>
      </w:tr>
      <w:tr w14:paraId="269E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r/>
          </w:p>
        </w:tc>
        <w:tc>
          <w:tcPr>
            <w:tcW w:w="987" w:type="pct"/>
            <w:noWrap w:val="0"/>
            <w:vAlign w:val="center"/>
          </w:tcPr>
          <w:p>
            <w:r/>
          </w:p>
        </w:tc>
        <w:tc>
          <w:tcPr>
            <w:tcW w:w="938" w:type="pct"/>
            <w:noWrap w:val="0"/>
            <w:vAlign w:val="center"/>
          </w:tcPr>
          <w:p>
            <w:r/>
          </w:p>
        </w:tc>
        <w:tc>
          <w:tcPr>
            <w:tcW w:w="930" w:type="pct"/>
            <w:noWrap w:val="0"/>
            <w:vAlign w:val="center"/>
          </w:tcPr>
          <w:p>
            <w:r/>
          </w:p>
        </w:tc>
        <w:tc>
          <w:tcPr>
            <w:tcW w:w="1015" w:type="pct"/>
            <w:noWrap w:val="0"/>
            <w:vAlign w:val="center"/>
          </w:tcPr>
          <w:p>
            <w:r/>
          </w:p>
        </w:tc>
      </w:tr>
      <w:tr w14:paraId="2564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1128" w:type="pct"/>
            <w:noWrap w:val="0"/>
            <w:vAlign w:val="center"/>
          </w:tcPr>
          <w:p>
            <w:r/>
          </w:p>
        </w:tc>
        <w:tc>
          <w:tcPr>
            <w:tcW w:w="1828" w:type="dxa"/>
            <w:noWrap w:val="0"/>
            <w:vAlign w:val="center"/>
          </w:tcPr>
          <w:p>
            <w:r/>
          </w:p>
        </w:tc>
        <w:tc>
          <w:tcPr>
            <w:tcW w:w="1738" w:type="dxa"/>
            <w:noWrap w:val="0"/>
            <w:vAlign w:val="center"/>
          </w:tcPr>
          <w:p>
            <w:r/>
          </w:p>
        </w:tc>
        <w:tc>
          <w:tcPr>
            <w:tcW w:w="1723" w:type="dxa"/>
            <w:noWrap w:val="0"/>
            <w:vAlign w:val="center"/>
          </w:tcPr>
          <w:p>
            <w:r/>
          </w:p>
        </w:tc>
        <w:tc>
          <w:tcPr>
            <w:tcW w:w="1880" w:type="dxa"/>
            <w:noWrap w:val="0"/>
            <w:vAlign w:val="center"/>
          </w:tcPr>
          <w:p>
            <w:r/>
          </w:p>
        </w:tc>
      </w:tr>
    </w:tbl>
    <w:p>
      <w:pPr>
        <w:spacing w:before="0" w:after="0" w:line="480" w:lineRule="exact"/>
      </w:pPr>
      <w:r>
        <w:rPr>
          <w:rFonts w:ascii="仿宋_GB2312" w:hAnsi="仿宋_GB2312" w:eastAsia="仿宋_GB2312" w:cs="仿宋_GB2312"/>
          <w:sz w:val="28"/>
        </w:rPr>
        <w:t>比较因素条件指数及修正依据由当前报告冻结的结构化市场比较法分析生成。</w:t>
      </w:r>
    </w:p>
    <w:p w14:paraId="642DF68B">
      <w:pPr>
        <w:keepNext/>
        <w:spacing w:line="480" w:lineRule="exact" w:before="157" w:after="10"/>
        <w:ind w:firstLine="0" w:left="0" w:right="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表3-13 估价对象及比较因素条件指数表</w:t>
      </w:r>
    </w:p>
    <w:tbl>
      <w:tblPr>
        <w:tblStyle w:val="9"/>
        <w:tblW w:w="502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
        <w:gridCol w:w="579"/>
        <w:gridCol w:w="1580"/>
        <w:gridCol w:w="1509"/>
        <w:gridCol w:w="1464"/>
        <w:gridCol w:w="1464"/>
        <w:gridCol w:w="1464"/>
      </w:tblGrid>
      <w:tr w14:paraId="58AA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52" w:type="pct"/>
            <w:gridSpan w:val="3"/>
            <w:tcBorders>
              <w:tl2br w:val="single" w:color="auto" w:sz="4" w:space="0"/>
            </w:tcBorders>
            <w:shd w:val="clear" w:color="000000" w:fill="FFFFFF"/>
            <w:noWrap w:val="0"/>
            <w:vAlign w:val="center"/>
          </w:tcPr>
          <w:p w14:paraId="34F6D4F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4CB6668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81" w:type="pct"/>
            <w:shd w:val="clear" w:color="000000" w:fill="FFFFFF"/>
            <w:noWrap w:val="0"/>
            <w:vAlign w:val="center"/>
          </w:tcPr>
          <w:p w14:paraId="5EADBEF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855" w:type="pct"/>
            <w:shd w:val="clear" w:color="000000" w:fill="FFFFFF"/>
            <w:noWrap w:val="0"/>
            <w:vAlign w:val="center"/>
          </w:tcPr>
          <w:p w14:paraId="3ACB018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55" w:type="pct"/>
            <w:shd w:val="clear" w:color="000000" w:fill="FFFFFF"/>
            <w:noWrap w:val="0"/>
            <w:vAlign w:val="center"/>
          </w:tcPr>
          <w:p w14:paraId="169960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855" w:type="pct"/>
            <w:shd w:val="clear" w:color="000000" w:fill="FFFFFF"/>
            <w:noWrap w:val="0"/>
            <w:vAlign w:val="center"/>
          </w:tcPr>
          <w:p w14:paraId="02CDF69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1BB6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C09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881" w:type="pct"/>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B5A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D1C9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A0F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1CAF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3AA7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0FB7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90" w:type="pct"/>
            <w:vMerge w:val="restart"/>
            <w:shd w:val="clear" w:color="auto" w:fill="auto"/>
            <w:noWrap w:val="0"/>
            <w:vAlign w:val="center"/>
          </w:tcPr>
          <w:p>
            <w:r/>
          </w:p>
        </w:tc>
        <w:tc>
          <w:tcPr>
            <w:tcW w:w="338" w:type="pct"/>
            <w:vMerge w:val="restart"/>
            <w:shd w:val="clear" w:color="auto" w:fill="auto"/>
            <w:noWrap w:val="0"/>
            <w:vAlign w:val="center"/>
          </w:tcPr>
          <w:p>
            <w:r/>
          </w:p>
        </w:tc>
        <w:tc>
          <w:tcPr>
            <w:tcW w:w="923" w:type="pct"/>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16F1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15FEEF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5E611C2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r/>
          </w:p>
        </w:tc>
        <w:tc>
          <w:tcPr>
            <w:tcW w:w="1509" w:type="dxa"/>
            <w:noWrap w:val="0"/>
            <w:vAlign w:val="center"/>
          </w:tcPr>
          <w:p>
            <w:r/>
          </w:p>
        </w:tc>
        <w:tc>
          <w:tcPr>
            <w:tcW w:w="1464" w:type="dxa"/>
            <w:noWrap w:val="0"/>
            <w:vAlign w:val="center"/>
          </w:tcPr>
          <w:p>
            <w:r/>
          </w:p>
        </w:tc>
        <w:tc>
          <w:tcPr>
            <w:tcW w:w="1464" w:type="dxa"/>
            <w:noWrap w:val="0"/>
            <w:vAlign w:val="center"/>
          </w:tcPr>
          <w:p>
            <w:r/>
          </w:p>
        </w:tc>
        <w:tc>
          <w:tcPr>
            <w:tcW w:w="1464" w:type="dxa"/>
            <w:noWrap w:val="0"/>
            <w:vAlign w:val="center"/>
          </w:tcPr>
          <w:p>
            <w:r/>
          </w:p>
        </w:tc>
      </w:tr>
      <w:tr w14:paraId="53D0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2CDFF32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619D604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r/>
          </w:p>
        </w:tc>
        <w:tc>
          <w:tcPr>
            <w:tcW w:w="1509" w:type="dxa"/>
            <w:noWrap w:val="0"/>
            <w:vAlign w:val="center"/>
          </w:tcPr>
          <w:p>
            <w:r/>
          </w:p>
        </w:tc>
        <w:tc>
          <w:tcPr>
            <w:tcW w:w="1464" w:type="dxa"/>
            <w:noWrap w:val="0"/>
            <w:vAlign w:val="center"/>
          </w:tcPr>
          <w:p>
            <w:r/>
          </w:p>
        </w:tc>
        <w:tc>
          <w:tcPr>
            <w:tcW w:w="1464" w:type="dxa"/>
            <w:noWrap w:val="0"/>
            <w:vAlign w:val="center"/>
          </w:tcPr>
          <w:p>
            <w:r/>
          </w:p>
        </w:tc>
        <w:tc>
          <w:tcPr>
            <w:tcW w:w="1464" w:type="dxa"/>
            <w:noWrap w:val="0"/>
            <w:vAlign w:val="center"/>
          </w:tcPr>
          <w:p>
            <w:r/>
          </w:p>
        </w:tc>
      </w:tr>
      <w:tr w14:paraId="6064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03E8B6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20BA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324AA1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0BA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90" w:type="pct"/>
            <w:vMerge w:val="continue"/>
            <w:shd w:val="clear" w:color="auto" w:fill="auto"/>
            <w:noWrap w:val="0"/>
            <w:vAlign w:val="center"/>
          </w:tcPr>
          <w:p w14:paraId="7F0B26B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26B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restart"/>
            <w:shd w:val="clear" w:color="000000" w:fill="FFFFFF"/>
            <w:noWrap w:val="0"/>
            <w:vAlign w:val="center"/>
          </w:tcPr>
          <w:p>
            <w: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1AC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7A050D7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2DE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5051967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4F8D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3EF9E5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5BF5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 w:hRule="atLeast"/>
        </w:trPr>
        <w:tc>
          <w:tcPr>
            <w:tcW w:w="290" w:type="pct"/>
            <w:vMerge w:val="continue"/>
            <w:shd w:val="clear" w:color="auto" w:fill="auto"/>
            <w:noWrap w:val="0"/>
            <w:vAlign w:val="center"/>
          </w:tcPr>
          <w:p w14:paraId="749BCB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bl>
    <w:p w14:paraId="22F5FFFA">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在各因素条件指数的基础上进行比较实例各影响因素修正，将估价对象的因素条件指数，得到因素修正系数见下表。</w:t>
      </w:r>
    </w:p>
    <w:p w14:paraId="32953262">
      <w:pPr>
        <w:keepNext/>
        <w:spacing w:line="480" w:lineRule="exact" w:before="157" w:after="10"/>
        <w:ind w:firstLine="0" w:left="0" w:right="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表3-14 估价对象比较因素修正系数表</w:t>
      </w:r>
    </w:p>
    <w:tbl>
      <w:tblPr>
        <w:tblStyle w:val="9"/>
        <w:tblW w:w="5009" w:type="pct"/>
        <w:tblInd w:w="0" w:type="dxa"/>
        <w:tblLayout w:type="fixed"/>
        <w:tblCellMar>
          <w:top w:w="0" w:type="dxa"/>
          <w:left w:w="108" w:type="dxa"/>
          <w:bottom w:w="0" w:type="dxa"/>
          <w:right w:w="108" w:type="dxa"/>
        </w:tblCellMar>
      </w:tblPr>
      <w:tblGrid>
        <w:gridCol w:w="931"/>
        <w:gridCol w:w="645"/>
        <w:gridCol w:w="2694"/>
        <w:gridCol w:w="1521"/>
        <w:gridCol w:w="1521"/>
        <w:gridCol w:w="1226"/>
      </w:tblGrid>
      <w:tr w14:paraId="42ACA61F">
        <w:trPr>
          <w:trHeight w:val="436" w:hRule="atLeast"/>
        </w:trPr>
        <w:tc>
          <w:tcPr>
            <w:tcW w:w="2500" w:type="pct"/>
            <w:gridSpan w:val="3"/>
            <w:tcBorders>
              <w:top w:val="single" w:color="auto" w:sz="4" w:space="0"/>
              <w:left w:val="single" w:color="auto" w:sz="4" w:space="0"/>
              <w:bottom w:val="single" w:color="auto" w:sz="4" w:space="0"/>
              <w:right w:val="single" w:color="auto" w:sz="4" w:space="0"/>
              <w:tl2br w:val="single" w:color="auto" w:sz="4" w:space="0"/>
            </w:tcBorders>
            <w:shd w:val="clear" w:color="000000" w:fill="FFFFFF"/>
            <w:noWrap w:val="0"/>
            <w:vAlign w:val="center"/>
          </w:tcPr>
          <w:p w14:paraId="2F85F0A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117A0FF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338066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49A89D4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5D18E17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3DD05D81">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6168D1FE">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459B17B6">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0CC2DA8B">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5440CBF">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58FCDF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01FE5857">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right w:val="single" w:color="auto" w:sz="4" w:space="0"/>
            </w:tcBorders>
            <w:shd w:val="clear" w:color="auto" w:fill="auto"/>
            <w:noWrap w:val="0"/>
            <w:vAlign w:val="center"/>
          </w:tcPr>
          <w:p>
            <w:r/>
          </w:p>
        </w:tc>
        <w:tc>
          <w:tcPr>
            <w:tcW w:w="37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27AB053D">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1AC66FB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5CB31B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452BF39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8745E7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3686AD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CA71291">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E3D4BA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03E6252F">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98F2E8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5590B399">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61EEAE1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5E13646">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5CA7FD50">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AC8D2A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72302FF3">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5799D9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B58767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79E4311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2724103E">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28C1E33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77839D7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4398242D">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024B4D2">
        <w:tblPrEx>
          <w:tblCellMar>
            <w:top w:w="0" w:type="dxa"/>
            <w:left w:w="108" w:type="dxa"/>
            <w:bottom w:w="0" w:type="dxa"/>
            <w:right w:w="108" w:type="dxa"/>
          </w:tblCellMar>
        </w:tblPrEx>
        <w:trPr>
          <w:trHeight w:val="231"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2499" w:type="pct"/>
            <w:gridSpan w:val="3"/>
            <w:tcBorders>
              <w:top w:val="single" w:color="auto" w:sz="4" w:space="0"/>
              <w:left w:val="single" w:color="auto" w:sz="4" w:space="0"/>
              <w:bottom w:val="single" w:color="auto" w:sz="4" w:space="0"/>
              <w:right w:val="single" w:color="auto" w:sz="4" w:space="0"/>
            </w:tcBorders>
            <w:noWrap w:val="0"/>
            <w:vAlign w:val="center"/>
          </w:tcPr>
          <w:p>
            <w:r/>
          </w:p>
        </w:tc>
      </w:tr>
    </w:tbl>
    <w:p>
      <w:pPr>
        <w:spacing w:before="0" w:after="0" w:line="480" w:lineRule="exact"/>
      </w:pPr>
      <w:r>
        <w:rPr>
          <w:rFonts w:ascii="仿宋_GB2312" w:hAnsi="仿宋_GB2312" w:eastAsia="仿宋_GB2312" w:cs="仿宋_GB2312"/>
          <w:sz w:val="28"/>
        </w:rPr>
        <w:t xml:space="preserve"/>
      </w:r>
    </w:p>
    <w:p w14:paraId="13D1C3A9">
      <w:pPr>
        <w:pStyle w:val="6"/>
        <w:keepNext/>
        <w:keepLines w:val="0"/>
        <w:pageBreakBefore w:val="0"/>
        <w:widowControl w:val="0"/>
        <w:kinsoku/>
        <w:wordWrap/>
        <w:overflowPunct/>
        <w:topLinePunct w:val="0"/>
        <w:autoSpaceDE/>
        <w:autoSpaceDN/>
        <w:bidi w:val="0"/>
        <w:adjustRightInd/>
        <w:snapToGrid/>
        <w:spacing w:line="480" w:lineRule="exact" w:before="0" w:after="0"/>
        <w:ind w:firstLineChars="200" w:firstLine="561"/>
        <w:textAlignment w:val="auto"/>
        <w:outlineLvl w:val="2"/>
        <w:rPr>
          <w:rFonts w:hint="eastAsia" w:ascii="仿宋_GB2312" w:hAnsi="仿宋_GB2312" w:eastAsia="仿宋_GB2312" w:cs="仿宋_GB2312"/>
          <w:b w:val="0"/>
          <w:bCs w:val="0"/>
          <w:color w:val="000000"/>
          <w:kern w:val="2"/>
          <w:sz w:val="28"/>
          <w:szCs w:val="28"/>
          <w:highlight w:val="none"/>
          <w:lang w:val="en-US" w:eastAsia="zh-CN" w:bidi="ar-SA"/>
        </w:rPr>
      </w:pPr>
      <w:bookmarkStart w:id="26" w:name="_Toc16838"/>
      <w:bookmarkStart w:id="27" w:name="_Toc23310"/>
      <w:r>
        <w:rPr>
          <w:rFonts w:hint="eastAsia" w:ascii="仿宋_GB2312" w:hAnsi="仿宋_GB2312" w:eastAsia="仿宋_GB2312" w:cs="仿宋_GB2312"/>
          <w:b/>
          <w:bCs/>
          <w:sz w:val="28"/>
          <w:szCs w:val="30"/>
          <w:highlight w:val="none"/>
          <w:lang w:val="en-GB"/>
        </w:rPr>
        <w:t>★</w:t>
      </w:r>
      <w:r>
        <w:rPr>
          <w:rFonts w:hint="eastAsia" w:ascii="仿宋_GB2312" w:hAnsi="仿宋_GB2312" w:eastAsia="仿宋_GB2312" w:cs="仿宋_GB2312"/>
          <w:b/>
          <w:bCs w:val="0"/>
          <w:color w:val="000000"/>
          <w:kern w:val="2"/>
          <w:sz w:val="28"/>
          <w:szCs w:val="28"/>
          <w:highlight w:val="none"/>
          <w:lang w:val="en-US" w:eastAsia="zh-CN" w:bidi="ar-SA"/>
        </w:rPr>
        <w:t>收益还原法</w:t>
      </w:r>
    </w:p>
    <w:p w14:paraId="6E7B1EFF">
      <w:pPr>
        <w:keepNext w:val="0"/>
        <w:keepLines w:val="0"/>
        <w:pageBreakBefore w:val="0"/>
        <w:widowControl w:val="0"/>
        <w:kinsoku/>
        <w:wordWrap/>
        <w:overflowPunct/>
        <w:topLinePunct w:val="0"/>
        <w:autoSpaceDE/>
        <w:autoSpaceDN/>
        <w:bidi w:val="0"/>
        <w:adjustRightInd w:val="0"/>
        <w:snapToGrid/>
        <w:spacing w:line="480" w:lineRule="exact" w:before="0" w:after="0"/>
        <w:ind w:firstLine="420" w:firstLineChars="15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ascii="仿宋_GB2312" w:hAnsi="仿宋_GB2312" w:eastAsia="仿宋_GB2312" w:cs="仿宋_GB2312"/>
          <w:sz w:val="28"/>
        </w:rPr>
        <w:t xml:space="preserve"/>
      </w:r>
    </w:p>
    <w:p w14:paraId="553F947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收益还原法评估过程：</w:t>
      </w:r>
    </w:p>
    <w:p w14:paraId="5C643C9B">
      <w:pPr>
        <w:pStyle w:val="6"/>
        <w:adjustRightInd w:val="0"/>
        <w:snapToGrid w:val="0"/>
        <w:spacing w:line="480" w:lineRule="exact" w:before="0" w:after="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1、确定房地年总收益</w:t>
      </w:r>
    </w:p>
    <w:p w14:paraId="777D18DB">
      <w:pPr>
        <w:keepLines w:val="0"/>
        <w:pageBreakBefore w:val="0"/>
        <w:kinsoku/>
        <w:wordWrap/>
        <w:overflowPunct/>
        <w:topLinePunct w:val="0"/>
        <w:autoSpaceDE/>
        <w:autoSpaceDN/>
        <w:bidi w:val="0"/>
        <w:adjustRightInd w:val="0"/>
        <w:snapToGrid w:val="0"/>
        <w:spacing w:line="480" w:lineRule="exact" w:before="0" w:after="0"/>
        <w:ind w:right="0"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建成年份为2004年，</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六成新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hAnsi="仿宋_GB2312" w:cs="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r>
        <w:rPr>
          <w:rFonts w:hint="eastAsia" w:ascii="仿宋_GB2312" w:hAnsi="仿宋_GB2312" w:eastAsia="仿宋_GB2312" w:cs="仿宋_GB2312"/>
          <w:b w:val="0"/>
          <w:bCs w:val="0"/>
          <w:color w:val="000000"/>
          <w:kern w:val="2"/>
          <w:sz w:val="28"/>
          <w:szCs w:val="28"/>
          <w:highlight w:val="none"/>
          <w:lang w:val="en-US" w:eastAsia="zh-CN" w:bidi="ar-SA"/>
        </w:rPr>
        <w:t>。</w:t>
      </w:r>
    </w:p>
    <w:p w14:paraId="0A69025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月租金的确定</w:t>
      </w:r>
    </w:p>
    <w:p w14:paraId="556F25D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调查估价对象所处区域与估价对象条件相当的用于出租的住宅物业租金水平，确定估价对象房地产出租的总收益。经估价人员调查与估价对象在同一供需圈内的类似物业情况，选取了三个具有普遍性的物业的租金水平作为比较实例：</w:t>
      </w:r>
    </w:p>
    <w:p w14:paraId="2CF84553">
      <w:pPr>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实例A：</w:t>
      </w:r>
      <w:r>
        <w:rPr>
          <w:rFonts w:hint="eastAsia" w:ascii="仿宋_GB2312" w:hAnsi="仿宋_GB2312" w:eastAsia="仿宋_GB2312" w:cs="仿宋_GB2312"/>
          <w:b w:val="0"/>
          <w:bCs w:val="0"/>
          <w:color w:val="000000"/>
          <w:kern w:val="2"/>
          <w:sz w:val="28"/>
          <w:szCs w:val="28"/>
          <w:highlight w:val="none"/>
          <w:lang w:val="en-US" w:eastAsia="zh-CN" w:bidi="ar-SA"/>
        </w:rPr>
        <w:t>柒酒烤肉楼上住宅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潇水中路三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p w14:paraId="6AD7212B">
      <w:pPr>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实例B：</w:t>
      </w:r>
      <w:r>
        <w:rPr>
          <w:rFonts w:hint="eastAsia" w:ascii="仿宋_GB2312" w:hAnsi="仿宋_GB2312" w:eastAsia="仿宋_GB2312" w:cs="仿宋_GB2312"/>
          <w:b w:val="0"/>
          <w:bCs w:val="0"/>
          <w:color w:val="000000"/>
          <w:kern w:val="2"/>
          <w:sz w:val="28"/>
          <w:szCs w:val="28"/>
          <w:highlight w:val="none"/>
          <w:lang w:val="en-US" w:eastAsia="zh-CN" w:bidi="ar-SA"/>
        </w:rPr>
        <w:t>哈牛士原切牛排楼上住宅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滨河路步行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11.99元/平方米·月。</w:t>
      </w:r>
    </w:p>
    <w:p w14:paraId="73F35F8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实例C：</w:t>
      </w:r>
      <w:r>
        <w:rPr>
          <w:rFonts w:hint="eastAsia" w:ascii="仿宋_GB2312" w:hAnsi="仿宋_GB2312" w:eastAsia="仿宋_GB2312" w:cs="仿宋_GB2312"/>
          <w:b w:val="0"/>
          <w:bCs w:val="0"/>
          <w:color w:val="000000"/>
          <w:kern w:val="2"/>
          <w:sz w:val="28"/>
          <w:szCs w:val="28"/>
          <w:highlight w:val="none"/>
          <w:lang w:val="en-US" w:eastAsia="zh-CN" w:bidi="ar-SA"/>
        </w:rPr>
        <w:t>爷爷不泡茶楼上住宅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西洲街道潇水中路，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8"/>
        <w:gridCol w:w="4364"/>
      </w:tblGrid>
      <w:tr w14:paraId="1154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9" w:hRule="atLeast"/>
          <w:jc w:val="center"/>
        </w:trPr>
        <w:tc>
          <w:tcPr>
            <w:tcW w:w="4158" w:type="dxa"/>
            <w:vAlign w:val="center"/>
          </w:tcPr>
          <w:p w14:paraId="2FFB4032">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548890" cy="2337435"/>
                  <wp:effectExtent l="0" t="0" r="3810" b="5715"/>
                  <wp:docPr id="1018" name="图片 22" descr="7315a4faa2fa7bd86044428dc8f6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315a4faa2fa7bd86044428dc8f68116"/>
                          <pic:cNvPicPr>
                            <a:picLocks noChangeAspect="1"/>
                          </pic:cNvPicPr>
                        </pic:nvPicPr>
                        <pic:blipFill>
                          <a:blip r:embed="rId36"/>
                          <a:srcRect b="15501"/>
                          <a:stretch>
                            <a:fillRect/>
                          </a:stretch>
                        </pic:blipFill>
                        <pic:spPr>
                          <a:xfrm>
                            <a:off x="0" y="0"/>
                            <a:ext cx="2548890" cy="2337435"/>
                          </a:xfrm>
                          <a:prstGeom prst="rect">
                            <a:avLst/>
                          </a:prstGeom>
                        </pic:spPr>
                      </pic:pic>
                    </a:graphicData>
                  </a:graphic>
                </wp:inline>
              </w:drawing>
            </w:r>
          </w:p>
          <w:p w14:paraId="4E99BD9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案例A照片</w:t>
            </w:r>
          </w:p>
        </w:tc>
        <w:tc>
          <w:tcPr>
            <w:tcW w:w="4364" w:type="dxa"/>
            <w:vAlign w:val="center"/>
          </w:tcPr>
          <w:p w14:paraId="76BB7361">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3060" cy="2363470"/>
                  <wp:effectExtent l="0" t="0" r="2540" b="17780"/>
                  <wp:docPr id="10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37"/>
                          <a:srcRect l="6694" t="4940" r="28320" b="17434"/>
                          <a:stretch>
                            <a:fillRect/>
                          </a:stretch>
                        </pic:blipFill>
                        <pic:spPr>
                          <a:xfrm>
                            <a:off x="0" y="0"/>
                            <a:ext cx="2893060" cy="2363470"/>
                          </a:xfrm>
                          <a:prstGeom prst="rect">
                            <a:avLst/>
                          </a:prstGeom>
                          <a:noFill/>
                          <a:ln>
                            <a:noFill/>
                          </a:ln>
                        </pic:spPr>
                      </pic:pic>
                    </a:graphicData>
                  </a:graphic>
                </wp:inline>
              </w:drawing>
            </w:r>
          </w:p>
          <w:p w14:paraId="5A0B012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案例A位置</w:t>
            </w:r>
          </w:p>
        </w:tc>
      </w:tr>
      <w:tr w14:paraId="3CC2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1E42CAE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7455" cy="2201545"/>
                  <wp:effectExtent l="0" t="0" r="17145" b="8255"/>
                  <wp:docPr id="1020" name="图片 24" descr="a17d939fa52d5b154669017b0405c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17d939fa52d5b154669017b0405c0f4"/>
                          <pic:cNvPicPr>
                            <a:picLocks noChangeAspect="1"/>
                          </pic:cNvPicPr>
                        </pic:nvPicPr>
                        <pic:blipFill>
                          <a:blip r:embed="rId38"/>
                          <a:srcRect b="13372"/>
                          <a:stretch>
                            <a:fillRect/>
                          </a:stretch>
                        </pic:blipFill>
                        <pic:spPr>
                          <a:xfrm>
                            <a:off x="0" y="0"/>
                            <a:ext cx="2497455" cy="220154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案例B照片</w:t>
            </w:r>
          </w:p>
        </w:tc>
        <w:tc>
          <w:tcPr>
            <w:tcW w:w="4364" w:type="dxa"/>
            <w:vAlign w:val="center"/>
          </w:tcPr>
          <w:p w14:paraId="36FD8AA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9410" cy="2159000"/>
                  <wp:effectExtent l="0" t="0" r="15240" b="12700"/>
                  <wp:docPr id="10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39"/>
                          <a:stretch>
                            <a:fillRect/>
                          </a:stretch>
                        </pic:blipFill>
                        <pic:spPr>
                          <a:xfrm>
                            <a:off x="0" y="0"/>
                            <a:ext cx="2899410" cy="2159000"/>
                          </a:xfrm>
                          <a:prstGeom prst="rect">
                            <a:avLst/>
                          </a:prstGeom>
                          <a:noFill/>
                          <a:ln>
                            <a:noFill/>
                          </a:ln>
                        </pic:spPr>
                      </pic:pic>
                    </a:graphicData>
                  </a:graphic>
                </wp:inline>
              </w:drawing>
            </w:r>
          </w:p>
          <w:p w14:paraId="5173A40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案例B位置</w:t>
            </w:r>
          </w:p>
        </w:tc>
      </w:tr>
      <w:tr w14:paraId="26E6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0183C418">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9360" cy="2244725"/>
                  <wp:effectExtent l="0" t="0" r="0" b="0"/>
                  <wp:docPr id="1022" name="图片 25" descr="4c72a4886265f81ba59b2f250436d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c72a4886265f81ba59b2f250436d107"/>
                          <pic:cNvPicPr>
                            <a:picLocks noChangeAspect="1"/>
                          </pic:cNvPicPr>
                        </pic:nvPicPr>
                        <pic:blipFill>
                          <a:blip r:embed="rId40"/>
                          <a:srcRect b="8656"/>
                          <a:stretch>
                            <a:fillRect/>
                          </a:stretch>
                        </pic:blipFill>
                        <pic:spPr>
                          <a:xfrm>
                            <a:off x="0" y="0"/>
                            <a:ext cx="2499360" cy="224472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案例C照片</w:t>
            </w:r>
          </w:p>
        </w:tc>
        <w:tc>
          <w:tcPr>
            <w:tcW w:w="4364" w:type="dxa"/>
            <w:vAlign w:val="center"/>
          </w:tcPr>
          <w:p w14:paraId="13582936">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81630" cy="2188210"/>
                  <wp:effectExtent l="0" t="0" r="13970" b="2540"/>
                  <wp:docPr id="10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41"/>
                          <a:stretch>
                            <a:fillRect/>
                          </a:stretch>
                        </pic:blipFill>
                        <pic:spPr>
                          <a:xfrm>
                            <a:off x="0" y="0"/>
                            <a:ext cx="2881630" cy="2188210"/>
                          </a:xfrm>
                          <a:prstGeom prst="rect">
                            <a:avLst/>
                          </a:prstGeom>
                          <a:noFill/>
                          <a:ln>
                            <a:noFill/>
                          </a:ln>
                        </pic:spPr>
                      </pic:pic>
                    </a:graphicData>
                  </a:graphic>
                </wp:inline>
              </w:drawing>
            </w:r>
          </w:p>
          <w:p w14:paraId="0A0C38C5">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案例C位置</w:t>
            </w:r>
          </w:p>
        </w:tc>
      </w:tr>
    </w:tbl>
    <w:p w14:paraId="282B923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编制租金案例比较因素表</w:t>
      </w:r>
    </w:p>
    <w:p w14:paraId="630BCB6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结合影响房屋租金的主要因素，以估价对象因素为100进行租金修正，估价对象与实例比较因素情况详见下表。</w:t>
      </w:r>
    </w:p>
    <w:p w14:paraId="7F9490BD">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firstLine="0" w:right="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表3-1</w:t>
      </w:r>
      <w:r>
        <w:rPr>
          <w:rFonts w:hint="eastAsia" w:ascii="仿宋_GB2312" w:hAnsi="仿宋_GB2312" w:cs="仿宋_GB2312" w:eastAsia="仿宋_GB2312"/>
          <w:b w:val="0"/>
          <w:bCs/>
          <w:color w:val="auto"/>
          <w:kern w:val="2"/>
          <w:sz w:val="28"/>
          <w:szCs w:val="28"/>
          <w:highlight w:val="none"/>
          <w:lang w:val="en-US" w:eastAsia="zh-CN" w:bidi="ar-SA"/>
        </w:rPr>
        <w:t xml:space="preserve">1 </w:t>
      </w:r>
      <w:r>
        <w:rPr>
          <w:rFonts w:hint="eastAsia" w:ascii="仿宋_GB2312" w:hAnsi="仿宋_GB2312" w:eastAsia="仿宋_GB2312" w:cs="仿宋_GB2312"/>
          <w:b w:val="0"/>
          <w:bCs/>
          <w:color w:val="auto"/>
          <w:kern w:val="2"/>
          <w:sz w:val="28"/>
          <w:szCs w:val="28"/>
          <w:highlight w:val="none"/>
          <w:lang w:val="en-US" w:eastAsia="zh-CN" w:bidi="ar-SA"/>
        </w:rPr>
        <w:t>比较因素条件说明表</w:t>
      </w:r>
    </w:p>
    <w:tbl>
      <w:tblPr>
        <w:tblStyle w:val="12"/>
        <w:tblW w:w="501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11"/>
        <w:gridCol w:w="1615"/>
        <w:gridCol w:w="1299"/>
        <w:gridCol w:w="1358"/>
        <w:gridCol w:w="1391"/>
        <w:gridCol w:w="1374"/>
      </w:tblGrid>
      <w:tr w14:paraId="1295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74" w:hRule="atLeast"/>
        </w:trPr>
        <w:tc>
          <w:tcPr>
            <w:tcW w:w="1752" w:type="pct"/>
            <w:gridSpan w:val="2"/>
            <w:tcBorders>
              <w:tl2br w:val="single" w:color="000000" w:sz="4" w:space="0"/>
            </w:tcBorders>
            <w:noWrap w:val="0"/>
            <w:tcMar>
              <w:top w:w="0" w:type="dxa"/>
              <w:left w:w="0" w:type="dxa"/>
              <w:bottom w:w="0" w:type="dxa"/>
              <w:right w:w="0" w:type="dxa"/>
            </w:tcMar>
            <w:vAlign w:val="center"/>
          </w:tcPr>
          <w:p w14:paraId="3E47AF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 xml:space="preserve">       估价对象及比较实例</w:t>
            </w:r>
          </w:p>
          <w:p w14:paraId="22AF3C8F">
            <w:pPr>
              <w:keepNext w:val="0"/>
              <w:keepLines w:val="0"/>
              <w:pageBreakBefore w:val="0"/>
              <w:widowControl/>
              <w:kinsoku/>
              <w:wordWrap/>
              <w:overflowPunct/>
              <w:topLinePunct w:val="0"/>
              <w:autoSpaceDE/>
              <w:autoSpaceDN/>
              <w:bidi w:val="0"/>
              <w:adjustRightInd/>
              <w:snapToGrid/>
              <w:spacing w:line="260" w:lineRule="exact"/>
              <w:ind w:firstLine="200" w:firstLineChars="100"/>
              <w:jc w:val="both"/>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78" w:type="pct"/>
            <w:noWrap w:val="0"/>
            <w:tcMar>
              <w:top w:w="0" w:type="dxa"/>
              <w:left w:w="0" w:type="dxa"/>
              <w:bottom w:w="0" w:type="dxa"/>
              <w:right w:w="0" w:type="dxa"/>
            </w:tcMar>
            <w:vAlign w:val="center"/>
          </w:tcPr>
          <w:p w14:paraId="7BA5A91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13" w:type="pct"/>
            <w:noWrap w:val="0"/>
            <w:tcMar>
              <w:top w:w="0" w:type="dxa"/>
              <w:left w:w="0" w:type="dxa"/>
              <w:bottom w:w="0" w:type="dxa"/>
              <w:right w:w="0" w:type="dxa"/>
            </w:tcMar>
            <w:vAlign w:val="center"/>
          </w:tcPr>
          <w:p w14:paraId="412D6F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3" w:type="pct"/>
            <w:noWrap w:val="0"/>
            <w:tcMar>
              <w:top w:w="0" w:type="dxa"/>
              <w:left w:w="0" w:type="dxa"/>
              <w:bottom w:w="0" w:type="dxa"/>
              <w:right w:w="0" w:type="dxa"/>
            </w:tcMar>
            <w:vAlign w:val="center"/>
          </w:tcPr>
          <w:p w14:paraId="1FFF195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22" w:type="pct"/>
            <w:noWrap w:val="0"/>
            <w:tcMar>
              <w:top w:w="0" w:type="dxa"/>
              <w:left w:w="0" w:type="dxa"/>
              <w:bottom w:w="0" w:type="dxa"/>
              <w:right w:w="0" w:type="dxa"/>
            </w:tcMar>
            <w:vAlign w:val="center"/>
          </w:tcPr>
          <w:p w14:paraId="12B615E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6036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1752" w:type="pct"/>
            <w:gridSpan w:val="2"/>
            <w:noWrap w:val="0"/>
            <w:tcMar>
              <w:top w:w="0" w:type="dxa"/>
              <w:left w:w="0" w:type="dxa"/>
              <w:bottom w:w="0" w:type="dxa"/>
              <w:right w:w="0" w:type="dxa"/>
            </w:tcMar>
            <w:vAlign w:val="center"/>
          </w:tcPr>
          <w:p w14:paraId="31F691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778" w:type="pct"/>
            <w:shd w:val="clear" w:color="auto" w:fill="auto"/>
            <w:noWrap w:val="0"/>
            <w:tcMar>
              <w:top w:w="0" w:type="dxa"/>
              <w:left w:w="0" w:type="dxa"/>
              <w:bottom w:w="0" w:type="dxa"/>
              <w:right w:w="0" w:type="dxa"/>
            </w:tcMar>
            <w:vAlign w:val="center"/>
          </w:tcPr>
          <w:p w14:paraId="7D5FC5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813" w:type="pct"/>
            <w:noWrap w:val="0"/>
            <w:tcMar>
              <w:top w:w="0" w:type="dxa"/>
              <w:left w:w="0" w:type="dxa"/>
              <w:bottom w:w="0" w:type="dxa"/>
              <w:right w:w="0" w:type="dxa"/>
            </w:tcMar>
            <w:vAlign w:val="center"/>
          </w:tcPr>
          <w:p w14:paraId="2BF9BA6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833" w:type="pct"/>
            <w:noWrap w:val="0"/>
            <w:tcMar>
              <w:top w:w="0" w:type="dxa"/>
              <w:left w:w="0" w:type="dxa"/>
              <w:bottom w:w="0" w:type="dxa"/>
              <w:right w:w="0" w:type="dxa"/>
            </w:tcMar>
            <w:vAlign w:val="center"/>
          </w:tcPr>
          <w:p w14:paraId="6BDFDA6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822" w:type="pct"/>
            <w:noWrap w:val="0"/>
            <w:tcMar>
              <w:top w:w="0" w:type="dxa"/>
              <w:left w:w="0" w:type="dxa"/>
              <w:bottom w:w="0" w:type="dxa"/>
              <w:right w:w="0" w:type="dxa"/>
            </w:tcMar>
            <w:vAlign w:val="center"/>
          </w:tcPr>
          <w:p w14:paraId="1C28E2C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04C2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05524C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778" w:type="pct"/>
            <w:noWrap w:val="0"/>
            <w:tcMar>
              <w:top w:w="0" w:type="dxa"/>
              <w:left w:w="0" w:type="dxa"/>
              <w:bottom w:w="0" w:type="dxa"/>
              <w:right w:w="0" w:type="dxa"/>
            </w:tcMar>
            <w:vAlign w:val="center"/>
          </w:tcPr>
          <w:p w14:paraId="0A082FF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358" w:type="dxa"/>
            <w:noWrap w:val="0"/>
            <w:tcMar>
              <w:top w:w="0" w:type="dxa"/>
              <w:left w:w="0" w:type="dxa"/>
              <w:bottom w:w="0" w:type="dxa"/>
              <w:right w:w="0" w:type="dxa"/>
            </w:tcMar>
            <w:vAlign w:val="center"/>
          </w:tcPr>
          <w:p w14:paraId="598C363B">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391" w:type="dxa"/>
            <w:noWrap w:val="0"/>
            <w:tcMar>
              <w:top w:w="0" w:type="dxa"/>
              <w:left w:w="0" w:type="dxa"/>
              <w:bottom w:w="0" w:type="dxa"/>
              <w:right w:w="0" w:type="dxa"/>
            </w:tcMar>
            <w:vAlign w:val="center"/>
          </w:tcPr>
          <w:p w14:paraId="3F5A4950">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374" w:type="dxa"/>
            <w:noWrap w:val="0"/>
            <w:tcMar>
              <w:top w:w="0" w:type="dxa"/>
              <w:left w:w="0" w:type="dxa"/>
              <w:bottom w:w="0" w:type="dxa"/>
              <w:right w:w="0" w:type="dxa"/>
            </w:tcMar>
            <w:vAlign w:val="center"/>
          </w:tcPr>
          <w:p w14:paraId="038A063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3757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16D2D9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78" w:type="pct"/>
            <w:noWrap w:val="0"/>
            <w:tcMar>
              <w:top w:w="0" w:type="dxa"/>
              <w:left w:w="0" w:type="dxa"/>
              <w:bottom w:w="0" w:type="dxa"/>
              <w:right w:w="0" w:type="dxa"/>
            </w:tcMar>
            <w:vAlign w:val="center"/>
          </w:tcPr>
          <w:p w14:paraId="1BAD8F0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13" w:type="pct"/>
            <w:noWrap w:val="0"/>
            <w:tcMar>
              <w:top w:w="0" w:type="dxa"/>
              <w:left w:w="0" w:type="dxa"/>
              <w:bottom w:w="0" w:type="dxa"/>
              <w:right w:w="0" w:type="dxa"/>
            </w:tcMar>
            <w:vAlign w:val="center"/>
          </w:tcPr>
          <w:p w14:paraId="725CC3F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33" w:type="pct"/>
            <w:noWrap w:val="0"/>
            <w:tcMar>
              <w:top w:w="0" w:type="dxa"/>
              <w:left w:w="0" w:type="dxa"/>
              <w:bottom w:w="0" w:type="dxa"/>
              <w:right w:w="0" w:type="dxa"/>
            </w:tcMar>
            <w:vAlign w:val="center"/>
          </w:tcPr>
          <w:p w14:paraId="215AE2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22" w:type="pct"/>
            <w:noWrap w:val="0"/>
            <w:tcMar>
              <w:top w:w="0" w:type="dxa"/>
              <w:left w:w="0" w:type="dxa"/>
              <w:bottom w:w="0" w:type="dxa"/>
              <w:right w:w="0" w:type="dxa"/>
            </w:tcMar>
            <w:vAlign w:val="center"/>
          </w:tcPr>
          <w:p w14:paraId="5F11D3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r>
      <w:tr w14:paraId="145C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22ECEB9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78" w:type="pct"/>
            <w:noWrap w:val="0"/>
            <w:tcMar>
              <w:top w:w="0" w:type="dxa"/>
              <w:left w:w="0" w:type="dxa"/>
              <w:bottom w:w="0" w:type="dxa"/>
              <w:right w:w="0" w:type="dxa"/>
            </w:tcMar>
            <w:vAlign w:val="center"/>
          </w:tcPr>
          <w:p w14:paraId="086308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13" w:type="pct"/>
            <w:noWrap w:val="0"/>
            <w:tcMar>
              <w:top w:w="0" w:type="dxa"/>
              <w:left w:w="0" w:type="dxa"/>
              <w:bottom w:w="0" w:type="dxa"/>
              <w:right w:w="0" w:type="dxa"/>
            </w:tcMar>
            <w:vAlign w:val="center"/>
          </w:tcPr>
          <w:p w14:paraId="76C8AA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33" w:type="pct"/>
            <w:noWrap w:val="0"/>
            <w:tcMar>
              <w:top w:w="0" w:type="dxa"/>
              <w:left w:w="0" w:type="dxa"/>
              <w:bottom w:w="0" w:type="dxa"/>
              <w:right w:w="0" w:type="dxa"/>
            </w:tcMar>
            <w:vAlign w:val="center"/>
          </w:tcPr>
          <w:p w14:paraId="52BFDB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22" w:type="pct"/>
            <w:noWrap w:val="0"/>
            <w:tcMar>
              <w:top w:w="0" w:type="dxa"/>
              <w:left w:w="0" w:type="dxa"/>
              <w:bottom w:w="0" w:type="dxa"/>
              <w:right w:w="0" w:type="dxa"/>
            </w:tcMar>
            <w:vAlign w:val="center"/>
          </w:tcPr>
          <w:p w14:paraId="7AC1007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r>
      <w:tr w14:paraId="29F1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414D40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1299" w:type="dxa"/>
            <w:noWrap w:val="0"/>
            <w:tcMar>
              <w:top w:w="0" w:type="dxa"/>
              <w:left w:w="0" w:type="dxa"/>
              <w:bottom w:w="0" w:type="dxa"/>
              <w:right w:w="0" w:type="dxa"/>
            </w:tcMar>
            <w:vAlign w:val="center"/>
          </w:tcPr>
          <w:p w14:paraId="563CC6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68DFB83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670915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70D2F2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r w14:paraId="3818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785" w:type="pct"/>
            <w:vMerge w:val="restart"/>
            <w:noWrap w:val="0"/>
            <w:tcMar>
              <w:top w:w="0" w:type="dxa"/>
              <w:left w:w="0" w:type="dxa"/>
              <w:bottom w:w="0" w:type="dxa"/>
              <w:right w:w="0" w:type="dxa"/>
            </w:tcMar>
            <w:vAlign w:val="center"/>
          </w:tcPr>
          <w:p w14:paraId="49B3803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967" w:type="pct"/>
            <w:noWrap w:val="0"/>
            <w:tcMar>
              <w:top w:w="0" w:type="dxa"/>
              <w:left w:w="0" w:type="dxa"/>
              <w:bottom w:w="0" w:type="dxa"/>
              <w:right w:w="0" w:type="dxa"/>
            </w:tcMar>
            <w:vAlign w:val="center"/>
          </w:tcPr>
          <w:p w14:paraId="7E3003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99" w:type="dxa"/>
            <w:noWrap w:val="0"/>
            <w:tcMar>
              <w:top w:w="0" w:type="dxa"/>
              <w:left w:w="0" w:type="dxa"/>
              <w:bottom w:w="0" w:type="dxa"/>
              <w:right w:w="0" w:type="dxa"/>
            </w:tcMar>
            <w:vAlign w:val="center"/>
          </w:tcPr>
          <w:p w14:paraId="52FDF1B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一般</w:t>
            </w:r>
          </w:p>
        </w:tc>
        <w:tc>
          <w:tcPr>
            <w:tcW w:w="1358" w:type="dxa"/>
            <w:noWrap w:val="0"/>
            <w:tcMar>
              <w:top w:w="0" w:type="dxa"/>
              <w:left w:w="0" w:type="dxa"/>
              <w:bottom w:w="0" w:type="dxa"/>
              <w:right w:w="0" w:type="dxa"/>
            </w:tcMar>
            <w:vAlign w:val="center"/>
          </w:tcPr>
          <w:p w14:paraId="73EB252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91" w:type="dxa"/>
            <w:noWrap w:val="0"/>
            <w:tcMar>
              <w:top w:w="0" w:type="dxa"/>
              <w:left w:w="0" w:type="dxa"/>
              <w:bottom w:w="0" w:type="dxa"/>
              <w:right w:w="0" w:type="dxa"/>
            </w:tcMar>
            <w:vAlign w:val="center"/>
          </w:tcPr>
          <w:p w14:paraId="1922FFE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74" w:type="dxa"/>
            <w:noWrap w:val="0"/>
            <w:tcMar>
              <w:top w:w="0" w:type="dxa"/>
              <w:left w:w="0" w:type="dxa"/>
              <w:bottom w:w="0" w:type="dxa"/>
              <w:right w:w="0" w:type="dxa"/>
            </w:tcMar>
            <w:vAlign w:val="center"/>
          </w:tcPr>
          <w:p w14:paraId="79587D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r>
      <w:tr w14:paraId="6FA3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578C24C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51000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99" w:type="dxa"/>
            <w:noWrap w:val="0"/>
            <w:tcMar>
              <w:top w:w="0" w:type="dxa"/>
              <w:left w:w="0" w:type="dxa"/>
              <w:bottom w:w="0" w:type="dxa"/>
              <w:right w:w="0" w:type="dxa"/>
            </w:tcMar>
            <w:vAlign w:val="center"/>
          </w:tcPr>
          <w:p w14:paraId="2CDB0F3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58" w:type="dxa"/>
            <w:noWrap w:val="0"/>
            <w:tcMar>
              <w:top w:w="0" w:type="dxa"/>
              <w:left w:w="0" w:type="dxa"/>
              <w:bottom w:w="0" w:type="dxa"/>
              <w:right w:w="0" w:type="dxa"/>
            </w:tcMar>
            <w:vAlign w:val="center"/>
          </w:tcPr>
          <w:p w14:paraId="346FA2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91" w:type="dxa"/>
            <w:noWrap w:val="0"/>
            <w:tcMar>
              <w:top w:w="0" w:type="dxa"/>
              <w:left w:w="0" w:type="dxa"/>
              <w:bottom w:w="0" w:type="dxa"/>
              <w:right w:w="0" w:type="dxa"/>
            </w:tcMar>
            <w:vAlign w:val="center"/>
          </w:tcPr>
          <w:p w14:paraId="111DFF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74" w:type="dxa"/>
            <w:noWrap w:val="0"/>
            <w:tcMar>
              <w:top w:w="0" w:type="dxa"/>
              <w:left w:w="0" w:type="dxa"/>
              <w:bottom w:w="0" w:type="dxa"/>
              <w:right w:w="0" w:type="dxa"/>
            </w:tcMar>
            <w:vAlign w:val="center"/>
          </w:tcPr>
          <w:p w14:paraId="3BACB5A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r>
      <w:tr w14:paraId="72F8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16C58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2ECBC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99" w:type="dxa"/>
            <w:noWrap w:val="0"/>
            <w:tcMar>
              <w:top w:w="0" w:type="dxa"/>
              <w:left w:w="0" w:type="dxa"/>
              <w:bottom w:w="0" w:type="dxa"/>
              <w:right w:w="0" w:type="dxa"/>
            </w:tcMar>
            <w:vAlign w:val="center"/>
          </w:tcPr>
          <w:p w14:paraId="7749A9C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58" w:type="dxa"/>
            <w:noWrap w:val="0"/>
            <w:tcMar>
              <w:top w:w="0" w:type="dxa"/>
              <w:left w:w="0" w:type="dxa"/>
              <w:bottom w:w="0" w:type="dxa"/>
              <w:right w:w="0" w:type="dxa"/>
            </w:tcMar>
            <w:vAlign w:val="center"/>
          </w:tcPr>
          <w:p w14:paraId="29964EB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91" w:type="dxa"/>
            <w:noWrap w:val="0"/>
            <w:tcMar>
              <w:top w:w="0" w:type="dxa"/>
              <w:left w:w="0" w:type="dxa"/>
              <w:bottom w:w="0" w:type="dxa"/>
              <w:right w:w="0" w:type="dxa"/>
            </w:tcMar>
            <w:vAlign w:val="center"/>
          </w:tcPr>
          <w:p w14:paraId="51E24BF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74" w:type="dxa"/>
            <w:noWrap w:val="0"/>
            <w:tcMar>
              <w:top w:w="0" w:type="dxa"/>
              <w:left w:w="0" w:type="dxa"/>
              <w:bottom w:w="0" w:type="dxa"/>
              <w:right w:w="0" w:type="dxa"/>
            </w:tcMar>
            <w:vAlign w:val="center"/>
          </w:tcPr>
          <w:p w14:paraId="4D6D0CE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r>
      <w:tr w14:paraId="201C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5F59CD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DD0EC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水电等基础设施综合保证率</w:t>
            </w:r>
          </w:p>
        </w:tc>
        <w:tc>
          <w:tcPr>
            <w:tcW w:w="1299" w:type="dxa"/>
            <w:noWrap w:val="0"/>
            <w:tcMar>
              <w:top w:w="0" w:type="dxa"/>
              <w:left w:w="0" w:type="dxa"/>
              <w:bottom w:w="0" w:type="dxa"/>
              <w:right w:w="0" w:type="dxa"/>
            </w:tcMar>
            <w:vAlign w:val="center"/>
          </w:tcPr>
          <w:p w14:paraId="59B366B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71E3DEC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68D14E9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0C674E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3DC8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1C5F2D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CC1A2D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99" w:type="dxa"/>
            <w:noWrap w:val="0"/>
            <w:tcMar>
              <w:top w:w="0" w:type="dxa"/>
              <w:left w:w="0" w:type="dxa"/>
              <w:bottom w:w="0" w:type="dxa"/>
              <w:right w:w="0" w:type="dxa"/>
            </w:tcMar>
            <w:vAlign w:val="center"/>
          </w:tcPr>
          <w:p w14:paraId="2211DE2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58" w:type="dxa"/>
            <w:noWrap w:val="0"/>
            <w:tcMar>
              <w:top w:w="0" w:type="dxa"/>
              <w:left w:w="0" w:type="dxa"/>
              <w:bottom w:w="0" w:type="dxa"/>
              <w:right w:w="0" w:type="dxa"/>
            </w:tcMar>
            <w:vAlign w:val="center"/>
          </w:tcPr>
          <w:p w14:paraId="78063D0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91" w:type="dxa"/>
            <w:noWrap w:val="0"/>
            <w:tcMar>
              <w:top w:w="0" w:type="dxa"/>
              <w:left w:w="0" w:type="dxa"/>
              <w:bottom w:w="0" w:type="dxa"/>
              <w:right w:w="0" w:type="dxa"/>
            </w:tcMar>
            <w:vAlign w:val="center"/>
          </w:tcPr>
          <w:p w14:paraId="126A097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74" w:type="dxa"/>
            <w:noWrap w:val="0"/>
            <w:tcMar>
              <w:top w:w="0" w:type="dxa"/>
              <w:left w:w="0" w:type="dxa"/>
              <w:bottom w:w="0" w:type="dxa"/>
              <w:right w:w="0" w:type="dxa"/>
            </w:tcMar>
            <w:vAlign w:val="center"/>
          </w:tcPr>
          <w:p w14:paraId="1834339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r>
      <w:tr w14:paraId="0F11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40F22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8CBB5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99" w:type="dxa"/>
            <w:noWrap w:val="0"/>
            <w:tcMar>
              <w:top w:w="0" w:type="dxa"/>
              <w:left w:w="0" w:type="dxa"/>
              <w:bottom w:w="0" w:type="dxa"/>
              <w:right w:w="0" w:type="dxa"/>
            </w:tcMar>
            <w:vAlign w:val="center"/>
          </w:tcPr>
          <w:p w14:paraId="6D91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临支路</w:t>
            </w:r>
          </w:p>
        </w:tc>
        <w:tc>
          <w:tcPr>
            <w:tcW w:w="1358" w:type="dxa"/>
            <w:noWrap w:val="0"/>
            <w:tcMar>
              <w:top w:w="0" w:type="dxa"/>
              <w:left w:w="0" w:type="dxa"/>
              <w:bottom w:w="0" w:type="dxa"/>
              <w:right w:w="0" w:type="dxa"/>
            </w:tcMar>
            <w:vAlign w:val="center"/>
          </w:tcPr>
          <w:p w14:paraId="2AF9864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91" w:type="dxa"/>
            <w:noWrap w:val="0"/>
            <w:tcMar>
              <w:top w:w="0" w:type="dxa"/>
              <w:left w:w="0" w:type="dxa"/>
              <w:bottom w:w="0" w:type="dxa"/>
              <w:right w:w="0" w:type="dxa"/>
            </w:tcMar>
            <w:vAlign w:val="center"/>
          </w:tcPr>
          <w:p w14:paraId="04E84F8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74" w:type="dxa"/>
            <w:noWrap w:val="0"/>
            <w:tcMar>
              <w:top w:w="0" w:type="dxa"/>
              <w:left w:w="0" w:type="dxa"/>
              <w:bottom w:w="0" w:type="dxa"/>
              <w:right w:w="0" w:type="dxa"/>
            </w:tcMar>
            <w:vAlign w:val="center"/>
          </w:tcPr>
          <w:p w14:paraId="552E19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r>
      <w:tr w14:paraId="0788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restart"/>
            <w:noWrap w:val="0"/>
            <w:tcMar>
              <w:top w:w="0" w:type="dxa"/>
              <w:left w:w="0" w:type="dxa"/>
              <w:bottom w:w="0" w:type="dxa"/>
              <w:right w:w="0" w:type="dxa"/>
            </w:tcMar>
            <w:vAlign w:val="center"/>
          </w:tcPr>
          <w:p w14:paraId="6294FE8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967" w:type="pct"/>
            <w:noWrap w:val="0"/>
            <w:tcMar>
              <w:top w:w="0" w:type="dxa"/>
              <w:left w:w="0" w:type="dxa"/>
              <w:bottom w:w="0" w:type="dxa"/>
              <w:right w:w="0" w:type="dxa"/>
            </w:tcMar>
            <w:vAlign w:val="center"/>
          </w:tcPr>
          <w:p w14:paraId="30BDC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99" w:type="dxa"/>
            <w:noWrap w:val="0"/>
            <w:tcMar>
              <w:top w:w="0" w:type="dxa"/>
              <w:left w:w="0" w:type="dxa"/>
              <w:bottom w:w="0" w:type="dxa"/>
              <w:right w:w="0" w:type="dxa"/>
            </w:tcMar>
            <w:vAlign w:val="center"/>
          </w:tcPr>
          <w:p w14:paraId="567BE90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13AB3C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329F123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56161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2B40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FE73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7E195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99" w:type="dxa"/>
            <w:noWrap w:val="0"/>
            <w:tcMar>
              <w:top w:w="0" w:type="dxa"/>
              <w:left w:w="0" w:type="dxa"/>
              <w:bottom w:w="0" w:type="dxa"/>
              <w:right w:w="0" w:type="dxa"/>
            </w:tcMar>
            <w:vAlign w:val="center"/>
          </w:tcPr>
          <w:p w14:paraId="6CA4893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58" w:type="dxa"/>
            <w:noWrap w:val="0"/>
            <w:tcMar>
              <w:top w:w="0" w:type="dxa"/>
              <w:left w:w="0" w:type="dxa"/>
              <w:bottom w:w="0" w:type="dxa"/>
              <w:right w:w="0" w:type="dxa"/>
            </w:tcMar>
            <w:vAlign w:val="center"/>
          </w:tcPr>
          <w:p w14:paraId="61DA9B8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91" w:type="dxa"/>
            <w:noWrap w:val="0"/>
            <w:tcMar>
              <w:top w:w="0" w:type="dxa"/>
              <w:left w:w="0" w:type="dxa"/>
              <w:bottom w:w="0" w:type="dxa"/>
              <w:right w:w="0" w:type="dxa"/>
            </w:tcMar>
            <w:vAlign w:val="center"/>
          </w:tcPr>
          <w:p w14:paraId="7A67C7A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74" w:type="dxa"/>
            <w:noWrap w:val="0"/>
            <w:tcMar>
              <w:top w:w="0" w:type="dxa"/>
              <w:left w:w="0" w:type="dxa"/>
              <w:bottom w:w="0" w:type="dxa"/>
              <w:right w:w="0" w:type="dxa"/>
            </w:tcMar>
            <w:vAlign w:val="center"/>
          </w:tcPr>
          <w:p w14:paraId="0C668B3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r>
      <w:tr w14:paraId="50A8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0B9DB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3182A5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99" w:type="dxa"/>
            <w:noWrap w:val="0"/>
            <w:tcMar>
              <w:top w:w="0" w:type="dxa"/>
              <w:left w:w="0" w:type="dxa"/>
              <w:bottom w:w="0" w:type="dxa"/>
              <w:right w:w="0" w:type="dxa"/>
            </w:tcMar>
            <w:vAlign w:val="center"/>
          </w:tcPr>
          <w:p w14:paraId="30192EF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58" w:type="dxa"/>
            <w:noWrap w:val="0"/>
            <w:tcMar>
              <w:top w:w="0" w:type="dxa"/>
              <w:left w:w="0" w:type="dxa"/>
              <w:bottom w:w="0" w:type="dxa"/>
              <w:right w:w="0" w:type="dxa"/>
            </w:tcMar>
            <w:vAlign w:val="center"/>
          </w:tcPr>
          <w:p w14:paraId="5D7E3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91" w:type="dxa"/>
            <w:noWrap w:val="0"/>
            <w:tcMar>
              <w:top w:w="0" w:type="dxa"/>
              <w:left w:w="0" w:type="dxa"/>
              <w:bottom w:w="0" w:type="dxa"/>
              <w:right w:w="0" w:type="dxa"/>
            </w:tcMar>
            <w:vAlign w:val="center"/>
          </w:tcPr>
          <w:p w14:paraId="042EF4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74" w:type="dxa"/>
            <w:noWrap w:val="0"/>
            <w:tcMar>
              <w:top w:w="0" w:type="dxa"/>
              <w:left w:w="0" w:type="dxa"/>
              <w:bottom w:w="0" w:type="dxa"/>
              <w:right w:w="0" w:type="dxa"/>
            </w:tcMar>
            <w:vAlign w:val="center"/>
          </w:tcPr>
          <w:p w14:paraId="7E86AF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r>
      <w:tr w14:paraId="0B77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0DD0D5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0B93F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99" w:type="dxa"/>
            <w:noWrap w:val="0"/>
            <w:tcMar>
              <w:top w:w="0" w:type="dxa"/>
              <w:left w:w="0" w:type="dxa"/>
              <w:bottom w:w="0" w:type="dxa"/>
              <w:right w:w="0" w:type="dxa"/>
            </w:tcMar>
            <w:vAlign w:val="center"/>
          </w:tcPr>
          <w:p w14:paraId="47EE7A9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58" w:type="dxa"/>
            <w:noWrap w:val="0"/>
            <w:tcMar>
              <w:top w:w="0" w:type="dxa"/>
              <w:left w:w="0" w:type="dxa"/>
              <w:bottom w:w="0" w:type="dxa"/>
              <w:right w:w="0" w:type="dxa"/>
            </w:tcMar>
            <w:vAlign w:val="center"/>
          </w:tcPr>
          <w:p w14:paraId="45B4C69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91" w:type="dxa"/>
            <w:noWrap w:val="0"/>
            <w:tcMar>
              <w:top w:w="0" w:type="dxa"/>
              <w:left w:w="0" w:type="dxa"/>
              <w:bottom w:w="0" w:type="dxa"/>
              <w:right w:w="0" w:type="dxa"/>
            </w:tcMar>
            <w:vAlign w:val="center"/>
          </w:tcPr>
          <w:p w14:paraId="5C1EA3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74" w:type="dxa"/>
            <w:noWrap w:val="0"/>
            <w:tcMar>
              <w:top w:w="0" w:type="dxa"/>
              <w:left w:w="0" w:type="dxa"/>
              <w:bottom w:w="0" w:type="dxa"/>
              <w:right w:w="0" w:type="dxa"/>
            </w:tcMar>
            <w:vAlign w:val="center"/>
          </w:tcPr>
          <w:p w14:paraId="0731EF2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r>
      <w:tr w14:paraId="01A4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4E242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3F0C72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99" w:type="dxa"/>
            <w:noWrap w:val="0"/>
            <w:tcMar>
              <w:top w:w="0" w:type="dxa"/>
              <w:left w:w="0" w:type="dxa"/>
              <w:bottom w:w="0" w:type="dxa"/>
              <w:right w:w="0" w:type="dxa"/>
            </w:tcMar>
            <w:vAlign w:val="center"/>
          </w:tcPr>
          <w:p w14:paraId="652F7E7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58" w:type="dxa"/>
            <w:noWrap w:val="0"/>
            <w:tcMar>
              <w:top w:w="0" w:type="dxa"/>
              <w:left w:w="0" w:type="dxa"/>
              <w:bottom w:w="0" w:type="dxa"/>
              <w:right w:w="0" w:type="dxa"/>
            </w:tcMar>
            <w:vAlign w:val="center"/>
          </w:tcPr>
          <w:p w14:paraId="4612E51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91" w:type="dxa"/>
            <w:noWrap w:val="0"/>
            <w:tcMar>
              <w:top w:w="0" w:type="dxa"/>
              <w:left w:w="0" w:type="dxa"/>
              <w:bottom w:w="0" w:type="dxa"/>
              <w:right w:w="0" w:type="dxa"/>
            </w:tcMar>
            <w:vAlign w:val="center"/>
          </w:tcPr>
          <w:p w14:paraId="22E235C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74" w:type="dxa"/>
            <w:noWrap w:val="0"/>
            <w:tcMar>
              <w:top w:w="0" w:type="dxa"/>
              <w:left w:w="0" w:type="dxa"/>
              <w:bottom w:w="0" w:type="dxa"/>
              <w:right w:w="0" w:type="dxa"/>
            </w:tcMar>
            <w:vAlign w:val="center"/>
          </w:tcPr>
          <w:p w14:paraId="2D2D5A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r>
      <w:tr w14:paraId="4B8E9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7E9203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AD6679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99" w:type="dxa"/>
            <w:noWrap w:val="0"/>
            <w:tcMar>
              <w:top w:w="0" w:type="dxa"/>
              <w:left w:w="0" w:type="dxa"/>
              <w:bottom w:w="0" w:type="dxa"/>
              <w:right w:w="0" w:type="dxa"/>
            </w:tcMar>
            <w:vAlign w:val="center"/>
          </w:tcPr>
          <w:p w14:paraId="52B11D2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c>
          <w:tcPr>
            <w:tcW w:w="1358" w:type="dxa"/>
            <w:noWrap w:val="0"/>
            <w:tcMar>
              <w:top w:w="0" w:type="dxa"/>
              <w:left w:w="0" w:type="dxa"/>
              <w:bottom w:w="0" w:type="dxa"/>
              <w:right w:w="0" w:type="dxa"/>
            </w:tcMar>
            <w:vAlign w:val="center"/>
          </w:tcPr>
          <w:p w14:paraId="117D20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91" w:type="dxa"/>
            <w:noWrap w:val="0"/>
            <w:tcMar>
              <w:top w:w="0" w:type="dxa"/>
              <w:left w:w="0" w:type="dxa"/>
              <w:bottom w:w="0" w:type="dxa"/>
              <w:right w:w="0" w:type="dxa"/>
            </w:tcMar>
            <w:vAlign w:val="center"/>
          </w:tcPr>
          <w:p w14:paraId="7780A24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74" w:type="dxa"/>
            <w:noWrap w:val="0"/>
            <w:tcMar>
              <w:top w:w="0" w:type="dxa"/>
              <w:left w:w="0" w:type="dxa"/>
              <w:bottom w:w="0" w:type="dxa"/>
              <w:right w:w="0" w:type="dxa"/>
            </w:tcMar>
            <w:vAlign w:val="center"/>
          </w:tcPr>
          <w:p w14:paraId="7C2B4E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r>
      <w:tr w14:paraId="7E21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24397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524FEC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99" w:type="dxa"/>
            <w:noWrap w:val="0"/>
            <w:tcMar>
              <w:top w:w="0" w:type="dxa"/>
              <w:left w:w="0" w:type="dxa"/>
              <w:bottom w:w="0" w:type="dxa"/>
              <w:right w:w="0" w:type="dxa"/>
            </w:tcMar>
            <w:vAlign w:val="center"/>
          </w:tcPr>
          <w:p w14:paraId="6224D66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58" w:type="dxa"/>
            <w:noWrap w:val="0"/>
            <w:tcMar>
              <w:top w:w="0" w:type="dxa"/>
              <w:left w:w="0" w:type="dxa"/>
              <w:bottom w:w="0" w:type="dxa"/>
              <w:right w:w="0" w:type="dxa"/>
            </w:tcMar>
            <w:vAlign w:val="center"/>
          </w:tcPr>
          <w:p w14:paraId="6C29411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91" w:type="dxa"/>
            <w:noWrap w:val="0"/>
            <w:tcMar>
              <w:top w:w="0" w:type="dxa"/>
              <w:left w:w="0" w:type="dxa"/>
              <w:bottom w:w="0" w:type="dxa"/>
              <w:right w:w="0" w:type="dxa"/>
            </w:tcMar>
            <w:vAlign w:val="center"/>
          </w:tcPr>
          <w:p w14:paraId="259188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74" w:type="dxa"/>
            <w:noWrap w:val="0"/>
            <w:tcMar>
              <w:top w:w="0" w:type="dxa"/>
              <w:left w:w="0" w:type="dxa"/>
              <w:bottom w:w="0" w:type="dxa"/>
              <w:right w:w="0" w:type="dxa"/>
            </w:tcMar>
            <w:vAlign w:val="center"/>
          </w:tcPr>
          <w:p w14:paraId="28ECF1D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r>
      <w:tr w14:paraId="4B16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2" w:hRule="atLeast"/>
        </w:trPr>
        <w:tc>
          <w:tcPr>
            <w:tcW w:w="785" w:type="pct"/>
            <w:vMerge w:val="continue"/>
            <w:noWrap w:val="0"/>
            <w:tcMar>
              <w:top w:w="0" w:type="dxa"/>
              <w:left w:w="0" w:type="dxa"/>
              <w:bottom w:w="0" w:type="dxa"/>
              <w:right w:w="0" w:type="dxa"/>
            </w:tcMar>
            <w:vAlign w:val="center"/>
          </w:tcPr>
          <w:p w14:paraId="35BD403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F6ED6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99" w:type="dxa"/>
            <w:noWrap w:val="0"/>
            <w:tcMar>
              <w:top w:w="0" w:type="dxa"/>
              <w:left w:w="0" w:type="dxa"/>
              <w:bottom w:w="0" w:type="dxa"/>
              <w:right w:w="0" w:type="dxa"/>
            </w:tcMar>
            <w:vAlign w:val="center"/>
          </w:tcPr>
          <w:p w14:paraId="30B9AF8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3829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018B66E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46F35B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bl>
    <w:p w14:paraId="70C32AE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租金的比较因素修正说明：</w:t>
      </w:r>
    </w:p>
    <w:p w14:paraId="0E5560C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A、用途修正：估价对象与三个比较案例用途都为住宅楼，因此不用做修正；</w:t>
      </w:r>
    </w:p>
    <w:p w14:paraId="221C20A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B、交易时间修正，估价对象与三个比较案例交易时间接近，因此不需要做时间修正;</w:t>
      </w:r>
    </w:p>
    <w:p w14:paraId="0FABF52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C、交易情况：估价对象与三个比较案例均是在正常情况下交易的，因此不做交易情况修正；</w:t>
      </w:r>
    </w:p>
    <w:p w14:paraId="3ABE237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D、区域因素修正</w:t>
      </w:r>
    </w:p>
    <w:p w14:paraId="3146A8A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a、</w:t>
      </w:r>
      <w:r>
        <w:rPr>
          <w:rFonts w:hint="default" w:ascii="仿宋_GB2312" w:hAnsi="仿宋_GB2312" w:eastAsia="仿宋_GB2312" w:cs="仿宋_GB2312"/>
          <w:b w:val="0"/>
          <w:bCs w:val="0"/>
          <w:color w:val="000000"/>
          <w:kern w:val="2"/>
          <w:sz w:val="28"/>
          <w:szCs w:val="28"/>
          <w:highlight w:val="none"/>
          <w:lang w:val="en-US" w:eastAsia="zh-CN" w:bidi="ar-SA"/>
        </w:rPr>
        <w:t>商服繁华度：商服繁华度分为优、较优、一般、较劣、劣五个等级，以估价对象商服繁华度修正系数为100，每上升或下降一个级别，指数增加或减少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6248B0E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b、公交便捷度：交通便捷度分为优、较优、一般、较劣、劣五个等级，以估价对象交通便捷度修正系数为100，每上升或下降一个级别，指数增加或减少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12BACB3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度分为通畅、较通畅、一般通畅、较不通畅、不通畅五个等级，以估价对象道路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度修正系数为100，每上升或下降一个级别，指数增加或减少2；</w:t>
      </w:r>
    </w:p>
    <w:p w14:paraId="0D767F4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d、水电等基础设施综合保证率：水电等基础设施综合保证率分为≥95%、[90，95]、≤90%三个等级,以估价对象为100，每上升或下降一个级别，指数增加或减少2。</w:t>
      </w:r>
    </w:p>
    <w:p w14:paraId="464FBC6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e、环境质量：环境质量分为好、较好、一般、较差、差五个等级，以估价对象为100, 每上升或下降一个级别，指数增加或减少2。</w:t>
      </w:r>
    </w:p>
    <w:p w14:paraId="7CE13308">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f、区域公共设施状况：区域公共设施状况分为齐全，较齐全，一般，较低，低5个等级，以估价对象为100,每上升或下降一个级别，指数增加或减少2。</w:t>
      </w:r>
    </w:p>
    <w:p w14:paraId="728692D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E、个别因素</w:t>
      </w:r>
    </w:p>
    <w:p w14:paraId="2A756B2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a、所临道路类型</w:t>
      </w:r>
      <w:r>
        <w:rPr>
          <w:rFonts w:hint="eastAsia" w:ascii="仿宋_GB2312" w:hAnsi="仿宋_GB2312" w:eastAsia="仿宋_GB2312" w:cs="仿宋_GB2312"/>
          <w:b w:val="0"/>
          <w:bCs w:val="0"/>
          <w:color w:val="000000"/>
          <w:kern w:val="2"/>
          <w:sz w:val="28"/>
          <w:szCs w:val="28"/>
          <w:highlight w:val="none"/>
          <w:lang w:val="en-US" w:eastAsia="zh-CN" w:bidi="ar-SA"/>
        </w:rPr>
        <w:t>：所临道路类型分为</w:t>
      </w:r>
      <w:r>
        <w:rPr>
          <w:rFonts w:hint="default" w:ascii="仿宋_GB2312" w:hAnsi="仿宋_GB2312" w:eastAsia="仿宋_GB2312" w:cs="仿宋_GB2312"/>
          <w:b w:val="0"/>
          <w:bCs w:val="0"/>
          <w:color w:val="000000"/>
          <w:kern w:val="2"/>
          <w:sz w:val="28"/>
          <w:szCs w:val="28"/>
          <w:highlight w:val="none"/>
          <w:lang w:val="en-US" w:eastAsia="zh-CN" w:bidi="ar-SA"/>
        </w:rPr>
        <w:t>临主干道、临次干道、临支路、不临路等级别。以估价对象指数为100，每上升或下降一个级别，指数增加或减少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6899693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b、通风采光</w:t>
      </w:r>
      <w:r>
        <w:rPr>
          <w:rFonts w:hint="eastAsia" w:ascii="仿宋_GB2312" w:hAnsi="仿宋_GB2312" w:eastAsia="仿宋_GB2312" w:cs="仿宋_GB2312"/>
          <w:b w:val="0"/>
          <w:bCs w:val="0"/>
          <w:color w:val="000000"/>
          <w:kern w:val="2"/>
          <w:sz w:val="28"/>
          <w:szCs w:val="28"/>
          <w:highlight w:val="none"/>
          <w:lang w:val="en-US" w:eastAsia="zh-CN" w:bidi="ar-SA"/>
        </w:rPr>
        <w:t>：通风采光分为</w:t>
      </w:r>
      <w:r>
        <w:rPr>
          <w:rFonts w:hint="default" w:ascii="仿宋_GB2312" w:hAnsi="仿宋_GB2312" w:eastAsia="仿宋_GB2312" w:cs="仿宋_GB2312"/>
          <w:b w:val="0"/>
          <w:bCs w:val="0"/>
          <w:color w:val="000000"/>
          <w:kern w:val="2"/>
          <w:sz w:val="28"/>
          <w:szCs w:val="28"/>
          <w:highlight w:val="none"/>
          <w:lang w:val="en-US" w:eastAsia="zh-CN" w:bidi="ar-SA"/>
        </w:rPr>
        <w:t>好、较好、一般、较差、差五个等级，以估价对象条件指数为100, 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07E351EB">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c、房屋成新度：以估价对象成新度为100，每上升或下降一个级别，指数增加或减少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p>
    <w:p w14:paraId="6F408F2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d、建筑物结构</w:t>
      </w:r>
      <w:r>
        <w:rPr>
          <w:rFonts w:hint="eastAsia" w:ascii="仿宋_GB2312" w:hAnsi="仿宋_GB2312" w:eastAsia="仿宋_GB2312" w:cs="仿宋_GB2312"/>
          <w:b w:val="0"/>
          <w:bCs w:val="0"/>
          <w:color w:val="000000"/>
          <w:kern w:val="2"/>
          <w:sz w:val="28"/>
          <w:szCs w:val="28"/>
          <w:highlight w:val="none"/>
          <w:lang w:val="en-US" w:eastAsia="zh-CN" w:bidi="ar-SA"/>
        </w:rPr>
        <w:t>：建筑物结构分为</w:t>
      </w:r>
      <w:r>
        <w:rPr>
          <w:rFonts w:hint="default" w:ascii="仿宋_GB2312" w:hAnsi="仿宋_GB2312" w:eastAsia="仿宋_GB2312" w:cs="仿宋_GB2312"/>
          <w:b w:val="0"/>
          <w:bCs w:val="0"/>
          <w:color w:val="000000"/>
          <w:kern w:val="2"/>
          <w:sz w:val="28"/>
          <w:szCs w:val="28"/>
          <w:highlight w:val="none"/>
          <w:lang w:val="en-US" w:eastAsia="zh-CN" w:bidi="ar-SA"/>
        </w:rPr>
        <w:t>框架、钢混、砖混、砖木等4个等级,以估价对象为100, 每上升或下降一个级别，指数增加或减少2。</w:t>
      </w:r>
    </w:p>
    <w:p w14:paraId="29EC76C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w:t>
      </w:r>
      <w:r>
        <w:rPr>
          <w:rFonts w:hint="eastAsia" w:ascii="仿宋_GB2312" w:hAnsi="仿宋_GB2312" w:eastAsia="仿宋_GB2312" w:cs="仿宋_GB2312"/>
          <w:b w:val="0"/>
          <w:bCs w:val="0"/>
          <w:color w:val="000000"/>
          <w:kern w:val="2"/>
          <w:sz w:val="28"/>
          <w:szCs w:val="28"/>
          <w:highlight w:val="none"/>
          <w:lang w:val="en-US" w:eastAsia="zh-CN" w:bidi="ar-SA"/>
        </w:rPr>
        <w:t>建筑物内部格局：</w:t>
      </w:r>
      <w:r>
        <w:rPr>
          <w:rFonts w:hint="default" w:ascii="仿宋_GB2312" w:hAnsi="仿宋_GB2312" w:eastAsia="仿宋_GB2312" w:cs="仿宋_GB2312"/>
          <w:b w:val="0"/>
          <w:bCs w:val="0"/>
          <w:color w:val="000000"/>
          <w:kern w:val="2"/>
          <w:sz w:val="28"/>
          <w:szCs w:val="28"/>
          <w:highlight w:val="none"/>
          <w:lang w:val="en-US" w:eastAsia="zh-CN" w:bidi="ar-SA"/>
        </w:rPr>
        <w:t>建筑物内部格局分为有合理、较合理、不合理三个等级,以估价对象为100, 每上升或下降一个级别，指数增加或减少1。</w:t>
      </w:r>
    </w:p>
    <w:p w14:paraId="3CAD1A3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w:t>
      </w:r>
      <w:r>
        <w:rPr>
          <w:rFonts w:hint="eastAsia" w:ascii="仿宋_GB2312" w:hAnsi="仿宋_GB2312" w:eastAsia="仿宋_GB2312" w:cs="仿宋_GB2312"/>
          <w:b w:val="0"/>
          <w:bCs w:val="0"/>
          <w:color w:val="000000"/>
          <w:kern w:val="2"/>
          <w:sz w:val="28"/>
          <w:szCs w:val="28"/>
          <w:highlight w:val="none"/>
          <w:lang w:val="en-US" w:eastAsia="zh-CN" w:bidi="ar-SA"/>
        </w:rPr>
        <w:t>装修档次：</w:t>
      </w:r>
      <w:r>
        <w:rPr>
          <w:rFonts w:hint="default" w:ascii="仿宋_GB2312" w:hAnsi="仿宋_GB2312" w:eastAsia="仿宋_GB2312" w:cs="仿宋_GB2312"/>
          <w:b w:val="0"/>
          <w:bCs w:val="0"/>
          <w:color w:val="000000"/>
          <w:kern w:val="2"/>
          <w:sz w:val="28"/>
          <w:szCs w:val="28"/>
          <w:highlight w:val="none"/>
          <w:lang w:val="en-US" w:eastAsia="zh-CN" w:bidi="ar-SA"/>
        </w:rPr>
        <w:t>装修档次分为毛坯、简单装修、中档装修、中高档装修、高档装修等5个等级,以估价对象为100,每上升或下降一个级别，指数增加或减少2。</w:t>
      </w:r>
    </w:p>
    <w:p w14:paraId="3E984AB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g、</w:t>
      </w:r>
      <w:r>
        <w:rPr>
          <w:rFonts w:hint="eastAsia" w:ascii="仿宋_GB2312" w:hAnsi="仿宋_GB2312" w:eastAsia="仿宋_GB2312" w:cs="仿宋_GB2312"/>
          <w:b w:val="0"/>
          <w:bCs w:val="0"/>
          <w:color w:val="000000"/>
          <w:kern w:val="2"/>
          <w:sz w:val="28"/>
          <w:szCs w:val="28"/>
          <w:highlight w:val="none"/>
          <w:lang w:val="en-US" w:eastAsia="zh-CN" w:bidi="ar-SA"/>
        </w:rPr>
        <w:t>停车情况：</w:t>
      </w:r>
      <w:r>
        <w:rPr>
          <w:rFonts w:hint="default" w:ascii="仿宋_GB2312" w:hAnsi="仿宋_GB2312" w:eastAsia="仿宋_GB2312" w:cs="仿宋_GB2312"/>
          <w:b w:val="0"/>
          <w:bCs w:val="0"/>
          <w:color w:val="000000"/>
          <w:kern w:val="2"/>
          <w:sz w:val="28"/>
          <w:szCs w:val="28"/>
          <w:highlight w:val="none"/>
          <w:lang w:val="en-US" w:eastAsia="zh-CN" w:bidi="ar-SA"/>
        </w:rPr>
        <w:t>停车情况分为能满足停车需求、基本满足停车需求、不能满足停车需求三个等别，以估价对象条件指数为100,每上升或下降一个级别，指数增加或减少2。</w:t>
      </w:r>
    </w:p>
    <w:p w14:paraId="4482B4F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h、物业情况分为无物业管理、物业管理一般、物业管理较好等三个等级,以估价对象为100,每上升或下降一个级别，指数增加或减少2。</w:t>
      </w:r>
    </w:p>
    <w:p w14:paraId="3C2BD05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得到估价对象比较因素条件指数表和</w:t>
      </w:r>
      <w:r>
        <w:rPr>
          <w:rFonts w:hint="eastAsia" w:ascii="仿宋_GB2312" w:hAnsi="仿宋_GB2312" w:eastAsia="仿宋_GB2312" w:cs="仿宋_GB2312"/>
          <w:b w:val="0"/>
          <w:bCs/>
          <w:color w:val="auto"/>
          <w:kern w:val="2"/>
          <w:sz w:val="28"/>
          <w:szCs w:val="28"/>
          <w:highlight w:val="none"/>
          <w:lang w:val="en-US" w:eastAsia="zh-CN" w:bidi="ar-SA"/>
        </w:rPr>
        <w:t>比较因素条件修正系数表</w:t>
      </w:r>
    </w:p>
    <w:p w14:paraId="444BD2E8">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firstLine="0" w:right="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12</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比较因素条件指数表</w:t>
      </w:r>
    </w:p>
    <w:tbl>
      <w:tblPr>
        <w:tblStyle w:val="12"/>
        <w:tblW w:w="504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82"/>
        <w:gridCol w:w="1757"/>
        <w:gridCol w:w="1269"/>
        <w:gridCol w:w="1401"/>
        <w:gridCol w:w="1401"/>
        <w:gridCol w:w="1404"/>
      </w:tblGrid>
      <w:tr w14:paraId="6AA3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3" w:hRule="atLeast"/>
        </w:trPr>
        <w:tc>
          <w:tcPr>
            <w:tcW w:w="1746" w:type="pct"/>
            <w:gridSpan w:val="2"/>
            <w:tcBorders>
              <w:tl2br w:val="single" w:color="000000" w:sz="4" w:space="0"/>
            </w:tcBorders>
            <w:noWrap w:val="0"/>
            <w:vAlign w:val="center"/>
          </w:tcPr>
          <w:p w14:paraId="3F419F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估价对象及比较实例</w:t>
            </w:r>
          </w:p>
          <w:p w14:paraId="498A63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54" w:type="pct"/>
            <w:noWrap w:val="0"/>
            <w:vAlign w:val="center"/>
          </w:tcPr>
          <w:p w14:paraId="29E6D42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32" w:type="pct"/>
            <w:noWrap w:val="0"/>
            <w:vAlign w:val="center"/>
          </w:tcPr>
          <w:p w14:paraId="527AA01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2" w:type="pct"/>
            <w:noWrap w:val="0"/>
            <w:vAlign w:val="center"/>
          </w:tcPr>
          <w:p w14:paraId="75590A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34" w:type="pct"/>
            <w:noWrap w:val="0"/>
            <w:vAlign w:val="center"/>
          </w:tcPr>
          <w:p w14:paraId="73A4D38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4B99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1746" w:type="pct"/>
            <w:gridSpan w:val="2"/>
            <w:noWrap w:val="0"/>
            <w:vAlign w:val="center"/>
          </w:tcPr>
          <w:p w14:paraId="3BEAD5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1269" w:type="dxa"/>
            <w:noWrap w:val="0"/>
            <w:vAlign w:val="center"/>
          </w:tcPr>
          <w:p w14:paraId="19D8EB1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1401" w:type="dxa"/>
            <w:noWrap w:val="0"/>
            <w:vAlign w:val="center"/>
          </w:tcPr>
          <w:p w14:paraId="57718F1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401" w:type="dxa"/>
            <w:noWrap w:val="0"/>
            <w:vAlign w:val="center"/>
          </w:tcPr>
          <w:p w14:paraId="26A11C0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404" w:type="dxa"/>
            <w:noWrap w:val="0"/>
            <w:vAlign w:val="center"/>
          </w:tcPr>
          <w:p w14:paraId="1B2537B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3A74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3E62D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1269" w:type="dxa"/>
            <w:noWrap w:val="0"/>
            <w:vAlign w:val="center"/>
          </w:tcPr>
          <w:p w14:paraId="73DA182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401" w:type="dxa"/>
            <w:noWrap w:val="0"/>
            <w:vAlign w:val="center"/>
          </w:tcPr>
          <w:p w14:paraId="7898EA63">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401" w:type="dxa"/>
            <w:noWrap w:val="0"/>
            <w:vAlign w:val="center"/>
          </w:tcPr>
          <w:p w14:paraId="7F66CDF7">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404" w:type="dxa"/>
            <w:noWrap w:val="0"/>
            <w:vAlign w:val="center"/>
          </w:tcPr>
          <w:p w14:paraId="460F140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43FD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5A96202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54" w:type="pct"/>
            <w:noWrap w:val="0"/>
            <w:vAlign w:val="center"/>
          </w:tcPr>
          <w:p w14:paraId="529621B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6F163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3D3D03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D0F3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0F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063DA5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54" w:type="pct"/>
            <w:noWrap w:val="0"/>
            <w:vAlign w:val="center"/>
          </w:tcPr>
          <w:p w14:paraId="43C002E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010E4F7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2C061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9DE0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169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7FF224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754" w:type="pct"/>
            <w:noWrap w:val="0"/>
            <w:vAlign w:val="center"/>
          </w:tcPr>
          <w:p w14:paraId="2927B2B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D3F46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14610E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044F166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0AC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3561CC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1043" w:type="pct"/>
            <w:noWrap w:val="0"/>
            <w:vAlign w:val="center"/>
          </w:tcPr>
          <w:p w14:paraId="5F802EF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69" w:type="dxa"/>
            <w:noWrap w:val="0"/>
            <w:vAlign w:val="center"/>
          </w:tcPr>
          <w:p w14:paraId="381E67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3FFD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09CE4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95CF4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DDC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F70F1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6D675B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69" w:type="dxa"/>
            <w:noWrap w:val="0"/>
            <w:vAlign w:val="center"/>
          </w:tcPr>
          <w:p w14:paraId="3F288A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C75EE2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BF961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4762DE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02E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69E074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293CBA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69" w:type="dxa"/>
            <w:noWrap w:val="0"/>
            <w:vAlign w:val="center"/>
          </w:tcPr>
          <w:p w14:paraId="68C2D12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B3E31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9F6553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7C6EC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555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5ED0F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FDF9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水电综合保证率</w:t>
            </w:r>
          </w:p>
        </w:tc>
        <w:tc>
          <w:tcPr>
            <w:tcW w:w="1269" w:type="dxa"/>
            <w:noWrap w:val="0"/>
            <w:vAlign w:val="center"/>
          </w:tcPr>
          <w:p w14:paraId="56C3641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3D4B3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1EBAF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F8A92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4FB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31DC8F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1C12E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69" w:type="dxa"/>
            <w:noWrap w:val="0"/>
            <w:vAlign w:val="center"/>
          </w:tcPr>
          <w:p w14:paraId="7F2812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FCE05A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529B73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E73714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711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702" w:type="pct"/>
            <w:vMerge w:val="continue"/>
            <w:noWrap w:val="0"/>
            <w:vAlign w:val="center"/>
          </w:tcPr>
          <w:p w14:paraId="01DBB4C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485D0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69" w:type="dxa"/>
            <w:noWrap w:val="0"/>
            <w:vAlign w:val="center"/>
          </w:tcPr>
          <w:p w14:paraId="11CDEB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B494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1C7EC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91484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702A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1E1A38F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1043" w:type="pct"/>
            <w:noWrap w:val="0"/>
            <w:vAlign w:val="center"/>
          </w:tcPr>
          <w:p w14:paraId="2635D1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69" w:type="dxa"/>
            <w:noWrap w:val="0"/>
            <w:vAlign w:val="center"/>
          </w:tcPr>
          <w:p w14:paraId="213CD59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C51D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DE651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6C880E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1EF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7D418F3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C87F36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69" w:type="dxa"/>
            <w:noWrap w:val="0"/>
            <w:vAlign w:val="center"/>
          </w:tcPr>
          <w:p w14:paraId="3C61639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A644B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60B196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EAB83C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425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024750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0CF1E4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69" w:type="dxa"/>
            <w:noWrap w:val="0"/>
            <w:vAlign w:val="center"/>
          </w:tcPr>
          <w:p w14:paraId="6E41A2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B319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1" w:type="dxa"/>
            <w:noWrap w:val="0"/>
            <w:vAlign w:val="center"/>
          </w:tcPr>
          <w:p w14:paraId="5371F53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4" w:type="dxa"/>
            <w:noWrap w:val="0"/>
            <w:vAlign w:val="center"/>
          </w:tcPr>
          <w:p w14:paraId="49C08B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r>
      <w:tr w14:paraId="33EF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10CBF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04B5AE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69" w:type="dxa"/>
            <w:noWrap w:val="0"/>
            <w:vAlign w:val="center"/>
          </w:tcPr>
          <w:p w14:paraId="57EBB3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9EC985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7D18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69ECD3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1A0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0615D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C3F3C4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69" w:type="dxa"/>
            <w:noWrap w:val="0"/>
            <w:vAlign w:val="center"/>
          </w:tcPr>
          <w:p w14:paraId="3CE4CB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9EE8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8E59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DBE9F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774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8194A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72C63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69" w:type="dxa"/>
            <w:noWrap w:val="0"/>
            <w:vAlign w:val="center"/>
          </w:tcPr>
          <w:p w14:paraId="011A3D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3630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ABE08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A9487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48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7D8378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D4D5DB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69" w:type="dxa"/>
            <w:noWrap w:val="0"/>
            <w:vAlign w:val="center"/>
          </w:tcPr>
          <w:p w14:paraId="5092EDF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42396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3E79C18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66497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A09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0" w:hRule="atLeast"/>
        </w:trPr>
        <w:tc>
          <w:tcPr>
            <w:tcW w:w="702" w:type="pct"/>
            <w:vMerge w:val="continue"/>
            <w:noWrap w:val="0"/>
            <w:vAlign w:val="center"/>
          </w:tcPr>
          <w:p w14:paraId="7CD469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6FCA4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69" w:type="dxa"/>
            <w:noWrap w:val="0"/>
            <w:vAlign w:val="center"/>
          </w:tcPr>
          <w:p w14:paraId="548CE6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6658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87634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ADFD1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bl>
    <w:p w14:paraId="35F53835">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firstLine="0" w:right="0"/>
        <w:jc w:val="center"/>
        <w:textAlignment w:val="baseline"/>
        <w:rPr>
          <w:rFonts w:hint="eastAsia" w:ascii="仿宋" w:hAnsi="仿宋" w:eastAsia="仿宋" w:cs="仿宋"/>
          <w:sz w:val="28"/>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13</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比较因素条件修正系数表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659"/>
        <w:gridCol w:w="1661"/>
        <w:gridCol w:w="1658"/>
        <w:gridCol w:w="1660"/>
        <w:gridCol w:w="9"/>
        <w:gridCol w:w="1650"/>
      </w:tblGrid>
      <w:tr w14:paraId="4EE3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3320" w:type="dxa"/>
            <w:gridSpan w:val="2"/>
            <w:tcBorders>
              <w:tl2br w:val="single" w:color="000000" w:sz="4" w:space="0"/>
            </w:tcBorders>
            <w:noWrap w:val="0"/>
            <w:vAlign w:val="center"/>
          </w:tcPr>
          <w:p w14:paraId="378B4F4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估价对象及比较实例</w:t>
            </w:r>
          </w:p>
          <w:p w14:paraId="6D20375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比较因素</w:t>
            </w:r>
          </w:p>
        </w:tc>
        <w:tc>
          <w:tcPr>
            <w:tcW w:w="1658" w:type="dxa"/>
            <w:noWrap w:val="0"/>
            <w:vAlign w:val="center"/>
          </w:tcPr>
          <w:p w14:paraId="32A5779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案例A</w:t>
            </w:r>
          </w:p>
        </w:tc>
        <w:tc>
          <w:tcPr>
            <w:tcW w:w="1660" w:type="dxa"/>
            <w:noWrap w:val="0"/>
            <w:vAlign w:val="center"/>
          </w:tcPr>
          <w:p w14:paraId="71B8DC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案例B</w:t>
            </w:r>
          </w:p>
        </w:tc>
        <w:tc>
          <w:tcPr>
            <w:tcW w:w="1659" w:type="dxa"/>
            <w:gridSpan w:val="2"/>
            <w:noWrap w:val="0"/>
            <w:vAlign w:val="center"/>
          </w:tcPr>
          <w:p w14:paraId="005973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案例C</w:t>
            </w:r>
          </w:p>
        </w:tc>
      </w:tr>
      <w:tr w14:paraId="0F9B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3320" w:type="dxa"/>
            <w:gridSpan w:val="2"/>
            <w:noWrap w:val="0"/>
            <w:vAlign w:val="center"/>
          </w:tcPr>
          <w:p w14:paraId="3E5779E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位置</w:t>
            </w:r>
          </w:p>
        </w:tc>
        <w:tc>
          <w:tcPr>
            <w:tcW w:w="1658" w:type="dxa"/>
            <w:noWrap w:val="0"/>
            <w:vAlign w:val="center"/>
          </w:tcPr>
          <w:p w14:paraId="02A6E17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660" w:type="dxa"/>
            <w:noWrap w:val="0"/>
            <w:vAlign w:val="center"/>
          </w:tcPr>
          <w:p w14:paraId="2B388D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659" w:type="dxa"/>
            <w:gridSpan w:val="2"/>
            <w:noWrap w:val="0"/>
            <w:vAlign w:val="center"/>
          </w:tcPr>
          <w:p w14:paraId="00559B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2CA1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FA503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住宅租金(元/m</w:t>
            </w:r>
            <w:r>
              <w:rPr>
                <w:rFonts w:hint="eastAsia" w:ascii="仿宋_GB2312" w:hAnsi="仿宋_GB2312" w:eastAsia="仿宋_GB2312" w:cs="仿宋_GB2312"/>
                <w:b w:val="0"/>
                <w:bCs w:val="0"/>
                <w:color w:val="000000"/>
                <w:kern w:val="2"/>
                <w:sz w:val="21"/>
                <w:szCs w:val="21"/>
                <w:highlight w:val="none"/>
                <w:vertAlign w:val="superscript"/>
                <w:lang w:val="en-US" w:eastAsia="zh-CN" w:bidi="ar-SA"/>
              </w:rPr>
              <w:t>2</w:t>
            </w:r>
            <w:r>
              <w:rPr>
                <w:rFonts w:hint="eastAsia" w:ascii="仿宋_GB2312" w:hAnsi="仿宋_GB2312" w:eastAsia="仿宋_GB2312" w:cs="仿宋_GB2312"/>
                <w:b w:val="0"/>
                <w:bCs w:val="0"/>
                <w:color w:val="000000"/>
                <w:kern w:val="2"/>
                <w:sz w:val="21"/>
                <w:szCs w:val="21"/>
                <w:highlight w:val="none"/>
                <w:lang w:val="en-US" w:eastAsia="zh-CN" w:bidi="ar-SA"/>
              </w:rPr>
              <w:t>·月)</w:t>
            </w:r>
          </w:p>
        </w:tc>
        <w:tc>
          <w:tcPr>
            <w:tcW w:w="1658" w:type="dxa"/>
            <w:noWrap w:val="0"/>
            <w:vAlign w:val="center"/>
          </w:tcPr>
          <w:p w14:paraId="33A9C3CC">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660" w:type="dxa"/>
            <w:noWrap w:val="0"/>
            <w:vAlign w:val="center"/>
          </w:tcPr>
          <w:p w14:paraId="590374B9">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659" w:type="dxa"/>
            <w:gridSpan w:val="2"/>
            <w:noWrap w:val="0"/>
            <w:vAlign w:val="center"/>
          </w:tcPr>
          <w:p w14:paraId="2A3E58B3">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00CF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A27D9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用途</w:t>
            </w:r>
          </w:p>
        </w:tc>
        <w:tc>
          <w:tcPr>
            <w:tcW w:w="1658" w:type="dxa"/>
            <w:noWrap w:val="0"/>
            <w:vAlign w:val="center"/>
          </w:tcPr>
          <w:p w14:paraId="1E7E5E0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7F15F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1E3EB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F45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66675E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交易时间</w:t>
            </w:r>
          </w:p>
        </w:tc>
        <w:tc>
          <w:tcPr>
            <w:tcW w:w="1658" w:type="dxa"/>
            <w:noWrap w:val="0"/>
            <w:vAlign w:val="center"/>
          </w:tcPr>
          <w:p w14:paraId="4A7C4B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4E02DE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3AB2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F246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1EC98AF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交易情况</w:t>
            </w:r>
          </w:p>
        </w:tc>
        <w:tc>
          <w:tcPr>
            <w:tcW w:w="1658" w:type="dxa"/>
            <w:noWrap w:val="0"/>
            <w:vAlign w:val="center"/>
          </w:tcPr>
          <w:p w14:paraId="2BC00F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D6C39F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77F873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22C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362C15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区域因素</w:t>
            </w:r>
          </w:p>
        </w:tc>
        <w:tc>
          <w:tcPr>
            <w:tcW w:w="1661" w:type="dxa"/>
            <w:noWrap w:val="0"/>
            <w:vAlign w:val="center"/>
          </w:tcPr>
          <w:p w14:paraId="41A450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商服繁华度</w:t>
            </w:r>
          </w:p>
        </w:tc>
        <w:tc>
          <w:tcPr>
            <w:tcW w:w="1658" w:type="dxa"/>
            <w:noWrap w:val="0"/>
            <w:vAlign w:val="center"/>
          </w:tcPr>
          <w:p w14:paraId="67BEB5B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7ED842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B23F1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4EE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41D21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9EE52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公交便捷度</w:t>
            </w:r>
          </w:p>
        </w:tc>
        <w:tc>
          <w:tcPr>
            <w:tcW w:w="1658" w:type="dxa"/>
            <w:noWrap w:val="0"/>
            <w:vAlign w:val="center"/>
          </w:tcPr>
          <w:p w14:paraId="409543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B8D43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007126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049E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EDFE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B28605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道路通达度</w:t>
            </w:r>
          </w:p>
        </w:tc>
        <w:tc>
          <w:tcPr>
            <w:tcW w:w="1658" w:type="dxa"/>
            <w:noWrap w:val="0"/>
            <w:vAlign w:val="center"/>
          </w:tcPr>
          <w:p w14:paraId="439995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213CA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AEB32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056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37F98C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1F9B25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水电综合保证率</w:t>
            </w:r>
          </w:p>
        </w:tc>
        <w:tc>
          <w:tcPr>
            <w:tcW w:w="1658" w:type="dxa"/>
            <w:noWrap w:val="0"/>
            <w:vAlign w:val="center"/>
          </w:tcPr>
          <w:p w14:paraId="303207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6A64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D6D5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170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6BC1D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BA38B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环境质量</w:t>
            </w:r>
          </w:p>
        </w:tc>
        <w:tc>
          <w:tcPr>
            <w:tcW w:w="1658" w:type="dxa"/>
            <w:noWrap w:val="0"/>
            <w:vAlign w:val="center"/>
          </w:tcPr>
          <w:p w14:paraId="7EAE5D1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CEF20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545354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B7A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1659" w:type="dxa"/>
            <w:vMerge w:val="continue"/>
            <w:noWrap w:val="0"/>
            <w:vAlign w:val="center"/>
          </w:tcPr>
          <w:p w14:paraId="0F6367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C87D82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区域公共设施状况</w:t>
            </w:r>
          </w:p>
        </w:tc>
        <w:tc>
          <w:tcPr>
            <w:tcW w:w="1658" w:type="dxa"/>
            <w:noWrap w:val="0"/>
            <w:vAlign w:val="center"/>
          </w:tcPr>
          <w:p w14:paraId="5C6B10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13679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A1B34A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7BBB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7C96E6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个别因素</w:t>
            </w:r>
          </w:p>
        </w:tc>
        <w:tc>
          <w:tcPr>
            <w:tcW w:w="1661" w:type="dxa"/>
            <w:noWrap w:val="0"/>
            <w:vAlign w:val="center"/>
          </w:tcPr>
          <w:p w14:paraId="6496540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所临道路类型</w:t>
            </w:r>
          </w:p>
        </w:tc>
        <w:tc>
          <w:tcPr>
            <w:tcW w:w="1658" w:type="dxa"/>
            <w:noWrap w:val="0"/>
            <w:vAlign w:val="center"/>
          </w:tcPr>
          <w:p w14:paraId="6D30F73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E6C738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6892A58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5B31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407B81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78AEFF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通风采光</w:t>
            </w:r>
          </w:p>
        </w:tc>
        <w:tc>
          <w:tcPr>
            <w:tcW w:w="1658" w:type="dxa"/>
            <w:noWrap w:val="0"/>
            <w:vAlign w:val="center"/>
          </w:tcPr>
          <w:p w14:paraId="56403BE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6B2591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025EFE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309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F0C82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9B7C1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房屋成新度</w:t>
            </w:r>
          </w:p>
        </w:tc>
        <w:tc>
          <w:tcPr>
            <w:tcW w:w="1658" w:type="dxa"/>
            <w:noWrap w:val="0"/>
            <w:vAlign w:val="center"/>
          </w:tcPr>
          <w:p w14:paraId="6971D9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3553B4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5858D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57C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7299238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9F01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建筑物结构</w:t>
            </w:r>
          </w:p>
        </w:tc>
        <w:tc>
          <w:tcPr>
            <w:tcW w:w="1658" w:type="dxa"/>
            <w:noWrap w:val="0"/>
            <w:vAlign w:val="center"/>
          </w:tcPr>
          <w:p w14:paraId="43E3748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4B8F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23DB73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432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39A50D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1EC5C1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建筑物内部格局</w:t>
            </w:r>
          </w:p>
        </w:tc>
        <w:tc>
          <w:tcPr>
            <w:tcW w:w="1658" w:type="dxa"/>
            <w:noWrap w:val="0"/>
            <w:vAlign w:val="center"/>
          </w:tcPr>
          <w:p w14:paraId="05145B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0ACFA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4379DE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6D0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3C2D648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414089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装修档次</w:t>
            </w:r>
          </w:p>
        </w:tc>
        <w:tc>
          <w:tcPr>
            <w:tcW w:w="1658" w:type="dxa"/>
            <w:noWrap w:val="0"/>
            <w:vAlign w:val="center"/>
          </w:tcPr>
          <w:p w14:paraId="11CAAE6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20E9A3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FA17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A1A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719FF6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386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停车情况</w:t>
            </w:r>
          </w:p>
        </w:tc>
        <w:tc>
          <w:tcPr>
            <w:tcW w:w="1658" w:type="dxa"/>
            <w:noWrap w:val="0"/>
            <w:vAlign w:val="center"/>
          </w:tcPr>
          <w:p w14:paraId="325EDE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24763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1B70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4CEB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DB522A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19F50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物业情况</w:t>
            </w:r>
          </w:p>
        </w:tc>
        <w:tc>
          <w:tcPr>
            <w:tcW w:w="1658" w:type="dxa"/>
            <w:noWrap w:val="0"/>
            <w:vAlign w:val="center"/>
          </w:tcPr>
          <w:p w14:paraId="7EC7534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843835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6109404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90C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77F5662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比准租金（元/平方米·天）</w:t>
            </w:r>
          </w:p>
        </w:tc>
        <w:tc>
          <w:tcPr>
            <w:tcW w:w="1658" w:type="dxa"/>
            <w:noWrap w:val="0"/>
            <w:vAlign w:val="center"/>
          </w:tcPr>
          <w:p w14:paraId="124850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11.32 </w:t>
            </w:r>
          </w:p>
        </w:tc>
        <w:tc>
          <w:tcPr>
            <w:tcW w:w="1669" w:type="dxa"/>
            <w:gridSpan w:val="2"/>
            <w:noWrap w:val="0"/>
            <w:vAlign w:val="center"/>
          </w:tcPr>
          <w:p w14:paraId="5ABF40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11.52 </w:t>
            </w:r>
          </w:p>
        </w:tc>
        <w:tc>
          <w:tcPr>
            <w:tcW w:w="1650" w:type="dxa"/>
            <w:noWrap w:val="0"/>
            <w:vAlign w:val="center"/>
          </w:tcPr>
          <w:p w14:paraId="04F3FF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11.54 </w:t>
            </w:r>
          </w:p>
        </w:tc>
      </w:tr>
      <w:tr w14:paraId="582F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0" w:hRule="atLeast"/>
        </w:trPr>
        <w:tc>
          <w:tcPr>
            <w:tcW w:w="3320" w:type="dxa"/>
            <w:gridSpan w:val="2"/>
            <w:noWrap w:val="0"/>
            <w:vAlign w:val="center"/>
          </w:tcPr>
          <w:p w14:paraId="0598364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算术平均值（元/平方米·天）</w:t>
            </w:r>
          </w:p>
        </w:tc>
        <w:tc>
          <w:tcPr>
            <w:tcW w:w="4977" w:type="dxa"/>
            <w:gridSpan w:val="4"/>
            <w:noWrap w:val="0"/>
            <w:vAlign w:val="center"/>
          </w:tcPr>
          <w:p w14:paraId="7ABCAD8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11.46 </w:t>
            </w:r>
          </w:p>
        </w:tc>
      </w:tr>
    </w:tbl>
    <w:p w14:paraId="0367F22D">
      <w:pPr>
        <w:keepNext w:val="0"/>
        <w:keepLines w:val="0"/>
        <w:pageBreakBefore w:val="0"/>
        <w:widowControl w:val="0"/>
        <w:kinsoku/>
        <w:wordWrap/>
        <w:overflowPunct/>
        <w:topLinePunct w:val="0"/>
        <w:bidi w:val="0"/>
        <w:adjustRightInd w:val="0"/>
        <w:snapToGrid w:val="0"/>
        <w:spacing w:line="480" w:lineRule="exact" w:before="0" w:after="0"/>
        <w:ind w:firstLine="616"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spacing w:val="14"/>
          <w:sz w:val="28"/>
          <w:szCs w:val="28"/>
        </w:rPr>
        <w:t>通</w:t>
      </w:r>
      <w:r>
        <w:rPr>
          <w:rFonts w:hint="default" w:ascii="仿宋_GB2312" w:hAnsi="仿宋_GB2312" w:eastAsia="仿宋_GB2312" w:cs="仿宋_GB2312"/>
          <w:b w:val="0"/>
          <w:bCs w:val="0"/>
          <w:color w:val="000000"/>
          <w:kern w:val="2"/>
          <w:sz w:val="28"/>
          <w:szCs w:val="28"/>
          <w:highlight w:val="none"/>
          <w:lang w:val="en-US" w:eastAsia="zh-CN" w:bidi="ar-SA"/>
        </w:rPr>
        <w:t>过市场比较，3个比较实例的比准租金接近，所以采取3个比较实例的比准租金结果的算术平均值作为估价对象的租金。</w:t>
      </w:r>
    </w:p>
    <w:p w14:paraId="3EC3A95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住宅用房月租金</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（11.32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11.54）/3</w:t>
      </w:r>
      <w:r>
        <w:rPr>
          <w:rFonts w:hint="eastAsia" w:ascii="仿宋_GB2312" w:hAnsi="仿宋_GB2312" w:eastAsia="仿宋_GB2312" w:cs="仿宋_GB2312"/>
          <w:b w:val="0"/>
          <w:bCs w:val="0"/>
          <w:color w:val="000000"/>
          <w:kern w:val="2"/>
          <w:sz w:val="28"/>
          <w:szCs w:val="28"/>
          <w:highlight w:val="none"/>
          <w:lang w:val="en-US" w:eastAsia="zh-CN" w:bidi="ar-SA"/>
        </w:rPr>
        <w:t>＝11.46</w:t>
      </w:r>
      <w:r>
        <w:rPr>
          <w:rFonts w:hint="default" w:ascii="仿宋_GB2312" w:hAnsi="仿宋_GB2312" w:eastAsia="仿宋_GB2312" w:cs="仿宋_GB2312"/>
          <w:b w:val="0"/>
          <w:bCs w:val="0"/>
          <w:color w:val="000000"/>
          <w:kern w:val="2"/>
          <w:sz w:val="28"/>
          <w:szCs w:val="28"/>
          <w:highlight w:val="none"/>
          <w:lang w:val="en-US" w:eastAsia="zh-CN" w:bidi="ar-SA"/>
        </w:rPr>
        <w:t>（元/平方米·月）</w:t>
      </w:r>
    </w:p>
    <w:p w14:paraId="33DDE93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fldChar w:fldCharType="begin"/>
      </w:r>
      <w:r>
        <w:rPr>
          <w:rFonts w:hint="default"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default" w:ascii="仿宋_GB2312" w:hAnsi="仿宋_GB2312" w:eastAsia="仿宋_GB2312" w:cs="仿宋_GB2312"/>
          <w:b w:val="0"/>
          <w:bCs w:val="0"/>
          <w:color w:val="000000"/>
          <w:kern w:val="2"/>
          <w:sz w:val="28"/>
          <w:szCs w:val="28"/>
          <w:highlight w:val="none"/>
          <w:lang w:val="en-US" w:eastAsia="zh-CN" w:bidi="ar-SA"/>
        </w:rPr>
        <w:fldChar w:fldCharType="separate"/>
      </w:r>
      <w:r>
        <w:rPr>
          <w:rFonts w:hint="default" w:ascii="仿宋_GB2312" w:hAnsi="仿宋_GB2312" w:eastAsia="仿宋_GB2312" w:cs="仿宋_GB2312"/>
          <w:b w:val="0"/>
          <w:bCs w:val="0"/>
          <w:color w:val="000000"/>
          <w:kern w:val="2"/>
          <w:sz w:val="28"/>
          <w:szCs w:val="28"/>
          <w:highlight w:val="none"/>
          <w:lang w:val="zh-CN" w:eastAsia="zh-CN" w:bidi="ar-SA"/>
        </w:rPr>
        <w:t>③</w:t>
      </w:r>
      <w:r>
        <w:rPr>
          <w:rFonts w:hint="default" w:ascii="仿宋_GB2312" w:hAnsi="仿宋_GB2312" w:eastAsia="仿宋_GB2312" w:cs="仿宋_GB2312"/>
          <w:b w:val="0"/>
          <w:bCs w:val="0"/>
          <w:color w:val="000000"/>
          <w:kern w:val="2"/>
          <w:sz w:val="28"/>
          <w:szCs w:val="28"/>
          <w:highlight w:val="none"/>
          <w:lang w:val="en-US" w:eastAsia="zh-CN" w:bidi="ar-SA"/>
        </w:rPr>
        <w:fldChar w:fldCharType="end"/>
      </w:r>
      <w:r>
        <w:rPr>
          <w:rFonts w:hint="default" w:ascii="仿宋_GB2312" w:hAnsi="仿宋_GB2312" w:eastAsia="仿宋_GB2312" w:cs="仿宋_GB2312"/>
          <w:b w:val="0"/>
          <w:bCs w:val="0"/>
          <w:color w:val="000000"/>
          <w:kern w:val="2"/>
          <w:sz w:val="28"/>
          <w:szCs w:val="28"/>
          <w:highlight w:val="none"/>
          <w:lang w:val="en-US" w:eastAsia="zh-CN" w:bidi="ar-SA"/>
        </w:rPr>
        <w:t>房地年总收益的确定</w:t>
      </w:r>
    </w:p>
    <w:p w14:paraId="2BF9477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估价人员通过对周边出租行情进行调查,区域内出租案例较多，根据市场调查区域商住房地产平均空置率为</w:t>
      </w:r>
      <w:r>
        <w:rPr>
          <w:rFonts w:hint="eastAsia" w:ascii="仿宋_GB2312" w:hAnsi="仿宋_GB2312" w:eastAsia="仿宋_GB2312" w:cs="仿宋_GB2312"/>
          <w:b w:val="0"/>
          <w:bCs w:val="0"/>
          <w:color w:val="000000"/>
          <w:kern w:val="2"/>
          <w:sz w:val="28"/>
          <w:szCs w:val="28"/>
          <w:highlight w:val="none"/>
          <w:lang w:val="en-US" w:eastAsia="zh-CN" w:bidi="ar-SA"/>
        </w:rPr>
        <w:t>3</w:t>
      </w:r>
      <w:r>
        <w:rPr>
          <w:rFonts w:hint="default" w:ascii="仿宋_GB2312" w:hAnsi="仿宋_GB2312" w:eastAsia="仿宋_GB2312" w:cs="仿宋_GB2312"/>
          <w:b w:val="0"/>
          <w:bCs w:val="0"/>
          <w:color w:val="000000"/>
          <w:kern w:val="2"/>
          <w:sz w:val="28"/>
          <w:szCs w:val="28"/>
          <w:highlight w:val="none"/>
          <w:lang w:val="en-US" w:eastAsia="zh-CN" w:bidi="ar-SA"/>
        </w:rPr>
        <w:t>%至</w:t>
      </w:r>
      <w:r>
        <w:rPr>
          <w:rFonts w:hint="eastAsia" w:ascii="仿宋_GB2312" w:hAnsi="仿宋_GB2312" w:eastAsia="仿宋_GB2312" w:cs="仿宋_GB2312"/>
          <w:b w:val="0"/>
          <w:bCs w:val="0"/>
          <w:color w:val="000000"/>
          <w:kern w:val="2"/>
          <w:sz w:val="28"/>
          <w:szCs w:val="28"/>
          <w:highlight w:val="none"/>
          <w:lang w:val="en-US" w:eastAsia="zh-CN" w:bidi="ar-SA"/>
        </w:rPr>
        <w:t>5</w:t>
      </w:r>
      <w:r>
        <w:rPr>
          <w:rFonts w:hint="default" w:ascii="仿宋_GB2312" w:hAnsi="仿宋_GB2312" w:eastAsia="仿宋_GB2312" w:cs="仿宋_GB2312"/>
          <w:b w:val="0"/>
          <w:bCs w:val="0"/>
          <w:color w:val="000000"/>
          <w:kern w:val="2"/>
          <w:sz w:val="28"/>
          <w:szCs w:val="28"/>
          <w:highlight w:val="none"/>
          <w:lang w:val="en-US" w:eastAsia="zh-CN" w:bidi="ar-SA"/>
        </w:rPr>
        <w:t>%，本次评估取平均空置率</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%。估价对象地上建筑物可出租房屋比例为96%。</w:t>
      </w:r>
    </w:p>
    <w:p w14:paraId="6C8F2BB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房地年总</w:t>
      </w:r>
      <w:r>
        <w:rPr>
          <w:rFonts w:hint="default" w:ascii="仿宋_GB2312" w:hAnsi="仿宋_GB2312" w:eastAsia="仿宋_GB2312" w:cs="仿宋_GB2312"/>
          <w:b w:val="0"/>
          <w:bCs w:val="0"/>
          <w:color w:val="000000"/>
          <w:kern w:val="2"/>
          <w:sz w:val="28"/>
          <w:szCs w:val="28"/>
          <w:highlight w:val="none"/>
          <w:lang w:val="en-US" w:eastAsia="zh-CN" w:bidi="ar-SA"/>
        </w:rPr>
        <w:t>收益</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住宅用房月租金×12×（1-空置率）×住宅用房</w:t>
      </w:r>
      <w:r>
        <w:rPr>
          <w:rFonts w:hint="eastAsia" w:ascii="仿宋_GB2312" w:hAnsi="仿宋_GB2312" w:eastAsia="仿宋_GB2312" w:cs="仿宋_GB2312"/>
          <w:b w:val="0"/>
          <w:bCs w:val="0"/>
          <w:color w:val="000000"/>
          <w:kern w:val="2"/>
          <w:sz w:val="28"/>
          <w:szCs w:val="28"/>
          <w:highlight w:val="none"/>
          <w:lang w:val="en-US" w:eastAsia="zh-CN" w:bidi="ar-SA"/>
        </w:rPr>
        <w:t>出租率＝11.46</w:t>
      </w:r>
      <w:r>
        <w:rPr>
          <w:rFonts w:hint="default" w:ascii="仿宋_GB2312" w:hAnsi="仿宋_GB2312" w:eastAsia="仿宋_GB2312" w:cs="仿宋_GB2312"/>
          <w:b w:val="0"/>
          <w:bCs w:val="0"/>
          <w:color w:val="000000"/>
          <w:kern w:val="2"/>
          <w:sz w:val="28"/>
          <w:szCs w:val="28"/>
          <w:highlight w:val="none"/>
          <w:lang w:val="en-US" w:eastAsia="zh-CN" w:bidi="ar-SA"/>
        </w:rPr>
        <w:t>×12×（1-</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73.415</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96</w:t>
      </w:r>
      <w:r>
        <w:rPr>
          <w:rFonts w:hint="default" w:ascii="仿宋_GB2312" w:hAnsi="仿宋_GB2312" w:eastAsia="仿宋_GB2312" w:cs="仿宋_GB2312"/>
          <w:b w:val="0"/>
          <w:bCs w:val="0"/>
          <w:color w:val="000000"/>
          <w:kern w:val="2"/>
          <w:sz w:val="28"/>
          <w:szCs w:val="28"/>
          <w:highlight w:val="none"/>
          <w:lang w:val="en-US" w:eastAsia="zh-CN" w:bidi="ar-SA"/>
        </w:rPr>
        <w:t>%÷1000</w:t>
      </w:r>
      <w:r>
        <w:rPr>
          <w:rFonts w:hint="eastAsia" w:ascii="仿宋_GB2312" w:hAnsi="仿宋_GB2312" w:eastAsia="仿宋_GB2312" w:cs="仿宋_GB2312"/>
          <w:b w:val="0"/>
          <w:bCs w:val="0"/>
          <w:color w:val="000000"/>
          <w:kern w:val="2"/>
          <w:sz w:val="28"/>
          <w:szCs w:val="28"/>
          <w:highlight w:val="none"/>
          <w:lang w:val="en-US" w:eastAsia="zh-CN" w:bidi="ar-SA"/>
        </w:rPr>
        <w:t>0＝0.9305（万元）</w:t>
      </w:r>
    </w:p>
    <w:p w14:paraId="6571855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2、确定</w:t>
      </w:r>
      <w:r>
        <w:rPr>
          <w:rFonts w:hint="eastAsia" w:ascii="仿宋_GB2312" w:hAnsi="仿宋_GB2312" w:eastAsia="仿宋_GB2312" w:cs="仿宋_GB2312"/>
          <w:b w:val="0"/>
          <w:bCs w:val="0"/>
          <w:color w:val="000000"/>
          <w:kern w:val="2"/>
          <w:sz w:val="28"/>
          <w:szCs w:val="28"/>
          <w:highlight w:val="none"/>
          <w:lang w:val="en-US" w:eastAsia="zh-CN" w:bidi="ar-SA"/>
        </w:rPr>
        <w:t>房地</w:t>
      </w:r>
      <w:r>
        <w:rPr>
          <w:rFonts w:hint="default" w:ascii="仿宋_GB2312" w:hAnsi="仿宋_GB2312" w:eastAsia="仿宋_GB2312" w:cs="仿宋_GB2312"/>
          <w:b w:val="0"/>
          <w:bCs w:val="0"/>
          <w:color w:val="000000"/>
          <w:kern w:val="2"/>
          <w:sz w:val="28"/>
          <w:szCs w:val="28"/>
          <w:highlight w:val="none"/>
          <w:lang w:val="en-US" w:eastAsia="zh-CN" w:bidi="ar-SA"/>
        </w:rPr>
        <w:t>年总费用</w:t>
      </w:r>
    </w:p>
    <w:p w14:paraId="63F6A16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总费用是指利用土地进行经营活动时正常合理的必要年支出。</w:t>
      </w:r>
    </w:p>
    <w:p w14:paraId="78143A0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（1）经营管理费：指对出租房屋进行的必要管理所需的费用。按年租金的2%～5%计，本次评估中根据估价对象地上建筑物管理难易程度确定为2%，则：</w:t>
      </w:r>
    </w:p>
    <w:p w14:paraId="7225B8F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经营管理费＝房地年总收益×2%</w:t>
      </w:r>
    </w:p>
    <w:p w14:paraId="7AEC1EB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0.9305</w:t>
      </w:r>
      <w:r>
        <w:rPr>
          <w:rFonts w:hint="default" w:ascii="仿宋_GB2312" w:hAnsi="仿宋_GB2312" w:eastAsia="仿宋_GB2312" w:cs="仿宋_GB2312"/>
          <w:b w:val="0"/>
          <w:bCs w:val="0"/>
          <w:color w:val="000000"/>
          <w:kern w:val="2"/>
          <w:sz w:val="28"/>
          <w:szCs w:val="28"/>
          <w:highlight w:val="none"/>
          <w:lang w:val="en-US" w:eastAsia="zh-CN" w:bidi="ar-SA"/>
        </w:rPr>
        <w:t>×2%</w:t>
      </w:r>
    </w:p>
    <w:p w14:paraId="15E473F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0.0186</w:t>
      </w:r>
      <w:r>
        <w:rPr>
          <w:rFonts w:hint="default" w:ascii="仿宋_GB2312" w:hAnsi="仿宋_GB2312" w:eastAsia="仿宋_GB2312" w:cs="仿宋_GB2312"/>
          <w:b w:val="0"/>
          <w:bCs w:val="0"/>
          <w:color w:val="000000"/>
          <w:kern w:val="2"/>
          <w:sz w:val="28"/>
          <w:szCs w:val="28"/>
          <w:highlight w:val="none"/>
          <w:lang w:val="en-US" w:eastAsia="zh-CN" w:bidi="ar-SA"/>
        </w:rPr>
        <w:t>（万元）</w:t>
      </w:r>
    </w:p>
    <w:p w14:paraId="6078E48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（2）经营维修费：指为保障房屋正常使用每年需支付的修缮费。根据估价对象房屋的实际使用情况，按建筑物重置价格的2%计算。</w:t>
      </w:r>
    </w:p>
    <w:p w14:paraId="0D05F9B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sz w:val="28"/>
          <w:szCs w:val="30"/>
          <w:lang w:val="en-US" w:eastAsia="zh-CN"/>
        </w:rPr>
      </w:pPr>
      <w:r>
        <w:rPr>
          <w:rFonts w:hint="eastAsia" w:ascii="仿宋_GB2312" w:hAnsi="仿宋_GB2312" w:eastAsia="仿宋_GB2312" w:cs="仿宋_GB2312"/>
          <w:sz w:val="28"/>
          <w:szCs w:val="30"/>
          <w:lang w:val="en-GB"/>
        </w:rPr>
        <w:t>根据《湖南省房地产协会关于发布&lt;湖南省建筑物建设成本参考标准研究成果&gt;的通知》（编号：湘房协[2023]3号，2023年2月14日）中的“各类建筑物建设成本参考标准”，住宅类</w:t>
      </w:r>
      <w:r>
        <w:rPr>
          <w:rFonts w:hint="eastAsia" w:ascii="仿宋_GB2312" w:eastAsia="仿宋_GB2312" w:cs="仿宋_GB2312" w:hAnsi="仿宋_GB2312"/>
          <w:sz w:val="28"/>
          <w:szCs w:val="30"/>
          <w:lang w:val="en-US" w:eastAsia="zh-CN"/>
        </w:rPr>
        <w:t>砖混</w:t>
      </w:r>
      <w:r>
        <w:rPr>
          <w:rFonts w:hint="eastAsia" w:ascii="仿宋_GB2312" w:hAnsi="仿宋_GB2312" w:eastAsia="仿宋_GB2312" w:cs="仿宋_GB2312"/>
          <w:sz w:val="28"/>
          <w:szCs w:val="30"/>
          <w:lang w:val="en-GB"/>
        </w:rPr>
        <w:t>结构</w:t>
      </w:r>
      <w:r>
        <w:rPr>
          <w:rFonts w:hint="eastAsia" w:ascii="仿宋_GB2312" w:eastAsia="仿宋_GB2312" w:cs="仿宋_GB2312" w:hAnsi="仿宋_GB2312"/>
          <w:sz w:val="28"/>
          <w:szCs w:val="30"/>
          <w:lang w:val="en-US" w:eastAsia="zh-CN"/>
        </w:rPr>
        <w:t>二等</w:t>
      </w:r>
      <w:r>
        <w:rPr>
          <w:rFonts w:hint="eastAsia" w:ascii="仿宋_GB2312" w:hAnsi="仿宋_GB2312" w:eastAsia="仿宋_GB2312" w:cs="仿宋_GB2312"/>
          <w:sz w:val="28"/>
          <w:szCs w:val="30"/>
          <w:lang w:val="en-GB"/>
        </w:rPr>
        <w:t>建设成本价格在1</w:t>
      </w:r>
      <w:r>
        <w:rPr>
          <w:rFonts w:hint="eastAsia" w:ascii="仿宋_GB2312" w:eastAsia="仿宋_GB2312" w:cs="仿宋_GB2312" w:hAnsi="仿宋_GB2312"/>
          <w:sz w:val="28"/>
          <w:szCs w:val="30"/>
          <w:lang w:val="en-US" w:eastAsia="zh-CN"/>
        </w:rPr>
        <w:t>2</w:t>
      </w:r>
      <w:r>
        <w:rPr>
          <w:rFonts w:hint="eastAsia" w:ascii="仿宋_GB2312" w:hAnsi="仿宋_GB2312" w:eastAsia="仿宋_GB2312" w:cs="仿宋_GB2312"/>
          <w:sz w:val="28"/>
          <w:szCs w:val="30"/>
          <w:lang w:val="en-GB"/>
        </w:rPr>
        <w:t>00-1</w:t>
      </w:r>
      <w:r>
        <w:rPr>
          <w:rFonts w:hint="eastAsia" w:ascii="仿宋_GB2312" w:eastAsia="仿宋_GB2312" w:cs="仿宋_GB2312" w:hAnsi="仿宋_GB2312"/>
          <w:sz w:val="28"/>
          <w:szCs w:val="30"/>
          <w:lang w:val="en-US" w:eastAsia="zh-CN"/>
        </w:rPr>
        <w:t>3</w:t>
      </w:r>
      <w:r>
        <w:rPr>
          <w:rFonts w:hint="eastAsia" w:ascii="仿宋_GB2312" w:hAnsi="仿宋_GB2312" w:eastAsia="仿宋_GB2312" w:cs="仿宋_GB2312"/>
          <w:sz w:val="28"/>
          <w:szCs w:val="30"/>
          <w:lang w:val="en-GB"/>
        </w:rPr>
        <w:t>00元/平方米</w:t>
      </w:r>
      <w:r>
        <w:rPr>
          <w:rFonts w:hint="eastAsia" w:ascii="仿宋_GB2312" w:hAnsi="仿宋_GB2312" w:eastAsia="仿宋_GB2312" w:cs="仿宋_GB2312"/>
          <w:sz w:val="28"/>
          <w:szCs w:val="30"/>
          <w:lang w:val="en-GB" w:eastAsia="zh-CN"/>
        </w:rPr>
        <w:t>，</w:t>
      </w:r>
      <w:r>
        <w:rPr>
          <w:rFonts w:hint="eastAsia" w:ascii="仿宋_GB2312" w:hAnsi="仿宋_GB2312" w:eastAsia="仿宋_GB2312" w:cs="仿宋_GB2312"/>
          <w:sz w:val="28"/>
          <w:szCs w:val="30"/>
          <w:lang w:val="en-GB"/>
        </w:rPr>
        <w:t>根据《湖南省房地产协会关于发布&lt;湖南省建筑物建设成本参考标准研究成果&gt;的通知》（编号：湘房协[2023]3号，2023年2月14日）中的“利用系数表”，估价对象位于</w:t>
      </w:r>
      <w:r>
        <w:rPr>
          <w:rFonts w:hint="eastAsia" w:ascii="仿宋_GB2312" w:hAnsi="仿宋_GB2312" w:eastAsia="仿宋_GB2312" w:cs="仿宋_GB2312"/>
          <w:sz w:val="28"/>
          <w:szCs w:val="30"/>
          <w:lang w:val="en-US" w:eastAsia="zh-CN"/>
        </w:rPr>
        <w:t>道县</w:t>
      </w:r>
      <w:r>
        <w:rPr>
          <w:rFonts w:hint="eastAsia" w:ascii="仿宋_GB2312" w:hAnsi="仿宋_GB2312" w:eastAsia="仿宋_GB2312" w:cs="仿宋_GB2312"/>
          <w:sz w:val="28"/>
          <w:szCs w:val="30"/>
          <w:lang w:val="en-GB"/>
        </w:rPr>
        <w:t>，应进行利用系数修正，修正系数为</w:t>
      </w:r>
      <w:r>
        <w:rPr>
          <w:rFonts w:hint="eastAsia" w:ascii="仿宋_GB2312" w:hAnsi="仿宋_GB2312" w:eastAsia="仿宋_GB2312" w:cs="仿宋_GB2312"/>
          <w:sz w:val="28"/>
          <w:szCs w:val="30"/>
          <w:lang w:val="en-US" w:eastAsia="zh-CN"/>
        </w:rPr>
        <w:t>0.90</w:t>
      </w:r>
      <w:r>
        <w:rPr>
          <w:rFonts w:hint="eastAsia" w:ascii="仿宋_GB2312" w:hAnsi="仿宋_GB2312" w:eastAsia="仿宋_GB2312" w:cs="仿宋_GB2312"/>
          <w:sz w:val="28"/>
          <w:szCs w:val="30"/>
          <w:lang w:val="en-GB"/>
        </w:rPr>
        <w:t>，取</w:t>
      </w:r>
      <w:r>
        <w:rPr>
          <w:rFonts w:hint="eastAsia" w:ascii="仿宋_GB2312" w:eastAsia="仿宋_GB2312" w:cs="仿宋_GB2312" w:hAnsi="仿宋_GB2312"/>
          <w:sz w:val="28"/>
          <w:szCs w:val="30"/>
          <w:lang w:val="en-US" w:eastAsia="zh-CN"/>
        </w:rPr>
        <w:t>二等砖混</w:t>
      </w:r>
      <w:r>
        <w:rPr>
          <w:rFonts w:hint="eastAsia" w:ascii="仿宋_GB2312" w:hAnsi="仿宋_GB2312" w:eastAsia="仿宋_GB2312" w:cs="仿宋_GB2312"/>
          <w:sz w:val="28"/>
          <w:szCs w:val="30"/>
          <w:lang w:val="en-GB"/>
        </w:rPr>
        <w:t>结构住宅用房重置价格为</w:t>
      </w:r>
      <w:r>
        <w:rPr>
          <w:rFonts w:hint="eastAsia" w:ascii="仿宋_GB2312" w:hAnsi="仿宋_GB2312" w:eastAsia="仿宋_GB2312" w:cs="仿宋_GB2312"/>
          <w:sz w:val="28"/>
          <w:szCs w:val="30"/>
          <w:lang w:val="en-US" w:eastAsia="zh-CN"/>
        </w:rPr>
        <w:t>1</w:t>
      </w:r>
      <w:r>
        <w:rPr>
          <w:rFonts w:hint="eastAsia" w:ascii="仿宋_GB2312" w:eastAsia="仿宋_GB2312" w:cs="仿宋_GB2312" w:hAnsi="仿宋_GB2312"/>
          <w:sz w:val="28"/>
          <w:szCs w:val="30"/>
          <w:lang w:val="en-US" w:eastAsia="zh-CN"/>
        </w:rPr>
        <w:t>3</w:t>
      </w:r>
      <w:r>
        <w:rPr>
          <w:rFonts w:hint="eastAsia" w:ascii="仿宋_GB2312" w:hAnsi="仿宋_GB2312" w:eastAsia="仿宋_GB2312" w:cs="仿宋_GB2312"/>
          <w:sz w:val="28"/>
          <w:szCs w:val="30"/>
          <w:lang w:val="en-US" w:eastAsia="zh-CN"/>
        </w:rPr>
        <w:t>00</w:t>
      </w:r>
      <w:r>
        <w:rPr>
          <w:rFonts w:hint="eastAsia" w:ascii="仿宋_GB2312" w:hAnsi="仿宋_GB2312" w:eastAsia="仿宋_GB2312" w:cs="仿宋_GB2312"/>
          <w:sz w:val="28"/>
          <w:szCs w:val="30"/>
          <w:lang w:val="en-GB"/>
        </w:rPr>
        <w:t>元/平方米，</w:t>
      </w:r>
      <w:r>
        <w:rPr>
          <w:rFonts w:hint="eastAsia" w:ascii="仿宋_GB2312" w:eastAsia="仿宋_GB2312" w:cs="仿宋_GB2312" w:hAnsi="仿宋_GB2312"/>
          <w:sz w:val="28"/>
          <w:szCs w:val="30"/>
          <w:lang w:val="en-US" w:eastAsia="zh-CN"/>
        </w:rPr>
        <w:t>则道县类似混合结构住宅楼建筑物重置价为1300×0.9=</w:t>
      </w:r>
      <w:r>
        <w:rPr>
          <w:rFonts w:hint="eastAsia" w:ascii="仿宋_GB2312" w:hAnsi="仿宋_GB2312" w:eastAsia="仿宋_GB2312" w:cs="仿宋_GB2312"/>
          <w:sz w:val="28"/>
          <w:szCs w:val="30"/>
          <w:lang w:val="en-US" w:eastAsia="zh-CN"/>
        </w:rPr>
        <w:t>1170元/平方米。</w:t>
      </w:r>
    </w:p>
    <w:p w14:paraId="16EACBAC">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sz w:val="28"/>
        </w:rPr>
      </w:pPr>
      <w:r>
        <w:rPr>
          <w:rFonts w:hint="eastAsia" w:ascii="仿宋_GB2312" w:hAnsi="仿宋_GB2312" w:eastAsia="仿宋_GB2312" w:cs="仿宋_GB2312"/>
          <w:sz w:val="28"/>
          <w:szCs w:val="28"/>
        </w:rPr>
        <w:t>考虑近几年价格上涨水平，取砖混结构重置价格年增长率为</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30"/>
          <w:lang w:val="en-GB"/>
        </w:rPr>
        <w:t>《湖南省房地产协会关于发布&lt;湖南省建筑物建设成本参考标准研究成果&gt;的通知》（编号：湘房协[2023]3号，2023年2月14日）建筑物建设成本对应的价值时点为2023年1月</w:t>
      </w:r>
      <w:r>
        <w:rPr>
          <w:rFonts w:hint="eastAsia" w:ascii="仿宋_GB2312" w:hAnsi="仿宋_GB2312" w:eastAsia="仿宋_GB2312" w:cs="仿宋_GB2312"/>
          <w:sz w:val="28"/>
          <w:szCs w:val="30"/>
          <w:lang w:val="en-GB"/>
        </w:rPr>
        <w:t xml:space="preserve">1 </w:t>
      </w:r>
      <w:r>
        <w:rPr>
          <w:rFonts w:hint="eastAsia" w:ascii="仿宋_GB2312" w:hAnsi="仿宋_GB2312" w:eastAsia="仿宋_GB2312" w:cs="仿宋_GB2312"/>
          <w:b w:val="0"/>
          <w:bCs w:val="0"/>
          <w:color w:val="000000"/>
          <w:sz w:val="28"/>
          <w:szCs w:val="28"/>
        </w:rPr>
        <w:t>日</w:t>
      </w:r>
      <w:r>
        <w:rPr>
          <w:rFonts w:hint="eastAsia" w:ascii="仿宋_GB2312" w:hAnsi="仿宋_GB2312" w:eastAsia="仿宋_GB2312" w:cs="仿宋_GB2312"/>
          <w:sz w:val="28"/>
        </w:rPr>
        <w:t>，而本次评估的估价期日是</w:t>
      </w:r>
      <w:r>
        <w:rPr>
          <w:rFonts w:hint="eastAsia" w:ascii="仿宋_GB2312" w:hAnsi="仿宋_GB2312" w:eastAsia="仿宋_GB2312" w:cs="仿宋_GB2312"/>
          <w:sz w:val="28"/>
          <w:lang w:eastAsia="zh-CN"/>
        </w:rPr>
        <w:t>2026年</w:t>
      </w:r>
      <w:r>
        <w:rPr>
          <w:rFonts w:hint="eastAsia" w:ascii="仿宋_GB2312" w:hAnsi="仿宋_GB2312" w:eastAsia="仿宋_GB2312" w:cs="仿宋_GB2312"/>
          <w:sz w:val="28"/>
          <w:lang w:val="en-US" w:eastAsia="zh-CN"/>
        </w:rPr>
        <w:t>5</w:t>
      </w:r>
      <w:r>
        <w:rPr>
          <w:rFonts w:hint="eastAsia" w:ascii="仿宋_GB2312" w:hAnsi="仿宋_GB2312" w:eastAsia="仿宋_GB2312" w:cs="仿宋_GB2312"/>
          <w:sz w:val="28"/>
          <w:lang w:eastAsia="zh-CN"/>
        </w:rPr>
        <w:t>月</w:t>
      </w:r>
      <w:r>
        <w:rPr>
          <w:rFonts w:hint="eastAsia" w:ascii="仿宋_GB2312" w:hAnsi="仿宋_GB2312" w:eastAsia="仿宋_GB2312" w:cs="仿宋_GB2312"/>
          <w:sz w:val="28"/>
          <w:lang w:val="en-US" w:eastAsia="zh-CN"/>
        </w:rPr>
        <w:t>18</w:t>
      </w:r>
      <w:r>
        <w:rPr>
          <w:rFonts w:hint="eastAsia" w:ascii="仿宋_GB2312" w:hAnsi="仿宋_GB2312" w:eastAsia="仿宋_GB2312" w:cs="仿宋_GB2312"/>
          <w:sz w:val="28"/>
          <w:lang w:eastAsia="zh-CN"/>
        </w:rPr>
        <w:t>日</w:t>
      </w:r>
      <w:r>
        <w:rPr>
          <w:rFonts w:hint="eastAsia" w:ascii="仿宋_GB2312" w:hAnsi="仿宋_GB2312" w:eastAsia="仿宋_GB2312" w:cs="仿宋_GB2312"/>
          <w:sz w:val="28"/>
        </w:rPr>
        <w:t>，相距</w:t>
      </w:r>
      <w:r>
        <w:rPr>
          <w:rFonts w:hint="eastAsia" w:ascii="仿宋_GB2312" w:hAnsi="仿宋_GB2312" w:eastAsia="仿宋_GB2312" w:cs="仿宋_GB2312"/>
          <w:sz w:val="28"/>
          <w:lang w:val="en-US" w:eastAsia="zh-CN"/>
        </w:rPr>
        <w:t>3.38</w:t>
      </w:r>
      <w:r>
        <w:rPr>
          <w:rFonts w:hint="eastAsia" w:ascii="仿宋_GB2312" w:hAnsi="仿宋_GB2312" w:eastAsia="仿宋_GB2312" w:cs="仿宋_GB2312"/>
          <w:sz w:val="28"/>
        </w:rPr>
        <w:t>年。</w:t>
      </w:r>
    </w:p>
    <w:p w14:paraId="617891A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sz w:val="28"/>
          <w:szCs w:val="28"/>
        </w:rPr>
        <w:t>可确定估价对象估价期日的房屋重置价格</w:t>
      </w:r>
      <w:r>
        <w:rPr>
          <w:rFonts w:hint="eastAsia" w:ascii="仿宋_GB2312" w:hAnsi="仿宋_GB2312" w:eastAsia="仿宋_GB2312" w:cs="仿宋_GB2312"/>
          <w:sz w:val="28"/>
          <w:szCs w:val="28"/>
          <w:lang w:val="en-US" w:eastAsia="zh-CN"/>
        </w:rPr>
        <w:t>单价</w:t>
      </w:r>
      <w:r>
        <w:rPr>
          <w:rFonts w:hint="eastAsia" w:ascii="仿宋_GB2312" w:hAnsi="仿宋_GB2312" w:eastAsia="仿宋_GB2312" w:cs="仿宋_GB2312"/>
          <w:sz w:val="28"/>
          <w:szCs w:val="28"/>
        </w:rPr>
        <w:t>为</w:t>
      </w:r>
      <w:r>
        <w:rPr>
          <w:rFonts w:hint="eastAsia" w:ascii="仿宋_GB2312" w:hAnsi="仿宋_GB2312" w:eastAsia="仿宋_GB2312" w:cs="仿宋_GB2312"/>
          <w:sz w:val="28"/>
          <w:szCs w:val="28"/>
          <w:lang w:val="en-US" w:eastAsia="zh-CN"/>
        </w:rPr>
        <w:t>1170</w:t>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vertAlign w:val="superscript"/>
          <w:lang w:val="en-US" w:eastAsia="zh-CN"/>
        </w:rPr>
        <w:t>3.38</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1259</w:t>
      </w:r>
      <w:r>
        <w:rPr>
          <w:rFonts w:hint="eastAsia" w:ascii="仿宋_GB2312" w:hAnsi="仿宋_GB2312" w:eastAsia="仿宋_GB2312" w:cs="仿宋_GB2312"/>
          <w:sz w:val="28"/>
          <w:szCs w:val="28"/>
        </w:rPr>
        <w:t>元/平方米。</w:t>
      </w:r>
    </w:p>
    <w:p w14:paraId="2D225B2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房屋重置价格＝重置单价×总建筑面积</w:t>
      </w:r>
    </w:p>
    <w:p w14:paraId="1751CC21">
      <w:pPr>
        <w:keepNext w:val="0"/>
        <w:keepLines w:val="0"/>
        <w:pageBreakBefore w:val="0"/>
        <w:widowControl w:val="0"/>
        <w:kinsoku/>
        <w:wordWrap/>
        <w:overflowPunct/>
        <w:topLinePunct w:val="0"/>
        <w:bidi w:val="0"/>
        <w:adjustRightInd w:val="0"/>
        <w:snapToGrid w:val="0"/>
        <w:spacing w:line="480" w:lineRule="exact" w:before="0" w:after="0"/>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＝1259×73.415＝9.2429（万元）</w:t>
      </w:r>
    </w:p>
    <w:p w14:paraId="3E35FEA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则：经营维修费＝房屋重置价格×2%</w:t>
      </w:r>
    </w:p>
    <w:p w14:paraId="2B3444C6">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＝9.2429×2%</w:t>
      </w:r>
    </w:p>
    <w:p w14:paraId="413D9D3D">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＝0.1849（万元）</w:t>
      </w:r>
    </w:p>
    <w:p w14:paraId="6DD769B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（3）房屋年保险费：指房产所有人为使自己的房产避免意外损失而向保险公司支付的费用。按房屋现值乘以保险费率2‰计算，则：</w:t>
      </w:r>
    </w:p>
    <w:p w14:paraId="5BEAFAA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计算房屋年折旧费：房屋年折旧费指房屋在使用过程中因损耗而在租金中补偿的那部分价值。</w:t>
      </w:r>
    </w:p>
    <w:p w14:paraId="417125C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估价对象建筑为混合结构，耐用年限为50年，残值率2%，估价对象地上房屋建成于2004年，已使用年限约为22年，剩余使用年限28年，此次评估设定出让土地使用权年限为70年，大于房屋剩余使用年限，根据孰短原则，折旧年限＝房屋已使用年限+房屋剩余使用年限。则年折旧费计算公式为：</w:t>
      </w:r>
    </w:p>
    <w:p w14:paraId="64AAAC8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年折旧费＝房屋重置价×（1-残值率）÷（房屋已使用年限+房屋剩余使用年限）</w:t>
      </w:r>
    </w:p>
    <w:p w14:paraId="253B825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＝9.2429×（1-2%）÷（22+28）</w:t>
      </w:r>
    </w:p>
    <w:p w14:paraId="43F0ECF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＝0.1812（万元）</w:t>
      </w:r>
    </w:p>
    <w:p w14:paraId="55DF112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计算房屋现值</w:t>
      </w:r>
    </w:p>
    <w:p w14:paraId="2BF6FF0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房屋现值＝房屋重置价格-折旧总额</w:t>
      </w:r>
    </w:p>
    <w:p w14:paraId="3292E27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＝9.2429-年折旧费×已使用年限</w:t>
      </w:r>
    </w:p>
    <w:p w14:paraId="63B88B0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＝9.2429-0.1812×22</w:t>
      </w:r>
    </w:p>
    <w:p w14:paraId="7B3E59D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＝5.2565（万元）</w:t>
      </w:r>
    </w:p>
    <w:p w14:paraId="299E947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③</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计算房屋年保险费</w:t>
      </w:r>
    </w:p>
    <w:p w14:paraId="2BBEF3D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房屋年保险费＝房屋现值×2‰</w:t>
      </w:r>
    </w:p>
    <w:p w14:paraId="5642A7C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＝5.2565×2%</w:t>
      </w:r>
    </w:p>
    <w:p w14:paraId="033A52B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＝0.0105（万元）</w:t>
      </w:r>
    </w:p>
    <w:p w14:paraId="4127948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（4）出租年应交税金</w:t>
      </w:r>
    </w:p>
    <w:p w14:paraId="27578D6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de-DE" w:eastAsia="zh-CN" w:bidi="ar-SA"/>
        </w:rPr>
        <w:fldChar w:fldCharType="begin"/>
      </w:r>
      <w:r>
        <w:rPr>
          <w:rFonts w:hint="eastAsia" w:ascii="仿宋_GB2312" w:hAnsi="仿宋_GB2312" w:eastAsia="仿宋_GB2312" w:cs="仿宋_GB2312"/>
          <w:b w:val="0"/>
          <w:bCs w:val="0"/>
          <w:color w:val="000000"/>
          <w:kern w:val="2"/>
          <w:sz w:val="28"/>
          <w:szCs w:val="28"/>
          <w:highlight w:val="none"/>
          <w:lang w:val="de-DE"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de-DE" w:eastAsia="zh-CN" w:bidi="ar-SA"/>
        </w:rPr>
        <w:fldChar w:fldCharType="separate"/>
      </w:r>
      <w:r>
        <w:rPr>
          <w:rFonts w:hint="eastAsia" w:ascii="仿宋_GB2312" w:hAnsi="仿宋_GB2312" w:eastAsia="仿宋_GB2312" w:cs="仿宋_GB2312"/>
          <w:b w:val="0"/>
          <w:bCs w:val="0"/>
          <w:color w:val="000000"/>
          <w:kern w:val="2"/>
          <w:sz w:val="28"/>
          <w:szCs w:val="28"/>
          <w:highlight w:val="none"/>
          <w:lang w:val="de-DE" w:eastAsia="zh-CN" w:bidi="ar-SA"/>
        </w:rPr>
        <w:t>①</w:t>
      </w:r>
      <w:r>
        <w:rPr>
          <w:rFonts w:hint="eastAsia" w:ascii="仿宋_GB2312" w:hAnsi="仿宋_GB2312" w:eastAsia="仿宋_GB2312" w:cs="仿宋_GB2312"/>
          <w:b w:val="0"/>
          <w:bCs w:val="0"/>
          <w:color w:val="000000"/>
          <w:kern w:val="2"/>
          <w:sz w:val="28"/>
          <w:szCs w:val="28"/>
          <w:highlight w:val="none"/>
          <w:lang w:val="de-DE"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增值税及城市建设维护税和教育费附加</w:t>
      </w:r>
    </w:p>
    <w:p w14:paraId="0FF08B9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关于全面推开营业税改征增值税试点有关税收征收管理事项的公告》（2016年第23号）、《国务院办公厅关于加快培育和发展住房租赁市场的若干意见》（国办发〔2016〕39号），落实营改增关于住房租赁的有关政策，对个人出租住房的，由按照5%的征收率减按1.5%计算缴纳增值税；根据《财政部税务总局关于增值税法施行后增值税优惠政策衔接事项的公告》（财政部 税务总局公告2026年第10号，2026年1月30日），小规模纳税人增值税起征点为月销售额10万元，估价对象平均月租金收入未超过10万元，免征增值税。</w:t>
      </w:r>
    </w:p>
    <w:p w14:paraId="20D36B8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②附加税（城市维护建设税、教育费附加、地方教育附加）</w:t>
      </w:r>
    </w:p>
    <w:p w14:paraId="539696D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增值税附加是以缴纳的增值税为基数，估价对象免征增值税，因此增值税附加为0。</w:t>
      </w:r>
    </w:p>
    <w:p w14:paraId="2F356D7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③印花税：根据《财政部 国家税务总局 关于廉租住房经济适用住房和住房租赁有关税收政策的通知》（财税〔2008〕24号），对个人出租、承租住房签订的租赁合同，免征印花税。</w:t>
      </w:r>
    </w:p>
    <w:p w14:paraId="65FB287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④房产税：根据《财政部 国家税务总局 关于廉租住房经济适用住房和住房租赁有关税收政策的通知》（财税〔2008〕24号），对个人出租住房，按4%的税率征收房产税。根据《财政部税务总局关于进一步支持小微企业和个体工商户发展有关税费政策的公告》（财政部 税务总局公告2023年第12号，2023年8月2日），对增值税小规模纳税人减半征收房产税。</w:t>
      </w:r>
    </w:p>
    <w:p w14:paraId="3A82926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出租年应交税金＝年总收益×税率</w:t>
      </w:r>
    </w:p>
    <w:p w14:paraId="1BB057FF">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＝0.9305×4%×50%</w:t>
      </w:r>
    </w:p>
    <w:p w14:paraId="4CAB0B96">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＝0.0186（万元）</w:t>
      </w:r>
    </w:p>
    <w:p w14:paraId="0F5FA4A2">
      <w:pPr>
        <w:keepNext w:val="0"/>
        <w:keepLines w:val="0"/>
        <w:pageBreakBefore w:val="0"/>
        <w:widowControl w:val="0"/>
        <w:kinsoku/>
        <w:wordWrap/>
        <w:overflowPunct/>
        <w:topLinePunct w:val="0"/>
        <w:bidi w:val="0"/>
        <w:adjustRightInd w:val="0"/>
        <w:snapToGrid w:val="0"/>
        <w:spacing w:line="480" w:lineRule="exact" w:before="0" w:after="0"/>
        <w:ind w:firstLine="560" w:firstLineChars="200"/>
        <w:jc w:val="lef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房地出租年总费用＝经营管理费+经营维修费+房屋年保险费+房屋出租年应交税金＝0.0186+0.1849+0.0105+0.0186＝0.2326（万元）</w:t>
      </w:r>
    </w:p>
    <w:p w14:paraId="4368597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3、房地年纯收益</w:t>
      </w:r>
    </w:p>
    <w:p w14:paraId="3AF48718">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房地年纯收益＝房地年总收益-房地年总费用</w:t>
      </w:r>
    </w:p>
    <w:p w14:paraId="53D6B51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＝0.9305-0.2326</w:t>
      </w:r>
    </w:p>
    <w:p w14:paraId="57761BD1">
      <w:pPr>
        <w:keepNext w:val="0"/>
        <w:keepLines w:val="0"/>
        <w:pageBreakBefore w:val="0"/>
        <w:widowControl w:val="0"/>
        <w:kinsoku/>
        <w:wordWrap/>
        <w:overflowPunct/>
        <w:topLinePunct w:val="0"/>
        <w:bidi w:val="0"/>
        <w:adjustRightInd w:val="0"/>
        <w:snapToGrid w:val="0"/>
        <w:spacing w:line="480" w:lineRule="exact" w:before="0" w:after="0"/>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＝0.6979（万元）</w:t>
      </w:r>
    </w:p>
    <w:p w14:paraId="6A17CAF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4、房屋年纯收益</w:t>
      </w:r>
    </w:p>
    <w:p w14:paraId="4910DC7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根据前文，采用土地纯收益与价格比率法、投资收益法测算确定土地和房屋的还原率，详见下表：</w:t>
      </w:r>
    </w:p>
    <w:p w14:paraId="3903085F">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firstLine="0" w:right="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14</w:t>
      </w:r>
      <w:r>
        <w:rPr>
          <w:rFonts w:hint="eastAsia" w:ascii="仿宋_GB2312" w:hAnsi="仿宋_GB2312" w:eastAsia="仿宋_GB2312" w:cs="仿宋_GB2312"/>
          <w:b w:val="0"/>
          <w:bCs/>
          <w:color w:val="auto"/>
          <w:kern w:val="2"/>
          <w:sz w:val="28"/>
          <w:szCs w:val="28"/>
          <w:highlight w:val="none"/>
          <w:lang w:val="en-US" w:eastAsia="zh-CN" w:bidi="ar-SA"/>
        </w:rPr>
        <w:t xml:space="preserve"> 道县土地和房屋还原利率表(%)</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6060"/>
      </w:tblGrid>
      <w:tr w14:paraId="5DC7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restart"/>
            <w:tcBorders>
              <w:top w:val="single" w:color="auto" w:sz="6" w:space="0"/>
              <w:left w:val="single" w:color="auto" w:sz="6" w:space="0"/>
              <w:bottom w:val="single" w:color="auto" w:sz="4" w:space="0"/>
              <w:right w:val="single" w:color="auto" w:sz="4" w:space="0"/>
            </w:tcBorders>
            <w:noWrap w:val="0"/>
            <w:vAlign w:val="center"/>
          </w:tcPr>
          <w:p w14:paraId="16B7F38B">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土地用途</w:t>
            </w:r>
          </w:p>
        </w:tc>
        <w:tc>
          <w:tcPr>
            <w:tcW w:w="3556" w:type="pct"/>
            <w:vMerge w:val="restart"/>
            <w:tcBorders>
              <w:top w:val="single" w:color="auto" w:sz="6" w:space="0"/>
              <w:left w:val="single" w:color="auto" w:sz="6" w:space="0"/>
              <w:right w:val="single" w:color="auto" w:sz="4" w:space="0"/>
            </w:tcBorders>
            <w:noWrap w:val="0"/>
            <w:vAlign w:val="center"/>
          </w:tcPr>
          <w:p w14:paraId="25B8E36A">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住宅用地</w:t>
            </w:r>
          </w:p>
        </w:tc>
      </w:tr>
      <w:tr w14:paraId="54DF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continue"/>
            <w:tcBorders>
              <w:top w:val="single" w:color="auto" w:sz="6" w:space="0"/>
              <w:left w:val="single" w:color="auto" w:sz="6" w:space="0"/>
              <w:bottom w:val="single" w:color="auto" w:sz="4" w:space="0"/>
              <w:right w:val="single" w:color="auto" w:sz="4" w:space="0"/>
            </w:tcBorders>
            <w:noWrap w:val="0"/>
            <w:vAlign w:val="center"/>
          </w:tcPr>
          <w:p w14:paraId="2BF22A8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3556" w:type="pct"/>
            <w:vMerge w:val="continue"/>
            <w:tcBorders>
              <w:left w:val="single" w:color="auto" w:sz="6" w:space="0"/>
              <w:bottom w:val="single" w:color="auto" w:sz="4" w:space="0"/>
              <w:right w:val="single" w:color="auto" w:sz="4" w:space="0"/>
            </w:tcBorders>
            <w:noWrap w:val="0"/>
            <w:vAlign w:val="center"/>
          </w:tcPr>
          <w:p w14:paraId="23CC3E85">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r>
      <w:tr w14:paraId="0754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4" w:space="0"/>
              <w:right w:val="single" w:color="auto" w:sz="4" w:space="0"/>
            </w:tcBorders>
            <w:noWrap w:val="0"/>
            <w:vAlign w:val="center"/>
          </w:tcPr>
          <w:p w14:paraId="1EA3ABA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土地还原利率</w:t>
            </w:r>
          </w:p>
        </w:tc>
        <w:tc>
          <w:tcPr>
            <w:tcW w:w="3556" w:type="pct"/>
            <w:tcBorders>
              <w:top w:val="single" w:color="auto" w:sz="4" w:space="0"/>
              <w:left w:val="single" w:color="auto" w:sz="6" w:space="0"/>
              <w:bottom w:val="single" w:color="auto" w:sz="4" w:space="0"/>
              <w:right w:val="single" w:color="auto" w:sz="4" w:space="0"/>
            </w:tcBorders>
            <w:noWrap w:val="0"/>
            <w:vAlign w:val="center"/>
          </w:tcPr>
          <w:p w14:paraId="1D20EE16">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6.5%</w:t>
            </w:r>
          </w:p>
        </w:tc>
      </w:tr>
      <w:tr w14:paraId="7FB9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6" w:space="0"/>
              <w:right w:val="single" w:color="auto" w:sz="4" w:space="0"/>
            </w:tcBorders>
            <w:noWrap w:val="0"/>
            <w:vAlign w:val="center"/>
          </w:tcPr>
          <w:p w14:paraId="76F73E0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房屋还原利率</w:t>
            </w:r>
          </w:p>
        </w:tc>
        <w:tc>
          <w:tcPr>
            <w:tcW w:w="3556" w:type="pct"/>
            <w:tcBorders>
              <w:top w:val="single" w:color="auto" w:sz="4" w:space="0"/>
              <w:left w:val="single" w:color="auto" w:sz="6" w:space="0"/>
              <w:bottom w:val="single" w:color="auto" w:sz="6" w:space="0"/>
              <w:right w:val="single" w:color="auto" w:sz="4" w:space="0"/>
            </w:tcBorders>
            <w:noWrap w:val="0"/>
            <w:vAlign w:val="center"/>
          </w:tcPr>
          <w:p w14:paraId="6B87FBF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8.5%</w:t>
            </w:r>
          </w:p>
        </w:tc>
      </w:tr>
    </w:tbl>
    <w:p w14:paraId="27EA69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则，房屋年纯收益＝房屋现值×房屋还原利率</w:t>
      </w:r>
    </w:p>
    <w:p w14:paraId="2E47AF7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＝5.2565×8.75%</w:t>
      </w:r>
    </w:p>
    <w:p w14:paraId="77B982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800" w:firstLineChars="10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＝0.4468（万元）</w:t>
      </w:r>
    </w:p>
    <w:p w14:paraId="7F46D56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5、土地年纯收益</w:t>
      </w:r>
    </w:p>
    <w:p w14:paraId="60C1E0C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土地年纯收益＝房地年纯收益-房屋年纯收益</w:t>
      </w:r>
    </w:p>
    <w:p w14:paraId="1A764BB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＝0.6979-0.4468</w:t>
      </w:r>
    </w:p>
    <w:p w14:paraId="1B141CE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＝0.2511（万元）</w:t>
      </w:r>
    </w:p>
    <w:p w14:paraId="3038667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6、计算待估宗地总地价</w:t>
      </w:r>
    </w:p>
    <w:p w14:paraId="7E52E1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总地价＝土地年纯收益÷r×[1-1/（1＋r）</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n</w:t>
      </w:r>
      <w:r>
        <w:rPr>
          <w:rFonts w:hint="eastAsia" w:ascii="仿宋_GB2312" w:hAnsi="仿宋_GB2312" w:eastAsia="仿宋_GB2312" w:cs="仿宋_GB2312"/>
          <w:b w:val="0"/>
          <w:bCs w:val="0"/>
          <w:color w:val="000000"/>
          <w:kern w:val="2"/>
          <w:sz w:val="28"/>
          <w:szCs w:val="28"/>
          <w:highlight w:val="none"/>
          <w:lang w:val="en-US" w:eastAsia="zh-CN" w:bidi="ar-SA"/>
        </w:rPr>
        <w:t>]</w:t>
      </w:r>
    </w:p>
    <w:p w14:paraId="5905851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其中：r—土地还原率6.5%。</w:t>
      </w:r>
    </w:p>
    <w:p w14:paraId="3A453CB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n—待估宗地土地使用年期</w:t>
      </w:r>
    </w:p>
    <w:p w14:paraId="5B2B4C6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＝0.2511÷6.5%×[1-1/（1+6.5%）</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70</w:t>
      </w:r>
      <w:r>
        <w:rPr>
          <w:rFonts w:hint="eastAsia" w:ascii="仿宋_GB2312" w:hAnsi="仿宋_GB2312" w:eastAsia="仿宋_GB2312" w:cs="仿宋_GB2312"/>
          <w:b w:val="0"/>
          <w:bCs w:val="0"/>
          <w:color w:val="000000"/>
          <w:kern w:val="2"/>
          <w:sz w:val="28"/>
          <w:szCs w:val="28"/>
          <w:highlight w:val="none"/>
          <w:lang w:val="en-US" w:eastAsia="zh-CN" w:bidi="ar-SA"/>
        </w:rPr>
        <w:t>]</w:t>
      </w:r>
    </w:p>
    <w:p w14:paraId="3AD7D1B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1400" w:firstLineChars="5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＝3.8159（万元）</w:t>
      </w:r>
    </w:p>
    <w:p w14:paraId="58CC3B7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7、计算宗地单位面积地价</w:t>
      </w:r>
    </w:p>
    <w:p w14:paraId="6BF47B7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单位面积地价＝总地价÷总用地面积</w:t>
      </w:r>
    </w:p>
    <w:p w14:paraId="2991523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＝3.8159×10000÷15.2</w:t>
      </w:r>
    </w:p>
    <w:p w14:paraId="224783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＝2510.5（元/平方米）</w:t>
      </w:r>
    </w:p>
    <w:p w14:paraId="10513B99">
      <w:pPr>
        <w:pStyle w:val="6"/>
        <w:keepNext w:val="0"/>
        <w:keepLines w:val="0"/>
        <w:pageBreakBefore w:val="0"/>
        <w:widowControl w:val="0"/>
        <w:kinsoku/>
        <w:wordWrap/>
        <w:topLinePunct w:val="0"/>
        <w:bidi w:val="0"/>
        <w:adjustRightInd w:val="0"/>
        <w:snapToGrid w:val="0"/>
        <w:spacing w:line="480" w:lineRule="exact" w:before="0" w:after="0"/>
        <w:ind w:left="0" w:leftChars="0" w:firstLine="560" w:firstLineChars="200"/>
        <w:textAlignment w:val="auto"/>
        <w:outlineLvl w:val="9"/>
        <w:rPr>
          <w:rFonts w:hint="eastAsia" w:ascii="仿宋_GB2312" w:hAnsi="Times New Roman" w:eastAsia="仿宋_GB2312" w:cs="Times New Roman"/>
          <w:sz w:val="28"/>
          <w:szCs w:val="30"/>
          <w:highlight w:val="none"/>
          <w:lang w:val="en-GB" w:eastAsia="zh-CN"/>
        </w:rPr>
      </w:pPr>
      <w:r>
        <w:rPr>
          <w:rFonts w:hint="eastAsia" w:ascii="仿宋_GB2312" w:hAnsi="仿宋_GB2312" w:eastAsia="仿宋_GB2312" w:cs="仿宋_GB2312"/>
          <w:b w:val="0"/>
          <w:bCs w:val="0"/>
          <w:color w:val="000000"/>
          <w:kern w:val="2"/>
          <w:sz w:val="28"/>
          <w:szCs w:val="28"/>
          <w:highlight w:val="none"/>
          <w:lang w:val="en-US" w:eastAsia="zh-CN" w:bidi="ar-SA"/>
        </w:rPr>
        <w:t>收益还原法法测算地价的结果为：估价对象于估价期日2026年</w:t>
      </w:r>
      <w:r>
        <w:rPr>
          <w:rFonts w:hint="eastAsia" w:ascii="仿宋_GB2312" w:hAnsi="仿宋_GB2312" w:cs="仿宋_GB2312" w:eastAsia="仿宋_GB2312"/>
          <w:b w:val="0"/>
          <w:bCs w:val="0"/>
          <w:color w:val="000000"/>
          <w:kern w:val="2"/>
          <w:sz w:val="28"/>
          <w:szCs w:val="28"/>
          <w:highlight w:val="none"/>
          <w:lang w:val="en-US" w:eastAsia="zh-CN" w:bidi="ar-SA"/>
        </w:rPr>
        <w:t>5</w:t>
      </w:r>
      <w:r>
        <w:rPr>
          <w:rFonts w:hint="eastAsia" w:ascii="仿宋_GB2312" w:hAnsi="仿宋_GB2312" w:eastAsia="仿宋_GB2312" w:cs="仿宋_GB2312"/>
          <w:b w:val="0"/>
          <w:bCs w:val="0"/>
          <w:color w:val="000000"/>
          <w:kern w:val="2"/>
          <w:sz w:val="28"/>
          <w:szCs w:val="28"/>
          <w:highlight w:val="none"/>
          <w:lang w:val="en-US" w:eastAsia="zh-CN" w:bidi="ar-SA"/>
        </w:rPr>
        <w:t>月</w:t>
      </w:r>
      <w:r>
        <w:rPr>
          <w:rFonts w:hint="eastAsia" w:ascii="仿宋_GB2312" w:hAnsi="仿宋_GB2312" w:cs="仿宋_GB2312" w:eastAsia="仿宋_GB2312"/>
          <w:b w:val="0"/>
          <w:bCs w:val="0"/>
          <w:color w:val="000000"/>
          <w:kern w:val="2"/>
          <w:sz w:val="28"/>
          <w:szCs w:val="28"/>
          <w:highlight w:val="none"/>
          <w:lang w:val="en-US" w:eastAsia="zh-CN" w:bidi="ar-SA"/>
        </w:rPr>
        <w:t>18</w:t>
      </w:r>
      <w:r>
        <w:rPr>
          <w:rFonts w:hint="eastAsia" w:ascii="仿宋_GB2312" w:hAnsi="仿宋_GB2312" w:eastAsia="仿宋_GB2312" w:cs="仿宋_GB2312"/>
          <w:b w:val="0"/>
          <w:bCs w:val="0"/>
          <w:color w:val="000000"/>
          <w:kern w:val="2"/>
          <w:sz w:val="28"/>
          <w:szCs w:val="28"/>
          <w:highlight w:val="none"/>
          <w:lang w:val="en-US" w:eastAsia="zh-CN" w:bidi="ar-SA"/>
        </w:rPr>
        <w:t>日，在设定土地用途，设定土地使用年限，设定土地开发程度，现状利用条件下的国有土地出让使用权价格为住宅用地</w:t>
      </w:r>
      <w:r>
        <w:rPr>
          <w:rFonts w:hint="eastAsia" w:ascii="仿宋_GB2312" w:hAnsi="仿宋_GB2312" w:cs="仿宋_GB2312" w:eastAsia="仿宋_GB2312"/>
          <w:b w:val="0"/>
          <w:bCs w:val="0"/>
          <w:color w:val="000000"/>
          <w:kern w:val="2"/>
          <w:sz w:val="28"/>
          <w:szCs w:val="28"/>
          <w:highlight w:val="none"/>
          <w:lang w:val="en-US" w:eastAsia="zh-CN" w:bidi="ar-SA"/>
        </w:rPr>
        <w:t>2510.5</w:t>
      </w:r>
      <w:r>
        <w:rPr>
          <w:rFonts w:hint="eastAsia" w:ascii="仿宋_GB2312" w:hAnsi="仿宋_GB2312" w:eastAsia="仿宋_GB2312" w:cs="仿宋_GB2312"/>
          <w:b w:val="0"/>
          <w:bCs w:val="0"/>
          <w:color w:val="000000"/>
          <w:kern w:val="2"/>
          <w:sz w:val="28"/>
          <w:szCs w:val="28"/>
          <w:highlight w:val="none"/>
          <w:lang w:val="en-US" w:eastAsia="zh-CN" w:bidi="ar-SA"/>
        </w:rPr>
        <w:t>元/平方米。</w:t>
      </w:r>
    </w:p>
    <w:p>
      <w:pPr>
        <w:spacing w:before="0" w:after="0"/>
      </w:pPr>
      <w:r>
        <w:t xml:space="preserve"/>
      </w:r>
    </w:p>
    <w:p w14:paraId="4A47F4FD">
      <w:pPr>
        <w:widowControl/>
        <w:spacing w:line="480" w:lineRule="exact" w:before="0" w:after="0"/>
        <w:ind w:firstLine="562" w:firstLineChars="200"/>
        <w:textAlignment w:val="baseline"/>
        <w:outlineLvl w:val="2"/>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pPr>
      <w:r>
        <w:rPr>
          <w:rFonts w:hint="eastAsia" w:ascii="宋体" w:hAnsi="宋体" w:eastAsia="宋体" w:cs="宋体"/>
          <w:b/>
          <w:bCs w:val="0"/>
          <w:color w:val="000000" w:themeColor="text1"/>
          <w:sz w:val="28"/>
          <w:szCs w:val="22"/>
          <w:highlight w:val="none"/>
          <w14:textFill>
            <w14:solidFill>
              <w14:schemeClr w14:val="tx1"/>
            </w14:solidFill>
          </w14:textFill>
        </w:rPr>
        <w:t>三、地价的确定</w:t>
      </w:r>
    </w:p>
    <w:p w14:paraId="3A56CC1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pPr>
        <w:spacing w:before="0" w:after="0" w:line="480" w:lineRule="exact"/>
        <w:ind w:left="561" w:firstLine="0"/>
      </w:pPr>
      <w:r>
        <w:rPr>
          <w:rFonts w:ascii="仿宋_GB2312" w:hAnsi="仿宋_GB2312" w:eastAsia="仿宋_GB2312" w:cs="仿宋_GB2312"/>
          <w:sz w:val="28"/>
        </w:rPr>
        <w:t xml:space="preserve"/>
      </w:r>
    </w:p>
    <w:p w14:paraId="11DF4AFC">
      <w:pPr>
        <w:keepNext/>
        <w:spacing w:line="480" w:lineRule="exact" w:before="157" w:after="10"/>
        <w:ind w:firstLine="0" w:left="0" w:right="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表3-15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2"/>
        <w:gridCol w:w="1391"/>
        <w:gridCol w:w="781"/>
        <w:gridCol w:w="1144"/>
        <w:gridCol w:w="778"/>
        <w:gridCol w:w="1215"/>
        <w:gridCol w:w="1547"/>
      </w:tblGrid>
      <w:tr w14:paraId="15AE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36FE622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8571F57">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40D6C18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77F4F568">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1105B5B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6709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35D1D65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37C6694C">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167E3BA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348ED81C">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545C8DD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30F53B8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5233A95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5164A0A2">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6967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6A9762E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xml:space="preserve"/>
            </w:r>
          </w:p>
        </w:tc>
        <w:tc>
          <w:tcPr>
            <w:tcW w:w="1391" w:type="dxa"/>
            <w:shd w:val="clear" w:color="auto" w:fill="auto"/>
            <w:vAlign w:val="center"/>
          </w:tcPr>
          <w:p w14:paraId="1267EF5E">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xml:space="preserve"/>
            </w:r>
          </w:p>
        </w:tc>
        <w:tc>
          <w:tcPr>
            <w:tcW w:w="781" w:type="dxa"/>
            <w:shd w:val="clear" w:color="auto" w:fill="auto"/>
            <w:vAlign w:val="center"/>
          </w:tcPr>
          <w:p w14:paraId="45C495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5CB8A43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xml:space="preserve"/>
            </w:r>
          </w:p>
        </w:tc>
        <w:tc>
          <w:tcPr>
            <w:tcW w:w="778" w:type="dxa"/>
            <w:shd w:val="clear" w:color="auto" w:fill="auto"/>
            <w:vAlign w:val="center"/>
          </w:tcPr>
          <w:p w14:paraId="474D5C1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0C2B8619">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xml:space="preserve"/>
            </w:r>
          </w:p>
        </w:tc>
        <w:tc>
          <w:tcPr>
            <w:tcW w:w="1547" w:type="dxa"/>
            <w:shd w:val="clear" w:color="auto" w:fill="auto"/>
            <w:vAlign w:val="center"/>
          </w:tcPr>
          <w:p w14:paraId="7487E7C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xml:space="preserve"/>
            </w:r>
          </w:p>
        </w:tc>
      </w:tr>
    </w:tbl>
    <w:p w14:paraId="196F8A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0" w:line="480" w:lineRule="exact"/>
        <w:ind w:left="561" w:firstLine="0"/>
      </w:pPr>
      <w:r>
        <w:rPr>
          <w:rFonts w:ascii="仿宋_GB2312" w:hAnsi="仿宋_GB2312" w:eastAsia="仿宋_GB2312" w:cs="仿宋_GB2312"/>
          <w:sz w:val="28"/>
        </w:rPr>
        <w:t xml:space="preserve"/>
      </w:r>
    </w:p>
    <w:p w14:paraId="414F5B82">
      <w:pPr>
        <w:pageBreakBefore/>
        <w:tabs>
          <w:tab w:val="left" w:pos="-105"/>
          <w:tab w:val="left" w:pos="735"/>
          <w:tab w:val="left" w:pos="1785"/>
        </w:tabs>
        <w:adjustRightInd w:val="0"/>
        <w:snapToGrid w:val="0"/>
        <w:spacing w:line="560" w:lineRule="exact" w:before="0" w:after="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第四部分    附   件</w:t>
      </w:r>
    </w:p>
    <w:p w14:paraId="532421ED">
      <w:pPr>
        <w:tabs>
          <w:tab w:val="left" w:pos="-105"/>
          <w:tab w:val="left" w:pos="735"/>
          <w:tab w:val="left" w:pos="1785"/>
        </w:tabs>
        <w:adjustRightInd w:val="0"/>
        <w:snapToGrid w:val="0"/>
        <w:spacing w:line="400" w:lineRule="exact"/>
        <w:rPr>
          <w:rFonts w:ascii="仿宋_GB2312" w:eastAsia="仿宋_GB2312"/>
          <w:bCs/>
          <w:color w:val="000000" w:themeColor="text1"/>
          <w:sz w:val="28"/>
          <w:szCs w:val="2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41DB365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ABB72F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1BD9A75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xml:space="preserve">3.；</w:t>
      </w:r>
    </w:p>
    <w:p w14:paraId="2B0E6F2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549BA5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xml:space="preserve">5.《号地块建设用地规划红线图》；</w:t>
      </w:r>
      <w:r>
        <w:rPr>
          <w:rFonts w:ascii="仿宋_GB2312" w:hAnsi="仿宋_GB2312" w:eastAsia="仿宋_GB2312" w:cs="仿宋_GB2312"/>
          <w:color w:val="000000"/>
          <w:sz w:val="28"/>
        </w:rPr>
      </w:r>
    </w:p>
    <w:p w14:paraId="1ABF9B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2FCF6B5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401D1AE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285238A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2C03AEC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31128B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5AF61568">
      <w:pPr>
        <w:spacing w:before="0" w:after="0" w:line="480" w:lineRule="exact"/>
        <w:jc w:val="right"/>
        <w:rPr>
          <w:color w:val="000000" w:themeColor="text1"/>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（以上资料均为复印件）</w:t>
      </w:r>
    </w:p>
    <w:p w14:paraId="562BE5F1">
      <w:pPr>
        <w:rPr>
          <w:highlight w:val="none"/>
        </w:rPr>
      </w:pPr>
    </w:p>
    <w:sectPr>
      <w:footerReference r:id="rId28"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昆仑仿宋">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7F603">
    <w:pPr>
      <w:pStyle w:val="7"/>
      <w:pBdr>
        <w:bottom w:val="single" w:color="auto" w:sz="6" w:space="1"/>
      </w:pBdr>
      <w:rPr>
        <w:rFonts w:ascii="仿宋_GB2312" w:eastAsia="仿宋_GB2312"/>
        <w:sz w:val="21"/>
        <w:szCs w:val="21"/>
      </w:rPr>
    </w:pPr>
  </w:p>
  <w:p w14:paraId="39535968">
    <w:pPr>
      <w:pStyle w:val="7"/>
    </w:pPr>
    <w:r/>
    <w:r>
      <w:rPr>
        <w:rFonts w:ascii="仿宋_GB2312" w:hAnsi="仿宋_GB2312" w:eastAsia="仿宋_GB2312" w:cs="仿宋_GB2312"/>
        <w:sz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7175C">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25BEE">
    <w:pPr>
      <w:pStyle w:val="7"/>
    </w:pPr>
    <w:r>
      <w:rPr>
        <w:sz w:val="18"/>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9A5A0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zS4A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YzS4AzAgAAYwQAAA4AAAAAAAAAAQAgAAAAHwEAAGRycy9lMm9Eb2MueG1sUEsF&#10;BgAAAAAGAAYAWQEAAMQFAAAAAA==&#10;">
              <v:fill on="f" focussize="0,0"/>
              <v:stroke on="f" weight="0.5pt"/>
              <v:imagedata o:title=""/>
              <o:lock v:ext="edit" aspectratio="f"/>
              <v:textbox inset="0mm,0mm,0mm,0mm" style="mso-fit-shape-to-text:t;">
                <w:txbxContent>
                  <w:p w14:paraId="5E9A5A05">
                    <w:pPr>
                      <w:pStyle w:val="7"/>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57785" cy="131445"/>
              <wp:effectExtent l="0" t="0" r="0" b="0"/>
              <wp:wrapNone/>
              <wp:docPr id="9" name="文本框 13"/>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6D1EA53C">
                          <w:pPr>
                            <w:snapToGrid w:val="0"/>
                            <w:rPr>
                              <w:sz w:val="18"/>
                            </w:rPr>
                          </w:pPr>
                        </w:p>
                      </w:txbxContent>
                    </wps:txbx>
                    <wps:bodyPr wrap="square" lIns="0" tIns="0" rIns="0" bIns="0"/>
                  </wps:wsp>
                </a:graphicData>
              </a:graphic>
            </wp:anchor>
          </w:drawing>
        </mc:Choice>
        <mc:Fallback>
          <w:pict>
            <v:shape id="文本框 13" o:spid="_x0000_s1026" o:spt="202" type="#_x0000_t202" style="position:absolute;left:0pt;margin-top:0pt;height:10.35pt;width:4.55pt;mso-position-horizontal:right;mso-position-horizontal-relative:margin;z-index:25166233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OoCma+AQAAcwMAAA4AAAAAAAAAAQAgAAAAIgEAAGRycy9lMm9Eb2MueG1sUEsF&#10;BgAAAAAGAAYAWQEAAFIFAAAAAA==&#10;">
              <v:fill on="f" focussize="0,0"/>
              <v:stroke on="f"/>
              <v:imagedata o:title=""/>
              <o:lock v:ext="edit" aspectratio="f"/>
              <v:textbox inset="0mm,0mm,0mm,0mm">
                <w:txbxContent>
                  <w:p w14:paraId="6D1EA53C">
                    <w:pPr>
                      <w:snapToGrid w:val="0"/>
                      <w:rPr>
                        <w:sz w:val="18"/>
                      </w:rPr>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5715000</wp:posOffset>
              </wp:positionH>
              <wp:positionV relativeFrom="paragraph">
                <wp:posOffset>13335</wp:posOffset>
              </wp:positionV>
              <wp:extent cx="114935" cy="131445"/>
              <wp:effectExtent l="0" t="0" r="0" b="0"/>
              <wp:wrapNone/>
              <wp:docPr id="7" name="文本框 10"/>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a:noFill/>
                      </a:ln>
                    </wps:spPr>
                    <wps:txbx>
                      <w:txbxContent>
                        <w:p w14:paraId="793EDD3D">
                          <w:pPr>
                            <w:snapToGrid w:val="0"/>
                            <w:rPr>
                              <w:sz w:val="18"/>
                            </w:rPr>
                          </w:pPr>
                        </w:p>
                      </w:txbxContent>
                    </wps:txbx>
                    <wps:bodyPr wrap="square" lIns="0" tIns="0" rIns="0" bIns="0" upright="1"/>
                  </wps:wsp>
                </a:graphicData>
              </a:graphic>
            </wp:anchor>
          </w:drawing>
        </mc:Choice>
        <mc:Fallback>
          <w:pict>
            <v:shape id="文本框 10" o:spid="_x0000_s1026" o:spt="202" type="#_x0000_t202" style="position:absolute;left:0pt;margin-left:450pt;margin-top:1.05pt;height:10.35pt;width:9.05pt;mso-position-horizontal-relative:margin;z-index:251660288;mso-width-relative:page;mso-height-relative:page;" filled="f" stroked="f" coordsize="21600,21600" o:gfxdata="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Q6m0J1gAAAAgBAAAPAAAAAAAAAAEAIAAAACIAAABkcnMvZG93bnJldi54&#10;bWxQSwECFAAUAAAACACHTuJAvV5v3cMBAACAAwAADgAAAAAAAAABACAAAAAlAQAAZHJzL2Uyb0Rv&#10;Yy54bWxQSwUGAAAAAAYABgBZAQAAWgUAAAAA&#10;">
              <v:fill on="f" focussize="0,0"/>
              <v:stroke on="f"/>
              <v:imagedata o:title=""/>
              <o:lock v:ext="edit" aspectratio="f"/>
              <v:textbox inset="0mm,0mm,0mm,0mm">
                <w:txbxContent>
                  <w:p w14:paraId="793EDD3D">
                    <w:pPr>
                      <w:snapToGrid w:val="0"/>
                      <w:rPr>
                        <w:sz w:val="18"/>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C7D12">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195580</wp:posOffset>
              </wp:positionV>
              <wp:extent cx="212090" cy="143510"/>
              <wp:effectExtent l="0" t="0" r="0" b="0"/>
              <wp:wrapNone/>
              <wp:docPr id="10" name="文本框 9"/>
              <wp:cNvGraphicFramePr/>
              <a:graphic xmlns:a="http://schemas.openxmlformats.org/drawingml/2006/main">
                <a:graphicData uri="http://schemas.microsoft.com/office/word/2010/wordprocessingShape">
                  <wps:wsp>
                    <wps:cNvSpPr txBox="1"/>
                    <wps:spPr>
                      <a:xfrm>
                        <a:off x="0" y="0"/>
                        <a:ext cx="212090" cy="143510"/>
                      </a:xfrm>
                      <a:prstGeom prst="rect">
                        <a:avLst/>
                      </a:prstGeom>
                      <a:noFill/>
                      <a:ln>
                        <a:noFill/>
                      </a:ln>
                    </wps:spPr>
                    <wps:txbx>
                      <w:txbxContent>
                        <w:p w14:paraId="0697E14A">
                          <w:pPr>
                            <w:snapToGrid w:val="0"/>
                            <w:rPr>
                              <w:sz w:val="18"/>
                            </w:rPr>
                          </w:pPr>
                        </w:p>
                      </w:txbxContent>
                    </wps:txbx>
                    <wps:bodyPr wrap="square" lIns="0" tIns="0" rIns="0" bIns="0"/>
                  </wps:wsp>
                </a:graphicData>
              </a:graphic>
            </wp:anchor>
          </w:drawing>
        </mc:Choice>
        <mc:Fallback>
          <w:pict>
            <v:shape id="文本框 9" o:spid="_x0000_s1026" o:spt="202" type="#_x0000_t202" style="position:absolute;left:0pt;margin-top:15.4pt;height:11.3pt;width:16.7pt;mso-position-horizontal:right;mso-position-horizontal-relative:margin;z-index:251663360;mso-width-relative:page;mso-height-relative:page;" filled="f" stroked="f" coordsize="21600,21600" o:gfxdata="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nWKSh1AAAAAUBAAAPAAAAAAAAAAEAIAAAACIAAABkcnMvZG93bnJldi54bWxQSwECFAAU&#10;AAAACACHTuJA83Oqc7wBAAB0AwAADgAAAAAAAAABACAAAAAjAQAAZHJzL2Uyb0RvYy54bWxQSwUG&#10;AAAAAAYABgBZAQAAUQUAAAAA&#10;">
              <v:fill on="f" focussize="0,0"/>
              <v:stroke on="f"/>
              <v:imagedata o:title=""/>
              <o:lock v:ext="edit" aspectratio="f"/>
              <v:textbox inset="0mm,0mm,0mm,0mm">
                <w:txbxContent>
                  <w:p w14:paraId="0697E14A">
                    <w:pPr>
                      <w:snapToGrid w:val="0"/>
                      <w:rPr>
                        <w:sz w:val="18"/>
                      </w:rPr>
                    </w:pPr>
                  </w:p>
                </w:txbxContent>
              </v:textbox>
            </v:shape>
          </w:pict>
        </mc:Fallback>
      </mc:AlternateContent>
    </w:r>
  </w:p>
  <w:p w14:paraId="68931304">
    <w:pPr>
      <w:pStyle w:val="7"/>
      <w:pBdr>
        <w:top w:val="none" w:color="auto" w:sz="0" w:space="0"/>
        <w:left w:val="none" w:color="auto" w:sz="0" w:space="0"/>
        <w:bottom w:val="none" w:color="auto" w:sz="0" w:space="0"/>
        <w:right w:val="none" w:color="auto" w:sz="0" w:space="0"/>
        <w:between w:val="none" w:color="auto" w:sz="0" w:space="0"/>
      </w:pBdr>
      <w:jc w:val="both"/>
    </w:pPr>
    <w:r>
      <w:rPr>
        <w:sz w:val="21"/>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F11EF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1CF11EFC">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仿宋_GB2312" w:hAnsi="仿宋_GB2312" w:eastAsia="仿宋_GB2312" w:cs="仿宋_GB2312"/>
        <w:spacing w:val="14"/>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30FD40D0">
                          <w:pPr>
                            <w:pStyle w:val="7"/>
                            <w:jc w:val="left"/>
                          </w:pPr>
                          <w:r>
                            <w:rPr>
                              <w:rFonts w:hint="eastAsia" w:ascii="仿宋_GB2312" w:eastAsia="仿宋_GB2312"/>
                              <w:sz w:val="21"/>
                              <w:szCs w:val="21"/>
                            </w:rPr>
                            <w:t>　　</w:t>
                          </w:r>
                        </w:p>
                      </w:txbxContent>
                    </wps:txbx>
                    <wps:bodyPr vert="horz" wrap="none" lIns="0" tIns="0" rIns="0" bIns="0" anchor="t">
                      <a:spAutoFit/>
                    </wps:bodyPr>
                  </wps:wsp>
                </a:graphicData>
              </a:graphic>
            </wp:anchor>
          </w:drawing>
        </mc:Choice>
        <mc:Fallback>
          <w:pict>
            <v:shape id="文本框 9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hpgkvTAAAABQEAAA8AAAAAAAAAAQAg&#10;AAAAIgAAAGRycy9kb3ducmV2LnhtbFBLAQIUABQAAAAIAIdO4kB+9joV2gEAALADAAAOAAAAAAAA&#10;AAEAIAAAACIBAABkcnMvZTJvRG9jLnhtbFBLBQYAAAAABgAGAFkBAABuBQAAAAA=&#10;">
              <v:fill on="f" focussize="0,0"/>
              <v:stroke on="f" weight="1.25pt"/>
              <v:imagedata o:title=""/>
              <o:lock v:ext="edit" aspectratio="f"/>
              <v:textbox inset="0mm,0mm,0mm,0mm" style="mso-fit-shape-to-text:t;">
                <w:txbxContent>
                  <w:p w14:paraId="30FD40D0">
                    <w:pPr>
                      <w:pStyle w:val="7"/>
                      <w:jc w:val="left"/>
                    </w:pPr>
                    <w:r>
                      <w:rPr>
                        <w:rFonts w:hint="eastAsia" w:ascii="仿宋_GB2312" w:eastAsia="仿宋_GB2312"/>
                        <w:sz w:val="21"/>
                        <w:szCs w:val="21"/>
                      </w:rPr>
                      <w:t>　　</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C785">
    <w:pPr>
      <w:pStyle w:val="7"/>
      <w:pBdr>
        <w:bottom w:val="single" w:color="auto" w:sz="6" w:space="1"/>
      </w:pBdr>
      <w:rPr>
        <w:rFonts w:ascii="仿宋_GB2312" w:eastAsia="仿宋_GB2312"/>
        <w:sz w:val="21"/>
        <w:szCs w:val="21"/>
      </w:rPr>
    </w:pPr>
  </w:p>
  <w:p w14:paraId="21E1C8D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5"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YuouS+AQAAcgMAAA4AAAAAAAAAAQAgAAAAIgEAAGRycy9lMm9Eb2MueG1sUEsF&#10;BgAAAAAGAAYAWQEAAFIFAAAAAA==&#10;">
              <v:fill on="f" focussize="0,0"/>
              <v:stroke on="f"/>
              <v:imagedata o:title=""/>
              <o:lock v:ext="edit" aspectratio="f"/>
              <v:textbox inset="0mm,0mm,0mm,0mm">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EF68C">
    <w:pPr>
      <w:pStyle w:val="7"/>
      <w:pBdr>
        <w:bottom w:val="single" w:color="auto" w:sz="6" w:space="1"/>
      </w:pBdr>
      <w:rPr>
        <w:rFonts w:ascii="仿宋_GB2312" w:eastAsia="仿宋_GB2312"/>
        <w:sz w:val="21"/>
        <w:szCs w:val="21"/>
      </w:rPr>
    </w:pPr>
  </w:p>
  <w:p w14:paraId="43511147">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0"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P7d5Y2+AQAAcwMAAA4AAAAAAAAAAQAgAAAAIgEAAGRycy9lMm9Eb2MueG1sUEsF&#10;BgAAAAAGAAYAWQEAAFIFAAAAAA==&#10;">
              <v:fill on="f" focussize="0,0"/>
              <v:stroke on="f"/>
              <v:imagedata o:title=""/>
              <o:lock v:ext="edit" aspectratio="f"/>
              <v:textbox inset="0mm,0mm,0mm,0mm">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8D0CA">
    <w:pPr>
      <w:pStyle w:val="7"/>
      <w:pBdr>
        <w:bottom w:val="single" w:color="auto" w:sz="6" w:space="1"/>
      </w:pBdr>
      <w:rPr>
        <w:rFonts w:ascii="仿宋_GB2312" w:eastAsia="仿宋_GB2312"/>
        <w:sz w:val="21"/>
        <w:szCs w:val="21"/>
      </w:rPr>
    </w:pPr>
  </w:p>
  <w:p w14:paraId="40CDE9F3">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57785" cy="131445"/>
              <wp:effectExtent l="0" t="0" r="0" b="0"/>
              <wp:wrapNone/>
              <wp:docPr id="11"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540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r0NBN0wAAAAIBAAAPAAAAAAAAAAEAIAAAACIAAABkcnMvZG93bnJldi54bWxQSwECFAAU&#10;AAAACACHTuJAgEtshL0BAABzAwAADgAAAAAAAAABACAAAAAiAQAAZHJzL2Uyb0RvYy54bWxQSwUG&#10;AAAAAAYABgBZAQAAUQUAAAAA&#10;">
              <v:fill on="f" focussize="0,0"/>
              <v:stroke on="f"/>
              <v:imagedata o:title=""/>
              <o:lock v:ext="edit" aspectratio="f"/>
              <v:textbox inset="0mm,0mm,0mm,0mm">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4F0B1">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281305" cy="214630"/>
              <wp:effectExtent l="0" t="0" r="0" b="0"/>
              <wp:wrapNone/>
              <wp:docPr id="15" name="文本框 9"/>
              <wp:cNvGraphicFramePr/>
              <a:graphic xmlns:a="http://schemas.openxmlformats.org/drawingml/2006/main">
                <a:graphicData uri="http://schemas.microsoft.com/office/word/2010/wordprocessingShape">
                  <wps:wsp>
                    <wps:cNvSpPr txBox="1"/>
                    <wps:spPr>
                      <a:xfrm>
                        <a:off x="0" y="0"/>
                        <a:ext cx="281305" cy="214630"/>
                      </a:xfrm>
                      <a:prstGeom prst="rect">
                        <a:avLst/>
                      </a:prstGeom>
                      <a:noFill/>
                      <a:ln>
                        <a:noFill/>
                      </a:ln>
                    </wps:spPr>
                    <wps:txbx>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6.9pt;width:22.15pt;mso-position-horizontal:right;mso-position-horizontal-relative:margin;z-index:251660288;mso-width-relative:page;mso-height-relative:page;" filled="f" stroked="f" coordsize="21600,21600" o:gfxdata="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YRikJ1AAAAAMBAAAPAAAAAAAAAAEAIAAAACIAAABkcnMvZG93bnJldi54bWxQSwEC&#10;FAAUAAAACACHTuJAMezP4L8BAAB0AwAADgAAAAAAAAABACAAAAAjAQAAZHJzL2Uyb0RvYy54bWxQ&#10;SwUGAAAAAAYABgBZAQAAVAUAAAAA&#10;">
              <v:fill on="f" focussize="0,0"/>
              <v:stroke on="f"/>
              <v:imagedata o:title=""/>
              <o:lock v:ext="edit" aspectratio="f"/>
              <v:textbox inset="0mm,0mm,0mm,0mm">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 xml:space="preserve">3</w:t>
                    </w:r>
                    <w:r>
                      <w:rPr>
                        <w:rFonts w:hint="eastAsia"/>
                        <w:sz w:val="18"/>
                      </w:rPr>
                      <w:fldChar w:fldCharType="end"/>
                    </w:r>
                  </w:p>
                </w:txbxContent>
              </v:textbox>
            </v:shape>
          </w:pict>
        </mc:Fallback>
      </mc:AlternateContent>
    </w:r>
  </w:p>
  <w:p w14:paraId="63E5D906">
    <w:pPr>
      <w:pStyle w:val="7"/>
    </w:pPr>
    <w:r/>
    <w:r>
      <w:rPr>
        <w:rFonts w:ascii="仿宋_GB2312" w:hAnsi="仿宋_GB2312" w:eastAsia="仿宋_GB2312" w:cs="仿宋_GB2312"/>
        <w:sz w:val="21"/>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CC552">
    <w:pPr>
      <w:pStyle w:val="7"/>
      <w:pBdr>
        <w:top w:val="none" w:color="auto" w:sz="0" w:space="0"/>
        <w:left w:val="none" w:color="auto" w:sz="0" w:space="0"/>
        <w:bottom w:val="none" w:color="auto" w:sz="0" w:space="1"/>
        <w:right w:val="none" w:color="auto" w:sz="0" w:space="0"/>
        <w:between w:val="none" w:color="auto" w:sz="0" w:space="0"/>
      </w:pBdr>
    </w:pPr>
    <w:r/>
    <w:r>
      <w:rPr>
        <w:rFonts w:ascii="仿宋_GB2312" w:hAnsi="仿宋_GB2312" w:eastAsia="仿宋_GB2312" w:cs="仿宋_GB2312"/>
        <w:sz w:val="18"/>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249C1">
    <w:pPr>
      <w:pStyle w:val="7"/>
    </w:pPr>
    <w:r/>
    <w:r>
      <w:rPr>
        <w:rFonts w:ascii="仿宋_GB2312" w:hAnsi="仿宋_GB2312" w:eastAsia="仿宋_GB2312" w:cs="仿宋_GB2312"/>
        <w:sz w:val="18"/>
      </w:rPr>
      <w:t xml:space="preserve"/>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E49B3">
    <w:pPr>
      <w:pStyle w:val="7"/>
      <w:pBdr>
        <w:bottom w:val="single" w:color="auto" w:sz="6" w:space="1"/>
      </w:pBdr>
      <w:rPr>
        <w:rFonts w:ascii="仿宋_GB2312" w:eastAsia="仿宋_GB2312"/>
        <w:sz w:val="21"/>
        <w:szCs w:val="21"/>
      </w:rPr>
    </w:pPr>
  </w:p>
  <w:p w14:paraId="42053632">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18"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HVFfIG+AQAAcwMAAA4AAAAAAAAAAQAgAAAAIgEAAGRycy9lMm9Eb2MueG1sUEsF&#10;BgAAAAAGAAYAWQEAAFIFAAAAAA==&#10;">
              <v:fill on="f" focussize="0,0"/>
              <v:stroke on="f"/>
              <v:imagedata o:title=""/>
              <o:lock v:ext="edit" aspectratio="f"/>
              <v:textbox inset="0mm,0mm,0mm,0mm">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724A">
    <w:pPr>
      <w:pStyle w:val="7"/>
      <w:pBdr>
        <w:bottom w:val="single" w:color="auto" w:sz="6" w:space="1"/>
      </w:pBdr>
      <w:rPr>
        <w:rFonts w:ascii="仿宋_GB2312" w:eastAsia="仿宋_GB2312"/>
        <w:sz w:val="21"/>
        <w:szCs w:val="21"/>
      </w:rPr>
    </w:pPr>
  </w:p>
  <w:p w14:paraId="2783410E">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4"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JH/J8q+AQAAcwMAAA4AAAAAAAAAAQAgAAAAIgEAAGRycy9lMm9Eb2MueG1sUEsF&#10;BgAAAAAGAAYAWQEAAFIFAAAAAA==&#10;">
              <v:fill on="f" focussize="0,0"/>
              <v:stroke on="f"/>
              <v:imagedata o:title=""/>
              <o:lock v:ext="edit" aspectratio="f"/>
              <v:textbox inset="0mm,0mm,0mm,0mm">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226F">
    <w:pPr>
      <w:pStyle w:val="7"/>
      <w:pBdr>
        <w:bottom w:val="single" w:color="auto" w:sz="6" w:space="1"/>
      </w:pBdr>
      <w:rPr>
        <w:rFonts w:ascii="仿宋_GB2312" w:eastAsia="仿宋_GB2312"/>
        <w:sz w:val="21"/>
        <w:szCs w:val="21"/>
      </w:rPr>
    </w:pPr>
  </w:p>
  <w:p w14:paraId="70C3430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57785" cy="131445"/>
              <wp:effectExtent l="0" t="0" r="0" b="0"/>
              <wp:wrapNone/>
              <wp:docPr id="27"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745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dK3CK+AQAAcwMAAA4AAAAAAAAAAQAgAAAAIgEAAGRycy9lMm9Eb2MueG1sUEsF&#10;BgAAAAAGAAYAWQEAAFIFAAAAAA==&#10;">
              <v:fill on="f" focussize="0,0"/>
              <v:stroke on="f"/>
              <v:imagedata o:title=""/>
              <o:lock v:ext="edit" aspectratio="f"/>
              <v:textbox inset="0mm,0mm,0mm,0mm">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42AA8">
    <w:pPr>
      <w:pStyle w:val="7"/>
      <w:pBdr>
        <w:bottom w:val="single" w:color="auto" w:sz="6" w:space="1"/>
      </w:pBdr>
      <w:rPr>
        <w:rFonts w:ascii="仿宋_GB2312" w:eastAsia="仿宋_GB2312"/>
        <w:sz w:val="21"/>
        <w:szCs w:val="21"/>
      </w:rPr>
    </w:pPr>
  </w:p>
  <w:p w14:paraId="7B874CD7">
    <w:pPr>
      <w:pStyle w:val="7"/>
    </w:pPr>
    <w:r/>
    <w:r>
      <w:rPr>
        <w:rFonts w:ascii="仿宋_GB2312" w:hAnsi="仿宋_GB2312" w:eastAsia="仿宋_GB2312" w:cs="仿宋_GB2312"/>
        <w:sz w:val="21"/>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3C14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 xml:space="preserve">土地估价报告编号：</w:t>
    </w:r>
  </w:p>
  <w:p w14:paraId="3ABBC4BB">
    <w:pPr>
      <w:pStyle w:val="8"/>
      <w:pBdr>
        <w:top w:val="none" w:color="auto" w:sz="0" w:space="0"/>
        <w:left w:val="none" w:color="auto" w:sz="0" w:space="0"/>
        <w:bottom w:val="none" w:color="auto" w:sz="0" w:space="1"/>
        <w:right w:val="none" w:color="auto" w:sz="0" w:space="0"/>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F92C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640FF">
    <w:pPr>
      <w:pStyle w:val="8"/>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AD5A6">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603F9CA6">
    <w:pPr>
      <w:pStyle w:val="8"/>
      <w:pBdr>
        <w:top w:val="none" w:color="auto" w:sz="0" w:space="0"/>
        <w:left w:val="none" w:color="auto" w:sz="0" w:space="0"/>
        <w:bottom w:val="none" w:color="auto" w:sz="0" w:space="1"/>
        <w:right w:val="none" w:color="auto" w:sz="0" w:space="0"/>
        <w:between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047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46AB9">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3FE18">
    <w:pPr>
      <w:pStyle w:val="8"/>
      <w:jc w:val="both"/>
    </w:pPr>
    <w:r>
      <w:drawing>
        <wp:anchor distT="0" distB="0" distL="114300" distR="114300" simplePos="0" relativeHeight="251666432"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DEBA5">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 xml:space="preserve">土地估价报告编号：</w:t>
    </w:r>
  </w:p>
  <w:p w14:paraId="1607CD45">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82A6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 xml:space="preserve">土地估价报告编号：</w:t>
    </w:r>
  </w:p>
  <w:p w14:paraId="16860AF1">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1DA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816DA">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CB22F">
    <w:pPr>
      <w:pStyle w:val="8"/>
      <w:jc w:val="both"/>
    </w:pPr>
    <w:r>
      <w:drawing>
        <wp:anchor distT="0" distB="0" distL="114300" distR="114300" simplePos="0" relativeHeight="251668480"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A0179B"/>
    <w:rsid w:val="01AA37AF"/>
    <w:rsid w:val="069833AA"/>
    <w:rsid w:val="0FB82485"/>
    <w:rsid w:val="11553800"/>
    <w:rsid w:val="12531C9B"/>
    <w:rsid w:val="1A6D6AE8"/>
    <w:rsid w:val="1E07311D"/>
    <w:rsid w:val="1F210279"/>
    <w:rsid w:val="1F4B28C0"/>
    <w:rsid w:val="205E3D7E"/>
    <w:rsid w:val="22DF7BFA"/>
    <w:rsid w:val="2D224A15"/>
    <w:rsid w:val="31CF685F"/>
    <w:rsid w:val="3A44225D"/>
    <w:rsid w:val="3AB62A61"/>
    <w:rsid w:val="3F282F28"/>
    <w:rsid w:val="3FBA0B4E"/>
    <w:rsid w:val="428A3831"/>
    <w:rsid w:val="44452090"/>
    <w:rsid w:val="46A0179B"/>
    <w:rsid w:val="50C86CD0"/>
    <w:rsid w:val="51027B59"/>
    <w:rsid w:val="56313756"/>
    <w:rsid w:val="5C9719EC"/>
    <w:rsid w:val="5F6841AD"/>
    <w:rsid w:val="5FCF78A6"/>
    <w:rsid w:val="64351986"/>
    <w:rsid w:val="670A5468"/>
    <w:rsid w:val="693B342C"/>
    <w:rsid w:val="6C5D6B7B"/>
    <w:rsid w:val="6D833554"/>
    <w:rsid w:val="729F57FE"/>
    <w:rsid w:val="78DA7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99"/>
    <w:pPr>
      <w:spacing w:after="120"/>
      <w:ind w:left="420" w:leftChars="200" w:firstLine="420" w:firstLineChars="200"/>
    </w:pPr>
    <w:rPr>
      <w:sz w:val="21"/>
      <w:szCs w:val="24"/>
    </w:rPr>
  </w:style>
  <w:style w:type="paragraph" w:styleId="3">
    <w:name w:val="Body Text Indent"/>
    <w:basedOn w:val="1"/>
    <w:next w:val="4"/>
    <w:qFormat/>
    <w:uiPriority w:val="0"/>
    <w:pPr>
      <w:spacing w:line="520" w:lineRule="exact"/>
      <w:ind w:left="360"/>
    </w:pPr>
    <w:rPr>
      <w:sz w:val="28"/>
    </w:rPr>
  </w:style>
  <w:style w:type="paragraph" w:customStyle="1" w:styleId="4">
    <w:name w:val="标准"/>
    <w:basedOn w:val="1"/>
    <w:qFormat/>
    <w:uiPriority w:val="0"/>
    <w:pPr>
      <w:autoSpaceDE w:val="0"/>
      <w:autoSpaceDN w:val="0"/>
      <w:adjustRightInd w:val="0"/>
      <w:spacing w:line="480" w:lineRule="atLeast"/>
      <w:textAlignment w:val="bottom"/>
    </w:pPr>
    <w:rPr>
      <w:rFonts w:ascii="昆仑仿宋" w:eastAsia="昆仑仿宋"/>
      <w:spacing w:val="40"/>
      <w:kern w:val="0"/>
      <w:sz w:val="28"/>
      <w:szCs w:val="20"/>
    </w:rPr>
  </w:style>
  <w:style w:type="paragraph" w:styleId="5">
    <w:name w:val="annotation text"/>
    <w:basedOn w:val="1"/>
    <w:qFormat/>
    <w:uiPriority w:val="0"/>
    <w:pPr>
      <w:jc w:val="left"/>
    </w:pPr>
  </w:style>
  <w:style w:type="paragraph" w:styleId="6">
    <w:name w:val="Plain Text"/>
    <w:basedOn w:val="1"/>
    <w:qFormat/>
    <w:uiPriority w:val="0"/>
    <w:rPr>
      <w:rFonts w:ascii="宋体"/>
      <w:sz w:val="2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1表格文字压缩"/>
    <w:basedOn w:val="1"/>
    <w:next w:val="1"/>
    <w:autoRedefine/>
    <w:qFormat/>
    <w:uiPriority w:val="0"/>
    <w:pPr>
      <w:widowControl/>
      <w:spacing w:line="260" w:lineRule="exact"/>
      <w:jc w:val="center"/>
      <w:textAlignment w:val="center"/>
    </w:pPr>
    <w:rPr>
      <w:rFonts w:ascii="仿宋_GB2312" w:hAnsi="宋体" w:eastAsia="仿宋_GB2312" w:cs="宋体"/>
      <w:spacing w:val="-20"/>
      <w:kern w:val="0"/>
      <w:szCs w:val="21"/>
    </w:rPr>
  </w:style>
  <w:style w:type="paragraph" w:customStyle="1" w:styleId="13">
    <w:name w:val="四号仿宋28磅"/>
    <w:basedOn w:val="1"/>
    <w:autoRedefine/>
    <w:qFormat/>
    <w:uiPriority w:val="0"/>
    <w:pPr>
      <w:spacing w:line="560" w:lineRule="exact"/>
      <w:ind w:firstLine="200" w:firstLineChars="200"/>
    </w:pPr>
    <w:rPr>
      <w:rFonts w:ascii="仿宋_GB2312" w:eastAsia="仿宋_GB2312"/>
      <w:sz w:val="28"/>
    </w:rPr>
  </w:style>
  <w:style w:type="paragraph" w:customStyle="1" w:styleId="14">
    <w:name w:val="列出段落1"/>
    <w:basedOn w:val="15"/>
    <w:autoRedefine/>
    <w:qFormat/>
    <w:uiPriority w:val="0"/>
    <w:pPr>
      <w:ind w:firstLine="420" w:firstLineChars="200"/>
    </w:pPr>
  </w:style>
  <w:style w:type="paragraph" w:customStyle="1" w:styleId="15">
    <w:name w:val="正文_10_43"/>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6">
    <w:name w:val="font81"/>
    <w:basedOn w:val="11"/>
    <w:qFormat/>
    <w:uiPriority w:val="0"/>
    <w:rPr>
      <w:rFonts w:hint="eastAsia" w:ascii="仿宋" w:hAnsi="仿宋" w:eastAsia="仿宋" w:cs="仿宋"/>
      <w:color w:val="000000"/>
      <w:sz w:val="21"/>
      <w:szCs w:val="21"/>
      <w:u w:val="none"/>
    </w:rPr>
  </w:style>
  <w:style w:type="character" w:customStyle="1" w:styleId="17">
    <w:name w:val="font91"/>
    <w:basedOn w:val="11"/>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image" Target="media/image13.jpeg"/><Relationship Id="rId44" Type="http://schemas.openxmlformats.org/officeDocument/2006/relationships/image" Target="media/image12.jpeg"/><Relationship Id="rId43" Type="http://schemas.openxmlformats.org/officeDocument/2006/relationships/image" Target="media/image11.png"/><Relationship Id="rId42" Type="http://schemas.openxmlformats.org/officeDocument/2006/relationships/image" Target="media/image10.jpeg"/><Relationship Id="rId41" Type="http://schemas.openxmlformats.org/officeDocument/2006/relationships/image" Target="media/image9.png"/><Relationship Id="rId40" Type="http://schemas.openxmlformats.org/officeDocument/2006/relationships/image" Target="media/image8.png"/><Relationship Id="rId4" Type="http://schemas.openxmlformats.org/officeDocument/2006/relationships/header" Target="header2.xml"/><Relationship Id="rId39" Type="http://schemas.openxmlformats.org/officeDocument/2006/relationships/image" Target="media/image7.jpeg"/><Relationship Id="rId38" Type="http://schemas.openxmlformats.org/officeDocument/2006/relationships/image" Target="media/image6.jpeg"/><Relationship Id="rId37" Type="http://schemas.openxmlformats.org/officeDocument/2006/relationships/image" Target="media/image5.png"/><Relationship Id="rId36" Type="http://schemas.openxmlformats.org/officeDocument/2006/relationships/chart" Target="charts/chart4.xml"/><Relationship Id="rId35" Type="http://schemas.openxmlformats.org/officeDocument/2006/relationships/chart" Target="charts/chart3.xml"/><Relationship Id="rId34" Type="http://schemas.openxmlformats.org/officeDocument/2006/relationships/chart" Target="charts/chart2.xml"/><Relationship Id="rId33" Type="http://schemas.openxmlformats.org/officeDocument/2006/relationships/image" Target="media/image4.emf"/><Relationship Id="rId32" Type="http://schemas.openxmlformats.org/officeDocument/2006/relationships/chart" Target="charts/chart1.xml"/><Relationship Id="rId31" Type="http://schemas.openxmlformats.org/officeDocument/2006/relationships/image" Target="media/image3.jpeg"/><Relationship Id="rId30" Type="http://schemas.openxmlformats.org/officeDocument/2006/relationships/image" Target="media/image2.png"/><Relationship Id="rId3" Type="http://schemas.openxmlformats.org/officeDocument/2006/relationships/header" Target="header1.xml"/><Relationship Id="rId29" Type="http://schemas.openxmlformats.org/officeDocument/2006/relationships/theme" Target="theme/theme1.xml"/><Relationship Id="rId28" Type="http://schemas.openxmlformats.org/officeDocument/2006/relationships/footer" Target="footer14.xml"/><Relationship Id="rId27" Type="http://schemas.openxmlformats.org/officeDocument/2006/relationships/footer" Target="footer13.xml"/><Relationship Id="rId26" Type="http://schemas.openxmlformats.org/officeDocument/2006/relationships/header" Target="header12.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36433056168336"/>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45596470388597"/>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119</Pages>
  <Words>9689</Words>
  <Characters>11224</Characters>
  <Lines>0</Lines>
  <Paragraphs>0</Paragraphs>
  <TotalTime>0</TotalTime>
  <ScaleCrop>false</ScaleCrop>
  <LinksUpToDate>false</LinksUpToDate>
  <CharactersWithSpaces>11728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2025-11-27T14:34:00Z</dcterms:created>
  <dc:creator>熙里处</dc:creator>
  <cp:lastModifiedBy>歪比八卜</cp:lastModifiedBy>
  <dcterms:modified xsi:type="dcterms:W3CDTF">2026-06-01T02:51:24Z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098284A2088F430A8E5A60FDD1D00DE4_13</vt:lpwstr>
  </property>
  <property fmtid="{D5CDD505-2E9C-101B-9397-08002B2CF9AE}" pid="4" name="KSOTemplateDocerSaveRecord">
    <vt:lpwstr>eyJoZGlkIjoiYzg2ZDFhZjAxODU1NmRlODQ1YThmY2VjYmViZjg0YjgiLCJ1c2VySWQiOiIyNTc4NTE1ODcifQ==</vt:lpwstr>
  </property>
</Properties>
</file>