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788E" w:rsidRPr="003A788E" w:rsidRDefault="003A788E" w:rsidP="003A788E">
      <w:pPr>
        <w:spacing w:line="360" w:lineRule="auto"/>
        <w:jc w:val="center"/>
        <w:rPr>
          <w:rFonts w:asciiTheme="minorEastAsia" w:hAnsiTheme="minorEastAsia" w:hint="eastAsia"/>
          <w:b/>
          <w:sz w:val="30"/>
          <w:szCs w:val="30"/>
        </w:rPr>
      </w:pPr>
      <w:r w:rsidRPr="003A788E">
        <w:rPr>
          <w:rFonts w:asciiTheme="minorEastAsia" w:hAnsiTheme="minorEastAsia"/>
          <w:b/>
          <w:sz w:val="30"/>
          <w:szCs w:val="30"/>
        </w:rPr>
        <w:t>实习周报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</w:tblGrid>
      <w:tr w:rsidR="003A788E" w:rsidTr="00BE5D34">
        <w:trPr>
          <w:trHeight w:val="567"/>
        </w:trPr>
        <w:tc>
          <w:tcPr>
            <w:tcW w:w="2041" w:type="dxa"/>
            <w:vAlign w:val="center"/>
          </w:tcPr>
          <w:p w:rsidR="003A788E" w:rsidRPr="003A788E" w:rsidRDefault="003A788E" w:rsidP="003A788E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3A788E">
              <w:rPr>
                <w:rFonts w:asciiTheme="minorEastAsia" w:hAnsiTheme="minorEastAsia" w:hint="eastAsia"/>
                <w:sz w:val="24"/>
                <w:szCs w:val="24"/>
              </w:rPr>
              <w:t>填写人</w:t>
            </w:r>
          </w:p>
        </w:tc>
        <w:tc>
          <w:tcPr>
            <w:tcW w:w="2041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原毅博</w:t>
            </w:r>
          </w:p>
        </w:tc>
        <w:tc>
          <w:tcPr>
            <w:tcW w:w="2041" w:type="dxa"/>
            <w:vAlign w:val="center"/>
          </w:tcPr>
          <w:p w:rsidR="003A788E" w:rsidRPr="003A788E" w:rsidRDefault="003A788E" w:rsidP="003A788E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填写日期</w:t>
            </w:r>
          </w:p>
        </w:tc>
        <w:tc>
          <w:tcPr>
            <w:tcW w:w="2041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2026.8.7</w:t>
            </w:r>
          </w:p>
        </w:tc>
      </w:tr>
      <w:tr w:rsidR="000D4778" w:rsidTr="00BE5D34">
        <w:trPr>
          <w:trHeight w:val="567"/>
        </w:trPr>
        <w:tc>
          <w:tcPr>
            <w:tcW w:w="2041" w:type="dxa"/>
            <w:vAlign w:val="center"/>
          </w:tcPr>
          <w:p w:rsidR="000D4778" w:rsidRPr="003A788E" w:rsidRDefault="000D4778" w:rsidP="003A788E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所在团队</w:t>
            </w:r>
          </w:p>
        </w:tc>
        <w:tc>
          <w:tcPr>
            <w:tcW w:w="2041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现货团队</w:t>
            </w:r>
          </w:p>
        </w:tc>
        <w:tc>
          <w:tcPr>
            <w:tcW w:w="2041" w:type="dxa"/>
            <w:vAlign w:val="center"/>
          </w:tcPr>
          <w:p w:rsidR="000D4778" w:rsidRDefault="000D4778" w:rsidP="003A788E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导师姓名</w:t>
            </w:r>
          </w:p>
        </w:tc>
        <w:tc>
          <w:tcPr>
            <w:tcW w:w="2041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郑昊泽</w:t>
            </w:r>
          </w:p>
        </w:tc>
      </w:tr>
      <w:tr w:rsidR="003A788E" w:rsidTr="00BE5D34">
        <w:trPr>
          <w:trHeight w:val="567"/>
        </w:trPr>
        <w:tc>
          <w:tcPr>
            <w:tcW w:w="2041" w:type="dxa"/>
            <w:vAlign w:val="center"/>
          </w:tcPr>
          <w:p w:rsidR="003A788E" w:rsidRPr="003A788E" w:rsidRDefault="003A788E" w:rsidP="003A788E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报告周期</w:t>
            </w:r>
          </w:p>
        </w:tc>
        <w:tc>
          <w:tcPr>
            <w:tcW w:w="2041" w:type="dxa"/>
            <w:gridSpan w:val="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2026年8月3日-2026年8月7日</w:t>
            </w:r>
          </w:p>
        </w:tc>
      </w:tr>
      <w:tr w:rsidR="003A788E" w:rsidTr="00BE5D34">
        <w:tc>
          <w:tcPr>
            <w:tcW w:w="2041" w:type="dxa"/>
            <w:gridSpan w:val="4"/>
          </w:tcPr>
          <w:p>
            <w:pPr>
              <w:ind w:firstLine="480"/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一、学习心得</w:t>
            </w:r>
          </w:p>
          <w:p>
            <w:pPr>
              <w:spacing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1. 标签页化交易终端架构设计</w:t>
              <w:br/>
            </w:r>
            <w:r>
              <w:rPr>
                <w:rFonts w:ascii="宋体" w:hAnsi="宋体" w:eastAsia="宋体"/>
                <w:b w:val="0"/>
                <w:sz w:val="24"/>
              </w:rPr>
              <w:t>本周将原有单页三栏布局重构为“多页面 + 标签页系统”，完整实践了 TabBar、TabContent 与应用布局的拆分，理解了标签页、页面实例与浮动窗口之间的状态隔离与复用方式；同时掌握了标签拖拽脱离为浮动窗口、FLIP 位移动画、停靠回标签栏，以及浮窗几何状态（detach/dock/move/resize/focus）的统一管理方法。</w:t>
            </w:r>
          </w:p>
          <w:p>
            <w:pPr>
              <w:spacing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2. 高频行情场景的性能优化方法</w:t>
              <w:br/>
            </w:r>
            <w:r>
              <w:rPr>
                <w:rFonts w:ascii="宋体" w:hAnsi="宋体" w:eastAsia="宋体"/>
                <w:b w:val="0"/>
                <w:sz w:val="24"/>
              </w:rPr>
              <w:t>针对 1000+ 合约行情表格的实时推送压力，实践了“按需订阅”性能优化体系：通过可见行检测、30 秒延迟退订宽限期、拖动中零 HTTP、LRU 上限保护、行情表格局部更新与缓存快照回填等机制，将订阅规模控制在可见区域与自选合约范围内，在保证实时性的同时显著降低网络与服务端压力，加深了对虚拟滚动、防抖与订阅生命周期的理解。</w:t>
            </w:r>
          </w:p>
          <w:p>
            <w:pPr>
              <w:spacing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3. 专业交易 UI 的交互设计</w:t>
              <w:br/>
            </w:r>
            <w:r>
              <w:rPr>
                <w:rFonts w:ascii="宋体" w:hAnsi="宋体" w:eastAsia="宋体"/>
                <w:b w:val="0"/>
                <w:sz w:val="24"/>
              </w:rPr>
              <w:t>参与报单弹窗重构，学习“盘口即下单入口”的专业交易终端设计：三列十档盘口、点价必弹确认框、账户/持仓/持盈联动、精简/完整双态切换，以及乐观渲染与失败回滚的反馈机制，理解了交易类界面“信息密度高、操作可撤销、失败可感知”的设计原则。</w:t>
            </w:r>
          </w:p>
          <w:p>
            <w:pPr>
              <w:ind w:firstLine="480"/>
            </w:pPr>
            <w:r>
              <w:rPr>
                <w:rFonts w:ascii="宋体" w:hAnsi="宋体" w:eastAsia="宋体"/>
                <w:b/>
                <w:sz w:val="24"/>
              </w:rPr>
              <w:t>二、工作结果</w:t>
            </w:r>
          </w:p>
          <w:p>
            <w:pPr>
              <w:spacing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1. 多页面 + 标签页系统重构持续推进（R2~R7、R9~R22，PR #60-#79，8.3-8.4）</w:t>
              <w:br/>
            </w:r>
            <w:r>
              <w:rPr>
                <w:rFonts w:ascii="宋体" w:hAnsi="宋体" w:eastAsia="宋体"/>
                <w:b w:val="0"/>
                <w:sz w:val="24"/>
              </w:rPr>
              <w:t>完成合约数据源、vtable 虚拟滚动与可见行检测、按需订阅、收藏、搜索、多选、右键菜单、标签页系统、自选标签页、双击/右键打开报单与 K 线标签、报单页/查询页/K 线页/设置页、IPC 监控、快捷键系统、平仓打开报单标签、Electron 独立窗口与托盘菜单等 20 个 PR；实现标签拖拽脱离成浮动窗口、FLIP 动画与停靠回标签栏，支持标签页与 Electron 独立窗口两种形态。</w:t>
            </w:r>
          </w:p>
          <w:tbl>
            <w:tblPr>
              <w:tblStyle w:val="a3"/>
              <w:tblW w:type="dxa" w:w="7800"/>
              <w:tblLayout w:type="fixed"/>
              <w:tblLook w:firstColumn="1" w:firstRow="1" w:lastColumn="0" w:lastRow="0" w:noHBand="0" w:noVBand="1" w:val="04A0"/>
            </w:tblPr>
            <w:tblGrid>
              <w:gridCol w:w="1500"/>
              <w:gridCol w:w="4200"/>
              <w:gridCol w:w="1400"/>
              <w:gridCol w:w="700"/>
            </w:tblGrid>
            <w:tr>
              <w:tc>
                <w:tcPr>
                  <w:tcW w:type="dxa" w:w="15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2"/>
                    </w:rPr>
                    <w:t>PR</w:t>
                  </w:r>
                </w:p>
              </w:tc>
              <w:tc>
                <w:tcPr>
                  <w:tcW w:type="dxa" w:w="42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2"/>
                    </w:rPr>
                    <w:t>标题</w:t>
                  </w:r>
                </w:p>
              </w:tc>
              <w:tc>
                <w:tcPr>
                  <w:tcW w:type="dxa" w:w="14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2"/>
                    </w:rPr>
                    <w:t>完成时间</w:t>
                  </w:r>
                </w:p>
              </w:tc>
              <w:tc>
                <w:tcPr>
                  <w:tcW w:type="dxa" w:w="7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2"/>
                    </w:rPr>
                    <w:t>状态</w:t>
                  </w:r>
                </w:p>
              </w:tc>
            </w:tr>
            <w:tr>
              <w:tc>
                <w:tcPr>
                  <w:tcW w:type="dxa" w:w="15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PR #60-#79</w:t>
                  </w:r>
                </w:p>
              </w:tc>
              <w:tc>
                <w:tcPr>
                  <w:tcW w:type="dxa" w:w="42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标签页系统重构（R2~R7、R9~R22，20 个 PR）</w:t>
                  </w:r>
                </w:p>
              </w:tc>
              <w:tc>
                <w:tcPr>
                  <w:tcW w:type="dxa" w:w="14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8.3-8.4</w:t>
                  </w:r>
                </w:p>
              </w:tc>
              <w:tc>
                <w:tcPr>
                  <w:tcW w:type="dxa" w:w="7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✅</w:t>
                  </w:r>
                </w:p>
              </w:tc>
            </w:tr>
            <w:tr>
              <w:tc>
                <w:tcPr>
                  <w:tcW w:type="dxa" w:w="15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PR #80/#81/#84/#85</w:t>
                  </w:r>
                </w:p>
              </w:tc>
              <w:tc>
                <w:tcPr>
                  <w:tcW w:type="dxa" w:w="42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弹窗 8 方向自由缩放与浮窗修复</w:t>
                  </w:r>
                </w:p>
              </w:tc>
              <w:tc>
                <w:tcPr>
                  <w:tcW w:type="dxa" w:w="14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8.5-8.6</w:t>
                  </w:r>
                </w:p>
              </w:tc>
              <w:tc>
                <w:tcPr>
                  <w:tcW w:type="dxa" w:w="7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✅</w:t>
                  </w:r>
                </w:p>
              </w:tc>
            </w:tr>
            <w:tr>
              <w:tc>
                <w:tcPr>
                  <w:tcW w:type="dxa" w:w="15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PR #82</w:t>
                  </w:r>
                </w:p>
              </w:tc>
              <w:tc>
                <w:tcPr>
                  <w:tcW w:type="dxa" w:w="42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合约刷新通道与状态过滤修复</w:t>
                  </w:r>
                </w:p>
              </w:tc>
              <w:tc>
                <w:tcPr>
                  <w:tcW w:type="dxa" w:w="14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8.5</w:t>
                  </w:r>
                </w:p>
              </w:tc>
              <w:tc>
                <w:tcPr>
                  <w:tcW w:type="dxa" w:w="7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✅</w:t>
                  </w:r>
                </w:p>
              </w:tc>
            </w:tr>
            <w:tr>
              <w:tc>
                <w:tcPr>
                  <w:tcW w:type="dxa" w:w="15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PR #86</w:t>
                  </w:r>
                </w:p>
              </w:tc>
              <w:tc>
                <w:tcPr>
                  <w:tcW w:type="dxa" w:w="42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报单弹窗 P1：三列十档盘口 + 点价确认下单</w:t>
                  </w:r>
                </w:p>
              </w:tc>
              <w:tc>
                <w:tcPr>
                  <w:tcW w:type="dxa" w:w="14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8.6</w:t>
                  </w:r>
                </w:p>
              </w:tc>
              <w:tc>
                <w:tcPr>
                  <w:tcW w:type="dxa" w:w="7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✅</w:t>
                  </w:r>
                </w:p>
              </w:tc>
            </w:tr>
            <w:tr>
              <w:tc>
                <w:tcPr>
                  <w:tcW w:type="dxa" w:w="15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PR #88</w:t>
                  </w:r>
                </w:p>
              </w:tc>
              <w:tc>
                <w:tcPr>
                  <w:tcW w:type="dxa" w:w="42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报单弹窗 P2：账户栏 + 完整态切换</w:t>
                  </w:r>
                </w:p>
              </w:tc>
              <w:tc>
                <w:tcPr>
                  <w:tcW w:type="dxa" w:w="14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8.6</w:t>
                  </w:r>
                </w:p>
              </w:tc>
              <w:tc>
                <w:tcPr>
                  <w:tcW w:type="dxa" w:w="7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✅</w:t>
                  </w:r>
                </w:p>
              </w:tc>
            </w:tr>
            <w:tr>
              <w:tc>
                <w:tcPr>
                  <w:tcW w:type="dxa" w:w="15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PR #87/#91</w:t>
                  </w:r>
                </w:p>
              </w:tc>
              <w:tc>
                <w:tcPr>
                  <w:tcW w:type="dxa" w:w="42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vtable 编码修复</w:t>
                  </w:r>
                </w:p>
              </w:tc>
              <w:tc>
                <w:tcPr>
                  <w:tcW w:type="dxa" w:w="14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8.6-8.7</w:t>
                  </w:r>
                </w:p>
              </w:tc>
              <w:tc>
                <w:tcPr>
                  <w:tcW w:type="dxa" w:w="7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✅</w:t>
                  </w:r>
                </w:p>
              </w:tc>
            </w:tr>
            <w:tr>
              <w:tc>
                <w:tcPr>
                  <w:tcW w:type="dxa" w:w="15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PR #89</w:t>
                  </w:r>
                </w:p>
              </w:tc>
              <w:tc>
                <w:tcPr>
                  <w:tcW w:type="dxa" w:w="42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报单弹窗 P3：搜索切换/挂单撤单/乐观渲染</w:t>
                  </w:r>
                </w:p>
              </w:tc>
              <w:tc>
                <w:tcPr>
                  <w:tcW w:type="dxa" w:w="14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8.7</w:t>
                  </w:r>
                </w:p>
              </w:tc>
              <w:tc>
                <w:tcPr>
                  <w:tcW w:type="dxa" w:w="7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✅</w:t>
                  </w:r>
                </w:p>
              </w:tc>
            </w:tr>
            <w:tr>
              <w:tc>
                <w:tcPr>
                  <w:tcW w:type="dxa" w:w="15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PR #90/#92</w:t>
                  </w:r>
                </w:p>
              </w:tc>
              <w:tc>
                <w:tcPr>
                  <w:tcW w:type="dxa" w:w="42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导航重构两阶段：全局栏合并 + 页面收敛</w:t>
                  </w:r>
                </w:p>
              </w:tc>
              <w:tc>
                <w:tcPr>
                  <w:tcW w:type="dxa" w:w="14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8.7</w:t>
                  </w:r>
                </w:p>
              </w:tc>
              <w:tc>
                <w:tcPr>
                  <w:tcW w:type="dxa" w:w="700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✅</w:t>
                  </w:r>
                </w:p>
              </w:tc>
            </w:tr>
          </w:tbl>
          <w:p>
            <w:pPr>
              <w:spacing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2. 报单弹窗重构三阶段交付（PR #86、#88、#89，8.6-8.7）</w:t>
              <w:br/>
            </w:r>
            <w:r>
              <w:rPr>
                <w:rFonts w:ascii="宋体" w:hAnsi="宋体" w:eastAsia="宋体"/>
                <w:b w:val="0"/>
                <w:sz w:val="24"/>
              </w:rPr>
              <w:t>P1 完成三列十档 MarketDepth、压缩参数区 TradeParams 与点价确认下单闭环；P2 增加 AccountBar（持仓/持盈、串行自刷新）、行情统计栏与精简/完整态切换（持久化）；P3 完成合约搜索切换、快捷手数预设、盘口我方挂单量显示与点击撤单、乐观渲染与失败回滚、撤最新/撤全部/平净仓及账户资金明细。每阶段均完成 TDD、代码审查与人工验证（P1 10 项、P2 7 项、P3 8 项全部通过）。</w:t>
            </w:r>
          </w:p>
          <w:p>
            <w:pPr>
              <w:spacing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3. 行情订阅性能优化落地（8.6-8.7）</w:t>
              <w:br/>
            </w:r>
            <w:r>
              <w:rPr>
                <w:rFonts w:ascii="宋体" w:hAnsi="宋体" w:eastAsia="宋体"/>
                <w:b w:val="0"/>
                <w:sz w:val="24"/>
              </w:rPr>
              <w:t>实现 30 秒延迟退订宽限期、订阅/退订分层防抖、拖动中只增不减与 LRU 上限保护（480）、行情表格局部更新（updateRecords）、订阅成功回填缓存快照、可见行 diff、滚动松手立即完整 diff 等 8 个任务机制；同步修复 vtable 编码乱码、拖动到底不刷新、多实例争用等问题，行情表格在大合约量下保持流畅。</w:t>
            </w:r>
          </w:p>
          <w:p>
            <w:pPr>
              <w:spacing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4. 弹窗自由缩放与导航重构（8.5、8.7）</w:t>
              <w:br/>
            </w:r>
            <w:r>
              <w:rPr>
                <w:rFonts w:ascii="宋体" w:hAnsi="宋体" w:eastAsia="宋体"/>
                <w:b w:val="0"/>
                <w:sz w:val="24"/>
              </w:rPr>
              <w:t>实现报单/查询弹窗 8 方向自由缩放（共享 usePopupResize hook）与浮动弹窗 portal 顶层渲染，修复拖出弹窗后主内容区塌陷空白；完成导航重构两阶段：全局栏合并状态栏与标签栏为一行，行情页/查询页/自选页移除冗余标题，K 线页拖拽条上移、标题栏去重显示品种名并新增页内搜索切换合约，报单入口统一为右上角浮动窗口。</w:t>
            </w:r>
          </w:p>
          <w:p>
            <w:pPr>
              <w:spacing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5. 本周关键数据</w:t>
              <w:br/>
            </w:r>
            <w:r>
              <w:rPr>
                <w:rFonts w:ascii="宋体" w:hAnsi="宋体" w:eastAsia="宋体"/>
                <w:b w:val="0"/>
                <w:sz w:val="24"/>
              </w:rPr>
              <w:t>合并 PR #60-#92 共 33 个；本周新增/修复提交 353 次，涉及 248 个文件；前端全量 1044 个单元测试通过；全部 PR 均按“TDD 开发 → 自验证 → 代码审查 → 人工验证”流程完成交付。</w:t>
            </w:r>
          </w:p>
          <w:p>
            <w:pPr>
              <w:ind w:firstLine="480"/>
            </w:pPr>
            <w:r>
              <w:rPr>
                <w:rFonts w:ascii="宋体" w:hAnsi="宋体" w:eastAsia="宋体"/>
                <w:b/>
                <w:sz w:val="24"/>
              </w:rPr>
              <w:t>三、下周计划</w:t>
            </w:r>
          </w:p>
          <w:p>
            <w:pPr>
              <w:ind w:left="480" w:hanging="240"/>
            </w:pPr>
            <w:r>
              <w:rPr>
                <w:rFonts w:ascii="宋体" w:hAnsi="宋体" w:eastAsia="宋体"/>
                <w:b w:val="0"/>
                <w:sz w:val="24"/>
              </w:rPr>
              <w:t>• 启动报单弹窗二期（P4）：GTC/平昨映射、自动开平、红绿反转配置、Smart Order→止损单、热键说明浮层</w:t>
            </w:r>
          </w:p>
          <w:p>
            <w:pPr>
              <w:ind w:left="480" w:hanging="240"/>
            </w:pPr>
            <w:r>
              <w:rPr>
                <w:rFonts w:ascii="宋体" w:hAnsi="宋体" w:eastAsia="宋体"/>
                <w:b w:val="0"/>
                <w:sz w:val="24"/>
              </w:rPr>
              <w:t>• 完成行情订阅优化机制收尾与全量回归，验证 1000+ 合约场景下的稳定与流畅</w:t>
            </w:r>
          </w:p>
          <w:p>
            <w:pPr>
              <w:ind w:left="480" w:hanging="240"/>
            </w:pPr>
            <w:r>
              <w:rPr>
                <w:rFonts w:ascii="宋体" w:hAnsi="宋体" w:eastAsia="宋体"/>
                <w:b w:val="0"/>
                <w:sz w:val="24"/>
              </w:rPr>
              <w:t>• 开展端到端联调测试（PR-17）：结合 SimNow 交易时段验证行情、报单、查询与止损完整链路</w:t>
            </w:r>
          </w:p>
          <w:p>
            <w:pPr>
              <w:ind w:left="480" w:hanging="240"/>
            </w:pPr>
            <w:r>
              <w:rPr>
                <w:rFonts w:ascii="宋体" w:hAnsi="宋体" w:eastAsia="宋体"/>
                <w:b w:val="0"/>
                <w:sz w:val="24"/>
              </w:rPr>
              <w:t>• 推进交易终端界面细节打磨与文档同步（设计文档、任务状态、开发记录）</w:t>
            </w:r>
          </w:p>
          <w:p/>
          <w:p/>
        </w:tc>
      </w:tr>
    </w:tbl>
    <w:p w:rsidR="003A788E" w:rsidRPr="003A788E" w:rsidRDefault="003A788E" w:rsidP="003A788E">
      <w:pPr>
        <w:rPr>
          <w:rFonts w:asciiTheme="minorEastAsia" w:hAnsiTheme="minorEastAsia" w:hint="eastAsia"/>
          <w:b/>
          <w:sz w:val="28"/>
          <w:szCs w:val="28"/>
        </w:rPr>
      </w:pPr>
    </w:p>
    <w:sectPr w:rsidR="003A788E" w:rsidRPr="003A78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327"/>
    <w:rsid w:val="000D4778"/>
    <w:rsid w:val="003A788E"/>
    <w:rsid w:val="006D65FB"/>
    <w:rsid w:val="008E6A73"/>
    <w:rsid w:val="00940386"/>
    <w:rsid w:val="00AB3327"/>
    <w:rsid w:val="00BC4336"/>
    <w:rsid w:val="00BE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6B10EF-C56C-4C10-A679-C7B33A04E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A788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cffex</dc:creator>
  <cp:keywords/>
  <dc:description/>
  <cp:lastModifiedBy>cffex</cp:lastModifiedBy>
  <cp:revision>8</cp:revision>
  <dcterms:created xsi:type="dcterms:W3CDTF">2023-07-04T02:47:00Z</dcterms:created>
  <dcterms:modified xsi:type="dcterms:W3CDTF">2023-07-04T02:59:00Z</dcterms:modified>
</cp:coreProperties>
</file>