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60"/>
        <w:shd w:val="clear" w:color="auto" w:fill="0D47A1"/>
      </w:pPr>
      <w:r>
        <w:rPr>
          <w:rFonts w:ascii="Calibri" w:hAnsi="Calibri"/>
          <w:b/>
          <w:i w:val="0"/>
          <w:color w:val="FFFFFF"/>
          <w:sz w:val="44"/>
        </w:rPr>
        <w:t>VoIP Watcher — Implementation Prioritization Roadmap</w:t>
      </w:r>
    </w:p>
    <w:p>
      <w:pPr>
        <w:spacing w:after="120"/>
      </w:pPr>
      <w:r>
        <w:rPr>
          <w:rFonts w:ascii="Calibri" w:hAnsi="Calibri"/>
          <w:b/>
          <w:i w:val="0"/>
          <w:color w:val="546E7A"/>
          <w:sz w:val="18"/>
        </w:rPr>
        <w:t xml:space="preserve">  Prepared:  </w:t>
      </w:r>
      <w:r>
        <w:rPr>
          <w:rFonts w:ascii="Calibri" w:hAnsi="Calibri"/>
          <w:b w:val="0"/>
          <w:i w:val="0"/>
          <w:color w:val="212121"/>
          <w:sz w:val="18"/>
        </w:rPr>
        <w:t xml:space="preserve">April 15, 2026     </w:t>
      </w:r>
      <w:r>
        <w:rPr>
          <w:rFonts w:ascii="Calibri" w:hAnsi="Calibri"/>
          <w:b/>
          <w:i w:val="0"/>
          <w:color w:val="546E7A"/>
          <w:sz w:val="18"/>
        </w:rPr>
        <w:t xml:space="preserve">  Scope:  </w:t>
      </w:r>
      <w:r>
        <w:rPr>
          <w:rFonts w:ascii="Calibri" w:hAnsi="Calibri"/>
          <w:b w:val="0"/>
          <w:i w:val="0"/>
          <w:color w:val="212121"/>
          <w:sz w:val="18"/>
        </w:rPr>
        <w:t xml:space="preserve">48 Features across Volume I &amp; Volume II     </w:t>
      </w:r>
      <w:r>
        <w:rPr>
          <w:rFonts w:ascii="Calibri" w:hAnsi="Calibri"/>
          <w:b/>
          <w:i w:val="0"/>
          <w:color w:val="546E7A"/>
          <w:sz w:val="18"/>
        </w:rPr>
        <w:t xml:space="preserve">  Platform:  </w:t>
      </w:r>
      <w:r>
        <w:rPr>
          <w:rFonts w:ascii="Calibri" w:hAnsi="Calibri"/>
          <w:b w:val="0"/>
          <w:i w:val="0"/>
          <w:color w:val="212121"/>
          <w:sz w:val="18"/>
        </w:rPr>
        <w:t xml:space="preserve">Sippy Softswitch / VoIP NOC Dashboard     </w:t>
      </w:r>
    </w:p>
    <w:p>
      <w:pPr>
        <w:spacing w:after="200"/>
      </w:pPr>
      <w:r>
        <w:rPr>
          <w:rFonts w:ascii="Calibri" w:hAnsi="Calibri"/>
          <w:b w:val="0"/>
          <w:i w:val="0"/>
          <w:color w:val="212121"/>
          <w:sz w:val="20"/>
        </w:rPr>
        <w:t>This document takes all 48 proposed features from the two Feature Proposal volumes and arranges them into a four-phase implementation plan. Each phase is ordered by a combination of: business urgency, revenue protection value, implementation effort, and feature dependencies. Features within the same phase can be built in parallel by separate engineers.</w:t>
      </w:r>
    </w:p>
    <w:p>
      <w:pPr>
        <w:pStyle w:val="Heading2"/>
        <w:spacing w:before="280" w:after="80"/>
        <w:pBdr>
          <w:bottom w:val="single" w:sz="8" w:space="2" w:color="0D47A1"/>
        </w:pBdr>
      </w:pPr>
      <w:r>
        <w:rPr>
          <w:rFonts w:ascii="Calibri" w:hAnsi="Calibri"/>
          <w:b/>
          <w:i w:val="0"/>
          <w:color w:val="0D47A1"/>
          <w:sz w:val="28"/>
        </w:rPr>
        <w:t>Prioritization Framework</w:t>
      </w:r>
    </w:p>
    <w:p>
      <w:pPr>
        <w:spacing w:before="20" w:after="60"/>
      </w:pPr>
      <w:r>
        <w:rPr>
          <w:rFonts w:ascii="Calibri" w:hAnsi="Calibri"/>
          <w:b w:val="0"/>
          <w:i w:val="0"/>
          <w:color w:val="212121"/>
          <w:sz w:val="20"/>
        </w:rPr>
        <w:t>Every feature was scored across four criteria, each weighted as follows:</w:t>
      </w:r>
    </w:p>
    <w:tbl>
      <w:tblPr>
        <w:tblStyle w:val="TableGrid"/>
        <w:tblW w:type="auto" w:w="0"/>
        <w:tblLook w:firstColumn="1" w:firstRow="1" w:lastColumn="0" w:lastRow="0" w:noHBand="0" w:noVBand="1" w:val="04A0"/>
      </w:tblPr>
      <w:tblGrid>
        <w:gridCol w:w="3249"/>
        <w:gridCol w:w="3249"/>
        <w:gridCol w:w="3249"/>
      </w:tblGrid>
      <w:tr>
        <w:tc>
          <w:tcPr>
            <w:tcW w:type="dxa" w:w="3685"/>
            <w:shd w:val="clear" w:color="auto" w:fill="0D47A1"/>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Criterion</w:t>
            </w:r>
          </w:p>
        </w:tc>
        <w:tc>
          <w:tcPr>
            <w:tcW w:type="dxa" w:w="1417"/>
            <w:shd w:val="clear" w:color="auto" w:fill="0D47A1"/>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Weight</w:t>
            </w:r>
          </w:p>
        </w:tc>
        <w:tc>
          <w:tcPr>
            <w:tcW w:type="dxa" w:w="4819"/>
            <w:shd w:val="clear" w:color="auto" w:fill="0D47A1"/>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Rationale</w:t>
            </w:r>
          </w:p>
        </w:tc>
      </w:tr>
      <w:tr>
        <w:tc>
          <w:tcPr>
            <w:tcW w:type="dxa" w:w="3685"/>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Revenue &amp; Fraud Protection</w:t>
            </w:r>
          </w:p>
        </w:tc>
        <w:tc>
          <w:tcPr>
            <w:tcW w:type="dxa" w:w="1417"/>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40%</w:t>
            </w:r>
          </w:p>
        </w:tc>
        <w:tc>
          <w:tcPr>
            <w:tcW w:type="dxa" w:w="4819"/>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Stops money leaving the business immediately</w:t>
            </w:r>
          </w:p>
        </w:tc>
      </w:tr>
      <w:tr>
        <w:tc>
          <w:tcPr>
            <w:tcW w:type="dxa" w:w="368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Operational Efficiency</w:t>
            </w:r>
          </w:p>
        </w:tc>
        <w:tc>
          <w:tcPr>
            <w:tcW w:type="dxa" w:w="141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25%</w:t>
            </w:r>
          </w:p>
        </w:tc>
        <w:tc>
          <w:tcPr>
            <w:tcW w:type="dxa" w:w="4819"/>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Reduces manual work and MTTR for the NOC team</w:t>
            </w:r>
          </w:p>
        </w:tc>
      </w:tr>
      <w:tr>
        <w:tc>
          <w:tcPr>
            <w:tcW w:type="dxa" w:w="3685"/>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Business Intelligence</w:t>
            </w:r>
          </w:p>
        </w:tc>
        <w:tc>
          <w:tcPr>
            <w:tcW w:type="dxa" w:w="1417"/>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20%</w:t>
            </w:r>
          </w:p>
        </w:tc>
        <w:tc>
          <w:tcPr>
            <w:tcW w:type="dxa" w:w="4819"/>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Enables data-driven decisions and client reporting</w:t>
            </w:r>
          </w:p>
        </w:tc>
      </w:tr>
      <w:tr>
        <w:tc>
          <w:tcPr>
            <w:tcW w:type="dxa" w:w="368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UX &amp; Engineering Tooling</w:t>
            </w:r>
          </w:p>
        </w:tc>
        <w:tc>
          <w:tcPr>
            <w:tcW w:type="dxa" w:w="141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15%</w:t>
            </w:r>
          </w:p>
        </w:tc>
        <w:tc>
          <w:tcPr>
            <w:tcW w:type="dxa" w:w="4819"/>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Improves daily usability and developer productivity</w:t>
            </w:r>
          </w:p>
        </w:tc>
      </w:tr>
    </w:tbl>
    <w:p/>
    <w:p>
      <w:pPr>
        <w:pStyle w:val="Heading2"/>
        <w:spacing w:before="280" w:after="80"/>
        <w:pBdr>
          <w:bottom w:val="single" w:sz="8" w:space="2" w:color="0D47A1"/>
        </w:pBdr>
      </w:pPr>
      <w:r>
        <w:rPr>
          <w:rFonts w:ascii="Calibri" w:hAnsi="Calibri"/>
          <w:b/>
          <w:i w:val="0"/>
          <w:color w:val="0D47A1"/>
          <w:sz w:val="28"/>
        </w:rPr>
        <w:t>Phase Overview</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134"/>
            <w:shd w:val="clear" w:color="auto" w:fill="0D47A1"/>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Phase</w:t>
            </w:r>
          </w:p>
        </w:tc>
        <w:tc>
          <w:tcPr>
            <w:tcW w:type="dxa" w:w="1417"/>
            <w:shd w:val="clear" w:color="auto" w:fill="0D47A1"/>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Timeline</w:t>
            </w:r>
          </w:p>
        </w:tc>
        <w:tc>
          <w:tcPr>
            <w:tcW w:type="dxa" w:w="2551"/>
            <w:shd w:val="clear" w:color="auto" w:fill="0D47A1"/>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Theme</w:t>
            </w:r>
          </w:p>
        </w:tc>
        <w:tc>
          <w:tcPr>
            <w:tcW w:type="dxa" w:w="1417"/>
            <w:shd w:val="clear" w:color="auto" w:fill="0D47A1"/>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Features</w:t>
            </w:r>
          </w:p>
        </w:tc>
        <w:tc>
          <w:tcPr>
            <w:tcW w:type="dxa" w:w="3402"/>
            <w:shd w:val="clear" w:color="auto" w:fill="0D47A1"/>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Outcome</w:t>
            </w:r>
          </w:p>
        </w:tc>
      </w:tr>
      <w:tr>
        <w:tc>
          <w:tcPr>
            <w:tcW w:type="dxa" w:w="113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Phase 1</w:t>
            </w:r>
          </w:p>
        </w:tc>
        <w:tc>
          <w:tcPr>
            <w:tcW w:type="dxa" w:w="1417"/>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Weeks 1–4</w:t>
            </w:r>
          </w:p>
        </w:tc>
        <w:tc>
          <w:tcPr>
            <w:tcW w:type="dxa" w:w="2551"/>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Stop Losses Now</w:t>
            </w:r>
          </w:p>
        </w:tc>
        <w:tc>
          <w:tcPr>
            <w:tcW w:type="dxa" w:w="1417"/>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10 features</w:t>
            </w:r>
          </w:p>
        </w:tc>
        <w:tc>
          <w:tcPr>
            <w:tcW w:type="dxa" w:w="3402"/>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Fraud contained, team alerted faster</w:t>
            </w:r>
          </w:p>
        </w:tc>
      </w:tr>
      <w:tr>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Phase 2</w:t>
            </w:r>
          </w:p>
        </w:tc>
        <w:tc>
          <w:tcPr>
            <w:tcW w:type="dxa" w:w="141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Weeks 5–10</w:t>
            </w:r>
          </w:p>
        </w:tc>
        <w:tc>
          <w:tcPr>
            <w:tcW w:type="dxa" w:w="2551"/>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Strengthen the Core</w:t>
            </w:r>
          </w:p>
        </w:tc>
        <w:tc>
          <w:tcPr>
            <w:tcW w:type="dxa" w:w="141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12 features</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Quality visibility, cost data available</w:t>
            </w:r>
          </w:p>
        </w:tc>
      </w:tr>
      <w:tr>
        <w:tc>
          <w:tcPr>
            <w:tcW w:type="dxa" w:w="113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Phase 3</w:t>
            </w:r>
          </w:p>
        </w:tc>
        <w:tc>
          <w:tcPr>
            <w:tcW w:type="dxa" w:w="1417"/>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Weeks 11–18</w:t>
            </w:r>
          </w:p>
        </w:tc>
        <w:tc>
          <w:tcPr>
            <w:tcW w:type="dxa" w:w="2551"/>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Business Intelligence</w:t>
            </w:r>
          </w:p>
        </w:tc>
        <w:tc>
          <w:tcPr>
            <w:tcW w:type="dxa" w:w="1417"/>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14 features</w:t>
            </w:r>
          </w:p>
        </w:tc>
        <w:tc>
          <w:tcPr>
            <w:tcW w:type="dxa" w:w="3402"/>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Revenue analytics, client reporting live</w:t>
            </w:r>
          </w:p>
        </w:tc>
      </w:tr>
      <w:tr>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Phase 4</w:t>
            </w:r>
          </w:p>
        </w:tc>
        <w:tc>
          <w:tcPr>
            <w:tcW w:type="dxa" w:w="141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Weeks 19–28</w:t>
            </w:r>
          </w:p>
        </w:tc>
        <w:tc>
          <w:tcPr>
            <w:tcW w:type="dxa" w:w="2551"/>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Scale &amp; Compliance</w:t>
            </w:r>
          </w:p>
        </w:tc>
        <w:tc>
          <w:tcPr>
            <w:tcW w:type="dxa" w:w="141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12 features</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Enterprise-ready, regulatory-compliant</w:t>
            </w:r>
          </w:p>
        </w:tc>
      </w:tr>
    </w:tbl>
    <w:p/>
    <w:p>
      <w:pPr>
        <w:pStyle w:val="Heading2"/>
        <w:spacing w:before="280" w:after="120"/>
        <w:shd w:val="clear" w:color="auto" w:fill="1A237E"/>
      </w:pPr>
      <w:r>
        <w:rPr>
          <w:rFonts w:ascii="Calibri" w:hAnsi="Calibri"/>
          <w:b/>
          <w:i w:val="0"/>
          <w:color w:val="FFFFFF"/>
          <w:sz w:val="28"/>
        </w:rPr>
        <w:t>PHASE 1 — Stop Losses Now  |  Weeks 1–4</w:t>
      </w:r>
    </w:p>
    <w:p>
      <w:pPr>
        <w:shd w:val="clear" w:color="auto" w:fill="E8EAF6"/>
        <w:spacing w:before="80" w:after="120"/>
      </w:pPr>
      <w:r>
        <w:rPr>
          <w:rFonts w:ascii="Calibri" w:hAnsi="Calibri"/>
          <w:b w:val="0"/>
          <w:i/>
          <w:color w:val="1A237E"/>
          <w:sz w:val="20"/>
        </w:rPr>
        <w:t xml:space="preserve">  Goal: Close the most critical fraud and security gaps immediately. Every feature in this phase directly protects revenue or prevents network abuse. None require new external infrastructure. All build on existing Sippy XML-RPC integration.  </w:t>
      </w:r>
    </w:p>
    <w:p>
      <w:pPr>
        <w:pStyle w:val="Heading3"/>
        <w:spacing w:before="160" w:after="40"/>
      </w:pPr>
      <w:r>
        <w:rPr>
          <w:rFonts w:ascii="Calibri" w:hAnsi="Calibri"/>
          <w:b/>
          <w:i w:val="0"/>
          <w:color w:val="1A237E"/>
          <w:sz w:val="22"/>
        </w:rPr>
        <w:t>1A. WhatsApp / Telegram Push Alerts  [Vol I, #11]</w:t>
      </w:r>
    </w:p>
    <w:p>
      <w:pPr>
        <w:spacing w:before="20" w:after="60"/>
      </w:pPr>
      <w:r>
        <w:rPr>
          <w:rFonts w:ascii="Calibri" w:hAnsi="Calibri"/>
          <w:b w:val="0"/>
          <w:i w:val="0"/>
          <w:color w:val="212121"/>
          <w:sz w:val="20"/>
        </w:rPr>
        <w:t>Extend the existing Watcher Recipients system to deliver all alerts via WhatsApp Business API and/or Telegram Bot — in addition to the current email channel.</w:t>
      </w:r>
    </w:p>
    <w:p>
      <w:pPr>
        <w:pStyle w:val="ListBullet"/>
        <w:spacing w:before="20" w:after="20"/>
        <w:ind w:left="432"/>
      </w:pPr>
      <w:r>
        <w:rPr>
          <w:rFonts w:ascii="Calibri" w:hAnsi="Calibri"/>
          <w:b w:val="0"/>
          <w:i w:val="0"/>
          <w:color w:val="212121"/>
          <w:sz w:val="20"/>
        </w:rPr>
        <w:t>Effort: LOW — 3–5 days. The alert dispatch logic already exists; only a new delivery channel is added.</w:t>
      </w:r>
    </w:p>
    <w:p>
      <w:pPr>
        <w:pStyle w:val="ListBullet"/>
        <w:spacing w:before="20" w:after="20"/>
        <w:ind w:left="432"/>
      </w:pPr>
      <w:r>
        <w:rPr>
          <w:rFonts w:ascii="Calibri" w:hAnsi="Calibri"/>
          <w:b w:val="0"/>
          <w:i w:val="0"/>
          <w:color w:val="212121"/>
          <w:sz w:val="20"/>
        </w:rPr>
        <w:t>Why first: NOC teams respond 5× faster to phone messages than email. Maximises the value of every other alert built in later phases.</w:t>
      </w:r>
    </w:p>
    <w:p>
      <w:pPr>
        <w:pStyle w:val="ListBullet"/>
        <w:spacing w:before="20" w:after="20"/>
        <w:ind w:left="432"/>
      </w:pPr>
      <w:r>
        <w:rPr>
          <w:rFonts w:ascii="Calibri" w:hAnsi="Calibri"/>
          <w:b w:val="0"/>
          <w:i w:val="0"/>
          <w:color w:val="212121"/>
          <w:sz w:val="20"/>
        </w:rPr>
        <w:t>Dependency: None — works with current system immediately.</w:t>
      </w:r>
    </w:p>
    <w:p>
      <w:pPr>
        <w:pStyle w:val="Heading3"/>
        <w:spacing w:before="160" w:after="40"/>
      </w:pPr>
      <w:r>
        <w:rPr>
          <w:rFonts w:ascii="Calibri" w:hAnsi="Calibri"/>
          <w:b/>
          <w:i w:val="0"/>
          <w:color w:val="1A237E"/>
          <w:sz w:val="22"/>
        </w:rPr>
        <w:t>1B. CDR Export with Full Enrichment  [Vol I, #14]</w:t>
      </w:r>
    </w:p>
    <w:p>
      <w:pPr>
        <w:spacing w:before="20" w:after="60"/>
      </w:pPr>
      <w:r>
        <w:rPr>
          <w:rFonts w:ascii="Calibri" w:hAnsi="Calibri"/>
          <w:b w:val="0"/>
          <w:i w:val="0"/>
          <w:color w:val="212121"/>
          <w:sz w:val="20"/>
        </w:rPr>
        <w:t>Add one-click CSV/Excel export from the CDR Viewer page with Country, Breakout, Carrier, and KAM name pre-populated in every row.</w:t>
      </w:r>
    </w:p>
    <w:p>
      <w:pPr>
        <w:pStyle w:val="ListBullet"/>
        <w:spacing w:before="20" w:after="20"/>
        <w:ind w:left="432"/>
      </w:pPr>
      <w:r>
        <w:rPr>
          <w:rFonts w:ascii="Calibri" w:hAnsi="Calibri"/>
          <w:b w:val="0"/>
          <w:i w:val="0"/>
          <w:color w:val="212121"/>
          <w:sz w:val="20"/>
        </w:rPr>
        <w:t>Effort: LOW — 2–3 days. Backend aggregation and streaming CSV response.</w:t>
      </w:r>
    </w:p>
    <w:p>
      <w:pPr>
        <w:pStyle w:val="ListBullet"/>
        <w:spacing w:before="20" w:after="20"/>
        <w:ind w:left="432"/>
      </w:pPr>
      <w:r>
        <w:rPr>
          <w:rFonts w:ascii="Calibri" w:hAnsi="Calibri"/>
          <w:b w:val="0"/>
          <w:i w:val="0"/>
          <w:color w:val="212121"/>
          <w:sz w:val="20"/>
        </w:rPr>
        <w:t>Why early: Finance and KAM teams need this immediately for reconciliation and client queries.</w:t>
      </w:r>
    </w:p>
    <w:p>
      <w:pPr>
        <w:pStyle w:val="ListBullet"/>
        <w:spacing w:before="20" w:after="20"/>
        <w:ind w:left="432"/>
      </w:pPr>
      <w:r>
        <w:rPr>
          <w:rFonts w:ascii="Calibri" w:hAnsi="Calibri"/>
          <w:b w:val="0"/>
          <w:i w:val="0"/>
          <w:color w:val="212121"/>
          <w:sz w:val="20"/>
        </w:rPr>
        <w:t>Dependency: None — uses existing CDR cache and dial-code lookup.</w:t>
      </w:r>
    </w:p>
    <w:p>
      <w:pPr>
        <w:pStyle w:val="Heading3"/>
        <w:spacing w:before="160" w:after="40"/>
      </w:pPr>
      <w:r>
        <w:rPr>
          <w:rFonts w:ascii="Calibri" w:hAnsi="Calibri"/>
          <w:b/>
          <w:i w:val="0"/>
          <w:color w:val="1A237E"/>
          <w:sz w:val="22"/>
        </w:rPr>
        <w:t>1C. Audit Log Viewer  [Vol I, #18]</w:t>
      </w:r>
    </w:p>
    <w:p>
      <w:pPr>
        <w:spacing w:before="20" w:after="60"/>
      </w:pPr>
      <w:r>
        <w:rPr>
          <w:rFonts w:ascii="Calibri" w:hAnsi="Calibri"/>
          <w:b w:val="0"/>
          <w:i w:val="0"/>
          <w:color w:val="212121"/>
          <w:sz w:val="20"/>
        </w:rPr>
        <w:t>Searchable log of every administrative action: logins, config changes, call disconnections, alert rule edits, and recipient changes.</w:t>
      </w:r>
    </w:p>
    <w:p>
      <w:pPr>
        <w:pStyle w:val="ListBullet"/>
        <w:spacing w:before="20" w:after="20"/>
        <w:ind w:left="432"/>
      </w:pPr>
      <w:r>
        <w:rPr>
          <w:rFonts w:ascii="Calibri" w:hAnsi="Calibri"/>
          <w:b w:val="0"/>
          <w:i w:val="0"/>
          <w:color w:val="212121"/>
          <w:sz w:val="20"/>
        </w:rPr>
        <w:t>Effort: LOW — 3–4 days. Interceptor middleware on all write routes + new DB table.</w:t>
      </w:r>
    </w:p>
    <w:p>
      <w:pPr>
        <w:pStyle w:val="ListBullet"/>
        <w:spacing w:before="20" w:after="20"/>
        <w:ind w:left="432"/>
      </w:pPr>
      <w:r>
        <w:rPr>
          <w:rFonts w:ascii="Calibri" w:hAnsi="Calibri"/>
          <w:b w:val="0"/>
          <w:i w:val="0"/>
          <w:color w:val="212121"/>
          <w:sz w:val="20"/>
        </w:rPr>
        <w:t>Why early: Required for multi-user accountability. Needed before more write features are added.</w:t>
      </w:r>
    </w:p>
    <w:p>
      <w:pPr>
        <w:pStyle w:val="ListBullet"/>
        <w:spacing w:before="20" w:after="20"/>
        <w:ind w:left="432"/>
      </w:pPr>
      <w:r>
        <w:rPr>
          <w:rFonts w:ascii="Calibri" w:hAnsi="Calibri"/>
          <w:b w:val="0"/>
          <w:i w:val="0"/>
          <w:color w:val="212121"/>
          <w:sz w:val="20"/>
        </w:rPr>
        <w:t>Dependency: None.</w:t>
      </w:r>
    </w:p>
    <w:p>
      <w:pPr>
        <w:pStyle w:val="Heading3"/>
        <w:spacing w:before="160" w:after="40"/>
      </w:pPr>
      <w:r>
        <w:rPr>
          <w:rFonts w:ascii="Calibri" w:hAnsi="Calibri"/>
          <w:b/>
          <w:i w:val="0"/>
          <w:color w:val="1A237E"/>
          <w:sz w:val="22"/>
        </w:rPr>
        <w:t>1D. Concurrent Call Limit Enforcer  [Vol II, #11]</w:t>
      </w:r>
    </w:p>
    <w:p>
      <w:pPr>
        <w:spacing w:before="20" w:after="60"/>
      </w:pPr>
      <w:r>
        <w:rPr>
          <w:rFonts w:ascii="Calibri" w:hAnsi="Calibri"/>
          <w:b w:val="0"/>
          <w:i w:val="0"/>
          <w:color w:val="212121"/>
          <w:sz w:val="20"/>
        </w:rPr>
        <w:t>Poll live calls per account every 10 seconds and alert (or auto-disconnect) when any account exceeds its configured concurrent call limit by more than 20%.</w:t>
      </w:r>
    </w:p>
    <w:p>
      <w:pPr>
        <w:pStyle w:val="ListBullet"/>
        <w:spacing w:before="20" w:after="20"/>
        <w:ind w:left="432"/>
      </w:pPr>
      <w:r>
        <w:rPr>
          <w:rFonts w:ascii="Calibri" w:hAnsi="Calibri"/>
          <w:b w:val="0"/>
          <w:i w:val="0"/>
          <w:color w:val="212121"/>
          <w:sz w:val="20"/>
        </w:rPr>
        <w:t>Effort: LOW-MEDIUM — 4–5 days. Extends the existing live-call polling loop.</w:t>
      </w:r>
    </w:p>
    <w:p>
      <w:pPr>
        <w:pStyle w:val="ListBullet"/>
        <w:spacing w:before="20" w:after="20"/>
        <w:ind w:left="432"/>
      </w:pPr>
      <w:r>
        <w:rPr>
          <w:rFonts w:ascii="Calibri" w:hAnsi="Calibri"/>
          <w:b w:val="0"/>
          <w:i w:val="0"/>
          <w:color w:val="212121"/>
          <w:sz w:val="20"/>
        </w:rPr>
        <w:t>Why early: A single compromised account can saturate the switch in minutes. This is the fastest fraud containment control available.</w:t>
      </w:r>
    </w:p>
    <w:p>
      <w:pPr>
        <w:pStyle w:val="ListBullet"/>
        <w:spacing w:before="20" w:after="20"/>
        <w:ind w:left="432"/>
      </w:pPr>
      <w:r>
        <w:rPr>
          <w:rFonts w:ascii="Calibri" w:hAnsi="Calibri"/>
          <w:b w:val="0"/>
          <w:i w:val="0"/>
          <w:color w:val="212121"/>
          <w:sz w:val="20"/>
        </w:rPr>
        <w:t>Dependency: None — live call data already available.</w:t>
      </w:r>
    </w:p>
    <w:p>
      <w:pPr>
        <w:pStyle w:val="Heading3"/>
        <w:spacing w:before="160" w:after="40"/>
      </w:pPr>
      <w:r>
        <w:rPr>
          <w:rFonts w:ascii="Calibri" w:hAnsi="Calibri"/>
          <w:b/>
          <w:i w:val="0"/>
          <w:color w:val="1A237E"/>
          <w:sz w:val="22"/>
        </w:rPr>
        <w:t>1E. SIP Brute-Force Login Monitor  [Vol II, #10]</w:t>
      </w:r>
    </w:p>
    <w:p>
      <w:pPr>
        <w:spacing w:before="20" w:after="60"/>
      </w:pPr>
      <w:r>
        <w:rPr>
          <w:rFonts w:ascii="Calibri" w:hAnsi="Calibri"/>
          <w:b w:val="0"/>
          <w:i w:val="0"/>
          <w:color w:val="212121"/>
          <w:sz w:val="20"/>
        </w:rPr>
        <w:t>Track 401 Unauthorized SIP responses per source IP. Alert and auto-block when a single IP generates &gt;50 failed registrations within 5 minutes.</w:t>
      </w:r>
    </w:p>
    <w:p>
      <w:pPr>
        <w:pStyle w:val="ListBullet"/>
        <w:spacing w:before="20" w:after="20"/>
        <w:ind w:left="432"/>
      </w:pPr>
      <w:r>
        <w:rPr>
          <w:rFonts w:ascii="Calibri" w:hAnsi="Calibri"/>
          <w:b w:val="0"/>
          <w:i w:val="0"/>
          <w:color w:val="212121"/>
          <w:sz w:val="20"/>
        </w:rPr>
        <w:t>Effort: MEDIUM — 5–7 days. Requires parsing Sippy auth failure logs or CDR error codes.</w:t>
      </w:r>
    </w:p>
    <w:p>
      <w:pPr>
        <w:pStyle w:val="ListBullet"/>
        <w:spacing w:before="20" w:after="20"/>
        <w:ind w:left="432"/>
      </w:pPr>
      <w:r>
        <w:rPr>
          <w:rFonts w:ascii="Calibri" w:hAnsi="Calibri"/>
          <w:b w:val="0"/>
          <w:i w:val="0"/>
          <w:color w:val="212121"/>
          <w:sz w:val="20"/>
        </w:rPr>
        <w:t>Why early: Credential-stuffing attacks are the primary source of toll fraud. Must be automated.</w:t>
      </w:r>
    </w:p>
    <w:p>
      <w:pPr>
        <w:pStyle w:val="ListBullet"/>
        <w:spacing w:before="20" w:after="20"/>
        <w:ind w:left="432"/>
      </w:pPr>
      <w:r>
        <w:rPr>
          <w:rFonts w:ascii="Calibri" w:hAnsi="Calibri"/>
          <w:b w:val="0"/>
          <w:i w:val="0"/>
          <w:color w:val="212121"/>
          <w:sz w:val="20"/>
        </w:rPr>
        <w:t>Dependency: None.</w:t>
      </w:r>
    </w:p>
    <w:p>
      <w:pPr>
        <w:pStyle w:val="Heading3"/>
        <w:spacing w:before="160" w:after="40"/>
      </w:pPr>
      <w:r>
        <w:rPr>
          <w:rFonts w:ascii="Calibri" w:hAnsi="Calibri"/>
          <w:b/>
          <w:i w:val="0"/>
          <w:color w:val="1A237E"/>
          <w:sz w:val="22"/>
        </w:rPr>
        <w:t>1F. IRSF Detection Engine  [Vol I, #1]</w:t>
      </w:r>
    </w:p>
    <w:p>
      <w:pPr>
        <w:spacing w:before="20" w:after="60"/>
      </w:pPr>
      <w:r>
        <w:rPr>
          <w:rFonts w:ascii="Calibri" w:hAnsi="Calibri"/>
          <w:b w:val="0"/>
          <w:i w:val="0"/>
          <w:color w:val="212121"/>
          <w:sz w:val="20"/>
        </w:rPr>
        <w:t>Flag CDRs terminating to ~3,000 known International Revenue Share Fraud prefixes. Alert when an account sends &gt;N calls to the same high-risk prefix within 15 minutes.</w:t>
      </w:r>
    </w:p>
    <w:p>
      <w:pPr>
        <w:pStyle w:val="ListBullet"/>
        <w:spacing w:before="20" w:after="20"/>
        <w:ind w:left="432"/>
      </w:pPr>
      <w:r>
        <w:rPr>
          <w:rFonts w:ascii="Calibri" w:hAnsi="Calibri"/>
          <w:b w:val="0"/>
          <w:i w:val="0"/>
          <w:color w:val="212121"/>
          <w:sz w:val="20"/>
        </w:rPr>
        <w:t>Effort: MEDIUM — 5–7 days. Builds directly on the existing FAS detection engine.</w:t>
      </w:r>
    </w:p>
    <w:p>
      <w:pPr>
        <w:pStyle w:val="ListBullet"/>
        <w:spacing w:before="20" w:after="20"/>
        <w:ind w:left="432"/>
      </w:pPr>
      <w:r>
        <w:rPr>
          <w:rFonts w:ascii="Calibri" w:hAnsi="Calibri"/>
          <w:b w:val="0"/>
          <w:i w:val="0"/>
          <w:color w:val="212121"/>
          <w:sz w:val="20"/>
        </w:rPr>
        <w:t>Why early: IRSF events can generate thousands of dollars in losses per hour. Time to detect is critical.</w:t>
      </w:r>
    </w:p>
    <w:p>
      <w:pPr>
        <w:pStyle w:val="ListBullet"/>
        <w:spacing w:before="20" w:after="20"/>
        <w:ind w:left="432"/>
      </w:pPr>
      <w:r>
        <w:rPr>
          <w:rFonts w:ascii="Calibri" w:hAnsi="Calibri"/>
          <w:b w:val="0"/>
          <w:i w:val="0"/>
          <w:color w:val="212121"/>
          <w:sz w:val="20"/>
        </w:rPr>
        <w:t>Dependency: Existing FAS engine (already in production).</w:t>
      </w:r>
    </w:p>
    <w:p>
      <w:pPr>
        <w:pStyle w:val="Heading3"/>
        <w:spacing w:before="160" w:after="40"/>
      </w:pPr>
      <w:r>
        <w:rPr>
          <w:rFonts w:ascii="Calibri" w:hAnsi="Calibri"/>
          <w:b/>
          <w:i w:val="0"/>
          <w:color w:val="1A237E"/>
          <w:sz w:val="22"/>
        </w:rPr>
        <w:t>1G. Auto-Blacklist System  [Vol I, #2]</w:t>
      </w:r>
    </w:p>
    <w:p>
      <w:pPr>
        <w:spacing w:before="20" w:after="60"/>
      </w:pPr>
      <w:r>
        <w:rPr>
          <w:rFonts w:ascii="Calibri" w:hAnsi="Calibri"/>
          <w:b w:val="0"/>
          <w:i w:val="0"/>
          <w:color w:val="212121"/>
          <w:sz w:val="20"/>
        </w:rPr>
        <w:t>Rule engine that automatically blocks calling numbers or destination prefixes via Sippy XML-RPC when behaviour triggers are matched.</w:t>
      </w:r>
    </w:p>
    <w:p>
      <w:pPr>
        <w:pStyle w:val="ListBullet"/>
        <w:spacing w:before="20" w:after="20"/>
        <w:ind w:left="432"/>
      </w:pPr>
      <w:r>
        <w:rPr>
          <w:rFonts w:ascii="Calibri" w:hAnsi="Calibri"/>
          <w:b w:val="0"/>
          <w:i w:val="0"/>
          <w:color w:val="212121"/>
          <w:sz w:val="20"/>
        </w:rPr>
        <w:t>Effort: MEDIUM — 5–7 days. Uses XML-RPC account access rules already understood from FAS work.</w:t>
      </w:r>
    </w:p>
    <w:p>
      <w:pPr>
        <w:pStyle w:val="ListBullet"/>
        <w:spacing w:before="20" w:after="20"/>
        <w:ind w:left="432"/>
      </w:pPr>
      <w:r>
        <w:rPr>
          <w:rFonts w:ascii="Calibri" w:hAnsi="Calibri"/>
          <w:b w:val="0"/>
          <w:i w:val="0"/>
          <w:color w:val="212121"/>
          <w:sz w:val="20"/>
        </w:rPr>
        <w:t>Why early: Completes the IRSF loop — detection alone has no value without automated response.</w:t>
      </w:r>
    </w:p>
    <w:p>
      <w:pPr>
        <w:pStyle w:val="ListBullet"/>
        <w:spacing w:before="20" w:after="20"/>
        <w:ind w:left="432"/>
      </w:pPr>
      <w:r>
        <w:rPr>
          <w:rFonts w:ascii="Calibri" w:hAnsi="Calibri"/>
          <w:b w:val="0"/>
          <w:i w:val="0"/>
          <w:color w:val="212121"/>
          <w:sz w:val="20"/>
        </w:rPr>
        <w:t>Dependency: Feature 1F (IRSF Detection) should be deployed first or in parallel.</w:t>
      </w:r>
    </w:p>
    <w:p>
      <w:pPr>
        <w:pStyle w:val="Heading3"/>
        <w:spacing w:before="160" w:after="40"/>
      </w:pPr>
      <w:r>
        <w:rPr>
          <w:rFonts w:ascii="Calibri" w:hAnsi="Calibri"/>
          <w:b/>
          <w:i w:val="0"/>
          <w:color w:val="1A237E"/>
          <w:sz w:val="22"/>
        </w:rPr>
        <w:t>1H. Fraud Velocity Scoring  [Vol II, #12]</w:t>
      </w:r>
    </w:p>
    <w:p>
      <w:pPr>
        <w:spacing w:before="20" w:after="60"/>
      </w:pPr>
      <w:r>
        <w:rPr>
          <w:rFonts w:ascii="Calibri" w:hAnsi="Calibri"/>
          <w:b w:val="0"/>
          <w:i w:val="0"/>
          <w:color w:val="212121"/>
          <w:sz w:val="20"/>
        </w:rPr>
        <w:t>Real-time composite fraud score (0–100) per account combining: destination risk, call velocity, CLI diversity, time-of-day anomaly, and short-duration call ratio.</w:t>
      </w:r>
    </w:p>
    <w:p>
      <w:pPr>
        <w:pStyle w:val="ListBullet"/>
        <w:spacing w:before="20" w:after="20"/>
        <w:ind w:left="432"/>
      </w:pPr>
      <w:r>
        <w:rPr>
          <w:rFonts w:ascii="Calibri" w:hAnsi="Calibri"/>
          <w:b w:val="0"/>
          <w:i w:val="0"/>
          <w:color w:val="212121"/>
          <w:sz w:val="20"/>
        </w:rPr>
        <w:t>Effort: MEDIUM — 6–8 days. Sophisticated but self-contained; uses existing live call + CDR data.</w:t>
      </w:r>
    </w:p>
    <w:p>
      <w:pPr>
        <w:pStyle w:val="ListBullet"/>
        <w:spacing w:before="20" w:after="20"/>
        <w:ind w:left="432"/>
      </w:pPr>
      <w:r>
        <w:rPr>
          <w:rFonts w:ascii="Calibri" w:hAnsi="Calibri"/>
          <w:b w:val="0"/>
          <w:i w:val="0"/>
          <w:color w:val="212121"/>
          <w:sz w:val="20"/>
        </w:rPr>
        <w:t>Why early: Catches multi-signal fraud that evades the single-trigger detectors above.</w:t>
      </w:r>
    </w:p>
    <w:p>
      <w:pPr>
        <w:pStyle w:val="ListBullet"/>
        <w:spacing w:before="20" w:after="20"/>
        <w:ind w:left="432"/>
      </w:pPr>
      <w:r>
        <w:rPr>
          <w:rFonts w:ascii="Calibri" w:hAnsi="Calibri"/>
          <w:b w:val="0"/>
          <w:i w:val="0"/>
          <w:color w:val="212121"/>
          <w:sz w:val="20"/>
        </w:rPr>
        <w:t>Dependency: Benefits from 1F and 1G being live but can run independently.</w:t>
      </w:r>
    </w:p>
    <w:p>
      <w:pPr>
        <w:pStyle w:val="Heading3"/>
        <w:spacing w:before="160" w:after="40"/>
      </w:pPr>
      <w:r>
        <w:rPr>
          <w:rFonts w:ascii="Calibri" w:hAnsi="Calibri"/>
          <w:b/>
          <w:i w:val="0"/>
          <w:color w:val="1A237E"/>
          <w:sz w:val="22"/>
        </w:rPr>
        <w:t>1I. SIP OPTIONS Keepalive Monitor  [Vol I, #5]</w:t>
      </w:r>
    </w:p>
    <w:p>
      <w:pPr>
        <w:spacing w:before="20" w:after="60"/>
      </w:pPr>
      <w:r>
        <w:rPr>
          <w:rFonts w:ascii="Calibri" w:hAnsi="Calibri"/>
          <w:b w:val="0"/>
          <w:i w:val="0"/>
          <w:color w:val="212121"/>
          <w:sz w:val="20"/>
        </w:rPr>
        <w:t>Send SIP OPTIONS probes to configured trunk endpoints every 30 seconds. Alert when a trunk goes silent for &gt;2 consecutive pings.</w:t>
      </w:r>
    </w:p>
    <w:p>
      <w:pPr>
        <w:pStyle w:val="ListBullet"/>
        <w:spacing w:before="20" w:after="20"/>
        <w:ind w:left="432"/>
      </w:pPr>
      <w:r>
        <w:rPr>
          <w:rFonts w:ascii="Calibri" w:hAnsi="Calibri"/>
          <w:b w:val="0"/>
          <w:i w:val="0"/>
          <w:color w:val="212121"/>
          <w:sz w:val="20"/>
        </w:rPr>
        <w:t>Effort: LOW — 3–4 days. Independent probe loop similar to the existing TCP latency prober.</w:t>
      </w:r>
    </w:p>
    <w:p>
      <w:pPr>
        <w:pStyle w:val="ListBullet"/>
        <w:spacing w:before="20" w:after="20"/>
        <w:ind w:left="432"/>
      </w:pPr>
      <w:r>
        <w:rPr>
          <w:rFonts w:ascii="Calibri" w:hAnsi="Calibri"/>
          <w:b w:val="0"/>
          <w:i w:val="0"/>
          <w:color w:val="212121"/>
          <w:sz w:val="20"/>
        </w:rPr>
        <w:t>Why early: Silent trunk failures cause call drops with no alert — this closes a critical monitoring gap.</w:t>
      </w:r>
    </w:p>
    <w:p>
      <w:pPr>
        <w:pStyle w:val="ListBullet"/>
        <w:spacing w:before="20" w:after="20"/>
        <w:ind w:left="432"/>
      </w:pPr>
      <w:r>
        <w:rPr>
          <w:rFonts w:ascii="Calibri" w:hAnsi="Calibri"/>
          <w:b w:val="0"/>
          <w:i w:val="0"/>
          <w:color w:val="212121"/>
          <w:sz w:val="20"/>
        </w:rPr>
        <w:t>Dependency: None.</w:t>
      </w:r>
    </w:p>
    <w:p>
      <w:pPr>
        <w:pStyle w:val="Heading3"/>
        <w:spacing w:before="160" w:after="40"/>
      </w:pPr>
      <w:r>
        <w:rPr>
          <w:rFonts w:ascii="Calibri" w:hAnsi="Calibri"/>
          <w:b/>
          <w:i w:val="0"/>
          <w:color w:val="1A237E"/>
          <w:sz w:val="22"/>
        </w:rPr>
        <w:t>1J. SIP Registration Database &amp; Viewer  [Vol II, #21]</w:t>
      </w:r>
    </w:p>
    <w:p>
      <w:pPr>
        <w:spacing w:before="20" w:after="60"/>
      </w:pPr>
      <w:r>
        <w:rPr>
          <w:rFonts w:ascii="Calibri" w:hAnsi="Calibri"/>
          <w:b w:val="0"/>
          <w:i w:val="0"/>
          <w:color w:val="212121"/>
          <w:sz w:val="20"/>
        </w:rPr>
        <w:t>Searchable real-time list of all currently registered SIP endpoints: username, IP, user-agent, expiry. One-click force de-registration via Sippy XML-RPC.</w:t>
      </w:r>
    </w:p>
    <w:p>
      <w:pPr>
        <w:pStyle w:val="ListBullet"/>
        <w:spacing w:before="20" w:after="20"/>
        <w:ind w:left="432"/>
      </w:pPr>
      <w:r>
        <w:rPr>
          <w:rFonts w:ascii="Calibri" w:hAnsi="Calibri"/>
          <w:b w:val="0"/>
          <w:i w:val="0"/>
          <w:color w:val="212121"/>
          <w:sz w:val="20"/>
        </w:rPr>
        <w:t>Effort: LOW-MEDIUM — 3–5 days. Calls the existing Sippy listRegistrations XML-RPC method.</w:t>
      </w:r>
    </w:p>
    <w:p>
      <w:pPr>
        <w:pStyle w:val="ListBullet"/>
        <w:spacing w:before="20" w:after="20"/>
        <w:ind w:left="432"/>
      </w:pPr>
      <w:r>
        <w:rPr>
          <w:rFonts w:ascii="Calibri" w:hAnsi="Calibri"/>
          <w:b w:val="0"/>
          <w:i w:val="0"/>
          <w:color w:val="212121"/>
          <w:sz w:val="20"/>
        </w:rPr>
        <w:t>Why early: Gives NOC engineers immediate visibility into who is registered — essential for fraud investigation.</w:t>
      </w:r>
    </w:p>
    <w:p>
      <w:pPr>
        <w:pStyle w:val="ListBullet"/>
        <w:spacing w:before="20" w:after="20"/>
        <w:ind w:left="432"/>
      </w:pPr>
      <w:r>
        <w:rPr>
          <w:rFonts w:ascii="Calibri" w:hAnsi="Calibri"/>
          <w:b w:val="0"/>
          <w:i w:val="0"/>
          <w:color w:val="212121"/>
          <w:sz w:val="20"/>
        </w:rPr>
        <w:t>Dependency: None.</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454"/>
            <w:shd w:val="clear" w:color="auto" w:fill="1A237E"/>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w:t>
            </w:r>
          </w:p>
        </w:tc>
        <w:tc>
          <w:tcPr>
            <w:tcW w:type="dxa" w:w="3402"/>
            <w:shd w:val="clear" w:color="auto" w:fill="1A237E"/>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Feature</w:t>
            </w:r>
          </w:p>
        </w:tc>
        <w:tc>
          <w:tcPr>
            <w:tcW w:type="dxa" w:w="567"/>
            <w:shd w:val="clear" w:color="auto" w:fill="1A237E"/>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Vol</w:t>
            </w:r>
          </w:p>
        </w:tc>
        <w:tc>
          <w:tcPr>
            <w:tcW w:type="dxa" w:w="1134"/>
            <w:shd w:val="clear" w:color="auto" w:fill="1A237E"/>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Effort</w:t>
            </w:r>
          </w:p>
        </w:tc>
        <w:tc>
          <w:tcPr>
            <w:tcW w:type="dxa" w:w="850"/>
            <w:shd w:val="clear" w:color="auto" w:fill="1A237E"/>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Days</w:t>
            </w:r>
          </w:p>
        </w:tc>
        <w:tc>
          <w:tcPr>
            <w:tcW w:type="dxa" w:w="3515"/>
            <w:shd w:val="clear" w:color="auto" w:fill="1A237E"/>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Runs In Parallel With</w:t>
            </w:r>
          </w:p>
        </w:tc>
      </w:tr>
      <w:tr>
        <w:tc>
          <w:tcPr>
            <w:tcW w:type="dxa" w:w="45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1A</w:t>
            </w:r>
          </w:p>
        </w:tc>
        <w:tc>
          <w:tcPr>
            <w:tcW w:type="dxa" w:w="3402"/>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WhatsApp / Telegram Alerts</w:t>
            </w:r>
          </w:p>
        </w:tc>
        <w:tc>
          <w:tcPr>
            <w:tcW w:type="dxa" w:w="567"/>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Low</w:t>
            </w:r>
          </w:p>
        </w:tc>
        <w:tc>
          <w:tcPr>
            <w:tcW w:type="dxa" w:w="850"/>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3–5</w:t>
            </w:r>
          </w:p>
        </w:tc>
        <w:tc>
          <w:tcPr>
            <w:tcW w:type="dxa" w:w="3515"/>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1B, 1C</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1B</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CDR Export with Enrichment</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Low</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2–3</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1A, 1C</w:t>
            </w:r>
          </w:p>
        </w:tc>
      </w:tr>
      <w:tr>
        <w:tc>
          <w:tcPr>
            <w:tcW w:type="dxa" w:w="45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1C</w:t>
            </w:r>
          </w:p>
        </w:tc>
        <w:tc>
          <w:tcPr>
            <w:tcW w:type="dxa" w:w="3402"/>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Audit Log Viewer</w:t>
            </w:r>
          </w:p>
        </w:tc>
        <w:tc>
          <w:tcPr>
            <w:tcW w:type="dxa" w:w="567"/>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Low</w:t>
            </w:r>
          </w:p>
        </w:tc>
        <w:tc>
          <w:tcPr>
            <w:tcW w:type="dxa" w:w="850"/>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3–4</w:t>
            </w:r>
          </w:p>
        </w:tc>
        <w:tc>
          <w:tcPr>
            <w:tcW w:type="dxa" w:w="3515"/>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1A, 1B</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1D</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Concurrent Call Limit Enforcer</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Low-Med</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4–5</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1E, 1F</w:t>
            </w:r>
          </w:p>
        </w:tc>
      </w:tr>
      <w:tr>
        <w:tc>
          <w:tcPr>
            <w:tcW w:type="dxa" w:w="45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1E</w:t>
            </w:r>
          </w:p>
        </w:tc>
        <w:tc>
          <w:tcPr>
            <w:tcW w:type="dxa" w:w="3402"/>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SIP Brute-Force Monitor</w:t>
            </w:r>
          </w:p>
        </w:tc>
        <w:tc>
          <w:tcPr>
            <w:tcW w:type="dxa" w:w="567"/>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5–7</w:t>
            </w:r>
          </w:p>
        </w:tc>
        <w:tc>
          <w:tcPr>
            <w:tcW w:type="dxa" w:w="3515"/>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1D, 1F</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1F</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IRSF Detection Engine</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5–7</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1D, 1E</w:t>
            </w:r>
          </w:p>
        </w:tc>
      </w:tr>
      <w:tr>
        <w:tc>
          <w:tcPr>
            <w:tcW w:type="dxa" w:w="45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1G</w:t>
            </w:r>
          </w:p>
        </w:tc>
        <w:tc>
          <w:tcPr>
            <w:tcW w:type="dxa" w:w="3402"/>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Auto-Blacklist System</w:t>
            </w:r>
          </w:p>
        </w:tc>
        <w:tc>
          <w:tcPr>
            <w:tcW w:type="dxa" w:w="567"/>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5–7</w:t>
            </w:r>
          </w:p>
        </w:tc>
        <w:tc>
          <w:tcPr>
            <w:tcW w:type="dxa" w:w="3515"/>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After 1F recommended</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1H</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Fraud Velocity Scoring</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6–8</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1D, 1E, 1F</w:t>
            </w:r>
          </w:p>
        </w:tc>
      </w:tr>
      <w:tr>
        <w:tc>
          <w:tcPr>
            <w:tcW w:type="dxa" w:w="45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1I</w:t>
            </w:r>
          </w:p>
        </w:tc>
        <w:tc>
          <w:tcPr>
            <w:tcW w:type="dxa" w:w="3402"/>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SIP OPTIONS Keepalive Monitor</w:t>
            </w:r>
          </w:p>
        </w:tc>
        <w:tc>
          <w:tcPr>
            <w:tcW w:type="dxa" w:w="567"/>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Low</w:t>
            </w:r>
          </w:p>
        </w:tc>
        <w:tc>
          <w:tcPr>
            <w:tcW w:type="dxa" w:w="850"/>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3–4</w:t>
            </w:r>
          </w:p>
        </w:tc>
        <w:tc>
          <w:tcPr>
            <w:tcW w:type="dxa" w:w="3515"/>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Any</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1J</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SIP Registration Database</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Low-Med</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3–5</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Any</w:t>
            </w:r>
          </w:p>
        </w:tc>
      </w:tr>
    </w:tbl>
    <w:p/>
    <w:p>
      <w:pPr>
        <w:pStyle w:val="Heading2"/>
        <w:spacing w:before="280" w:after="120"/>
        <w:shd w:val="clear" w:color="auto" w:fill="006064"/>
      </w:pPr>
      <w:r>
        <w:rPr>
          <w:rFonts w:ascii="Calibri" w:hAnsi="Calibri"/>
          <w:b/>
          <w:i w:val="0"/>
          <w:color w:val="FFFFFF"/>
          <w:sz w:val="28"/>
        </w:rPr>
        <w:t>PHASE 2 — Strengthen the Core  |  Weeks 5–10</w:t>
      </w:r>
    </w:p>
    <w:p>
      <w:pPr>
        <w:shd w:val="clear" w:color="auto" w:fill="E0F7FA"/>
        <w:spacing w:before="80" w:after="120"/>
      </w:pPr>
      <w:r>
        <w:rPr>
          <w:rFonts w:ascii="Calibri" w:hAnsi="Calibri"/>
          <w:b w:val="0"/>
          <w:i/>
          <w:color w:val="006064"/>
          <w:sz w:val="20"/>
        </w:rPr>
        <w:t xml:space="preserve">  Goal: Add deep quality monitoring, lay the financial data foundation, and close remaining operational gaps. Phase 2 features generate the data that Phase 3 analytics will consume. Carrier Rate Card Management is the most critical prerequisite — it unlocks billing and margin features.  </w:t>
      </w:r>
    </w:p>
    <w:p>
      <w:pPr>
        <w:pStyle w:val="Heading3"/>
        <w:spacing w:before="160" w:after="40"/>
      </w:pPr>
      <w:r>
        <w:rPr>
          <w:rFonts w:ascii="Calibri" w:hAnsi="Calibri"/>
          <w:b/>
          <w:i w:val="0"/>
          <w:color w:val="006064"/>
          <w:sz w:val="22"/>
        </w:rPr>
        <w:t>2A. Carrier Rate Card Management  [Vol I, #6]  ★ KEY PREREQUISITE</w:t>
      </w:r>
    </w:p>
    <w:p>
      <w:pPr>
        <w:spacing w:before="20" w:after="60"/>
      </w:pPr>
      <w:r>
        <w:rPr>
          <w:rFonts w:ascii="Calibri" w:hAnsi="Calibri"/>
          <w:b w:val="0"/>
          <w:i w:val="0"/>
          <w:color w:val="212121"/>
          <w:sz w:val="20"/>
        </w:rPr>
        <w:t>Upload and manage buy-rate CSV sheets per vendor. System auto-matches CDR destination prefixes to the rate card and stores per-CDR cost. Feeds Revenue Analytics, LCR Analyser, and Billing.</w:t>
      </w:r>
    </w:p>
    <w:p>
      <w:pPr>
        <w:pStyle w:val="ListBullet"/>
        <w:spacing w:before="20" w:after="20"/>
        <w:ind w:left="432"/>
      </w:pPr>
      <w:r>
        <w:rPr>
          <w:rFonts w:ascii="Calibri" w:hAnsi="Calibri"/>
          <w:b w:val="0"/>
          <w:i w:val="0"/>
          <w:color w:val="212121"/>
          <w:sz w:val="20"/>
        </w:rPr>
        <w:t>Effort: MEDIUM — 6–8 days.</w:t>
      </w:r>
    </w:p>
    <w:p>
      <w:pPr>
        <w:pStyle w:val="ListBullet"/>
        <w:spacing w:before="20" w:after="20"/>
        <w:ind w:left="432"/>
      </w:pPr>
      <w:r>
        <w:rPr>
          <w:rFonts w:ascii="Calibri" w:hAnsi="Calibri"/>
          <w:b w:val="0"/>
          <w:i w:val="0"/>
          <w:color w:val="212121"/>
          <w:sz w:val="20"/>
        </w:rPr>
        <w:t>Why now: This is the data foundation for Phase 3. Nothing in Phase 3 billing/margin analysis works without it.</w:t>
      </w:r>
    </w:p>
    <w:p>
      <w:pPr>
        <w:pStyle w:val="ListBullet"/>
        <w:spacing w:before="20" w:after="20"/>
        <w:ind w:left="432"/>
      </w:pPr>
      <w:r>
        <w:rPr>
          <w:rFonts w:ascii="Calibri" w:hAnsi="Calibri"/>
          <w:b w:val="0"/>
          <w:i w:val="0"/>
          <w:color w:val="212121"/>
          <w:sz w:val="20"/>
        </w:rPr>
        <w:t>Dependency: None — but must complete before Phase 3 begins.</w:t>
      </w:r>
    </w:p>
    <w:p>
      <w:pPr>
        <w:pStyle w:val="Heading3"/>
        <w:spacing w:before="160" w:after="40"/>
      </w:pPr>
      <w:r>
        <w:rPr>
          <w:rFonts w:ascii="Calibri" w:hAnsi="Calibri"/>
          <w:b/>
          <w:i w:val="0"/>
          <w:color w:val="006064"/>
          <w:sz w:val="22"/>
        </w:rPr>
        <w:t>2B. MOS Score Trending &amp; Quality Reports  [Vol I, #4]</w:t>
      </w:r>
    </w:p>
    <w:p>
      <w:pPr>
        <w:spacing w:before="20" w:after="60"/>
      </w:pPr>
      <w:r>
        <w:rPr>
          <w:rFonts w:ascii="Calibri" w:hAnsi="Calibri"/>
          <w:b w:val="0"/>
          <w:i w:val="0"/>
          <w:color w:val="212121"/>
          <w:sz w:val="20"/>
        </w:rPr>
        <w:t>Historical MOS trend chart (24h / 7d / 30d) per carrier and destination. Quality Events log, Carrier Quality League Table, and automated MOS degradation alerts.</w:t>
      </w:r>
    </w:p>
    <w:p>
      <w:pPr>
        <w:pStyle w:val="ListBullet"/>
        <w:spacing w:before="20" w:after="20"/>
        <w:ind w:left="432"/>
      </w:pPr>
      <w:r>
        <w:rPr>
          <w:rFonts w:ascii="Calibri" w:hAnsi="Calibri"/>
          <w:b w:val="0"/>
          <w:i w:val="0"/>
          <w:color w:val="212121"/>
          <w:sz w:val="20"/>
        </w:rPr>
        <w:t>Effort: MEDIUM — 5–7 days.</w:t>
      </w:r>
    </w:p>
    <w:p>
      <w:pPr>
        <w:pStyle w:val="ListBullet"/>
        <w:spacing w:before="20" w:after="20"/>
        <w:ind w:left="432"/>
      </w:pPr>
      <w:r>
        <w:rPr>
          <w:rFonts w:ascii="Calibri" w:hAnsi="Calibri"/>
          <w:b w:val="0"/>
          <w:i w:val="0"/>
          <w:color w:val="212121"/>
          <w:sz w:val="20"/>
        </w:rPr>
        <w:t>Why now: MOS data is already being captured per call. Trending it costs little; its operational value is immediate.</w:t>
      </w:r>
    </w:p>
    <w:p>
      <w:pPr>
        <w:pStyle w:val="Heading3"/>
        <w:spacing w:before="160" w:after="40"/>
      </w:pPr>
      <w:r>
        <w:rPr>
          <w:rFonts w:ascii="Calibri" w:hAnsi="Calibri"/>
          <w:b/>
          <w:i w:val="0"/>
          <w:color w:val="006064"/>
          <w:sz w:val="22"/>
        </w:rPr>
        <w:t>2C. Jitter &amp; Packet Loss Monitor  [Vol II, #1]</w:t>
      </w:r>
    </w:p>
    <w:p>
      <w:pPr>
        <w:spacing w:before="20" w:after="60"/>
      </w:pPr>
      <w:r>
        <w:rPr>
          <w:rFonts w:ascii="Calibri" w:hAnsi="Calibri"/>
          <w:b w:val="0"/>
          <w:i w:val="0"/>
          <w:color w:val="212121"/>
          <w:sz w:val="20"/>
        </w:rPr>
        <w:t>Track RTP stream jitter and packet loss per active call and per carrier. Historical trend chart per vendor and alert when carrier-level average jitter exceeds threshold.</w:t>
      </w:r>
    </w:p>
    <w:p>
      <w:pPr>
        <w:pStyle w:val="ListBullet"/>
        <w:spacing w:before="20" w:after="20"/>
        <w:ind w:left="432"/>
      </w:pPr>
      <w:r>
        <w:rPr>
          <w:rFonts w:ascii="Calibri" w:hAnsi="Calibri"/>
          <w:b w:val="0"/>
          <w:i w:val="0"/>
          <w:color w:val="212121"/>
          <w:sz w:val="20"/>
        </w:rPr>
        <w:t>Effort: MEDIUM — 5–7 days.</w:t>
      </w:r>
    </w:p>
    <w:p>
      <w:pPr>
        <w:pStyle w:val="ListBullet"/>
        <w:spacing w:before="20" w:after="20"/>
        <w:ind w:left="432"/>
      </w:pPr>
      <w:r>
        <w:rPr>
          <w:rFonts w:ascii="Calibri" w:hAnsi="Calibri"/>
          <w:b w:val="0"/>
          <w:i w:val="0"/>
          <w:color w:val="212121"/>
          <w:sz w:val="20"/>
        </w:rPr>
        <w:t>Why now: Complements MOS trending with lower-level network diagnostics. Build alongside 2B.</w:t>
      </w:r>
    </w:p>
    <w:p>
      <w:pPr>
        <w:pStyle w:val="Heading3"/>
        <w:spacing w:before="160" w:after="40"/>
      </w:pPr>
      <w:r>
        <w:rPr>
          <w:rFonts w:ascii="Calibri" w:hAnsi="Calibri"/>
          <w:b/>
          <w:i w:val="0"/>
          <w:color w:val="006064"/>
          <w:sz w:val="22"/>
        </w:rPr>
        <w:t>2D. Traffic Anomaly Detector  [Vol I, #7]</w:t>
      </w:r>
    </w:p>
    <w:p>
      <w:pPr>
        <w:spacing w:before="20" w:after="60"/>
      </w:pPr>
      <w:r>
        <w:rPr>
          <w:rFonts w:ascii="Calibri" w:hAnsi="Calibri"/>
          <w:b w:val="0"/>
          <w:i w:val="0"/>
          <w:color w:val="212121"/>
          <w:sz w:val="20"/>
        </w:rPr>
        <w:t>Statistical baseline (14-day rolling) for CPS and concurrent calls. Alert when current traffic is &gt;2 standard deviations above baseline. Baseline overlay on Graphs page.</w:t>
      </w:r>
    </w:p>
    <w:p>
      <w:pPr>
        <w:pStyle w:val="ListBullet"/>
        <w:spacing w:before="20" w:after="20"/>
        <w:ind w:left="432"/>
      </w:pPr>
      <w:r>
        <w:rPr>
          <w:rFonts w:ascii="Calibri" w:hAnsi="Calibri"/>
          <w:b w:val="0"/>
          <w:i w:val="0"/>
          <w:color w:val="212121"/>
          <w:sz w:val="20"/>
        </w:rPr>
        <w:t>Effort: MEDIUM — 6–7 days.</w:t>
      </w:r>
    </w:p>
    <w:p>
      <w:pPr>
        <w:pStyle w:val="ListBullet"/>
        <w:spacing w:before="20" w:after="20"/>
        <w:ind w:left="432"/>
      </w:pPr>
      <w:r>
        <w:rPr>
          <w:rFonts w:ascii="Calibri" w:hAnsi="Calibri"/>
          <w:b w:val="0"/>
          <w:i w:val="0"/>
          <w:color w:val="212121"/>
          <w:sz w:val="20"/>
        </w:rPr>
        <w:t>Why now: With fraud containment in place (Phase 1), the next layer is catching anomalies that don't yet match known fraud patterns.</w:t>
      </w:r>
    </w:p>
    <w:p>
      <w:pPr>
        <w:pStyle w:val="Heading3"/>
        <w:spacing w:before="160" w:after="40"/>
      </w:pPr>
      <w:r>
        <w:rPr>
          <w:rFonts w:ascii="Calibri" w:hAnsi="Calibri"/>
          <w:b/>
          <w:i w:val="0"/>
          <w:color w:val="006064"/>
          <w:sz w:val="22"/>
        </w:rPr>
        <w:t>2E. Switch Config Change Tracker  [Vol II, #22]</w:t>
      </w:r>
    </w:p>
    <w:p>
      <w:pPr>
        <w:spacing w:before="20" w:after="60"/>
      </w:pPr>
      <w:r>
        <w:rPr>
          <w:rFonts w:ascii="Calibri" w:hAnsi="Calibri"/>
          <w:b w:val="0"/>
          <w:i w:val="0"/>
          <w:color w:val="212121"/>
          <w:sz w:val="20"/>
        </w:rPr>
        <w:t>Before/after snapshots of Sippy account, route, and dialplan configs. Diff view and rollback button. Extends the existing change-detection alert system.</w:t>
      </w:r>
    </w:p>
    <w:p>
      <w:pPr>
        <w:pStyle w:val="ListBullet"/>
        <w:spacing w:before="20" w:after="20"/>
        <w:ind w:left="432"/>
      </w:pPr>
      <w:r>
        <w:rPr>
          <w:rFonts w:ascii="Calibri" w:hAnsi="Calibri"/>
          <w:b w:val="0"/>
          <w:i w:val="0"/>
          <w:color w:val="212121"/>
          <w:sz w:val="20"/>
        </w:rPr>
        <w:t>Effort: MEDIUM — 5–6 days.</w:t>
      </w:r>
    </w:p>
    <w:p>
      <w:pPr>
        <w:pStyle w:val="ListBullet"/>
        <w:spacing w:before="20" w:after="20"/>
        <w:ind w:left="432"/>
      </w:pPr>
      <w:r>
        <w:rPr>
          <w:rFonts w:ascii="Calibri" w:hAnsi="Calibri"/>
          <w:b w:val="0"/>
          <w:i w:val="0"/>
          <w:color w:val="212121"/>
          <w:sz w:val="20"/>
        </w:rPr>
        <w:t>Why now: Extends existing infrastructure minimally. Critical for incident post-mortems — 'what changed?' is the first question in every outage.</w:t>
      </w:r>
    </w:p>
    <w:p>
      <w:pPr>
        <w:pStyle w:val="Heading3"/>
        <w:spacing w:before="160" w:after="40"/>
      </w:pPr>
      <w:r>
        <w:rPr>
          <w:rFonts w:ascii="Calibri" w:hAnsi="Calibri"/>
          <w:b/>
          <w:i w:val="0"/>
          <w:color w:val="006064"/>
          <w:sz w:val="22"/>
        </w:rPr>
        <w:t>2F. Robocall Pattern Detector  [Vol II, #9]</w:t>
      </w:r>
    </w:p>
    <w:p>
      <w:pPr>
        <w:spacing w:before="20" w:after="60"/>
      </w:pPr>
      <w:r>
        <w:rPr>
          <w:rFonts w:ascii="Calibri" w:hAnsi="Calibri"/>
          <w:b w:val="0"/>
          <w:i w:val="0"/>
          <w:color w:val="212121"/>
          <w:sz w:val="20"/>
        </w:rPr>
        <w:t>Detect sequential caller IDs, &gt;200 calls/hour with &lt;8s average duration, and neighbour spoofing patterns. Auto-block via Sippy XML-RPC.</w:t>
      </w:r>
    </w:p>
    <w:p>
      <w:pPr>
        <w:pStyle w:val="ListBullet"/>
        <w:spacing w:before="20" w:after="20"/>
        <w:ind w:left="432"/>
      </w:pPr>
      <w:r>
        <w:rPr>
          <w:rFonts w:ascii="Calibri" w:hAnsi="Calibri"/>
          <w:b w:val="0"/>
          <w:i w:val="0"/>
          <w:color w:val="212121"/>
          <w:sz w:val="20"/>
        </w:rPr>
        <w:t>Effort: MEDIUM — 5–7 days.</w:t>
      </w:r>
    </w:p>
    <w:p>
      <w:pPr>
        <w:pStyle w:val="ListBullet"/>
        <w:spacing w:before="20" w:after="20"/>
        <w:ind w:left="432"/>
      </w:pPr>
      <w:r>
        <w:rPr>
          <w:rFonts w:ascii="Calibri" w:hAnsi="Calibri"/>
          <w:b w:val="0"/>
          <w:i w:val="0"/>
          <w:color w:val="212121"/>
          <w:sz w:val="20"/>
        </w:rPr>
        <w:t>Why now: Builds on Phase 1 blacklist infrastructure. Protects STIR/SHAKEN attestation rating.</w:t>
      </w:r>
    </w:p>
    <w:p>
      <w:pPr>
        <w:pStyle w:val="ListBullet"/>
        <w:spacing w:before="20" w:after="20"/>
        <w:ind w:left="432"/>
      </w:pPr>
      <w:r>
        <w:rPr>
          <w:rFonts w:ascii="Calibri" w:hAnsi="Calibri"/>
          <w:b w:val="0"/>
          <w:i w:val="0"/>
          <w:color w:val="212121"/>
          <w:sz w:val="20"/>
        </w:rPr>
        <w:t>Dependency: Auto-Blacklist System (1G) should be live.</w:t>
      </w:r>
    </w:p>
    <w:p>
      <w:pPr>
        <w:pStyle w:val="Heading3"/>
        <w:spacing w:before="160" w:after="40"/>
      </w:pPr>
      <w:r>
        <w:rPr>
          <w:rFonts w:ascii="Calibri" w:hAnsi="Calibri"/>
          <w:b/>
          <w:i w:val="0"/>
          <w:color w:val="006064"/>
          <w:sz w:val="22"/>
        </w:rPr>
        <w:t>2G. Codec Negotiation Analytics  [Vol II, #2]</w:t>
      </w:r>
    </w:p>
    <w:p>
      <w:pPr>
        <w:spacing w:before="20" w:after="60"/>
      </w:pPr>
      <w:r>
        <w:rPr>
          <w:rFonts w:ascii="Calibri" w:hAnsi="Calibri"/>
          <w:b w:val="0"/>
          <w:i w:val="0"/>
          <w:color w:val="212121"/>
          <w:sz w:val="20"/>
        </w:rPr>
        <w:t>Codec usage breakdown chart from CDR and live call data. Transcoding rate per carrier. Alert when a non-approved codec appears.</w:t>
      </w:r>
    </w:p>
    <w:p>
      <w:pPr>
        <w:pStyle w:val="ListBullet"/>
        <w:spacing w:before="20" w:after="20"/>
        <w:ind w:left="432"/>
      </w:pPr>
      <w:r>
        <w:rPr>
          <w:rFonts w:ascii="Calibri" w:hAnsi="Calibri"/>
          <w:b w:val="0"/>
          <w:i w:val="0"/>
          <w:color w:val="212121"/>
          <w:sz w:val="20"/>
        </w:rPr>
        <w:t>Effort: LOW — 2–3 days.</w:t>
      </w:r>
    </w:p>
    <w:p>
      <w:pPr>
        <w:pStyle w:val="ListBullet"/>
        <w:spacing w:before="20" w:after="20"/>
        <w:ind w:left="432"/>
      </w:pPr>
      <w:r>
        <w:rPr>
          <w:rFonts w:ascii="Calibri" w:hAnsi="Calibri"/>
          <w:b w:val="0"/>
          <w:i w:val="0"/>
          <w:color w:val="212121"/>
          <w:sz w:val="20"/>
        </w:rPr>
        <w:t>Why now: Quick win — data is already in CDRs. Important for cost and quality analysis.</w:t>
      </w:r>
    </w:p>
    <w:p>
      <w:pPr>
        <w:pStyle w:val="Heading3"/>
        <w:spacing w:before="160" w:after="40"/>
      </w:pPr>
      <w:r>
        <w:rPr>
          <w:rFonts w:ascii="Calibri" w:hAnsi="Calibri"/>
          <w:b/>
          <w:i w:val="0"/>
          <w:color w:val="006064"/>
          <w:sz w:val="22"/>
        </w:rPr>
        <w:t>2H. Maintenance Window Scheduler  [Vol II, #23]</w:t>
      </w:r>
    </w:p>
    <w:p>
      <w:pPr>
        <w:spacing w:before="20" w:after="60"/>
      </w:pPr>
      <w:r>
        <w:rPr>
          <w:rFonts w:ascii="Calibri" w:hAnsi="Calibri"/>
          <w:b w:val="0"/>
          <w:i w:val="0"/>
          <w:color w:val="212121"/>
          <w:sz w:val="20"/>
        </w:rPr>
        <w:t>Schedule planned maintenance windows that auto-suppress alerts and show a dashboard banner. Post-maintenance metrics comparison report.</w:t>
      </w:r>
    </w:p>
    <w:p>
      <w:pPr>
        <w:pStyle w:val="ListBullet"/>
        <w:spacing w:before="20" w:after="20"/>
        <w:ind w:left="432"/>
      </w:pPr>
      <w:r>
        <w:rPr>
          <w:rFonts w:ascii="Calibri" w:hAnsi="Calibri"/>
          <w:b w:val="0"/>
          <w:i w:val="0"/>
          <w:color w:val="212121"/>
          <w:sz w:val="20"/>
        </w:rPr>
        <w:t>Effort: LOW — 3–4 days.</w:t>
      </w:r>
    </w:p>
    <w:p>
      <w:pPr>
        <w:pStyle w:val="ListBullet"/>
        <w:spacing w:before="20" w:after="20"/>
        <w:ind w:left="432"/>
      </w:pPr>
      <w:r>
        <w:rPr>
          <w:rFonts w:ascii="Calibri" w:hAnsi="Calibri"/>
          <w:b w:val="0"/>
          <w:i w:val="0"/>
          <w:color w:val="212121"/>
          <w:sz w:val="20"/>
        </w:rPr>
        <w:t>Why now: Essential before Phase 3 reporting goes live — prevents maintenance events from polluting SLA reports.</w:t>
      </w:r>
    </w:p>
    <w:p>
      <w:pPr>
        <w:pStyle w:val="Heading3"/>
        <w:spacing w:before="160" w:after="40"/>
      </w:pPr>
      <w:r>
        <w:rPr>
          <w:rFonts w:ascii="Calibri" w:hAnsi="Calibri"/>
          <w:b/>
          <w:i w:val="0"/>
          <w:color w:val="006064"/>
          <w:sz w:val="22"/>
        </w:rPr>
        <w:t>2I. Vendor SLA Scorecard  [Vol II, #7]</w:t>
      </w:r>
    </w:p>
    <w:p>
      <w:pPr>
        <w:spacing w:before="20" w:after="60"/>
      </w:pPr>
      <w:r>
        <w:rPr>
          <w:rFonts w:ascii="Calibri" w:hAnsi="Calibri"/>
          <w:b w:val="0"/>
          <w:i w:val="0"/>
          <w:color w:val="212121"/>
          <w:sz w:val="20"/>
        </w:rPr>
        <w:t>Automated weekly scorecard ranking each termination vendor against ASR, ACD, PDD, and MOS SLA targets. Traffic-light status, week-over-week trend, and auto-email to vendor AM.</w:t>
      </w:r>
    </w:p>
    <w:p>
      <w:pPr>
        <w:pStyle w:val="ListBullet"/>
        <w:spacing w:before="20" w:after="20"/>
        <w:ind w:left="432"/>
      </w:pPr>
      <w:r>
        <w:rPr>
          <w:rFonts w:ascii="Calibri" w:hAnsi="Calibri"/>
          <w:b w:val="0"/>
          <w:i w:val="0"/>
          <w:color w:val="212121"/>
          <w:sz w:val="20"/>
        </w:rPr>
        <w:t>Effort: LOW-MEDIUM — 4–5 days.</w:t>
      </w:r>
    </w:p>
    <w:p>
      <w:pPr>
        <w:pStyle w:val="ListBullet"/>
        <w:spacing w:before="20" w:after="20"/>
        <w:ind w:left="432"/>
      </w:pPr>
      <w:r>
        <w:rPr>
          <w:rFonts w:ascii="Calibri" w:hAnsi="Calibri"/>
          <w:b w:val="0"/>
          <w:i w:val="0"/>
          <w:color w:val="212121"/>
          <w:sz w:val="20"/>
        </w:rPr>
        <w:t>Why now: Operationally valuable immediately. Creates accountability with carriers week 1 of deployment.</w:t>
      </w:r>
    </w:p>
    <w:p>
      <w:pPr>
        <w:pStyle w:val="Heading3"/>
        <w:spacing w:before="160" w:after="40"/>
      </w:pPr>
      <w:r>
        <w:rPr>
          <w:rFonts w:ascii="Calibri" w:hAnsi="Calibri"/>
          <w:b/>
          <w:i w:val="0"/>
          <w:color w:val="006064"/>
          <w:sz w:val="22"/>
        </w:rPr>
        <w:t>2J. Customisable Dashboard Widgets  [Vol I, #20]</w:t>
      </w:r>
    </w:p>
    <w:p>
      <w:pPr>
        <w:spacing w:before="20" w:after="60"/>
      </w:pPr>
      <w:r>
        <w:rPr>
          <w:rFonts w:ascii="Calibri" w:hAnsi="Calibri"/>
          <w:b w:val="0"/>
          <w:i w:val="0"/>
          <w:color w:val="212121"/>
          <w:sz w:val="20"/>
        </w:rPr>
        <w:t>Drag-and-drop widget editor per user. Widget library covers all key KPIs. Viewer-role users see only their assigned entities.</w:t>
      </w:r>
    </w:p>
    <w:p>
      <w:pPr>
        <w:pStyle w:val="ListBullet"/>
        <w:spacing w:before="20" w:after="20"/>
        <w:ind w:left="432"/>
      </w:pPr>
      <w:r>
        <w:rPr>
          <w:rFonts w:ascii="Calibri" w:hAnsi="Calibri"/>
          <w:b w:val="0"/>
          <w:i w:val="0"/>
          <w:color w:val="212121"/>
          <w:sz w:val="20"/>
        </w:rPr>
        <w:t>Effort: HIGH — 8–10 days.</w:t>
      </w:r>
    </w:p>
    <w:p>
      <w:pPr>
        <w:pStyle w:val="ListBullet"/>
        <w:spacing w:before="20" w:after="20"/>
        <w:ind w:left="432"/>
      </w:pPr>
      <w:r>
        <w:rPr>
          <w:rFonts w:ascii="Calibri" w:hAnsi="Calibri"/>
          <w:b w:val="0"/>
          <w:i w:val="0"/>
          <w:color w:val="212121"/>
          <w:sz w:val="20"/>
        </w:rPr>
        <w:t>Why now: Maximises the value of the Viewer role before Phase 3 adds more data to display.</w:t>
      </w:r>
    </w:p>
    <w:p>
      <w:pPr>
        <w:pStyle w:val="Heading3"/>
        <w:spacing w:before="160" w:after="40"/>
      </w:pPr>
      <w:r>
        <w:rPr>
          <w:rFonts w:ascii="Calibri" w:hAnsi="Calibri"/>
          <w:b/>
          <w:i w:val="0"/>
          <w:color w:val="006064"/>
          <w:sz w:val="22"/>
        </w:rPr>
        <w:t>2K. SLA Monitoring &amp; Breach Alerting  [Vol II, #14]</w:t>
      </w:r>
    </w:p>
    <w:p>
      <w:pPr>
        <w:spacing w:before="20" w:after="60"/>
      </w:pPr>
      <w:r>
        <w:rPr>
          <w:rFonts w:ascii="Calibri" w:hAnsi="Calibri"/>
          <w:b w:val="0"/>
          <w:i w:val="0"/>
          <w:color w:val="212121"/>
          <w:sz w:val="20"/>
        </w:rPr>
        <w:t>Define client-facing SLA targets (uptime, ASR floor, PDD ceiling, MOS floor). Real-time compliance status per client. Auto-email breach notification to client and KAM.</w:t>
      </w:r>
    </w:p>
    <w:p>
      <w:pPr>
        <w:pStyle w:val="ListBullet"/>
        <w:spacing w:before="20" w:after="20"/>
        <w:ind w:left="432"/>
      </w:pPr>
      <w:r>
        <w:rPr>
          <w:rFonts w:ascii="Calibri" w:hAnsi="Calibri"/>
          <w:b w:val="0"/>
          <w:i w:val="0"/>
          <w:color w:val="212121"/>
          <w:sz w:val="20"/>
        </w:rPr>
        <w:t>Effort: MEDIUM — 5–6 days.</w:t>
      </w:r>
    </w:p>
    <w:p>
      <w:pPr>
        <w:pStyle w:val="ListBullet"/>
        <w:spacing w:before="20" w:after="20"/>
        <w:ind w:left="432"/>
      </w:pPr>
      <w:r>
        <w:rPr>
          <w:rFonts w:ascii="Calibri" w:hAnsi="Calibri"/>
          <w:b w:val="0"/>
          <w:i w:val="0"/>
          <w:color w:val="212121"/>
          <w:sz w:val="20"/>
        </w:rPr>
        <w:t>Dependency: MOS Trending (2B) should be live for full SLA coverage.</w:t>
      </w:r>
    </w:p>
    <w:p>
      <w:pPr>
        <w:pStyle w:val="Heading3"/>
        <w:spacing w:before="160" w:after="40"/>
      </w:pPr>
      <w:r>
        <w:rPr>
          <w:rFonts w:ascii="Calibri" w:hAnsi="Calibri"/>
          <w:b/>
          <w:i w:val="0"/>
          <w:color w:val="006064"/>
          <w:sz w:val="22"/>
        </w:rPr>
        <w:t>2L. Capacity Planning Module  [Vol I, #8]</w:t>
      </w:r>
    </w:p>
    <w:p>
      <w:pPr>
        <w:spacing w:before="20" w:after="60"/>
      </w:pPr>
      <w:r>
        <w:rPr>
          <w:rFonts w:ascii="Calibri" w:hAnsi="Calibri"/>
          <w:b w:val="0"/>
          <w:i w:val="0"/>
          <w:color w:val="212121"/>
          <w:sz w:val="20"/>
        </w:rPr>
        <w:t>90-day traffic growth trend + linear regression. 'Days until capacity breach' indicator. Exportable capacity report.</w:t>
      </w:r>
    </w:p>
    <w:p>
      <w:pPr>
        <w:pStyle w:val="ListBullet"/>
        <w:spacing w:before="20" w:after="20"/>
        <w:ind w:left="432"/>
      </w:pPr>
      <w:r>
        <w:rPr>
          <w:rFonts w:ascii="Calibri" w:hAnsi="Calibri"/>
          <w:b w:val="0"/>
          <w:i w:val="0"/>
          <w:color w:val="212121"/>
          <w:sz w:val="20"/>
        </w:rPr>
        <w:t>Effort: MEDIUM — 4–6 days.</w:t>
      </w:r>
    </w:p>
    <w:p>
      <w:pPr>
        <w:pStyle w:val="ListBullet"/>
        <w:spacing w:before="20" w:after="20"/>
        <w:ind w:left="432"/>
      </w:pPr>
      <w:r>
        <w:rPr>
          <w:rFonts w:ascii="Calibri" w:hAnsi="Calibri"/>
          <w:b w:val="0"/>
          <w:i w:val="0"/>
          <w:color w:val="212121"/>
          <w:sz w:val="20"/>
        </w:rPr>
        <w:t>Why now: As Phase 1 fraud controls cut abuse, real organic growth patterns emerge — now is the right time to measure them.</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454"/>
            <w:shd w:val="clear" w:color="auto" w:fill="006064"/>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w:t>
            </w:r>
          </w:p>
        </w:tc>
        <w:tc>
          <w:tcPr>
            <w:tcW w:type="dxa" w:w="3402"/>
            <w:shd w:val="clear" w:color="auto" w:fill="006064"/>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Feature</w:t>
            </w:r>
          </w:p>
        </w:tc>
        <w:tc>
          <w:tcPr>
            <w:tcW w:type="dxa" w:w="567"/>
            <w:shd w:val="clear" w:color="auto" w:fill="006064"/>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Vol</w:t>
            </w:r>
          </w:p>
        </w:tc>
        <w:tc>
          <w:tcPr>
            <w:tcW w:type="dxa" w:w="1134"/>
            <w:shd w:val="clear" w:color="auto" w:fill="006064"/>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Effort</w:t>
            </w:r>
          </w:p>
        </w:tc>
        <w:tc>
          <w:tcPr>
            <w:tcW w:type="dxa" w:w="850"/>
            <w:shd w:val="clear" w:color="auto" w:fill="006064"/>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Days</w:t>
            </w:r>
          </w:p>
        </w:tc>
        <w:tc>
          <w:tcPr>
            <w:tcW w:type="dxa" w:w="3515"/>
            <w:shd w:val="clear" w:color="auto" w:fill="006064"/>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Prerequisite</w:t>
            </w:r>
          </w:p>
        </w:tc>
      </w:tr>
      <w:tr>
        <w:tc>
          <w:tcPr>
            <w:tcW w:type="dxa" w:w="454"/>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2A</w:t>
            </w:r>
          </w:p>
        </w:tc>
        <w:tc>
          <w:tcPr>
            <w:tcW w:type="dxa" w:w="3402"/>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Carrier Rate Card Management ★</w:t>
            </w:r>
          </w:p>
        </w:tc>
        <w:tc>
          <w:tcPr>
            <w:tcW w:type="dxa" w:w="567"/>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6–8</w:t>
            </w:r>
          </w:p>
        </w:tc>
        <w:tc>
          <w:tcPr>
            <w:tcW w:type="dxa" w:w="3515"/>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 — do this first</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2B</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MOS Score Trending</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5–7</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2C</w:t>
            </w:r>
          </w:p>
        </w:tc>
        <w:tc>
          <w:tcPr>
            <w:tcW w:type="dxa" w:w="3402"/>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Jitter &amp; Packet Loss Monitor</w:t>
            </w:r>
          </w:p>
        </w:tc>
        <w:tc>
          <w:tcPr>
            <w:tcW w:type="dxa" w:w="567"/>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5–7</w:t>
            </w:r>
          </w:p>
        </w:tc>
        <w:tc>
          <w:tcPr>
            <w:tcW w:type="dxa" w:w="3515"/>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2D</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Traffic Anomaly Detector</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6–7</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2E</w:t>
            </w:r>
          </w:p>
        </w:tc>
        <w:tc>
          <w:tcPr>
            <w:tcW w:type="dxa" w:w="3402"/>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Switch Config Change Tracker</w:t>
            </w:r>
          </w:p>
        </w:tc>
        <w:tc>
          <w:tcPr>
            <w:tcW w:type="dxa" w:w="567"/>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5–6</w:t>
            </w:r>
          </w:p>
        </w:tc>
        <w:tc>
          <w:tcPr>
            <w:tcW w:type="dxa" w:w="3515"/>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2F</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Robocall Pattern Detector</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5–7</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1G (Auto-Blacklist)</w:t>
            </w:r>
          </w:p>
        </w:tc>
      </w:tr>
      <w:tr>
        <w:tc>
          <w:tcPr>
            <w:tcW w:type="dxa" w:w="454"/>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2G</w:t>
            </w:r>
          </w:p>
        </w:tc>
        <w:tc>
          <w:tcPr>
            <w:tcW w:type="dxa" w:w="3402"/>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Codec Negotiation Analytics</w:t>
            </w:r>
          </w:p>
        </w:tc>
        <w:tc>
          <w:tcPr>
            <w:tcW w:type="dxa" w:w="567"/>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Low</w:t>
            </w:r>
          </w:p>
        </w:tc>
        <w:tc>
          <w:tcPr>
            <w:tcW w:type="dxa" w:w="850"/>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2–3</w:t>
            </w:r>
          </w:p>
        </w:tc>
        <w:tc>
          <w:tcPr>
            <w:tcW w:type="dxa" w:w="3515"/>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2H</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Maintenance Window Scheduler</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Low</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3–4</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2I</w:t>
            </w:r>
          </w:p>
        </w:tc>
        <w:tc>
          <w:tcPr>
            <w:tcW w:type="dxa" w:w="3402"/>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Vendor SLA Scorecard</w:t>
            </w:r>
          </w:p>
        </w:tc>
        <w:tc>
          <w:tcPr>
            <w:tcW w:type="dxa" w:w="567"/>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Low-Med</w:t>
            </w:r>
          </w:p>
        </w:tc>
        <w:tc>
          <w:tcPr>
            <w:tcW w:type="dxa" w:w="850"/>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4–5</w:t>
            </w:r>
          </w:p>
        </w:tc>
        <w:tc>
          <w:tcPr>
            <w:tcW w:type="dxa" w:w="3515"/>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2J</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Customisable Dashboard Widgets</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High</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8–10</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2K</w:t>
            </w:r>
          </w:p>
        </w:tc>
        <w:tc>
          <w:tcPr>
            <w:tcW w:type="dxa" w:w="3402"/>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SLA Monitoring &amp; Breach Alerting</w:t>
            </w:r>
          </w:p>
        </w:tc>
        <w:tc>
          <w:tcPr>
            <w:tcW w:type="dxa" w:w="567"/>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5–6</w:t>
            </w:r>
          </w:p>
        </w:tc>
        <w:tc>
          <w:tcPr>
            <w:tcW w:type="dxa" w:w="3515"/>
            <w:shd w:val="clear" w:color="auto" w:fill="E0F7FA"/>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2B recommended</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2L</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Capacity Planning Module</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4–6</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bl>
    <w:p/>
    <w:p>
      <w:pPr>
        <w:pStyle w:val="Heading2"/>
        <w:spacing w:before="280" w:after="120"/>
        <w:shd w:val="clear" w:color="auto" w:fill="1B5E20"/>
      </w:pPr>
      <w:r>
        <w:rPr>
          <w:rFonts w:ascii="Calibri" w:hAnsi="Calibri"/>
          <w:b/>
          <w:i w:val="0"/>
          <w:color w:val="FFFFFF"/>
          <w:sz w:val="28"/>
        </w:rPr>
        <w:t>PHASE 3 — Business Intelligence  |  Weeks 11–18</w:t>
      </w:r>
    </w:p>
    <w:p>
      <w:pPr>
        <w:shd w:val="clear" w:color="auto" w:fill="E8F5E9"/>
        <w:spacing w:before="80" w:after="120"/>
      </w:pPr>
      <w:r>
        <w:rPr>
          <w:rFonts w:ascii="Calibri" w:hAnsi="Calibri"/>
          <w:b w:val="0"/>
          <w:i/>
          <w:color w:val="1B5E20"/>
          <w:sz w:val="20"/>
        </w:rPr>
        <w:t xml:space="preserve">  Goal: Transform the platform from an operational monitoring tool into a revenue and business intelligence hub. Phase 3 features require the Rate Card data from 2A and the CDR enrichment pipeline built in earlier phases. This phase makes the platform directly billable-visible.  </w:t>
      </w:r>
    </w:p>
    <w:p>
      <w:pPr>
        <w:pStyle w:val="Heading3"/>
        <w:spacing w:before="160" w:after="40"/>
      </w:pPr>
      <w:r>
        <w:rPr>
          <w:rFonts w:ascii="Calibri" w:hAnsi="Calibri"/>
          <w:b/>
          <w:i w:val="0"/>
          <w:color w:val="1B5E20"/>
          <w:sz w:val="22"/>
        </w:rPr>
        <w:t>3A. Revenue &amp; Margin Analytics Dashboard  [Vol I, #3]</w:t>
      </w:r>
    </w:p>
    <w:p>
      <w:pPr>
        <w:spacing w:before="20" w:after="60"/>
      </w:pPr>
      <w:r>
        <w:rPr>
          <w:rFonts w:ascii="Calibri" w:hAnsi="Calibri"/>
          <w:b w:val="0"/>
          <w:i w:val="0"/>
          <w:color w:val="212121"/>
          <w:sz w:val="20"/>
        </w:rPr>
        <w:t>Margin per Client, Margin per Destination/Breakout, Daily P&amp;L Summary (rolling 30 days), and Worst-Performing Routes. Rate Card reconciliation view.</w:t>
      </w:r>
    </w:p>
    <w:p>
      <w:pPr>
        <w:pStyle w:val="ListBullet"/>
        <w:spacing w:before="20" w:after="20"/>
        <w:ind w:left="432"/>
      </w:pPr>
      <w:r>
        <w:rPr>
          <w:rFonts w:ascii="Calibri" w:hAnsi="Calibri"/>
          <w:b w:val="0"/>
          <w:i w:val="0"/>
          <w:color w:val="212121"/>
          <w:sz w:val="20"/>
        </w:rPr>
        <w:t>Effort: HIGH — 8–10 days.</w:t>
      </w:r>
    </w:p>
    <w:p>
      <w:pPr>
        <w:pStyle w:val="ListBullet"/>
        <w:spacing w:before="20" w:after="20"/>
        <w:ind w:left="432"/>
      </w:pPr>
      <w:r>
        <w:rPr>
          <w:rFonts w:ascii="Calibri" w:hAnsi="Calibri"/>
          <w:b w:val="0"/>
          <w:i w:val="0"/>
          <w:color w:val="212121"/>
          <w:sz w:val="20"/>
        </w:rPr>
        <w:t>Why now: Depends entirely on 2A (Rate Card). Once that data flows, this dashboard is the highest-value output in the platform.</w:t>
      </w:r>
    </w:p>
    <w:p>
      <w:pPr>
        <w:pStyle w:val="ListBullet"/>
        <w:spacing w:before="20" w:after="20"/>
        <w:ind w:left="432"/>
      </w:pPr>
      <w:r>
        <w:rPr>
          <w:rFonts w:ascii="Calibri" w:hAnsi="Calibri"/>
          <w:b w:val="0"/>
          <w:i w:val="0"/>
          <w:color w:val="212121"/>
          <w:sz w:val="20"/>
        </w:rPr>
        <w:t>Dependency: Carrier Rate Card Management (2A) must be complete.</w:t>
      </w:r>
    </w:p>
    <w:p>
      <w:pPr>
        <w:pStyle w:val="Heading3"/>
        <w:spacing w:before="160" w:after="40"/>
      </w:pPr>
      <w:r>
        <w:rPr>
          <w:rFonts w:ascii="Calibri" w:hAnsi="Calibri"/>
          <w:b/>
          <w:i w:val="0"/>
          <w:color w:val="1B5E20"/>
          <w:sz w:val="22"/>
        </w:rPr>
        <w:t>3B. LCR Analyser  [Vol II, #5]</w:t>
      </w:r>
    </w:p>
    <w:p>
      <w:pPr>
        <w:spacing w:before="20" w:after="60"/>
      </w:pPr>
      <w:r>
        <w:rPr>
          <w:rFonts w:ascii="Calibri" w:hAnsi="Calibri"/>
          <w:b w:val="0"/>
          <w:i w:val="0"/>
          <w:color w:val="212121"/>
          <w:sz w:val="20"/>
        </w:rPr>
        <w:t>Cross-reference CDR destination against all active vendor rate cards. Highlight where a cheaper route was available but unused. Monthly missed-savings report.</w:t>
      </w:r>
    </w:p>
    <w:p>
      <w:pPr>
        <w:pStyle w:val="ListBullet"/>
        <w:spacing w:before="20" w:after="20"/>
        <w:ind w:left="432"/>
      </w:pPr>
      <w:r>
        <w:rPr>
          <w:rFonts w:ascii="Calibri" w:hAnsi="Calibri"/>
          <w:b w:val="0"/>
          <w:i w:val="0"/>
          <w:color w:val="212121"/>
          <w:sz w:val="20"/>
        </w:rPr>
        <w:t>Effort: MEDIUM — 5–7 days.</w:t>
      </w:r>
    </w:p>
    <w:p>
      <w:pPr>
        <w:pStyle w:val="ListBullet"/>
        <w:spacing w:before="20" w:after="20"/>
        <w:ind w:left="432"/>
      </w:pPr>
      <w:r>
        <w:rPr>
          <w:rFonts w:ascii="Calibri" w:hAnsi="Calibri"/>
          <w:b w:val="0"/>
          <w:i w:val="0"/>
          <w:color w:val="212121"/>
          <w:sz w:val="20"/>
        </w:rPr>
        <w:t>Dependency: Carrier Rate Card Management (2A) must be complete.</w:t>
      </w:r>
    </w:p>
    <w:p>
      <w:pPr>
        <w:pStyle w:val="ListBullet"/>
        <w:spacing w:before="20" w:after="20"/>
        <w:ind w:left="432"/>
      </w:pPr>
      <w:r>
        <w:rPr>
          <w:rFonts w:ascii="Calibri" w:hAnsi="Calibri"/>
          <w:b w:val="0"/>
          <w:i w:val="0"/>
          <w:color w:val="212121"/>
          <w:sz w:val="20"/>
        </w:rPr>
        <w:t>Expected outcome: 5–15% termination cost reduction on international traffic.</w:t>
      </w:r>
    </w:p>
    <w:p>
      <w:pPr>
        <w:pStyle w:val="Heading3"/>
        <w:spacing w:before="160" w:after="40"/>
      </w:pPr>
      <w:r>
        <w:rPr>
          <w:rFonts w:ascii="Calibri" w:hAnsi="Calibri"/>
          <w:b/>
          <w:i w:val="0"/>
          <w:color w:val="1B5E20"/>
          <w:sz w:val="22"/>
        </w:rPr>
        <w:t>3C. Interconnect Billing Report Generator  [Vol I, #12]</w:t>
      </w:r>
    </w:p>
    <w:p>
      <w:pPr>
        <w:spacing w:before="20" w:after="60"/>
      </w:pPr>
      <w:r>
        <w:rPr>
          <w:rFonts w:ascii="Calibri" w:hAnsi="Calibri"/>
          <w:b w:val="0"/>
          <w:i w:val="0"/>
          <w:color w:val="212121"/>
          <w:sz w:val="20"/>
        </w:rPr>
        <w:t>Select client, period, and rate card. System aggregates CDRs, applies rates, and generates a formatted invoice PDF (with logo) and an itemised CDR Excel attachment.</w:t>
      </w:r>
    </w:p>
    <w:p>
      <w:pPr>
        <w:pStyle w:val="ListBullet"/>
        <w:spacing w:before="20" w:after="20"/>
        <w:ind w:left="432"/>
      </w:pPr>
      <w:r>
        <w:rPr>
          <w:rFonts w:ascii="Calibri" w:hAnsi="Calibri"/>
          <w:b w:val="0"/>
          <w:i w:val="0"/>
          <w:color w:val="212121"/>
          <w:sz w:val="20"/>
        </w:rPr>
        <w:t>Effort: HIGH — 8–10 days.</w:t>
      </w:r>
    </w:p>
    <w:p>
      <w:pPr>
        <w:pStyle w:val="ListBullet"/>
        <w:spacing w:before="20" w:after="20"/>
        <w:ind w:left="432"/>
      </w:pPr>
      <w:r>
        <w:rPr>
          <w:rFonts w:ascii="Calibri" w:hAnsi="Calibri"/>
          <w:b w:val="0"/>
          <w:i w:val="0"/>
          <w:color w:val="212121"/>
          <w:sz w:val="20"/>
        </w:rPr>
        <w:t>Dependency: Carrier Rate Card Management (2A) required for cost calculation.</w:t>
      </w:r>
    </w:p>
    <w:p>
      <w:pPr>
        <w:pStyle w:val="Heading3"/>
        <w:spacing w:before="160" w:after="40"/>
      </w:pPr>
      <w:r>
        <w:rPr>
          <w:rFonts w:ascii="Calibri" w:hAnsi="Calibri"/>
          <w:b/>
          <w:i w:val="0"/>
          <w:color w:val="1B5E20"/>
          <w:sz w:val="22"/>
        </w:rPr>
        <w:t>3D. Scheduled Report Delivery  [Vol I, #13]</w:t>
      </w:r>
    </w:p>
    <w:p>
      <w:pPr>
        <w:spacing w:before="20" w:after="60"/>
      </w:pPr>
      <w:r>
        <w:rPr>
          <w:rFonts w:ascii="Calibri" w:hAnsi="Calibri"/>
          <w:b w:val="0"/>
          <w:i w:val="0"/>
          <w:color w:val="212121"/>
          <w:sz w:val="20"/>
        </w:rPr>
        <w:t>Automated daily/weekly/monthly reports delivered by email: Traffic Summary, Quality Report, Monthly Billing Summary, and Fraud/FAS Incident Digest.</w:t>
      </w:r>
    </w:p>
    <w:p>
      <w:pPr>
        <w:pStyle w:val="ListBullet"/>
        <w:spacing w:before="20" w:after="20"/>
        <w:ind w:left="432"/>
      </w:pPr>
      <w:r>
        <w:rPr>
          <w:rFonts w:ascii="Calibri" w:hAnsi="Calibri"/>
          <w:b w:val="0"/>
          <w:i w:val="0"/>
          <w:color w:val="212121"/>
          <w:sz w:val="20"/>
        </w:rPr>
        <w:t>Effort: MEDIUM — 5–6 days.</w:t>
      </w:r>
    </w:p>
    <w:p>
      <w:pPr>
        <w:pStyle w:val="ListBullet"/>
        <w:spacing w:before="20" w:after="20"/>
        <w:ind w:left="432"/>
      </w:pPr>
      <w:r>
        <w:rPr>
          <w:rFonts w:ascii="Calibri" w:hAnsi="Calibri"/>
          <w:b w:val="0"/>
          <w:i w:val="0"/>
          <w:color w:val="212121"/>
          <w:sz w:val="20"/>
        </w:rPr>
        <w:t>Dependency: Billing Generator (3C) for billing reports; MOS Trending (2B) for quality reports.</w:t>
      </w:r>
    </w:p>
    <w:p>
      <w:pPr>
        <w:pStyle w:val="Heading3"/>
        <w:spacing w:before="160" w:after="40"/>
      </w:pPr>
      <w:r>
        <w:rPr>
          <w:rFonts w:ascii="Calibri" w:hAnsi="Calibri"/>
          <w:b/>
          <w:i w:val="0"/>
          <w:color w:val="1B5E20"/>
          <w:sz w:val="22"/>
        </w:rPr>
        <w:t>3E. Cost Optimisation Recommendations Engine  [Vol II, #8]</w:t>
      </w:r>
    </w:p>
    <w:p>
      <w:pPr>
        <w:spacing w:before="20" w:after="60"/>
      </w:pPr>
      <w:r>
        <w:rPr>
          <w:rFonts w:ascii="Calibri" w:hAnsi="Calibri"/>
          <w:b w:val="0"/>
          <w:i w:val="0"/>
          <w:color w:val="212121"/>
          <w:sz w:val="20"/>
        </w:rPr>
        <w:t>Rule-based engine analysing 30 days of CDRs. Ranked list of routing recommendations showing estimated monthly saving and quality impact. One-click route change acceptance.</w:t>
      </w:r>
    </w:p>
    <w:p>
      <w:pPr>
        <w:pStyle w:val="ListBullet"/>
        <w:spacing w:before="20" w:after="20"/>
        <w:ind w:left="432"/>
      </w:pPr>
      <w:r>
        <w:rPr>
          <w:rFonts w:ascii="Calibri" w:hAnsi="Calibri"/>
          <w:b w:val="0"/>
          <w:i w:val="0"/>
          <w:color w:val="212121"/>
          <w:sz w:val="20"/>
        </w:rPr>
        <w:t>Effort: HIGH — 8–10 days.</w:t>
      </w:r>
    </w:p>
    <w:p>
      <w:pPr>
        <w:pStyle w:val="ListBullet"/>
        <w:spacing w:before="20" w:after="20"/>
        <w:ind w:left="432"/>
      </w:pPr>
      <w:r>
        <w:rPr>
          <w:rFonts w:ascii="Calibri" w:hAnsi="Calibri"/>
          <w:b w:val="0"/>
          <w:i w:val="0"/>
          <w:color w:val="212121"/>
          <w:sz w:val="20"/>
        </w:rPr>
        <w:t>Dependency: Rate Card (2A) and LCR Analyser (3B) data.</w:t>
      </w:r>
    </w:p>
    <w:p>
      <w:pPr>
        <w:pStyle w:val="Heading3"/>
        <w:spacing w:before="160" w:after="40"/>
      </w:pPr>
      <w:r>
        <w:rPr>
          <w:rFonts w:ascii="Calibri" w:hAnsi="Calibri"/>
          <w:b/>
          <w:i w:val="0"/>
          <w:color w:val="1B5E20"/>
          <w:sz w:val="22"/>
        </w:rPr>
        <w:t>3F. Route Quality Analysis Heatmap  [Vol I, #15]</w:t>
      </w:r>
    </w:p>
    <w:p>
      <w:pPr>
        <w:spacing w:before="20" w:after="60"/>
      </w:pPr>
      <w:r>
        <w:rPr>
          <w:rFonts w:ascii="Calibri" w:hAnsi="Calibri"/>
          <w:b w:val="0"/>
          <w:i w:val="0"/>
          <w:color w:val="212121"/>
          <w:sz w:val="20"/>
        </w:rPr>
        <w:t>Heatmap of ASR by destination country and time-of-day. Click any cell to drill into specific CDRs. Complements the existing By Country chart in Graphs.</w:t>
      </w:r>
    </w:p>
    <w:p>
      <w:pPr>
        <w:pStyle w:val="ListBullet"/>
        <w:spacing w:before="20" w:after="20"/>
        <w:ind w:left="432"/>
      </w:pPr>
      <w:r>
        <w:rPr>
          <w:rFonts w:ascii="Calibri" w:hAnsi="Calibri"/>
          <w:b w:val="0"/>
          <w:i w:val="0"/>
          <w:color w:val="212121"/>
          <w:sz w:val="20"/>
        </w:rPr>
        <w:t>Effort: MEDIUM — 5–6 days.</w:t>
      </w:r>
    </w:p>
    <w:p>
      <w:pPr>
        <w:pStyle w:val="ListBullet"/>
        <w:spacing w:before="20" w:after="20"/>
        <w:ind w:left="432"/>
      </w:pPr>
      <w:r>
        <w:rPr>
          <w:rFonts w:ascii="Calibri" w:hAnsi="Calibri"/>
          <w:b w:val="0"/>
          <w:i w:val="0"/>
          <w:color w:val="212121"/>
          <w:sz w:val="20"/>
        </w:rPr>
        <w:t>Dependency: None — uses existing CDR data.</w:t>
      </w:r>
    </w:p>
    <w:p>
      <w:pPr>
        <w:pStyle w:val="Heading3"/>
        <w:spacing w:before="160" w:after="40"/>
      </w:pPr>
      <w:r>
        <w:rPr>
          <w:rFonts w:ascii="Calibri" w:hAnsi="Calibri"/>
          <w:b/>
          <w:i w:val="0"/>
          <w:color w:val="1B5E20"/>
          <w:sz w:val="22"/>
        </w:rPr>
        <w:t>3G. Geographic Revenue Heatmap  [Vol II, #18]</w:t>
      </w:r>
    </w:p>
    <w:p>
      <w:pPr>
        <w:spacing w:before="20" w:after="60"/>
      </w:pPr>
      <w:r>
        <w:rPr>
          <w:rFonts w:ascii="Calibri" w:hAnsi="Calibri"/>
          <w:b w:val="0"/>
          <w:i w:val="0"/>
          <w:color w:val="212121"/>
          <w:sz w:val="20"/>
        </w:rPr>
        <w:t>World map with colour intensity = revenue, cost, margin, or call volume per country. Country drill-down to CDRs and carrier breakdown.</w:t>
      </w:r>
    </w:p>
    <w:p>
      <w:pPr>
        <w:pStyle w:val="ListBullet"/>
        <w:spacing w:before="20" w:after="20"/>
        <w:ind w:left="432"/>
      </w:pPr>
      <w:r>
        <w:rPr>
          <w:rFonts w:ascii="Calibri" w:hAnsi="Calibri"/>
          <w:b w:val="0"/>
          <w:i w:val="0"/>
          <w:color w:val="212121"/>
          <w:sz w:val="20"/>
        </w:rPr>
        <w:t>Effort: MEDIUM — 5–7 days.</w:t>
      </w:r>
    </w:p>
    <w:p>
      <w:pPr>
        <w:pStyle w:val="ListBullet"/>
        <w:spacing w:before="20" w:after="20"/>
        <w:ind w:left="432"/>
      </w:pPr>
      <w:r>
        <w:rPr>
          <w:rFonts w:ascii="Calibri" w:hAnsi="Calibri"/>
          <w:b w:val="0"/>
          <w:i w:val="0"/>
          <w:color w:val="212121"/>
          <w:sz w:val="20"/>
        </w:rPr>
        <w:t>Dependency: Rate Card (2A) for revenue/margin view.</w:t>
      </w:r>
    </w:p>
    <w:p>
      <w:pPr>
        <w:pStyle w:val="Heading3"/>
        <w:spacing w:before="160" w:after="40"/>
      </w:pPr>
      <w:r>
        <w:rPr>
          <w:rFonts w:ascii="Calibri" w:hAnsi="Calibri"/>
          <w:b/>
          <w:i w:val="0"/>
          <w:color w:val="1B5E20"/>
          <w:sz w:val="22"/>
        </w:rPr>
        <w:t>3H. Traffic Forecasting Dashboard  [Vol II, #17]</w:t>
      </w:r>
    </w:p>
    <w:p>
      <w:pPr>
        <w:spacing w:before="20" w:after="60"/>
      </w:pPr>
      <w:r>
        <w:rPr>
          <w:rFonts w:ascii="Calibri" w:hAnsi="Calibri"/>
          <w:b w:val="0"/>
          <w:i w:val="0"/>
          <w:color w:val="212121"/>
          <w:sz w:val="20"/>
        </w:rPr>
        <w:t>Hourly traffic forecast for next 24h using same-day-of-week patterns (8-week window). Confidence bands, and alert when actual traffic deviates &gt;30% from forecast.</w:t>
      </w:r>
    </w:p>
    <w:p>
      <w:pPr>
        <w:pStyle w:val="ListBullet"/>
        <w:spacing w:before="20" w:after="20"/>
        <w:ind w:left="432"/>
      </w:pPr>
      <w:r>
        <w:rPr>
          <w:rFonts w:ascii="Calibri" w:hAnsi="Calibri"/>
          <w:b w:val="0"/>
          <w:i w:val="0"/>
          <w:color w:val="212121"/>
          <w:sz w:val="20"/>
        </w:rPr>
        <w:t>Effort: MEDIUM — 5–7 days.</w:t>
      </w:r>
    </w:p>
    <w:p>
      <w:pPr>
        <w:pStyle w:val="ListBullet"/>
        <w:spacing w:before="20" w:after="20"/>
        <w:ind w:left="432"/>
      </w:pPr>
      <w:r>
        <w:rPr>
          <w:rFonts w:ascii="Calibri" w:hAnsi="Calibri"/>
          <w:b w:val="0"/>
          <w:i w:val="0"/>
          <w:color w:val="212121"/>
          <w:sz w:val="20"/>
        </w:rPr>
        <w:t>Dependency: Sufficient CDR history (at least 8 weeks — available by Phase 3).</w:t>
      </w:r>
    </w:p>
    <w:p>
      <w:pPr>
        <w:pStyle w:val="Heading3"/>
        <w:spacing w:before="160" w:after="40"/>
      </w:pPr>
      <w:r>
        <w:rPr>
          <w:rFonts w:ascii="Calibri" w:hAnsi="Calibri"/>
          <w:b/>
          <w:i w:val="0"/>
          <w:color w:val="1B5E20"/>
          <w:sz w:val="22"/>
        </w:rPr>
        <w:t>3I. CDR Anomaly Detector  [Vol II, #20]</w:t>
      </w:r>
    </w:p>
    <w:p>
      <w:pPr>
        <w:spacing w:before="20" w:after="60"/>
      </w:pPr>
      <w:r>
        <w:rPr>
          <w:rFonts w:ascii="Calibri" w:hAnsi="Calibri"/>
          <w:b w:val="0"/>
          <w:i w:val="0"/>
          <w:color w:val="212121"/>
          <w:sz w:val="20"/>
        </w:rPr>
        <w:t>Nightly statistical scan of CDRs flagging records that deviate &gt;3σ from baseline for that account, destination, and time window. Anomaly inbox with severity score.</w:t>
      </w:r>
    </w:p>
    <w:p>
      <w:pPr>
        <w:pStyle w:val="ListBullet"/>
        <w:spacing w:before="20" w:after="20"/>
        <w:ind w:left="432"/>
      </w:pPr>
      <w:r>
        <w:rPr>
          <w:rFonts w:ascii="Calibri" w:hAnsi="Calibri"/>
          <w:b w:val="0"/>
          <w:i w:val="0"/>
          <w:color w:val="212121"/>
          <w:sz w:val="20"/>
        </w:rPr>
        <w:t>Effort: MEDIUM — 5–7 days.</w:t>
      </w:r>
    </w:p>
    <w:p>
      <w:pPr>
        <w:pStyle w:val="ListBullet"/>
        <w:spacing w:before="20" w:after="20"/>
        <w:ind w:left="432"/>
      </w:pPr>
      <w:r>
        <w:rPr>
          <w:rFonts w:ascii="Calibri" w:hAnsi="Calibri"/>
          <w:b w:val="0"/>
          <w:i w:val="0"/>
          <w:color w:val="212121"/>
          <w:sz w:val="20"/>
        </w:rPr>
        <w:t>Dependency: None — but requires sufficient CDR history.</w:t>
      </w:r>
    </w:p>
    <w:p>
      <w:pPr>
        <w:pStyle w:val="Heading3"/>
        <w:spacing w:before="160" w:after="40"/>
      </w:pPr>
      <w:r>
        <w:rPr>
          <w:rFonts w:ascii="Calibri" w:hAnsi="Calibri"/>
          <w:b/>
          <w:i w:val="0"/>
          <w:color w:val="1B5E20"/>
          <w:sz w:val="22"/>
        </w:rPr>
        <w:t>3J. Vendor SLA Breach Evidence Pack  — Enhancement of 2K</w:t>
      </w:r>
    </w:p>
    <w:p>
      <w:pPr>
        <w:spacing w:before="20" w:after="60"/>
      </w:pPr>
      <w:r>
        <w:rPr>
          <w:rFonts w:ascii="Calibri" w:hAnsi="Calibri"/>
          <w:b w:val="0"/>
          <w:i w:val="0"/>
          <w:color w:val="212121"/>
          <w:sz w:val="20"/>
        </w:rPr>
        <w:t>Extend the SLA Monitoring (2K) to auto-generate a monthly PDF evidence pack per vendor showing every breach event with timestamps, metric values, and impacted calls.</w:t>
      </w:r>
    </w:p>
    <w:p>
      <w:pPr>
        <w:pStyle w:val="ListBullet"/>
        <w:spacing w:before="20" w:after="20"/>
        <w:ind w:left="432"/>
      </w:pPr>
      <w:r>
        <w:rPr>
          <w:rFonts w:ascii="Calibri" w:hAnsi="Calibri"/>
          <w:b w:val="0"/>
          <w:i w:val="0"/>
          <w:color w:val="212121"/>
          <w:sz w:val="20"/>
        </w:rPr>
        <w:t>Effort: LOW-MEDIUM — 3–4 days (extension of 2K).</w:t>
      </w:r>
    </w:p>
    <w:p>
      <w:pPr>
        <w:pStyle w:val="ListBullet"/>
        <w:spacing w:before="20" w:after="20"/>
        <w:ind w:left="432"/>
      </w:pPr>
      <w:r>
        <w:rPr>
          <w:rFonts w:ascii="Calibri" w:hAnsi="Calibri"/>
          <w:b w:val="0"/>
          <w:i w:val="0"/>
          <w:color w:val="212121"/>
          <w:sz w:val="20"/>
        </w:rPr>
        <w:t>Dependency: SLA Monitoring (2K) must be live.</w:t>
      </w:r>
    </w:p>
    <w:p>
      <w:pPr>
        <w:pStyle w:val="Heading3"/>
        <w:spacing w:before="160" w:after="40"/>
      </w:pPr>
      <w:r>
        <w:rPr>
          <w:rFonts w:ascii="Calibri" w:hAnsi="Calibri"/>
          <w:b/>
          <w:i w:val="0"/>
          <w:color w:val="1B5E20"/>
          <w:sz w:val="22"/>
        </w:rPr>
        <w:t>3K. DTMF Analytics &amp; Failure Tracking  [Vol II, #3]</w:t>
      </w:r>
    </w:p>
    <w:p>
      <w:pPr>
        <w:spacing w:before="20" w:after="60"/>
      </w:pPr>
      <w:r>
        <w:rPr>
          <w:rFonts w:ascii="Calibri" w:hAnsi="Calibri"/>
          <w:b w:val="0"/>
          <w:i w:val="0"/>
          <w:color w:val="212121"/>
          <w:sz w:val="20"/>
        </w:rPr>
        <w:t>Track DTMF method (RFC 2833, in-band, SIP INFO) per carrier. Per-carrier DTMF reliability score. Alert when failure rate exceeds threshold.</w:t>
      </w:r>
    </w:p>
    <w:p>
      <w:pPr>
        <w:pStyle w:val="ListBullet"/>
        <w:spacing w:before="20" w:after="20"/>
        <w:ind w:left="432"/>
      </w:pPr>
      <w:r>
        <w:rPr>
          <w:rFonts w:ascii="Calibri" w:hAnsi="Calibri"/>
          <w:b w:val="0"/>
          <w:i w:val="0"/>
          <w:color w:val="212121"/>
          <w:sz w:val="20"/>
        </w:rPr>
        <w:t>Effort: LOW-MEDIUM — 3–4 days.</w:t>
      </w:r>
    </w:p>
    <w:p>
      <w:pPr>
        <w:pStyle w:val="Heading3"/>
        <w:spacing w:before="160" w:after="40"/>
      </w:pPr>
      <w:r>
        <w:rPr>
          <w:rFonts w:ascii="Calibri" w:hAnsi="Calibri"/>
          <w:b/>
          <w:i w:val="0"/>
          <w:color w:val="1B5E20"/>
          <w:sz w:val="22"/>
        </w:rPr>
        <w:t>3L. Click-to-Call &amp; Test Call Launcher  [Vol II, #16]</w:t>
      </w:r>
    </w:p>
    <w:p>
      <w:pPr>
        <w:spacing w:before="20" w:after="60"/>
      </w:pPr>
      <w:r>
        <w:rPr>
          <w:rFonts w:ascii="Calibri" w:hAnsi="Calibri"/>
          <w:b w:val="0"/>
          <w:i w:val="0"/>
          <w:color w:val="212121"/>
          <w:sz w:val="20"/>
        </w:rPr>
        <w:t>Place test calls via Sippy XML-RPC originate. Real-time progress display. CDR for the test call auto-linked and highlighted in CDR Viewer.</w:t>
      </w:r>
    </w:p>
    <w:p>
      <w:pPr>
        <w:pStyle w:val="ListBullet"/>
        <w:spacing w:before="20" w:after="20"/>
        <w:ind w:left="432"/>
      </w:pPr>
      <w:r>
        <w:rPr>
          <w:rFonts w:ascii="Calibri" w:hAnsi="Calibri"/>
          <w:b w:val="0"/>
          <w:i w:val="0"/>
          <w:color w:val="212121"/>
          <w:sz w:val="20"/>
        </w:rPr>
        <w:t>Effort: LOW — 3–4 days.</w:t>
      </w:r>
    </w:p>
    <w:p>
      <w:pPr>
        <w:pStyle w:val="ListBullet"/>
        <w:spacing w:before="20" w:after="20"/>
        <w:ind w:left="432"/>
      </w:pPr>
      <w:r>
        <w:rPr>
          <w:rFonts w:ascii="Calibri" w:hAnsi="Calibri"/>
          <w:b w:val="0"/>
          <w:i w:val="0"/>
          <w:color w:val="212121"/>
          <w:sz w:val="20"/>
        </w:rPr>
        <w:t>Why Phase 3: Useful once routing has been tuned by earlier phases — rapid verification tool.</w:t>
      </w:r>
    </w:p>
    <w:p>
      <w:pPr>
        <w:pStyle w:val="Heading3"/>
        <w:spacing w:before="160" w:after="40"/>
      </w:pPr>
      <w:r>
        <w:rPr>
          <w:rFonts w:ascii="Calibri" w:hAnsi="Calibri"/>
          <w:b/>
          <w:i w:val="0"/>
          <w:color w:val="1B5E20"/>
          <w:sz w:val="22"/>
        </w:rPr>
        <w:t>3M. Number Inventory Management  [Vol II, #15]</w:t>
      </w:r>
    </w:p>
    <w:p>
      <w:pPr>
        <w:spacing w:before="20" w:after="60"/>
      </w:pPr>
      <w:r>
        <w:rPr>
          <w:rFonts w:ascii="Calibri" w:hAnsi="Calibri"/>
          <w:b w:val="0"/>
          <w:i w:val="0"/>
          <w:color w:val="212121"/>
          <w:sz w:val="20"/>
        </w:rPr>
        <w:t>Full number range inventory: geography, provider, lease cost, utilisation rate, expiry tracking, and porting request status. Alert 30 days before lease expiry.</w:t>
      </w:r>
    </w:p>
    <w:p>
      <w:pPr>
        <w:pStyle w:val="ListBullet"/>
        <w:spacing w:before="20" w:after="20"/>
        <w:ind w:left="432"/>
      </w:pPr>
      <w:r>
        <w:rPr>
          <w:rFonts w:ascii="Calibri" w:hAnsi="Calibri"/>
          <w:b w:val="0"/>
          <w:i w:val="0"/>
          <w:color w:val="212121"/>
          <w:sz w:val="20"/>
        </w:rPr>
        <w:t>Effort: MEDIUM — 5–6 days.</w:t>
      </w:r>
    </w:p>
    <w:p>
      <w:pPr>
        <w:pStyle w:val="Heading3"/>
        <w:spacing w:before="160" w:after="40"/>
      </w:pPr>
      <w:r>
        <w:rPr>
          <w:rFonts w:ascii="Calibri" w:hAnsi="Calibri"/>
          <w:b/>
          <w:i w:val="0"/>
          <w:color w:val="1B5E20"/>
          <w:sz w:val="22"/>
        </w:rPr>
        <w:t>3N. Call Flow Simulator  [Vol II, #6]</w:t>
      </w:r>
    </w:p>
    <w:p>
      <w:pPr>
        <w:spacing w:before="20" w:after="60"/>
      </w:pPr>
      <w:r>
        <w:rPr>
          <w:rFonts w:ascii="Calibri" w:hAnsi="Calibri"/>
          <w:b w:val="0"/>
          <w:i w:val="0"/>
          <w:color w:val="212121"/>
          <w:sz w:val="20"/>
        </w:rPr>
        <w:t>Sandbox dialplan simulator: enter source + destination, see which route group and carrier would be selected. Flags 503 conditions before a real call is placed.</w:t>
      </w:r>
    </w:p>
    <w:p>
      <w:pPr>
        <w:pStyle w:val="ListBullet"/>
        <w:spacing w:before="20" w:after="20"/>
        <w:ind w:left="432"/>
      </w:pPr>
      <w:r>
        <w:rPr>
          <w:rFonts w:ascii="Calibri" w:hAnsi="Calibri"/>
          <w:b w:val="0"/>
          <w:i w:val="0"/>
          <w:color w:val="212121"/>
          <w:sz w:val="20"/>
        </w:rPr>
        <w:t>Effort: MEDIUM — 5–7 days.</w:t>
      </w:r>
    </w:p>
    <w:p>
      <w:pPr>
        <w:pStyle w:val="ListBullet"/>
        <w:spacing w:before="20" w:after="20"/>
        <w:ind w:left="432"/>
      </w:pPr>
      <w:r>
        <w:rPr>
          <w:rFonts w:ascii="Calibri" w:hAnsi="Calibri"/>
          <w:b w:val="0"/>
          <w:i w:val="0"/>
          <w:color w:val="212121"/>
          <w:sz w:val="20"/>
        </w:rPr>
        <w:t>Why Phase 3: Most valuable after routing changes from Cost Optimisation (3E) are being made frequently.</w:t>
      </w:r>
    </w:p>
    <w:p>
      <w:pPr>
        <w:pStyle w:val="ListBullet"/>
        <w:spacing w:before="20" w:after="20"/>
        <w:ind w:left="432"/>
      </w:pPr>
      <w:r>
        <w:rPr>
          <w:rFonts w:ascii="Calibri" w:hAnsi="Calibri"/>
          <w:b w:val="0"/>
          <w:i w:val="0"/>
          <w:color w:val="212121"/>
          <w:sz w:val="20"/>
        </w:rPr>
        <w:t>Dependency: Benefits from Rate Card data (2A) to show cost of the simulated route.</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454"/>
            <w:shd w:val="clear" w:color="auto" w:fill="1B5E20"/>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w:t>
            </w:r>
          </w:p>
        </w:tc>
        <w:tc>
          <w:tcPr>
            <w:tcW w:type="dxa" w:w="3402"/>
            <w:shd w:val="clear" w:color="auto" w:fill="1B5E20"/>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Feature</w:t>
            </w:r>
          </w:p>
        </w:tc>
        <w:tc>
          <w:tcPr>
            <w:tcW w:type="dxa" w:w="567"/>
            <w:shd w:val="clear" w:color="auto" w:fill="1B5E20"/>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Vol</w:t>
            </w:r>
          </w:p>
        </w:tc>
        <w:tc>
          <w:tcPr>
            <w:tcW w:type="dxa" w:w="1134"/>
            <w:shd w:val="clear" w:color="auto" w:fill="1B5E20"/>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Effort</w:t>
            </w:r>
          </w:p>
        </w:tc>
        <w:tc>
          <w:tcPr>
            <w:tcW w:type="dxa" w:w="850"/>
            <w:shd w:val="clear" w:color="auto" w:fill="1B5E20"/>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Days</w:t>
            </w:r>
          </w:p>
        </w:tc>
        <w:tc>
          <w:tcPr>
            <w:tcW w:type="dxa" w:w="3515"/>
            <w:shd w:val="clear" w:color="auto" w:fill="1B5E20"/>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Dependency</w:t>
            </w:r>
          </w:p>
        </w:tc>
      </w:tr>
      <w:tr>
        <w:tc>
          <w:tcPr>
            <w:tcW w:type="dxa" w:w="454"/>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3A</w:t>
            </w:r>
          </w:p>
        </w:tc>
        <w:tc>
          <w:tcPr>
            <w:tcW w:type="dxa" w:w="3402"/>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Revenue &amp; Margin Analytics ★</w:t>
            </w:r>
          </w:p>
        </w:tc>
        <w:tc>
          <w:tcPr>
            <w:tcW w:type="dxa" w:w="567"/>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High</w:t>
            </w:r>
          </w:p>
        </w:tc>
        <w:tc>
          <w:tcPr>
            <w:tcW w:type="dxa" w:w="850"/>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8–10</w:t>
            </w:r>
          </w:p>
        </w:tc>
        <w:tc>
          <w:tcPr>
            <w:tcW w:type="dxa" w:w="3515"/>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2A Rate Card</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3B</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LCR Analyser</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5–7</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2A Rate Card</w:t>
            </w:r>
          </w:p>
        </w:tc>
      </w:tr>
      <w:tr>
        <w:tc>
          <w:tcPr>
            <w:tcW w:type="dxa" w:w="454"/>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3C</w:t>
            </w:r>
          </w:p>
        </w:tc>
        <w:tc>
          <w:tcPr>
            <w:tcW w:type="dxa" w:w="3402"/>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Billing Report Generator</w:t>
            </w:r>
          </w:p>
        </w:tc>
        <w:tc>
          <w:tcPr>
            <w:tcW w:type="dxa" w:w="567"/>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High</w:t>
            </w:r>
          </w:p>
        </w:tc>
        <w:tc>
          <w:tcPr>
            <w:tcW w:type="dxa" w:w="850"/>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8–10</w:t>
            </w:r>
          </w:p>
        </w:tc>
        <w:tc>
          <w:tcPr>
            <w:tcW w:type="dxa" w:w="3515"/>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2A Rate Card</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3D</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Scheduled Report Delivery</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5–6</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3C, 2B</w:t>
            </w:r>
          </w:p>
        </w:tc>
      </w:tr>
      <w:tr>
        <w:tc>
          <w:tcPr>
            <w:tcW w:type="dxa" w:w="454"/>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3E</w:t>
            </w:r>
          </w:p>
        </w:tc>
        <w:tc>
          <w:tcPr>
            <w:tcW w:type="dxa" w:w="3402"/>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Cost Optimisation Engine</w:t>
            </w:r>
          </w:p>
        </w:tc>
        <w:tc>
          <w:tcPr>
            <w:tcW w:type="dxa" w:w="567"/>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High</w:t>
            </w:r>
          </w:p>
        </w:tc>
        <w:tc>
          <w:tcPr>
            <w:tcW w:type="dxa" w:w="850"/>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8–10</w:t>
            </w:r>
          </w:p>
        </w:tc>
        <w:tc>
          <w:tcPr>
            <w:tcW w:type="dxa" w:w="3515"/>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2A, 3B</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3F</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Route Quality Heatmap</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5–6</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3G</w:t>
            </w:r>
          </w:p>
        </w:tc>
        <w:tc>
          <w:tcPr>
            <w:tcW w:type="dxa" w:w="3402"/>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Geographic Revenue Heatmap</w:t>
            </w:r>
          </w:p>
        </w:tc>
        <w:tc>
          <w:tcPr>
            <w:tcW w:type="dxa" w:w="567"/>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5–7</w:t>
            </w:r>
          </w:p>
        </w:tc>
        <w:tc>
          <w:tcPr>
            <w:tcW w:type="dxa" w:w="3515"/>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2A</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3H</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Traffic Forecasting</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5–7</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8-week CDR history</w:t>
            </w:r>
          </w:p>
        </w:tc>
      </w:tr>
      <w:tr>
        <w:tc>
          <w:tcPr>
            <w:tcW w:type="dxa" w:w="454"/>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3I</w:t>
            </w:r>
          </w:p>
        </w:tc>
        <w:tc>
          <w:tcPr>
            <w:tcW w:type="dxa" w:w="3402"/>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CDR Anomaly Detector</w:t>
            </w:r>
          </w:p>
        </w:tc>
        <w:tc>
          <w:tcPr>
            <w:tcW w:type="dxa" w:w="567"/>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5–7</w:t>
            </w:r>
          </w:p>
        </w:tc>
        <w:tc>
          <w:tcPr>
            <w:tcW w:type="dxa" w:w="3515"/>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CDR history</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3J</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SLA Evidence Pack</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Low-Med</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3–4</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2K</w:t>
            </w:r>
          </w:p>
        </w:tc>
      </w:tr>
      <w:tr>
        <w:tc>
          <w:tcPr>
            <w:tcW w:type="dxa" w:w="454"/>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3K</w:t>
            </w:r>
          </w:p>
        </w:tc>
        <w:tc>
          <w:tcPr>
            <w:tcW w:type="dxa" w:w="3402"/>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DTMF Analytics</w:t>
            </w:r>
          </w:p>
        </w:tc>
        <w:tc>
          <w:tcPr>
            <w:tcW w:type="dxa" w:w="567"/>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Low-Med</w:t>
            </w:r>
          </w:p>
        </w:tc>
        <w:tc>
          <w:tcPr>
            <w:tcW w:type="dxa" w:w="850"/>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3–4</w:t>
            </w:r>
          </w:p>
        </w:tc>
        <w:tc>
          <w:tcPr>
            <w:tcW w:type="dxa" w:w="3515"/>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3L</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Click-to-Call Launcher</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Low</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3–4</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3M</w:t>
            </w:r>
          </w:p>
        </w:tc>
        <w:tc>
          <w:tcPr>
            <w:tcW w:type="dxa" w:w="3402"/>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Number Inventory</w:t>
            </w:r>
          </w:p>
        </w:tc>
        <w:tc>
          <w:tcPr>
            <w:tcW w:type="dxa" w:w="567"/>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5–6</w:t>
            </w:r>
          </w:p>
        </w:tc>
        <w:tc>
          <w:tcPr>
            <w:tcW w:type="dxa" w:w="3515"/>
            <w:shd w:val="clear" w:color="auto" w:fill="E8F5E9"/>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3N</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Call Flow Simulator</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5–7</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2A recommended</w:t>
            </w:r>
          </w:p>
        </w:tc>
      </w:tr>
    </w:tbl>
    <w:p/>
    <w:p>
      <w:pPr>
        <w:pStyle w:val="Heading2"/>
        <w:spacing w:before="280" w:after="120"/>
        <w:shd w:val="clear" w:color="auto" w:fill="4A148C"/>
      </w:pPr>
      <w:r>
        <w:rPr>
          <w:rFonts w:ascii="Calibri" w:hAnsi="Calibri"/>
          <w:b/>
          <w:i w:val="0"/>
          <w:color w:val="FFFFFF"/>
          <w:sz w:val="28"/>
        </w:rPr>
        <w:t>PHASE 4 — Scale &amp; Compliance  |  Weeks 19–28</w:t>
      </w:r>
    </w:p>
    <w:p>
      <w:pPr>
        <w:shd w:val="clear" w:color="auto" w:fill="F3E5F5"/>
        <w:spacing w:before="80" w:after="120"/>
      </w:pPr>
      <w:r>
        <w:rPr>
          <w:rFonts w:ascii="Calibri" w:hAnsi="Calibri"/>
          <w:b w:val="0"/>
          <w:i/>
          <w:color w:val="4A148C"/>
          <w:sz w:val="20"/>
        </w:rPr>
        <w:t xml:space="preserve">  Goal: Enterprise-grade security, compliance, and scalability. Phase 4 features are valuable but require the most development effort or have external dependencies (Homer server, multi-switch infrastructure). Schedule after Phase 3 proves ROI and secures engineering budget.  </w:t>
      </w:r>
    </w:p>
    <w:p>
      <w:pPr>
        <w:pStyle w:val="Heading3"/>
        <w:spacing w:before="160" w:after="40"/>
      </w:pPr>
      <w:r>
        <w:rPr>
          <w:rFonts w:ascii="Calibri" w:hAnsi="Calibri"/>
          <w:b/>
          <w:i w:val="0"/>
          <w:color w:val="4A148C"/>
          <w:sz w:val="22"/>
        </w:rPr>
        <w:t>4A. Two-Factor Authentication (2FA)  [Vol I, #19]</w:t>
      </w:r>
    </w:p>
    <w:p>
      <w:pPr>
        <w:spacing w:before="20" w:after="60"/>
      </w:pPr>
      <w:r>
        <w:rPr>
          <w:rFonts w:ascii="Calibri" w:hAnsi="Calibri"/>
          <w:b w:val="0"/>
          <w:i w:val="0"/>
          <w:color w:val="212121"/>
          <w:sz w:val="20"/>
        </w:rPr>
        <w:t>TOTP-based 2FA (Google Authenticator / Authy) for Admin and Management roles. QR code enrollment, recovery codes, and 2FA status in Team Management page.</w:t>
      </w:r>
    </w:p>
    <w:p>
      <w:pPr>
        <w:pStyle w:val="ListBullet"/>
        <w:spacing w:before="20" w:after="20"/>
        <w:ind w:left="432"/>
      </w:pPr>
      <w:r>
        <w:rPr>
          <w:rFonts w:ascii="Calibri" w:hAnsi="Calibri"/>
          <w:b w:val="0"/>
          <w:i w:val="0"/>
          <w:color w:val="212121"/>
          <w:sz w:val="20"/>
        </w:rPr>
        <w:t>Effort: MEDIUM — 5–7 days.</w:t>
      </w:r>
    </w:p>
    <w:p>
      <w:pPr>
        <w:pStyle w:val="ListBullet"/>
        <w:spacing w:before="20" w:after="20"/>
        <w:ind w:left="432"/>
      </w:pPr>
      <w:r>
        <w:rPr>
          <w:rFonts w:ascii="Calibri" w:hAnsi="Calibri"/>
          <w:b w:val="0"/>
          <w:i w:val="0"/>
          <w:color w:val="212121"/>
          <w:sz w:val="20"/>
        </w:rPr>
        <w:t>Why Phase 4: Security hardening that is important but not urgent — Phase 1 fraud controls take priority.</w:t>
      </w:r>
    </w:p>
    <w:p>
      <w:pPr>
        <w:pStyle w:val="Heading3"/>
        <w:spacing w:before="160" w:after="40"/>
      </w:pPr>
      <w:r>
        <w:rPr>
          <w:rFonts w:ascii="Calibri" w:hAnsi="Calibri"/>
          <w:b/>
          <w:i w:val="0"/>
          <w:color w:val="4A148C"/>
          <w:sz w:val="22"/>
        </w:rPr>
        <w:t>4B. STIR/SHAKEN Compliance Dashboard  [Vol I, #16]</w:t>
      </w:r>
    </w:p>
    <w:p>
      <w:pPr>
        <w:spacing w:before="20" w:after="60"/>
      </w:pPr>
      <w:r>
        <w:rPr>
          <w:rFonts w:ascii="Calibri" w:hAnsi="Calibri"/>
          <w:b w:val="0"/>
          <w:i w:val="0"/>
          <w:color w:val="212121"/>
          <w:sz w:val="20"/>
        </w:rPr>
        <w:t>Parse attestation levels (A/B/C) from SIP headers. Trend chart. Flag unauthenticated calls to US/Canada destinations. Regulatory compliance evidence for enterprise clients.</w:t>
      </w:r>
    </w:p>
    <w:p>
      <w:pPr>
        <w:pStyle w:val="ListBullet"/>
        <w:spacing w:before="20" w:after="20"/>
        <w:ind w:left="432"/>
      </w:pPr>
      <w:r>
        <w:rPr>
          <w:rFonts w:ascii="Calibri" w:hAnsi="Calibri"/>
          <w:b w:val="0"/>
          <w:i w:val="0"/>
          <w:color w:val="212121"/>
          <w:sz w:val="20"/>
        </w:rPr>
        <w:t>Effort: LOW-MEDIUM — 3–5 days.</w:t>
      </w:r>
    </w:p>
    <w:p>
      <w:pPr>
        <w:pStyle w:val="ListBullet"/>
        <w:spacing w:before="20" w:after="20"/>
        <w:ind w:left="432"/>
      </w:pPr>
      <w:r>
        <w:rPr>
          <w:rFonts w:ascii="Calibri" w:hAnsi="Calibri"/>
          <w:b w:val="0"/>
          <w:i w:val="0"/>
          <w:color w:val="212121"/>
          <w:sz w:val="20"/>
        </w:rPr>
        <w:t>Why Phase 4: Required for US-terminating traffic compliance, but regulatory deadlines allow scheduling here.</w:t>
      </w:r>
    </w:p>
    <w:p>
      <w:pPr>
        <w:pStyle w:val="Heading3"/>
        <w:spacing w:before="160" w:after="40"/>
      </w:pPr>
      <w:r>
        <w:rPr>
          <w:rFonts w:ascii="Calibri" w:hAnsi="Calibri"/>
          <w:b/>
          <w:i w:val="0"/>
          <w:color w:val="4A148C"/>
          <w:sz w:val="22"/>
        </w:rPr>
        <w:t>4C. CLI/ANI Spoofing Detector  [Vol I, #17]</w:t>
      </w:r>
    </w:p>
    <w:p>
      <w:pPr>
        <w:spacing w:before="20" w:after="60"/>
      </w:pPr>
      <w:r>
        <w:rPr>
          <w:rFonts w:ascii="Calibri" w:hAnsi="Calibri"/>
          <w:b w:val="0"/>
          <w:i w:val="0"/>
          <w:color w:val="212121"/>
          <w:sz w:val="20"/>
        </w:rPr>
        <w:t>Detect sequential caller IDs, geographic mismatches, high destination diversity per CLI, and known spoofed number blacklists (FCC/Ofcom).</w:t>
      </w:r>
    </w:p>
    <w:p>
      <w:pPr>
        <w:pStyle w:val="ListBullet"/>
        <w:spacing w:before="20" w:after="20"/>
        <w:ind w:left="432"/>
      </w:pPr>
      <w:r>
        <w:rPr>
          <w:rFonts w:ascii="Calibri" w:hAnsi="Calibri"/>
          <w:b w:val="0"/>
          <w:i w:val="0"/>
          <w:color w:val="212121"/>
          <w:sz w:val="20"/>
        </w:rPr>
        <w:t>Effort: MEDIUM — 5–7 days.</w:t>
      </w:r>
    </w:p>
    <w:p>
      <w:pPr>
        <w:pStyle w:val="ListBullet"/>
        <w:spacing w:before="20" w:after="20"/>
        <w:ind w:left="432"/>
      </w:pPr>
      <w:r>
        <w:rPr>
          <w:rFonts w:ascii="Calibri" w:hAnsi="Calibri"/>
          <w:b w:val="0"/>
          <w:i w:val="0"/>
          <w:color w:val="212121"/>
          <w:sz w:val="20"/>
        </w:rPr>
        <w:t>Dependency: Benefits from Robocall Detector (2F) pattern data.</w:t>
      </w:r>
    </w:p>
    <w:p>
      <w:pPr>
        <w:pStyle w:val="Heading3"/>
        <w:spacing w:before="160" w:after="40"/>
      </w:pPr>
      <w:r>
        <w:rPr>
          <w:rFonts w:ascii="Calibri" w:hAnsi="Calibri"/>
          <w:b/>
          <w:i w:val="0"/>
          <w:color w:val="4A148C"/>
          <w:sz w:val="22"/>
        </w:rPr>
        <w:t>4D. RTP Port &amp; NAT Traversal Monitor  [Vol II, #4]</w:t>
      </w:r>
    </w:p>
    <w:p>
      <w:pPr>
        <w:spacing w:before="20" w:after="60"/>
      </w:pPr>
      <w:r>
        <w:rPr>
          <w:rFonts w:ascii="Calibri" w:hAnsi="Calibri"/>
          <w:b w:val="0"/>
          <w:i w:val="0"/>
          <w:color w:val="212121"/>
          <w:sz w:val="20"/>
        </w:rPr>
        <w:t>Identify one-way audio events from Sippy RTP timeout flags. Group by source IP range. Alert and suggest remediation (STUN/TURN/symmetric RTP).</w:t>
      </w:r>
    </w:p>
    <w:p>
      <w:pPr>
        <w:pStyle w:val="ListBullet"/>
        <w:spacing w:before="20" w:after="20"/>
        <w:ind w:left="432"/>
      </w:pPr>
      <w:r>
        <w:rPr>
          <w:rFonts w:ascii="Calibri" w:hAnsi="Calibri"/>
          <w:b w:val="0"/>
          <w:i w:val="0"/>
          <w:color w:val="212121"/>
          <w:sz w:val="20"/>
        </w:rPr>
        <w:t>Effort: MEDIUM — 5–6 days.</w:t>
      </w:r>
    </w:p>
    <w:p>
      <w:pPr>
        <w:pStyle w:val="Heading3"/>
        <w:spacing w:before="160" w:after="40"/>
      </w:pPr>
      <w:r>
        <w:rPr>
          <w:rFonts w:ascii="Calibri" w:hAnsi="Calibri"/>
          <w:b/>
          <w:i w:val="0"/>
          <w:color w:val="4A148C"/>
          <w:sz w:val="22"/>
        </w:rPr>
        <w:t>4E. Peer Carrier Benchmarking  [Vol II, #19]</w:t>
      </w:r>
    </w:p>
    <w:p>
      <w:pPr>
        <w:spacing w:before="20" w:after="60"/>
      </w:pPr>
      <w:r>
        <w:rPr>
          <w:rFonts w:ascii="Calibri" w:hAnsi="Calibri"/>
          <w:b w:val="0"/>
          <w:i w:val="0"/>
          <w:color w:val="212121"/>
          <w:sz w:val="20"/>
        </w:rPr>
        <w:t>Compare operator's ASR, ACD, PDD, and MOS against anonymised industry medians per destination region. Monthly benchmark email report.</w:t>
      </w:r>
    </w:p>
    <w:p>
      <w:pPr>
        <w:pStyle w:val="ListBullet"/>
        <w:spacing w:before="20" w:after="20"/>
        <w:ind w:left="432"/>
      </w:pPr>
      <w:r>
        <w:rPr>
          <w:rFonts w:ascii="Calibri" w:hAnsi="Calibri"/>
          <w:b w:val="0"/>
          <w:i w:val="0"/>
          <w:color w:val="212121"/>
          <w:sz w:val="20"/>
        </w:rPr>
        <w:t>Effort: HIGH — 8–10 days. Requires building the anonymised benchmark dataset.</w:t>
      </w:r>
    </w:p>
    <w:p>
      <w:pPr>
        <w:pStyle w:val="ListBullet"/>
        <w:spacing w:before="20" w:after="20"/>
        <w:ind w:left="432"/>
      </w:pPr>
      <w:r>
        <w:rPr>
          <w:rFonts w:ascii="Calibri" w:hAnsi="Calibri"/>
          <w:b w:val="0"/>
          <w:i w:val="0"/>
          <w:color w:val="212121"/>
          <w:sz w:val="20"/>
        </w:rPr>
        <w:t>Why Phase 4: High value but requires significant data collection effort.</w:t>
      </w:r>
    </w:p>
    <w:p>
      <w:pPr>
        <w:pStyle w:val="Heading3"/>
        <w:spacing w:before="160" w:after="40"/>
      </w:pPr>
      <w:r>
        <w:rPr>
          <w:rFonts w:ascii="Calibri" w:hAnsi="Calibri"/>
          <w:b/>
          <w:i w:val="0"/>
          <w:color w:val="4A148C"/>
          <w:sz w:val="22"/>
        </w:rPr>
        <w:t>4F. API Key Management &amp; External Integrations  [Vol I, #24]</w:t>
      </w:r>
    </w:p>
    <w:p>
      <w:pPr>
        <w:spacing w:before="20" w:after="60"/>
      </w:pPr>
      <w:r>
        <w:rPr>
          <w:rFonts w:ascii="Calibri" w:hAnsi="Calibri"/>
          <w:b w:val="0"/>
          <w:i w:val="0"/>
          <w:color w:val="212121"/>
          <w:sz w:val="20"/>
        </w:rPr>
        <w:t>Generate scoped API keys for external systems. Expose: /ext/api/live-calls, /ext/api/balance, /ext/api/asr-acd. Webhook push for alerts. Key rotation and expiry control.</w:t>
      </w:r>
    </w:p>
    <w:p>
      <w:pPr>
        <w:pStyle w:val="ListBullet"/>
        <w:spacing w:before="20" w:after="20"/>
        <w:ind w:left="432"/>
      </w:pPr>
      <w:r>
        <w:rPr>
          <w:rFonts w:ascii="Calibri" w:hAnsi="Calibri"/>
          <w:b w:val="0"/>
          <w:i w:val="0"/>
          <w:color w:val="212121"/>
          <w:sz w:val="20"/>
        </w:rPr>
        <w:t>Effort: HIGH — 7–9 days.</w:t>
      </w:r>
    </w:p>
    <w:p>
      <w:pPr>
        <w:pStyle w:val="ListBullet"/>
        <w:spacing w:before="20" w:after="20"/>
        <w:ind w:left="432"/>
      </w:pPr>
      <w:r>
        <w:rPr>
          <w:rFonts w:ascii="Calibri" w:hAnsi="Calibri"/>
          <w:b w:val="0"/>
          <w:i w:val="0"/>
          <w:color w:val="212121"/>
          <w:sz w:val="20"/>
        </w:rPr>
        <w:t>Why Phase 4: Enables ecosystem integrations but requires a stable API surface — best after Phase 3 data models are finalised.</w:t>
      </w:r>
    </w:p>
    <w:p>
      <w:pPr>
        <w:pStyle w:val="Heading3"/>
        <w:spacing w:before="160" w:after="40"/>
      </w:pPr>
      <w:r>
        <w:rPr>
          <w:rFonts w:ascii="Calibri" w:hAnsi="Calibri"/>
          <w:b/>
          <w:i w:val="0"/>
          <w:color w:val="4A148C"/>
          <w:sz w:val="22"/>
        </w:rPr>
        <w:t>4G. Homer / HEP SIP Trace Integration  [Vol I, #9]</w:t>
      </w:r>
    </w:p>
    <w:p>
      <w:pPr>
        <w:spacing w:before="20" w:after="60"/>
      </w:pPr>
      <w:r>
        <w:rPr>
          <w:rFonts w:ascii="Calibri" w:hAnsi="Calibri"/>
          <w:b w:val="0"/>
          <w:i w:val="0"/>
          <w:color w:val="212121"/>
          <w:sz w:val="20"/>
        </w:rPr>
        <w:t>SIP Trace tab on Call Detail page showing full INVITE → 200 OK → BYE ladder diagram from Homer. Error responses highlighted in red.</w:t>
      </w:r>
    </w:p>
    <w:p>
      <w:pPr>
        <w:pStyle w:val="ListBullet"/>
        <w:spacing w:before="20" w:after="20"/>
        <w:ind w:left="432"/>
      </w:pPr>
      <w:r>
        <w:rPr>
          <w:rFonts w:ascii="Calibri" w:hAnsi="Calibri"/>
          <w:b w:val="0"/>
          <w:i w:val="0"/>
          <w:color w:val="212121"/>
          <w:sz w:val="20"/>
        </w:rPr>
        <w:t>Effort: HIGH — 8–10 days app-side. Requires a separate Homer server deployment.</w:t>
      </w:r>
    </w:p>
    <w:p>
      <w:pPr>
        <w:pStyle w:val="ListBullet"/>
        <w:spacing w:before="20" w:after="20"/>
        <w:ind w:left="432"/>
      </w:pPr>
      <w:r>
        <w:rPr>
          <w:rFonts w:ascii="Calibri" w:hAnsi="Calibri"/>
          <w:b w:val="0"/>
          <w:i w:val="0"/>
          <w:color w:val="212121"/>
          <w:sz w:val="20"/>
        </w:rPr>
        <w:t>External dependency: Homer server must be provisioned and configured independently.</w:t>
      </w:r>
    </w:p>
    <w:p>
      <w:pPr>
        <w:pStyle w:val="Heading3"/>
        <w:spacing w:before="160" w:after="40"/>
      </w:pPr>
      <w:r>
        <w:rPr>
          <w:rFonts w:ascii="Calibri" w:hAnsi="Calibri"/>
          <w:b/>
          <w:i w:val="0"/>
          <w:color w:val="4A148C"/>
          <w:sz w:val="22"/>
        </w:rPr>
        <w:t>4H. Reseller White-Label Portal  [Vol II, #13]</w:t>
      </w:r>
    </w:p>
    <w:p>
      <w:pPr>
        <w:spacing w:before="20" w:after="60"/>
      </w:pPr>
      <w:r>
        <w:rPr>
          <w:rFonts w:ascii="Calibri" w:hAnsi="Calibri"/>
          <w:b w:val="0"/>
          <w:i w:val="0"/>
          <w:color w:val="212121"/>
          <w:sz w:val="20"/>
        </w:rPr>
        <w:t>Separate portal for resellers with scoped account visibility, custom branding, P&amp;L view, and CDR/invoice download for their sub-accounts.</w:t>
      </w:r>
    </w:p>
    <w:p>
      <w:pPr>
        <w:pStyle w:val="ListBullet"/>
        <w:spacing w:before="20" w:after="20"/>
        <w:ind w:left="432"/>
      </w:pPr>
      <w:r>
        <w:rPr>
          <w:rFonts w:ascii="Calibri" w:hAnsi="Calibri"/>
          <w:b w:val="0"/>
          <w:i w:val="0"/>
          <w:color w:val="212121"/>
          <w:sz w:val="20"/>
        </w:rPr>
        <w:t>Effort: VERY HIGH — 15–20 days. Largest single feature in the roadmap.</w:t>
      </w:r>
    </w:p>
    <w:p>
      <w:pPr>
        <w:pStyle w:val="ListBullet"/>
        <w:spacing w:before="20" w:after="20"/>
        <w:ind w:left="432"/>
      </w:pPr>
      <w:r>
        <w:rPr>
          <w:rFonts w:ascii="Calibri" w:hAnsi="Calibri"/>
          <w:b w:val="0"/>
          <w:i w:val="0"/>
          <w:color w:val="212121"/>
          <w:sz w:val="20"/>
        </w:rPr>
        <w:t>Why Phase 4: Significant commercial value, but requires the billing (3C) and margin analytics (3A) foundation first.</w:t>
      </w:r>
    </w:p>
    <w:p>
      <w:pPr>
        <w:pStyle w:val="ListBullet"/>
        <w:spacing w:before="20" w:after="20"/>
        <w:ind w:left="432"/>
      </w:pPr>
      <w:r>
        <w:rPr>
          <w:rFonts w:ascii="Calibri" w:hAnsi="Calibri"/>
          <w:b w:val="0"/>
          <w:i w:val="0"/>
          <w:color w:val="212121"/>
          <w:sz w:val="20"/>
        </w:rPr>
        <w:t>Dependency: Billing Generator (3C) and Revenue Analytics (3A).</w:t>
      </w:r>
    </w:p>
    <w:p>
      <w:pPr>
        <w:pStyle w:val="Heading3"/>
        <w:spacing w:before="160" w:after="40"/>
      </w:pPr>
      <w:r>
        <w:rPr>
          <w:rFonts w:ascii="Calibri" w:hAnsi="Calibri"/>
          <w:b/>
          <w:i w:val="0"/>
          <w:color w:val="4A148C"/>
          <w:sz w:val="22"/>
        </w:rPr>
        <w:t>4I. Mobile-Responsive NOC View  [Vol I, #22]</w:t>
      </w:r>
    </w:p>
    <w:p>
      <w:pPr>
        <w:spacing w:before="20" w:after="60"/>
      </w:pPr>
      <w:r>
        <w:rPr>
          <w:rFonts w:ascii="Calibri" w:hAnsi="Calibri"/>
          <w:b w:val="0"/>
          <w:i w:val="0"/>
          <w:color w:val="212121"/>
          <w:sz w:val="20"/>
        </w:rPr>
        <w:t>Touch-friendly layout for phones and tablets: stacked stat cards, scrollable call table, and browser push notifications.</w:t>
      </w:r>
    </w:p>
    <w:p>
      <w:pPr>
        <w:pStyle w:val="ListBullet"/>
        <w:spacing w:before="20" w:after="20"/>
        <w:ind w:left="432"/>
      </w:pPr>
      <w:r>
        <w:rPr>
          <w:rFonts w:ascii="Calibri" w:hAnsi="Calibri"/>
          <w:b w:val="0"/>
          <w:i w:val="0"/>
          <w:color w:val="212121"/>
          <w:sz w:val="20"/>
        </w:rPr>
        <w:t>Effort: HIGH — 7–9 days. Requires responsive redesign of core layouts.</w:t>
      </w:r>
    </w:p>
    <w:p>
      <w:pPr>
        <w:pStyle w:val="ListBullet"/>
        <w:spacing w:before="20" w:after="20"/>
        <w:ind w:left="432"/>
      </w:pPr>
      <w:r>
        <w:rPr>
          <w:rFonts w:ascii="Calibri" w:hAnsi="Calibri"/>
          <w:b w:val="0"/>
          <w:i w:val="0"/>
          <w:color w:val="212121"/>
          <w:sz w:val="20"/>
        </w:rPr>
        <w:t>Why Phase 4: Useful for oncall but not business-critical. Schedule when engineering has capacity.</w:t>
      </w:r>
    </w:p>
    <w:p>
      <w:pPr>
        <w:pStyle w:val="Heading3"/>
        <w:spacing w:before="160" w:after="40"/>
      </w:pPr>
      <w:r>
        <w:rPr>
          <w:rFonts w:ascii="Calibri" w:hAnsi="Calibri"/>
          <w:b/>
          <w:i w:val="0"/>
          <w:color w:val="4A148C"/>
          <w:sz w:val="22"/>
        </w:rPr>
        <w:t>4J. Quick Actions Command Bar  [Vol I, #23]</w:t>
      </w:r>
    </w:p>
    <w:p>
      <w:pPr>
        <w:spacing w:before="20" w:after="60"/>
      </w:pPr>
      <w:r>
        <w:rPr>
          <w:rFonts w:ascii="Calibri" w:hAnsi="Calibri"/>
          <w:b w:val="0"/>
          <w:i w:val="0"/>
          <w:color w:val="212121"/>
          <w:sz w:val="20"/>
        </w:rPr>
        <w:t>Keyboard-shortcut command palette: jump to any page, look up a number, disconnect a call, check a balance, or search CDRs — all from a single shortcut.</w:t>
      </w:r>
    </w:p>
    <w:p>
      <w:pPr>
        <w:pStyle w:val="ListBullet"/>
        <w:spacing w:before="20" w:after="20"/>
        <w:ind w:left="432"/>
      </w:pPr>
      <w:r>
        <w:rPr>
          <w:rFonts w:ascii="Calibri" w:hAnsi="Calibri"/>
          <w:b w:val="0"/>
          <w:i w:val="0"/>
          <w:color w:val="212121"/>
          <w:sz w:val="20"/>
        </w:rPr>
        <w:t>Effort: MEDIUM — 4–6 days.</w:t>
      </w:r>
    </w:p>
    <w:p>
      <w:pPr>
        <w:pStyle w:val="ListBullet"/>
        <w:spacing w:before="20" w:after="20"/>
        <w:ind w:left="432"/>
      </w:pPr>
      <w:r>
        <w:rPr>
          <w:rFonts w:ascii="Calibri" w:hAnsi="Calibri"/>
          <w:b w:val="0"/>
          <w:i w:val="0"/>
          <w:color w:val="212121"/>
          <w:sz w:val="20"/>
        </w:rPr>
        <w:t>Why Phase 4: A productivity feature for power users. High satisfaction but low urgency.</w:t>
      </w:r>
    </w:p>
    <w:p>
      <w:pPr>
        <w:pStyle w:val="Heading3"/>
        <w:spacing w:before="160" w:after="40"/>
      </w:pPr>
      <w:r>
        <w:rPr>
          <w:rFonts w:ascii="Calibri" w:hAnsi="Calibri"/>
          <w:b/>
          <w:i w:val="0"/>
          <w:color w:val="4A148C"/>
          <w:sz w:val="22"/>
        </w:rPr>
        <w:t>4K. Multi-Switch Consolidated View  [Vol II, #24]</w:t>
      </w:r>
    </w:p>
    <w:p>
      <w:pPr>
        <w:spacing w:before="20" w:after="60"/>
      </w:pPr>
      <w:r>
        <w:rPr>
          <w:rFonts w:ascii="Calibri" w:hAnsi="Calibri"/>
          <w:b w:val="0"/>
          <w:i w:val="0"/>
          <w:color w:val="212121"/>
          <w:sz w:val="20"/>
        </w:rPr>
        <w:t>Unified NOC dashboard aggregating live metrics across multiple Sippy switch instances. Per-switch drill-down and cross-switch call correlation.</w:t>
      </w:r>
    </w:p>
    <w:p>
      <w:pPr>
        <w:pStyle w:val="ListBullet"/>
        <w:spacing w:before="20" w:after="20"/>
        <w:ind w:left="432"/>
      </w:pPr>
      <w:r>
        <w:rPr>
          <w:rFonts w:ascii="Calibri" w:hAnsi="Calibri"/>
          <w:b w:val="0"/>
          <w:i w:val="0"/>
          <w:color w:val="212121"/>
          <w:sz w:val="20"/>
        </w:rPr>
        <w:t>Effort: VERY HIGH — 12–16 days. Requires schema changes and multi-tenancy architecture.</w:t>
      </w:r>
    </w:p>
    <w:p>
      <w:pPr>
        <w:pStyle w:val="ListBullet"/>
        <w:spacing w:before="20" w:after="20"/>
        <w:ind w:left="432"/>
      </w:pPr>
      <w:r>
        <w:rPr>
          <w:rFonts w:ascii="Calibri" w:hAnsi="Calibri"/>
          <w:b w:val="0"/>
          <w:i w:val="0"/>
          <w:color w:val="212121"/>
          <w:sz w:val="20"/>
        </w:rPr>
        <w:t>Why Phase 4: Essential for operators scaling to multiple switches, but architectural complexity demands careful planning.</w:t>
      </w:r>
    </w:p>
    <w:p>
      <w:pPr>
        <w:pStyle w:val="Heading3"/>
        <w:spacing w:before="160" w:after="40"/>
      </w:pPr>
      <w:r>
        <w:rPr>
          <w:rFonts w:ascii="Calibri" w:hAnsi="Calibri"/>
          <w:b/>
          <w:i w:val="0"/>
          <w:color w:val="4A148C"/>
          <w:sz w:val="22"/>
        </w:rPr>
        <w:t>4L. Dark / Light Mode Toggle  [Vol I, #21]</w:t>
      </w:r>
    </w:p>
    <w:p>
      <w:pPr>
        <w:spacing w:before="20" w:after="60"/>
      </w:pPr>
      <w:r>
        <w:rPr>
          <w:rFonts w:ascii="Calibri" w:hAnsi="Calibri"/>
          <w:b w:val="0"/>
          <w:i w:val="0"/>
          <w:color w:val="212121"/>
          <w:sz w:val="20"/>
        </w:rPr>
        <w:t>Theme toggle in the top bar. All chart colours, backgrounds, and text adapt automatically. Preference saved in localStorage.</w:t>
      </w:r>
    </w:p>
    <w:p>
      <w:pPr>
        <w:pStyle w:val="ListBullet"/>
        <w:spacing w:before="20" w:after="20"/>
        <w:ind w:left="432"/>
      </w:pPr>
      <w:r>
        <w:rPr>
          <w:rFonts w:ascii="Calibri" w:hAnsi="Calibri"/>
          <w:b w:val="0"/>
          <w:i w:val="0"/>
          <w:color w:val="212121"/>
          <w:sz w:val="20"/>
        </w:rPr>
        <w:t>Effort: MEDIUM — 4–6 days.</w:t>
      </w:r>
    </w:p>
    <w:p>
      <w:pPr>
        <w:pStyle w:val="ListBullet"/>
        <w:spacing w:before="20" w:after="20"/>
        <w:ind w:left="432"/>
      </w:pPr>
      <w:r>
        <w:rPr>
          <w:rFonts w:ascii="Calibri" w:hAnsi="Calibri"/>
          <w:b w:val="0"/>
          <w:i w:val="0"/>
          <w:color w:val="212121"/>
          <w:sz w:val="20"/>
        </w:rPr>
        <w:t>Why Phase 4: UX quality-of-life improvement; no business urgency.</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454"/>
            <w:shd w:val="clear" w:color="auto" w:fill="4A148C"/>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w:t>
            </w:r>
          </w:p>
        </w:tc>
        <w:tc>
          <w:tcPr>
            <w:tcW w:type="dxa" w:w="3402"/>
            <w:shd w:val="clear" w:color="auto" w:fill="4A148C"/>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Feature</w:t>
            </w:r>
          </w:p>
        </w:tc>
        <w:tc>
          <w:tcPr>
            <w:tcW w:type="dxa" w:w="567"/>
            <w:shd w:val="clear" w:color="auto" w:fill="4A148C"/>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Vol</w:t>
            </w:r>
          </w:p>
        </w:tc>
        <w:tc>
          <w:tcPr>
            <w:tcW w:type="dxa" w:w="1134"/>
            <w:shd w:val="clear" w:color="auto" w:fill="4A148C"/>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Effort</w:t>
            </w:r>
          </w:p>
        </w:tc>
        <w:tc>
          <w:tcPr>
            <w:tcW w:type="dxa" w:w="850"/>
            <w:shd w:val="clear" w:color="auto" w:fill="4A148C"/>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Days</w:t>
            </w:r>
          </w:p>
        </w:tc>
        <w:tc>
          <w:tcPr>
            <w:tcW w:type="dxa" w:w="3515"/>
            <w:shd w:val="clear" w:color="auto" w:fill="4A148C"/>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Dependency</w:t>
            </w:r>
          </w:p>
        </w:tc>
      </w:tr>
      <w:tr>
        <w:tc>
          <w:tcPr>
            <w:tcW w:type="dxa" w:w="454"/>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4A</w:t>
            </w:r>
          </w:p>
        </w:tc>
        <w:tc>
          <w:tcPr>
            <w:tcW w:type="dxa" w:w="3402"/>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Two-Factor Authentication</w:t>
            </w:r>
          </w:p>
        </w:tc>
        <w:tc>
          <w:tcPr>
            <w:tcW w:type="dxa" w:w="567"/>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5–7</w:t>
            </w:r>
          </w:p>
        </w:tc>
        <w:tc>
          <w:tcPr>
            <w:tcW w:type="dxa" w:w="3515"/>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4B</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STIR/SHAKEN Dashboard</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Low-Med</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3–5</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4C</w:t>
            </w:r>
          </w:p>
        </w:tc>
        <w:tc>
          <w:tcPr>
            <w:tcW w:type="dxa" w:w="3402"/>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CLI/ANI Spoofing Detector</w:t>
            </w:r>
          </w:p>
        </w:tc>
        <w:tc>
          <w:tcPr>
            <w:tcW w:type="dxa" w:w="567"/>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5–7</w:t>
            </w:r>
          </w:p>
        </w:tc>
        <w:tc>
          <w:tcPr>
            <w:tcW w:type="dxa" w:w="3515"/>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2F recommended</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4D</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RTP/NAT Traversal Monitor</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5–6</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4E</w:t>
            </w:r>
          </w:p>
        </w:tc>
        <w:tc>
          <w:tcPr>
            <w:tcW w:type="dxa" w:w="3402"/>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Peer Carrier Benchmarking</w:t>
            </w:r>
          </w:p>
        </w:tc>
        <w:tc>
          <w:tcPr>
            <w:tcW w:type="dxa" w:w="567"/>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High</w:t>
            </w:r>
          </w:p>
        </w:tc>
        <w:tc>
          <w:tcPr>
            <w:tcW w:type="dxa" w:w="850"/>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8–10</w:t>
            </w:r>
          </w:p>
        </w:tc>
        <w:tc>
          <w:tcPr>
            <w:tcW w:type="dxa" w:w="3515"/>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CDR history + data build</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4F</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API Key Management</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High</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7–9</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Phase 3 APIs stable</w:t>
            </w:r>
          </w:p>
        </w:tc>
      </w:tr>
      <w:tr>
        <w:tc>
          <w:tcPr>
            <w:tcW w:type="dxa" w:w="454"/>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4G</w:t>
            </w:r>
          </w:p>
        </w:tc>
        <w:tc>
          <w:tcPr>
            <w:tcW w:type="dxa" w:w="3402"/>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Homer SIP Trace</w:t>
            </w:r>
          </w:p>
        </w:tc>
        <w:tc>
          <w:tcPr>
            <w:tcW w:type="dxa" w:w="567"/>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High</w:t>
            </w:r>
          </w:p>
        </w:tc>
        <w:tc>
          <w:tcPr>
            <w:tcW w:type="dxa" w:w="850"/>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8–10</w:t>
            </w:r>
          </w:p>
        </w:tc>
        <w:tc>
          <w:tcPr>
            <w:tcW w:type="dxa" w:w="3515"/>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Homer server required</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4H</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Reseller White-Label Portal</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Very High</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15–20</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3A + 3C</w:t>
            </w:r>
          </w:p>
        </w:tc>
      </w:tr>
      <w:tr>
        <w:tc>
          <w:tcPr>
            <w:tcW w:type="dxa" w:w="454"/>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4I</w:t>
            </w:r>
          </w:p>
        </w:tc>
        <w:tc>
          <w:tcPr>
            <w:tcW w:type="dxa" w:w="3402"/>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Mobile-Responsive NOC</w:t>
            </w:r>
          </w:p>
        </w:tc>
        <w:tc>
          <w:tcPr>
            <w:tcW w:type="dxa" w:w="567"/>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High</w:t>
            </w:r>
          </w:p>
        </w:tc>
        <w:tc>
          <w:tcPr>
            <w:tcW w:type="dxa" w:w="850"/>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7–9</w:t>
            </w:r>
          </w:p>
        </w:tc>
        <w:tc>
          <w:tcPr>
            <w:tcW w:type="dxa" w:w="3515"/>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4J</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Quick Actions Command Bar</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4–6</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r>
        <w:tc>
          <w:tcPr>
            <w:tcW w:type="dxa" w:w="454"/>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4K</w:t>
            </w:r>
          </w:p>
        </w:tc>
        <w:tc>
          <w:tcPr>
            <w:tcW w:type="dxa" w:w="3402"/>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Multi-Switch Consolidated View</w:t>
            </w:r>
          </w:p>
        </w:tc>
        <w:tc>
          <w:tcPr>
            <w:tcW w:type="dxa" w:w="567"/>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II</w:t>
            </w:r>
          </w:p>
        </w:tc>
        <w:tc>
          <w:tcPr>
            <w:tcW w:type="dxa" w:w="1134"/>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Very High</w:t>
            </w:r>
          </w:p>
        </w:tc>
        <w:tc>
          <w:tcPr>
            <w:tcW w:type="dxa" w:w="850"/>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12–16</w:t>
            </w:r>
          </w:p>
        </w:tc>
        <w:tc>
          <w:tcPr>
            <w:tcW w:type="dxa" w:w="3515"/>
            <w:shd w:val="clear" w:color="auto" w:fill="F3E5F5"/>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Schema redesign</w:t>
            </w:r>
          </w:p>
        </w:tc>
      </w:tr>
      <w:tr>
        <w:tc>
          <w:tcPr>
            <w:tcW w:type="dxa" w:w="45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4L</w:t>
            </w:r>
          </w:p>
        </w:tc>
        <w:tc>
          <w:tcPr>
            <w:tcW w:type="dxa" w:w="3402"/>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Dark / Light Mode Toggle</w:t>
            </w:r>
          </w:p>
        </w:tc>
        <w:tc>
          <w:tcPr>
            <w:tcW w:type="dxa" w:w="567"/>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I</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Medium</w:t>
            </w:r>
          </w:p>
        </w:tc>
        <w:tc>
          <w:tcPr>
            <w:tcW w:type="dxa" w:w="850"/>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4–6</w:t>
            </w:r>
          </w:p>
        </w:tc>
        <w:tc>
          <w:tcPr>
            <w:tcW w:type="dxa" w:w="3515"/>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None</w:t>
            </w:r>
          </w:p>
        </w:tc>
      </w:tr>
    </w:tbl>
    <w:p/>
    <w:p>
      <w:pPr>
        <w:pStyle w:val="Heading2"/>
        <w:spacing w:before="280" w:after="80"/>
        <w:pBdr>
          <w:bottom w:val="single" w:sz="8" w:space="2" w:color="0D47A1"/>
        </w:pBdr>
      </w:pPr>
      <w:r>
        <w:rPr>
          <w:rFonts w:ascii="Calibri" w:hAnsi="Calibri"/>
          <w:b/>
          <w:i w:val="0"/>
          <w:color w:val="0D47A1"/>
          <w:sz w:val="28"/>
        </w:rPr>
        <w:t>Master Feature Timeline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134"/>
            <w:shd w:val="clear" w:color="auto" w:fill="0D47A1"/>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Phase</w:t>
            </w:r>
          </w:p>
        </w:tc>
        <w:tc>
          <w:tcPr>
            <w:tcW w:type="dxa" w:w="1134"/>
            <w:shd w:val="clear" w:color="auto" w:fill="0D47A1"/>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Weeks</w:t>
            </w:r>
          </w:p>
        </w:tc>
        <w:tc>
          <w:tcPr>
            <w:tcW w:type="dxa" w:w="2551"/>
            <w:shd w:val="clear" w:color="auto" w:fill="0D47A1"/>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Features</w:t>
            </w:r>
          </w:p>
        </w:tc>
        <w:tc>
          <w:tcPr>
            <w:tcW w:type="dxa" w:w="2551"/>
            <w:shd w:val="clear" w:color="auto" w:fill="0D47A1"/>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Total Dev Days (est.)</w:t>
            </w:r>
          </w:p>
        </w:tc>
        <w:tc>
          <w:tcPr>
            <w:tcW w:type="dxa" w:w="2551"/>
            <w:shd w:val="clear" w:color="auto" w:fill="0D47A1"/>
            <w:tcBorders>
              <w:top w:val="single" w:sz="4" w:space="0" w:color="BDBDBD"/>
              <w:left w:val="single" w:sz="4" w:space="0" w:color="BDBDBD"/>
              <w:bottom w:val="single" w:sz="4" w:space="0" w:color="BDBDBD"/>
              <w:right w:val="single" w:sz="4" w:space="0" w:color="BDBDBD"/>
            </w:tcBorders>
          </w:tcPr>
          <w:p>
            <w:r>
              <w:rPr>
                <w:rFonts w:ascii="Calibri" w:hAnsi="Calibri"/>
                <w:b/>
                <w:i w:val="0"/>
                <w:color w:val="FFFFFF"/>
                <w:sz w:val="18"/>
              </w:rPr>
              <w:t>Primary Value Delivered</w:t>
            </w:r>
          </w:p>
        </w:tc>
      </w:tr>
      <w:tr>
        <w:tc>
          <w:tcPr>
            <w:tcW w:type="dxa" w:w="113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Phase 1</w:t>
            </w:r>
          </w:p>
        </w:tc>
        <w:tc>
          <w:tcPr>
            <w:tcW w:type="dxa" w:w="113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1–4</w:t>
            </w:r>
          </w:p>
        </w:tc>
        <w:tc>
          <w:tcPr>
            <w:tcW w:type="dxa" w:w="2551"/>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1A through 1J (10 features)</w:t>
            </w:r>
          </w:p>
        </w:tc>
        <w:tc>
          <w:tcPr>
            <w:tcW w:type="dxa" w:w="2551"/>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~45–60 days team-wide</w:t>
            </w:r>
          </w:p>
        </w:tc>
        <w:tc>
          <w:tcPr>
            <w:tcW w:type="dxa" w:w="2551"/>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Fraud contained, security hardened</w:t>
            </w:r>
          </w:p>
        </w:tc>
      </w:tr>
      <w:tr>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Phase 2</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5–10</w:t>
            </w:r>
          </w:p>
        </w:tc>
        <w:tc>
          <w:tcPr>
            <w:tcW w:type="dxa" w:w="2551"/>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2A through 2L (12 features)</w:t>
            </w:r>
          </w:p>
        </w:tc>
        <w:tc>
          <w:tcPr>
            <w:tcW w:type="dxa" w:w="2551"/>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~65–85 days team-wide</w:t>
            </w:r>
          </w:p>
        </w:tc>
        <w:tc>
          <w:tcPr>
            <w:tcW w:type="dxa" w:w="2551"/>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Quality visible, cost data flowing</w:t>
            </w:r>
          </w:p>
        </w:tc>
      </w:tr>
      <w:tr>
        <w:tc>
          <w:tcPr>
            <w:tcW w:type="dxa" w:w="113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Phase 3</w:t>
            </w:r>
          </w:p>
        </w:tc>
        <w:tc>
          <w:tcPr>
            <w:tcW w:type="dxa" w:w="1134"/>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11–18</w:t>
            </w:r>
          </w:p>
        </w:tc>
        <w:tc>
          <w:tcPr>
            <w:tcW w:type="dxa" w:w="2551"/>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3A through 3N (14 features)</w:t>
            </w:r>
          </w:p>
        </w:tc>
        <w:tc>
          <w:tcPr>
            <w:tcW w:type="dxa" w:w="2551"/>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~75–95 days team-wide</w:t>
            </w:r>
          </w:p>
        </w:tc>
        <w:tc>
          <w:tcPr>
            <w:tcW w:type="dxa" w:w="2551"/>
            <w:shd w:val="clear" w:color="auto" w:fill="E8EAF6"/>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Revenue analytics and billing live</w:t>
            </w:r>
          </w:p>
        </w:tc>
      </w:tr>
      <w:tr>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Phase 4</w:t>
            </w:r>
          </w:p>
        </w:tc>
        <w:tc>
          <w:tcPr>
            <w:tcW w:type="dxa" w:w="1134"/>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19–28</w:t>
            </w:r>
          </w:p>
        </w:tc>
        <w:tc>
          <w:tcPr>
            <w:tcW w:type="dxa" w:w="2551"/>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4A through 4L (12 features)</w:t>
            </w:r>
          </w:p>
        </w:tc>
        <w:tc>
          <w:tcPr>
            <w:tcW w:type="dxa" w:w="2551"/>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~95–120 days team-wide</w:t>
            </w:r>
          </w:p>
        </w:tc>
        <w:tc>
          <w:tcPr>
            <w:tcW w:type="dxa" w:w="2551"/>
            <w:shd w:val="clear" w:color="auto" w:fill="FFFFFF"/>
            <w:tcBorders>
              <w:top w:val="single" w:sz="4" w:space="0" w:color="BDBDBD"/>
              <w:left w:val="single" w:sz="4" w:space="0" w:color="BDBDBD"/>
              <w:bottom w:val="single" w:sz="4" w:space="0" w:color="BDBDBD"/>
              <w:right w:val="single" w:sz="4" w:space="0" w:color="BDBDBD"/>
            </w:tcBorders>
          </w:tcPr>
          <w:p>
            <w:r>
              <w:rPr>
                <w:rFonts w:ascii="Calibri" w:hAnsi="Calibri"/>
                <w:b w:val="0"/>
                <w:i w:val="0"/>
                <w:color w:val="212121"/>
                <w:sz w:val="18"/>
              </w:rPr>
              <w:t>Enterprise-scale and compliance ready</w:t>
            </w:r>
          </w:p>
        </w:tc>
      </w:tr>
    </w:tbl>
    <w:p/>
    <w:p>
      <w:pPr>
        <w:spacing w:before="20" w:after="60"/>
      </w:pPr>
      <w:r>
        <w:rPr>
          <w:rFonts w:ascii="Calibri" w:hAnsi="Calibri"/>
          <w:b w:val="0"/>
          <w:i/>
          <w:color w:val="546E7A"/>
          <w:sz w:val="20"/>
        </w:rPr>
        <w:t>Note: 'Team-wide days' assumes multiple engineers working in parallel within each phase. Individual feature day estimates are per-engineer. Phases overlap in calendar weeks depending on team size.</w:t>
      </w:r>
    </w:p>
    <w:p>
      <w:pPr>
        <w:pStyle w:val="Heading2"/>
        <w:spacing w:before="280" w:after="80"/>
        <w:pBdr>
          <w:bottom w:val="single" w:sz="8" w:space="2" w:color="0D47A1"/>
        </w:pBdr>
      </w:pPr>
      <w:r>
        <w:rPr>
          <w:rFonts w:ascii="Calibri" w:hAnsi="Calibri"/>
          <w:b/>
          <w:i w:val="0"/>
          <w:color w:val="0D47A1"/>
          <w:sz w:val="28"/>
        </w:rPr>
        <w:t>Critical Dependency Chain</w:t>
      </w:r>
    </w:p>
    <w:p>
      <w:pPr>
        <w:spacing w:before="20" w:after="60"/>
      </w:pPr>
      <w:r>
        <w:rPr>
          <w:rFonts w:ascii="Calibri" w:hAnsi="Calibri"/>
          <w:b w:val="0"/>
          <w:i w:val="0"/>
          <w:color w:val="212121"/>
          <w:sz w:val="20"/>
        </w:rPr>
        <w:t>The following dependency sequence is the backbone of the roadmap. Disrupting it will block multiple downstream features:</w:t>
      </w:r>
    </w:p>
    <w:p>
      <w:pPr>
        <w:pStyle w:val="ListBullet"/>
        <w:spacing w:before="20" w:after="20"/>
        <w:ind w:left="432"/>
      </w:pPr>
      <w:r>
        <w:rPr>
          <w:rFonts w:ascii="Calibri" w:hAnsi="Calibri"/>
          <w:b w:val="0"/>
          <w:i w:val="0"/>
          <w:color w:val="212121"/>
          <w:sz w:val="20"/>
        </w:rPr>
        <w:t>1G Auto-Blacklist → 2F Robocall Detector (blacklist infrastructure reuse)</w:t>
      </w:r>
    </w:p>
    <w:p>
      <w:pPr>
        <w:pStyle w:val="ListBullet"/>
        <w:spacing w:before="20" w:after="20"/>
        <w:ind w:left="432"/>
      </w:pPr>
      <w:r>
        <w:rPr>
          <w:rFonts w:ascii="Calibri" w:hAnsi="Calibri"/>
          <w:b w:val="0"/>
          <w:i w:val="0"/>
          <w:color w:val="212121"/>
          <w:sz w:val="20"/>
        </w:rPr>
        <w:t>2A Carrier Rate Cards → 3A Revenue Analytics → 3C Billing Reports → 4H Reseller Portal</w:t>
      </w:r>
    </w:p>
    <w:p>
      <w:pPr>
        <w:pStyle w:val="ListBullet"/>
        <w:spacing w:before="20" w:after="20"/>
        <w:ind w:left="432"/>
      </w:pPr>
      <w:r>
        <w:rPr>
          <w:rFonts w:ascii="Calibri" w:hAnsi="Calibri"/>
          <w:b w:val="0"/>
          <w:i w:val="0"/>
          <w:color w:val="212121"/>
          <w:sz w:val="20"/>
        </w:rPr>
        <w:t>2A Carrier Rate Cards → 3B LCR Analyser → 3E Cost Optimisation Engine</w:t>
      </w:r>
    </w:p>
    <w:p>
      <w:pPr>
        <w:pStyle w:val="ListBullet"/>
        <w:spacing w:before="20" w:after="20"/>
        <w:ind w:left="432"/>
      </w:pPr>
      <w:r>
        <w:rPr>
          <w:rFonts w:ascii="Calibri" w:hAnsi="Calibri"/>
          <w:b w:val="0"/>
          <w:i w:val="0"/>
          <w:color w:val="212121"/>
          <w:sz w:val="20"/>
        </w:rPr>
        <w:t>2B MOS Trending → 2K SLA Monitoring → 3J SLA Evidence Pack</w:t>
      </w:r>
    </w:p>
    <w:p>
      <w:pPr>
        <w:pStyle w:val="ListBullet"/>
        <w:spacing w:before="20" w:after="20"/>
        <w:ind w:left="432"/>
      </w:pPr>
      <w:r>
        <w:rPr>
          <w:rFonts w:ascii="Calibri" w:hAnsi="Calibri"/>
          <w:b w:val="0"/>
          <w:i w:val="0"/>
          <w:color w:val="212121"/>
          <w:sz w:val="20"/>
        </w:rPr>
        <w:t>3C Billing Generator → 3D Scheduled Reports (billing email channel)</w:t>
      </w:r>
    </w:p>
    <w:p>
      <w:pPr>
        <w:pStyle w:val="ListBullet"/>
        <w:spacing w:before="20" w:after="20"/>
        <w:ind w:left="432"/>
      </w:pPr>
      <w:r>
        <w:rPr>
          <w:rFonts w:ascii="Calibri" w:hAnsi="Calibri"/>
          <w:b w:val="0"/>
          <w:i w:val="0"/>
          <w:color w:val="212121"/>
          <w:sz w:val="20"/>
        </w:rPr>
        <w:t>Phase 3 stable APIs → 4F API Key Management (external integrations)</w:t>
      </w:r>
    </w:p>
    <w:p/>
    <w:p>
      <w:pPr>
        <w:jc w:val="center"/>
      </w:pPr>
      <w:r>
        <w:rPr>
          <w:rFonts w:ascii="Calibri" w:hAnsi="Calibri"/>
          <w:b w:val="0"/>
          <w:i/>
          <w:color w:val="546E7A"/>
          <w:sz w:val="16"/>
        </w:rPr>
        <w:t>VoIP Watcher — Implementation Prioritization Roadmap — April 15, 2026  |  Confidential</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