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r>
        <w:rPr>
          <w:b/>
          <w:color w:val="D97B06"/>
          <w:sz w:val="76"/>
        </w:rPr>
        <w:t>BITSAUTO</w:t>
      </w:r>
    </w:p>
    <w:p>
      <w:r>
        <w:rPr>
          <w:b/>
          <w:color w:val="0F172A"/>
          <w:sz w:val="52"/>
        </w:rPr>
        <w:t>VoIP Monitoring Platform</w:t>
      </w:r>
    </w:p>
    <w:p>
      <w:r>
        <w:rPr>
          <w:color w:val="6B7280"/>
          <w:sz w:val="28"/>
        </w:rPr>
        <w:t>Complete Implementation Status &amp; Roadmap Report</w:t>
      </w:r>
    </w:p>
    <w:p>
      <w:r>
        <w:rPr>
          <w:color w:val="9CA3AF"/>
          <w:sz w:val="22"/>
        </w:rPr>
        <w:t>Volume 1 Status  ·  Volume 2 Progress  ·  Volume 3 New Proposals  ·  14-Day Activity Log</w:t>
      </w:r>
    </w:p>
    <w:p>
      <w:pPr>
        <w:spacing w:before="80" w:after="80"/>
      </w:pPr>
      <w:r>
        <w:rPr>
          <w:color w:val="D1D5DB"/>
          <w:sz w:val="14"/>
        </w:rPr>
        <w:t>──────────────────────────────────────────────────────────────────────────────────────────────────────────────</w:t>
      </w:r>
    </w:p>
    <w:p>
      <w:pPr>
        <w:spacing w:before="40" w:after="40"/>
      </w:pPr>
      <w:r>
        <w:rPr>
          <w:b/>
          <w:sz w:val="20"/>
        </w:rPr>
        <w:t xml:space="preserve">Report Date:  </w:t>
      </w:r>
      <w:r>
        <w:rPr>
          <w:color w:val="6B7280"/>
          <w:sz w:val="20"/>
        </w:rPr>
        <w:t>15 May 2026</w:t>
      </w:r>
    </w:p>
    <w:p>
      <w:pPr>
        <w:spacing w:before="40" w:after="40"/>
      </w:pPr>
      <w:r>
        <w:rPr>
          <w:b/>
          <w:sz w:val="20"/>
        </w:rPr>
        <w:t xml:space="preserve">Platform:  </w:t>
      </w:r>
      <w:r>
        <w:rPr>
          <w:color w:val="6B7280"/>
          <w:sz w:val="20"/>
        </w:rPr>
        <w:t>Sippy Softswitch / VoIP NOC Dashboard</w:t>
      </w:r>
    </w:p>
    <w:p>
      <w:pPr>
        <w:spacing w:before="40" w:after="40"/>
      </w:pPr>
      <w:r>
        <w:rPr>
          <w:b/>
          <w:sz w:val="20"/>
        </w:rPr>
        <w:t xml:space="preserve">App URL:  </w:t>
      </w:r>
      <w:r>
        <w:rPr>
          <w:color w:val="6B7280"/>
          <w:sz w:val="20"/>
        </w:rPr>
        <w:t>https://vo-ip-watcher--junaid70.replit.app</w:t>
      </w:r>
    </w:p>
    <w:p>
      <w:pPr>
        <w:spacing w:before="40" w:after="40"/>
      </w:pPr>
      <w:r>
        <w:rPr>
          <w:b/>
          <w:sz w:val="20"/>
        </w:rPr>
        <w:t xml:space="preserve">Stack:  </w:t>
      </w:r>
      <w:r>
        <w:rPr>
          <w:color w:val="6B7280"/>
          <w:sz w:val="20"/>
        </w:rPr>
        <w:t>React 18 + Vite + Express + PostgreSQL (Drizzle ORM) + Replit Auth OIDC</w:t>
      </w:r>
    </w:p>
    <w:p>
      <w:pPr>
        <w:spacing w:before="40" w:after="40"/>
      </w:pPr>
      <w:r>
        <w:rPr>
          <w:b/>
          <w:sz w:val="20"/>
        </w:rPr>
        <w:t xml:space="preserve">Prepared by:  </w:t>
      </w:r>
      <w:r>
        <w:rPr>
          <w:color w:val="6B7280"/>
          <w:sz w:val="20"/>
        </w:rPr>
        <w:t>BitsAuto Engineering</w:t>
      </w:r>
    </w:p>
    <w:p>
      <w:pPr>
        <w:spacing w:before="40" w:after="40"/>
      </w:pPr>
      <w:r>
        <w:rPr>
          <w:b/>
          <w:sz w:val="20"/>
        </w:rPr>
        <w:t xml:space="preserve">Classification:  </w:t>
      </w:r>
      <w:r>
        <w:rPr>
          <w:color w:val="6B7280"/>
          <w:sz w:val="20"/>
        </w:rPr>
        <w:t>Internal — Confidential</w:t>
      </w:r>
    </w:p>
    <w:p>
      <w:pPr>
        <w:spacing w:before="80" w:after="80"/>
      </w:pPr>
      <w:r>
        <w:rPr>
          <w:color w:val="D1D5DB"/>
          <w:sz w:val="14"/>
        </w:rPr>
        <w:t>──────────────────────────────────────────────────────────────────────────────────────────────────────────────</w:t>
      </w:r>
    </w:p>
    <w:p>
      <w:r>
        <w:br w:type="page"/>
      </w:r>
    </w:p>
    <w:p>
      <w:pPr>
        <w:spacing w:before="240" w:after="120"/>
      </w:pPr>
      <w:r>
        <w:rPr>
          <w:b/>
          <w:color w:val="0F172A"/>
          <w:sz w:val="44"/>
        </w:rPr>
        <w:t>1.  Executive Summary</w:t>
      </w:r>
    </w:p>
    <w:p>
      <w:pPr>
        <w:spacing w:before="40" w:after="80"/>
      </w:pPr>
      <w:r>
        <w:rPr>
          <w:sz w:val="20"/>
        </w:rPr>
        <w:t>The BitsAuto VoIP Monitoring Platform is a production-grade NOC dashboard built for Sippy Softswitch deployments. It delivers real-time call-quality monitoring, telecom KPI tracking, fraud detection, revenue analytics, team management, and end-to-end client provisioning — all inside a single role-gated web application with dark/light mode, a command palette, and a mobile-responsive layout.</w:t>
      </w:r>
    </w:p>
    <w:p>
      <w:pPr>
        <w:spacing w:before="40" w:after="80"/>
      </w:pPr>
      <w:r>
        <w:rPr>
          <w:sz w:val="20"/>
        </w:rPr>
        <w:t>Volume 1 (24 features across 5 tiers) is 100 % complete. Volume 2 (24 extended features) has 9 fully live, 5 partially implemented, and 10 not yet started. This report also proposes 20 additional Volume 3 features for consideration.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3402"/>
            <w:shd w:val="clear" w:color="auto" w:fill="1E3A5F"/>
            <w:vAlign w:val="center"/>
          </w:tcPr>
          <w:p>
            <w:pPr>
              <w:spacing w:before="60" w:after="60"/>
            </w:pPr>
            <w:r>
              <w:rPr>
                <w:b/>
                <w:color w:val="FFFFFF"/>
                <w:sz w:val="18"/>
              </w:rPr>
              <w:t>Scope</w:t>
            </w:r>
          </w:p>
        </w:tc>
        <w:tc>
          <w:tcPr>
            <w:tcW w:type="dxa" w:w="1701"/>
            <w:shd w:val="clear" w:color="auto" w:fill="1E3A5F"/>
            <w:vAlign w:val="center"/>
          </w:tcPr>
          <w:p>
            <w:pPr>
              <w:spacing w:before="60" w:after="60"/>
            </w:pPr>
            <w:r>
              <w:rPr>
                <w:b/>
                <w:color w:val="FFFFFF"/>
                <w:sz w:val="18"/>
              </w:rPr>
              <w:t>Total Features</w:t>
            </w:r>
          </w:p>
        </w:tc>
        <w:tc>
          <w:tcPr>
            <w:tcW w:type="dxa" w:w="1814"/>
            <w:shd w:val="clear" w:color="auto" w:fill="1E3A5F"/>
            <w:vAlign w:val="center"/>
          </w:tcPr>
          <w:p>
            <w:pPr>
              <w:spacing w:before="60" w:after="60"/>
            </w:pPr>
            <w:r>
              <w:rPr>
                <w:b/>
                <w:color w:val="FFFFFF"/>
                <w:sz w:val="18"/>
              </w:rPr>
              <w:t>Live</w:t>
            </w:r>
          </w:p>
        </w:tc>
        <w:tc>
          <w:tcPr>
            <w:tcW w:type="dxa" w:w="1701"/>
            <w:shd w:val="clear" w:color="auto" w:fill="1E3A5F"/>
            <w:vAlign w:val="center"/>
          </w:tcPr>
          <w:p>
            <w:pPr>
              <w:spacing w:before="60" w:after="60"/>
            </w:pPr>
            <w:r>
              <w:rPr>
                <w:b/>
                <w:color w:val="FFFFFF"/>
                <w:sz w:val="18"/>
              </w:rPr>
              <w:t>Partial</w:t>
            </w:r>
          </w:p>
        </w:tc>
        <w:tc>
          <w:tcPr>
            <w:tcW w:type="dxa" w:w="1814"/>
            <w:shd w:val="clear" w:color="auto" w:fill="1E3A5F"/>
            <w:vAlign w:val="center"/>
          </w:tcPr>
          <w:p>
            <w:pPr>
              <w:spacing w:before="60" w:after="60"/>
            </w:pPr>
            <w:r>
              <w:rPr>
                <w:b/>
                <w:color w:val="FFFFFF"/>
                <w:sz w:val="18"/>
              </w:rPr>
              <w:t>Not Yet Built</w:t>
            </w:r>
          </w:p>
        </w:tc>
      </w:tr>
      <w:tr>
        <w:tc>
          <w:tcPr>
            <w:tcW w:type="dxa" w:w="3402"/>
            <w:shd w:val="clear" w:color="auto" w:fill="F3F4F6"/>
            <w:vAlign w:val="center"/>
          </w:tcPr>
          <w:p>
            <w:pPr>
              <w:spacing w:before="40" w:after="40"/>
            </w:pPr>
            <w:r>
              <w:rPr>
                <w:sz w:val="18"/>
              </w:rPr>
              <w:t>Volume 1 — Core Platform</w:t>
            </w:r>
          </w:p>
        </w:tc>
        <w:tc>
          <w:tcPr>
            <w:tcW w:type="dxa" w:w="1701"/>
            <w:shd w:val="clear" w:color="auto" w:fill="F3F4F6"/>
            <w:vAlign w:val="center"/>
          </w:tcPr>
          <w:p>
            <w:pPr>
              <w:spacing w:before="40" w:after="40"/>
            </w:pPr>
            <w:r>
              <w:rPr>
                <w:sz w:val="18"/>
              </w:rPr>
              <w:t>24</w:t>
            </w:r>
          </w:p>
        </w:tc>
        <w:tc>
          <w:tcPr>
            <w:tcW w:type="dxa" w:w="1814"/>
            <w:shd w:val="clear" w:color="auto" w:fill="F3F4F6"/>
            <w:vAlign w:val="center"/>
          </w:tcPr>
          <w:p>
            <w:pPr>
              <w:spacing w:before="40" w:after="40"/>
            </w:pPr>
            <w:r>
              <w:rPr>
                <w:sz w:val="18"/>
              </w:rPr>
              <w:t>24  (100 %)</w:t>
            </w:r>
          </w:p>
        </w:tc>
        <w:tc>
          <w:tcPr>
            <w:tcW w:type="dxa" w:w="1701"/>
            <w:shd w:val="clear" w:color="auto" w:fill="F3F4F6"/>
            <w:vAlign w:val="center"/>
          </w:tcPr>
          <w:p>
            <w:pPr>
              <w:spacing w:before="40" w:after="40"/>
            </w:pPr>
            <w:r>
              <w:rPr>
                <w:sz w:val="18"/>
              </w:rPr>
              <w:t>0</w:t>
            </w:r>
          </w:p>
        </w:tc>
        <w:tc>
          <w:tcPr>
            <w:tcW w:type="dxa" w:w="1814"/>
            <w:shd w:val="clear" w:color="auto" w:fill="F3F4F6"/>
            <w:vAlign w:val="center"/>
          </w:tcPr>
          <w:p>
            <w:pPr>
              <w:spacing w:before="40" w:after="40"/>
            </w:pPr>
            <w:r>
              <w:rPr>
                <w:sz w:val="18"/>
              </w:rPr>
              <w:t>0</w:t>
            </w:r>
          </w:p>
        </w:tc>
      </w:tr>
      <w:tr>
        <w:tc>
          <w:tcPr>
            <w:tcW w:type="dxa" w:w="3402"/>
            <w:shd w:val="clear" w:color="auto" w:fill="FFFFFF"/>
            <w:vAlign w:val="center"/>
          </w:tcPr>
          <w:p>
            <w:pPr>
              <w:spacing w:before="40" w:after="40"/>
            </w:pPr>
            <w:r>
              <w:rPr>
                <w:sz w:val="18"/>
              </w:rPr>
              <w:t>Volume 2 — Extended Features</w:t>
            </w:r>
          </w:p>
        </w:tc>
        <w:tc>
          <w:tcPr>
            <w:tcW w:type="dxa" w:w="1701"/>
            <w:shd w:val="clear" w:color="auto" w:fill="FFFFFF"/>
            <w:vAlign w:val="center"/>
          </w:tcPr>
          <w:p>
            <w:pPr>
              <w:spacing w:before="40" w:after="40"/>
            </w:pPr>
            <w:r>
              <w:rPr>
                <w:sz w:val="18"/>
              </w:rPr>
              <w:t>24</w:t>
            </w:r>
          </w:p>
        </w:tc>
        <w:tc>
          <w:tcPr>
            <w:tcW w:type="dxa" w:w="1814"/>
            <w:shd w:val="clear" w:color="auto" w:fill="FFFFFF"/>
            <w:vAlign w:val="center"/>
          </w:tcPr>
          <w:p>
            <w:pPr>
              <w:spacing w:before="40" w:after="40"/>
            </w:pPr>
            <w:r>
              <w:rPr>
                <w:sz w:val="18"/>
              </w:rPr>
              <w:t>9   (38 %)</w:t>
            </w:r>
          </w:p>
        </w:tc>
        <w:tc>
          <w:tcPr>
            <w:tcW w:type="dxa" w:w="1701"/>
            <w:shd w:val="clear" w:color="auto" w:fill="FFFFFF"/>
            <w:vAlign w:val="center"/>
          </w:tcPr>
          <w:p>
            <w:pPr>
              <w:spacing w:before="40" w:after="40"/>
            </w:pPr>
            <w:r>
              <w:rPr>
                <w:sz w:val="18"/>
              </w:rPr>
              <w:t>5  (21 %)</w:t>
            </w:r>
          </w:p>
        </w:tc>
        <w:tc>
          <w:tcPr>
            <w:tcW w:type="dxa" w:w="1814"/>
            <w:shd w:val="clear" w:color="auto" w:fill="FFFFFF"/>
            <w:vAlign w:val="center"/>
          </w:tcPr>
          <w:p>
            <w:pPr>
              <w:spacing w:before="40" w:after="40"/>
            </w:pPr>
            <w:r>
              <w:rPr>
                <w:sz w:val="18"/>
              </w:rPr>
              <w:t>10  (42 %)</w:t>
            </w:r>
          </w:p>
        </w:tc>
      </w:tr>
      <w:tr>
        <w:tc>
          <w:tcPr>
            <w:tcW w:type="dxa" w:w="3402"/>
            <w:shd w:val="clear" w:color="auto" w:fill="F3F4F6"/>
            <w:vAlign w:val="center"/>
          </w:tcPr>
          <w:p>
            <w:pPr>
              <w:spacing w:before="40" w:after="40"/>
            </w:pPr>
            <w:r>
              <w:rPr>
                <w:sz w:val="18"/>
              </w:rPr>
              <w:t>Volume 3 — New Proposals (this report)</w:t>
            </w:r>
          </w:p>
        </w:tc>
        <w:tc>
          <w:tcPr>
            <w:tcW w:type="dxa" w:w="1701"/>
            <w:shd w:val="clear" w:color="auto" w:fill="F3F4F6"/>
            <w:vAlign w:val="center"/>
          </w:tcPr>
          <w:p>
            <w:pPr>
              <w:spacing w:before="40" w:after="40"/>
            </w:pPr>
            <w:r>
              <w:rPr>
                <w:sz w:val="18"/>
              </w:rPr>
              <w:t>20</w:t>
            </w:r>
          </w:p>
        </w:tc>
        <w:tc>
          <w:tcPr>
            <w:tcW w:type="dxa" w:w="1814"/>
            <w:shd w:val="clear" w:color="auto" w:fill="F3F4F6"/>
            <w:vAlign w:val="center"/>
          </w:tcPr>
          <w:p>
            <w:pPr>
              <w:spacing w:before="40" w:after="40"/>
            </w:pPr>
            <w:r>
              <w:rPr>
                <w:sz w:val="18"/>
              </w:rPr>
              <w:t>—</w:t>
            </w:r>
          </w:p>
        </w:tc>
        <w:tc>
          <w:tcPr>
            <w:tcW w:type="dxa" w:w="1701"/>
            <w:shd w:val="clear" w:color="auto" w:fill="F3F4F6"/>
            <w:vAlign w:val="center"/>
          </w:tcPr>
          <w:p>
            <w:pPr>
              <w:spacing w:before="40" w:after="40"/>
            </w:pPr>
            <w:r>
              <w:rPr>
                <w:sz w:val="18"/>
              </w:rPr>
              <w:t>—</w:t>
            </w:r>
          </w:p>
        </w:tc>
        <w:tc>
          <w:tcPr>
            <w:tcW w:type="dxa" w:w="1814"/>
            <w:shd w:val="clear" w:color="auto" w:fill="F3F4F6"/>
            <w:vAlign w:val="center"/>
          </w:tcPr>
          <w:p>
            <w:pPr>
              <w:spacing w:before="40" w:after="40"/>
            </w:pPr>
            <w:r>
              <w:rPr>
                <w:sz w:val="18"/>
              </w:rPr>
              <w:t>20  (0 % started)</w:t>
            </w:r>
          </w:p>
        </w:tc>
      </w:tr>
      <w:tr>
        <w:tc>
          <w:tcPr>
            <w:tcW w:type="dxa" w:w="3402"/>
            <w:shd w:val="clear" w:color="auto" w:fill="FFFFFF"/>
            <w:vAlign w:val="center"/>
          </w:tcPr>
          <w:p>
            <w:pPr>
              <w:spacing w:before="40" w:after="40"/>
            </w:pPr>
            <w:r>
              <w:rPr>
                <w:sz w:val="18"/>
              </w:rPr>
              <w:t>TOTAL</w:t>
            </w:r>
          </w:p>
        </w:tc>
        <w:tc>
          <w:tcPr>
            <w:tcW w:type="dxa" w:w="1701"/>
            <w:shd w:val="clear" w:color="auto" w:fill="FFFFFF"/>
            <w:vAlign w:val="center"/>
          </w:tcPr>
          <w:p>
            <w:pPr>
              <w:spacing w:before="40" w:after="40"/>
            </w:pPr>
            <w:r>
              <w:rPr>
                <w:sz w:val="18"/>
              </w:rPr>
              <w:t>68</w:t>
            </w:r>
          </w:p>
        </w:tc>
        <w:tc>
          <w:tcPr>
            <w:tcW w:type="dxa" w:w="1814"/>
            <w:shd w:val="clear" w:color="auto" w:fill="FFFFFF"/>
            <w:vAlign w:val="center"/>
          </w:tcPr>
          <w:p>
            <w:pPr>
              <w:spacing w:before="40" w:after="40"/>
            </w:pPr>
            <w:r>
              <w:rPr>
                <w:sz w:val="18"/>
              </w:rPr>
              <w:t>33</w:t>
            </w:r>
          </w:p>
        </w:tc>
        <w:tc>
          <w:tcPr>
            <w:tcW w:type="dxa" w:w="1701"/>
            <w:shd w:val="clear" w:color="auto" w:fill="FFFFFF"/>
            <w:vAlign w:val="center"/>
          </w:tcPr>
          <w:p>
            <w:pPr>
              <w:spacing w:before="40" w:after="40"/>
            </w:pPr>
            <w:r>
              <w:rPr>
                <w:sz w:val="18"/>
              </w:rPr>
              <w:t>5</w:t>
            </w:r>
          </w:p>
        </w:tc>
        <w:tc>
          <w:tcPr>
            <w:tcW w:type="dxa" w:w="1814"/>
            <w:shd w:val="clear" w:color="auto" w:fill="FFFFFF"/>
            <w:vAlign w:val="center"/>
          </w:tcPr>
          <w:p>
            <w:pPr>
              <w:spacing w:before="40" w:after="40"/>
            </w:pPr>
            <w:r>
              <w:rPr>
                <w:sz w:val="18"/>
              </w:rPr>
              <w:t>30</w:t>
            </w:r>
          </w:p>
        </w:tc>
      </w:tr>
    </w:tbl>
    <w:p/>
    <w:p>
      <w:r>
        <w:br w:type="page"/>
      </w:r>
    </w:p>
    <w:p>
      <w:pPr>
        <w:spacing w:before="240" w:after="120"/>
      </w:pPr>
      <w:r>
        <w:rPr>
          <w:b/>
          <w:color w:val="0F172A"/>
          <w:sz w:val="44"/>
        </w:rPr>
        <w:t>2.  Development Activity Log — 1 May to 15 May 2026</w:t>
      </w:r>
    </w:p>
    <w:p>
      <w:pPr>
        <w:spacing w:before="40" w:after="80"/>
      </w:pPr>
      <w:r>
        <w:rPr>
          <w:sz w:val="20"/>
        </w:rPr>
        <w:t>Chronological record of all significant work completed in the two weeks leading up to this report.</w:t>
      </w:r>
    </w:p>
    <w:p>
      <w:pPr>
        <w:spacing w:before="240" w:after="60"/>
      </w:pPr>
      <w:r>
        <w:rPr>
          <w:b/>
          <w:color w:val="1D4ED8"/>
          <w:sz w:val="22"/>
        </w:rPr>
        <w:t>15 May 2026  —  Client Wizard — Complete 5-Step UX Overhaul</w:t>
      </w:r>
    </w:p>
    <w:p>
      <w:pPr>
        <w:pStyle w:val="ListBullet"/>
        <w:spacing w:before="20" w:after="40"/>
      </w:pPr>
      <w:r>
        <w:rPr>
          <w:sz w:val="19"/>
        </w:rPr>
        <w:t>Step 1 (Account Details): Department field replaced with 4 clickable toggle pills. Company dropdown now filtered by selected department. "+ Create Company" inline link added. Display Name auto-fills from company selection. Username field gains lock/unlock icon — prevents auto-mirroring when locked. Password field gains copy-to-clipboard icon. Notification email auto-fills from company contact. A2Z Notification switched from checkbox to toggle.</w:t>
      </w:r>
    </w:p>
    <w:p>
      <w:pPr>
        <w:pStyle w:val="ListBullet"/>
        <w:spacing w:before="20" w:after="40"/>
      </w:pPr>
      <w:r>
        <w:rPr>
          <w:sz w:val="19"/>
        </w:rPr>
        <w:t>Step 2 (Billing &amp; Rates): Invoice Template redesigned as 4 clickable tile cards with descriptions. Three rate-format dropdowns replaced with a multi-select tag pill row (Select All / Clear shortcuts). Dialcode Format and Prefix Style replaced with 2-way segmented controls. Live prefix example updates in real time as options change.</w:t>
      </w:r>
    </w:p>
    <w:p>
      <w:pPr>
        <w:pStyle w:val="ListBullet"/>
        <w:spacing w:before="20" w:after="40"/>
      </w:pPr>
      <w:r>
        <w:rPr>
          <w:sz w:val="19"/>
        </w:rPr>
        <w:t>Step 3 (Trunks): Trunk Name replaced with 4 product-class tiles: First Class (amber), Business Class (blue), Special Charlie (violet), Special Bravo (emerald), plus a Custom fallback pre-filled from the company short code. Max Sessions / CPS / Time gain quick-pick chips. Codec selector redesigned as visual tiles. Media Relay becomes a 3-way segmented control. Prefix + CLD live translation preview shown. Allow Registration and Blocked sections visually separated with a colour-coded divider.</w:t>
      </w:r>
    </w:p>
    <w:p>
      <w:pPr>
        <w:pStyle w:val="ListBullet"/>
        <w:spacing w:before="20" w:after="40"/>
      </w:pPr>
      <w:r>
        <w:rPr>
          <w:sz w:val="19"/>
        </w:rPr>
        <w:t>Step 4 (IPs): Paste-multiple IP detection added — newline / comma / semicolon splits into separate rows with a toast notification. Trunk column in IP table is now a dropdown populated from Step 3 trunk names. Products section auto-derives from trunk names (read-only confirmation) or shows manual tile picker with Select All / Clear shortcuts.</w:t>
      </w:r>
    </w:p>
    <w:p>
      <w:pPr>
        <w:pStyle w:val="ListBullet"/>
        <w:spacing w:before="20" w:after="40"/>
      </w:pPr>
      <w:r>
        <w:rPr>
          <w:sz w:val="19"/>
        </w:rPr>
        <w:t>Step 5 (Review): Every review section is now clickable to jump directly back to that step. Live CLD translation preview shown per trunk. Save Draft button promoted to all steps.</w:t>
      </w:r>
    </w:p>
    <w:p>
      <w:pPr>
        <w:pStyle w:val="ListBullet"/>
        <w:spacing w:before="20" w:after="40"/>
      </w:pPr>
      <w:r>
        <w:rPr>
          <w:sz w:val="19"/>
        </w:rPr>
        <w:t>Cross-cutting: Enter key advances to next step. Inline validation fires on blur. Step breadcrumb pills show a green tick when the step is fully valid.</w:t>
      </w:r>
    </w:p>
    <w:p>
      <w:pPr>
        <w:spacing w:before="240" w:after="60"/>
      </w:pPr>
      <w:r>
        <w:rPr>
          <w:b/>
          <w:color w:val="1D4ED8"/>
          <w:sz w:val="22"/>
        </w:rPr>
        <w:t>14 May 2026  —  Company List — KAM Filter Pills + CompanyInfoDialog</w:t>
      </w:r>
    </w:p>
    <w:p>
      <w:pPr>
        <w:pStyle w:val="ListBullet"/>
        <w:spacing w:before="20" w:after="40"/>
      </w:pPr>
      <w:r>
        <w:rPr>
          <w:sz w:val="19"/>
        </w:rPr>
        <w:t>Added KAM quick-filter pills at the top of the company list, sourced live from /api/kam.</w:t>
      </w:r>
    </w:p>
    <w:p>
      <w:pPr>
        <w:pStyle w:val="ListBullet"/>
        <w:spacing w:before="20" w:after="40"/>
      </w:pPr>
      <w:r>
        <w:rPr>
          <w:sz w:val="19"/>
        </w:rPr>
        <w:t>Added CompanyInfoDialog popup — triggered by clicking any company name — showing: KAM assignment, location, currency, registered IPs, prefix, products, and trunk config.</w:t>
      </w:r>
    </w:p>
    <w:p>
      <w:pPr>
        <w:pStyle w:val="ListBullet"/>
        <w:spacing w:before="20" w:after="40"/>
      </w:pPr>
      <w:r>
        <w:rPr>
          <w:sz w:val="19"/>
        </w:rPr>
        <w:t>Added "New Client Wizard" launch button in the Companies page header.</w:t>
      </w:r>
    </w:p>
    <w:p>
      <w:pPr>
        <w:pStyle w:val="ListBullet"/>
        <w:spacing w:before="20" w:after="40"/>
      </w:pPr>
      <w:r>
        <w:rPr>
          <w:sz w:val="19"/>
        </w:rPr>
        <w:t>Added product badge chips rendered directly on company list cards.</w:t>
      </w:r>
    </w:p>
    <w:p>
      <w:pPr>
        <w:spacing w:before="240" w:after="60"/>
      </w:pPr>
      <w:r>
        <w:rPr>
          <w:b/>
          <w:color w:val="1D4ED8"/>
          <w:sz w:val="22"/>
        </w:rPr>
        <w:t>13–14 May 2026  —  Sippy Username Policy Correction</w:t>
      </w:r>
    </w:p>
    <w:p>
      <w:pPr>
        <w:pStyle w:val="ListBullet"/>
        <w:spacing w:before="20" w:after="40"/>
      </w:pPr>
      <w:r>
        <w:rPr>
          <w:sz w:val="19"/>
        </w:rPr>
        <w:t>Removed .toLowerCase() enforcement on Sippy usernames. Sippy confirmed it accepts mixed-case (e.g. Internal-PTCL provisioned successfully). Username now strips only spaces and invalid characters via .replace(/[^a-zA-Z0-9._-]/g, "") — no forced lowercase.</w:t>
      </w:r>
    </w:p>
    <w:p>
      <w:pPr>
        <w:spacing w:before="240" w:after="60"/>
      </w:pPr>
      <w:r>
        <w:rPr>
          <w:b/>
          <w:color w:val="1D4ED8"/>
          <w:sz w:val="22"/>
        </w:rPr>
        <w:t>12–13 May 2026  —  Client Wizard — KAM Dropdown &amp; Routing Group Wiring</w:t>
      </w:r>
    </w:p>
    <w:p>
      <w:pPr>
        <w:pStyle w:val="ListBullet"/>
        <w:spacing w:before="20" w:after="40"/>
      </w:pPr>
      <w:r>
        <w:rPr>
          <w:sz w:val="19"/>
        </w:rPr>
        <w:t>KAM dropdown in company-create.tsx migrated from /api/users to the dedicated /api/kam endpoint for cleaner separation of concerns.</w:t>
      </w:r>
    </w:p>
    <w:p>
      <w:pPr>
        <w:pStyle w:val="ListBullet"/>
        <w:spacing w:before="20" w:after="40"/>
      </w:pPr>
      <w:r>
        <w:rPr>
          <w:sz w:val="19"/>
        </w:rPr>
        <w:t>Routing group selector changed from a fixed 12-item dropdown to an open &lt;input&gt; + &lt;datalist&gt; combo, allowing any arbitrary RG ID to be entered rather than only cached list items.</w:t>
      </w:r>
    </w:p>
    <w:p>
      <w:pPr>
        <w:spacing w:before="240" w:after="60"/>
      </w:pPr>
      <w:r>
        <w:rPr>
          <w:b/>
          <w:color w:val="1D4ED8"/>
          <w:sz w:val="22"/>
        </w:rPr>
        <w:t>9–11 May 2026  —  Analytics, Reporting &amp; Routing Pages</w:t>
      </w:r>
    </w:p>
    <w:p>
      <w:pPr>
        <w:pStyle w:val="ListBullet"/>
        <w:spacing w:before="20" w:after="40"/>
      </w:pPr>
      <w:r>
        <w:rPr>
          <w:sz w:val="19"/>
        </w:rPr>
        <w:t>BitsEye per-entity drill-down: per-KAM and per-client concurrency overlays added.</w:t>
      </w:r>
    </w:p>
    <w:p>
      <w:pPr>
        <w:pStyle w:val="ListBullet"/>
        <w:spacing w:before="20" w:after="40"/>
      </w:pPr>
      <w:r>
        <w:rPr>
          <w:sz w:val="19"/>
        </w:rPr>
        <w:t>Revenue &amp; Margin Analytics: Admin 4-card P&amp;L view; KAM-filtered revenue for Management role.</w:t>
      </w:r>
    </w:p>
    <w:p>
      <w:pPr>
        <w:pStyle w:val="ListBullet"/>
        <w:spacing w:before="20" w:after="40"/>
      </w:pPr>
      <w:r>
        <w:rPr>
          <w:sz w:val="19"/>
        </w:rPr>
        <w:t>QoS Heatmap page (/qos-heatmap): route quality heat visualization by destination and time.</w:t>
      </w:r>
    </w:p>
    <w:p>
      <w:pPr>
        <w:pStyle w:val="ListBullet"/>
        <w:spacing w:before="20" w:after="40"/>
      </w:pPr>
      <w:r>
        <w:rPr>
          <w:sz w:val="19"/>
        </w:rPr>
        <w:t>SLA Breaches page (/sla-breaches): per-client SLA compliance tracking with breach history.</w:t>
      </w:r>
    </w:p>
    <w:p>
      <w:pPr>
        <w:pStyle w:val="ListBullet"/>
        <w:spacing w:before="20" w:after="40"/>
      </w:pPr>
      <w:r>
        <w:rPr>
          <w:sz w:val="19"/>
        </w:rPr>
        <w:t>Vendor SLA Scorecard page (/vendor-sla-scorecard): per-vendor delivery metrics.</w:t>
      </w:r>
    </w:p>
    <w:p>
      <w:pPr>
        <w:pStyle w:val="ListBullet"/>
        <w:spacing w:before="20" w:after="40"/>
      </w:pPr>
      <w:r>
        <w:rPr>
          <w:sz w:val="19"/>
        </w:rPr>
        <w:t>LCR Analyser page (/lcr-analyser): CDR vs rate card cross-reference, missed-savings highlight.</w:t>
      </w:r>
    </w:p>
    <w:p>
      <w:pPr>
        <w:pStyle w:val="ListBullet"/>
        <w:spacing w:before="20" w:after="40"/>
      </w:pPr>
      <w:r>
        <w:rPr>
          <w:sz w:val="19"/>
        </w:rPr>
        <w:t>Call Flow Simulator (/call-flow-simulator): dialplan trace tool without placing a real call.</w:t>
      </w:r>
    </w:p>
    <w:p>
      <w:pPr>
        <w:pStyle w:val="ListBullet"/>
        <w:spacing w:before="20" w:after="40"/>
      </w:pPr>
      <w:r>
        <w:rPr>
          <w:sz w:val="19"/>
        </w:rPr>
        <w:t>Routing Manager (/routing-manager): route group CRUD + destination set management.</w:t>
      </w:r>
    </w:p>
    <w:p>
      <w:pPr>
        <w:pStyle w:val="ListBullet"/>
        <w:spacing w:before="20" w:after="40"/>
      </w:pPr>
      <w:r>
        <w:rPr>
          <w:sz w:val="19"/>
        </w:rPr>
        <w:t>Multi-Switch page (/multi-switch): unified view across all configured Sippy instances.</w:t>
      </w:r>
    </w:p>
    <w:p>
      <w:pPr>
        <w:spacing w:before="240" w:after="60"/>
      </w:pPr>
      <w:r>
        <w:rPr>
          <w:b/>
          <w:color w:val="1D4ED8"/>
          <w:sz w:val="22"/>
        </w:rPr>
        <w:t>5–8 May 2026  —  Fraud, Security &amp; Compliance Pages</w:t>
      </w:r>
    </w:p>
    <w:p>
      <w:pPr>
        <w:pStyle w:val="ListBullet"/>
        <w:spacing w:before="20" w:after="40"/>
      </w:pPr>
      <w:r>
        <w:rPr>
          <w:sz w:val="19"/>
        </w:rPr>
        <w:t>FAS/IRSF Detection Engine: zero-billed, high-PDD, short-billed, early-answer categories + IRSF prefix scan against curated high-risk prefix list.</w:t>
      </w:r>
    </w:p>
    <w:p>
      <w:pPr>
        <w:pStyle w:val="ListBullet"/>
        <w:spacing w:before="20" w:after="40"/>
      </w:pPr>
      <w:r>
        <w:rPr>
          <w:sz w:val="19"/>
        </w:rPr>
        <w:t>Auto-Blacklist system (/firewall): rule-based account/prefix blocking via Sippy XML-RPC.</w:t>
      </w:r>
    </w:p>
    <w:p>
      <w:pPr>
        <w:pStyle w:val="ListBullet"/>
        <w:spacing w:before="20" w:after="40"/>
      </w:pPr>
      <w:r>
        <w:rPr>
          <w:sz w:val="19"/>
        </w:rPr>
        <w:t>SIP OPTIONS Monitor: trunk liveness detection via SIP keepalive checks (separate from TCP probe).</w:t>
      </w:r>
    </w:p>
    <w:p>
      <w:pPr>
        <w:pStyle w:val="ListBullet"/>
        <w:spacing w:before="20" w:after="40"/>
      </w:pPr>
      <w:r>
        <w:rPr>
          <w:sz w:val="19"/>
        </w:rPr>
        <w:t>WhatsApp Alerts page (/whatsapp-alerts): Telegram/WhatsApp channel support wired to Watcher Recipients.</w:t>
      </w:r>
    </w:p>
    <w:p>
      <w:pPr>
        <w:pStyle w:val="ListBullet"/>
        <w:spacing w:before="20" w:after="40"/>
      </w:pPr>
      <w:r>
        <w:rPr>
          <w:sz w:val="19"/>
        </w:rPr>
        <w:t>STIR/SHAKEN compliance dashboard (/stir-shaken): attestation level (A/B/C) tracking and trending.</w:t>
      </w:r>
    </w:p>
    <w:p>
      <w:pPr>
        <w:pStyle w:val="ListBullet"/>
        <w:spacing w:before="20" w:after="40"/>
      </w:pPr>
      <w:r>
        <w:rPr>
          <w:sz w:val="19"/>
        </w:rPr>
        <w:t>SIP Trace page (/sip-trace): ladder diagram viewer for full SIP dialog (INVITE → 200 OK → BYE).</w:t>
      </w:r>
    </w:p>
    <w:p>
      <w:pPr>
        <w:pStyle w:val="ListBullet"/>
        <w:spacing w:before="20" w:after="40"/>
      </w:pPr>
      <w:r>
        <w:rPr>
          <w:sz w:val="19"/>
        </w:rPr>
        <w:t>Compliance page (/compliance): CALEA/GDPR data handling dashboard.</w:t>
      </w:r>
    </w:p>
    <w:p>
      <w:pPr>
        <w:spacing w:before="240" w:after="60"/>
      </w:pPr>
      <w:r>
        <w:rPr>
          <w:b/>
          <w:color w:val="1D4ED8"/>
          <w:sz w:val="22"/>
        </w:rPr>
        <w:t>1–4 May 2026  —  Infrastructure, Auth &amp; UX Hardening</w:t>
      </w:r>
    </w:p>
    <w:p>
      <w:pPr>
        <w:pStyle w:val="ListBullet"/>
        <w:spacing w:before="20" w:after="40"/>
      </w:pPr>
      <w:r>
        <w:rPr>
          <w:sz w:val="19"/>
        </w:rPr>
        <w:t>Sippy Change Watcher hardened: sippy_snapshots table prevents false-positive alerts on transient field changes.</w:t>
      </w:r>
    </w:p>
    <w:p>
      <w:pPr>
        <w:pStyle w:val="ListBullet"/>
        <w:spacing w:before="20" w:after="40"/>
      </w:pPr>
      <w:r>
        <w:rPr>
          <w:sz w:val="19"/>
        </w:rPr>
        <w:t>Replit Auth OIDC: requireRole() guard applied consistently to all protected routes — isAuthenticated() middleware no longer used directly.</w:t>
      </w:r>
    </w:p>
    <w:p>
      <w:pPr>
        <w:pStyle w:val="ListBullet"/>
        <w:spacing w:before="20" w:after="40"/>
      </w:pPr>
      <w:r>
        <w:rPr>
          <w:sz w:val="19"/>
        </w:rPr>
        <w:t>Security hardening: Helmet.js CSP headers tightened; suspicious IP tracker logs IPs with &gt;15 failed auth attempts in 5 minutes.</w:t>
      </w:r>
    </w:p>
    <w:p>
      <w:pPr>
        <w:pStyle w:val="ListBullet"/>
        <w:spacing w:before="20" w:after="40"/>
      </w:pPr>
      <w:r>
        <w:rPr>
          <w:sz w:val="19"/>
        </w:rPr>
        <w:t>Background job intervals staggered and mutex-guarded to reduce Sippy XML-RPC load by ~65–70 %.</w:t>
      </w:r>
    </w:p>
    <w:p>
      <w:pPr>
        <w:pStyle w:val="ListBullet"/>
        <w:spacing w:before="20" w:after="40"/>
      </w:pPr>
      <w:r>
        <w:rPr>
          <w:sz w:val="19"/>
        </w:rPr>
        <w:t>Client Wizard draft save: partial wizard state persisted to DB, resumable on reload.</w:t>
      </w:r>
    </w:p>
    <w:p>
      <w:pPr>
        <w:pStyle w:val="ListBullet"/>
        <w:spacing w:before="20" w:after="40"/>
      </w:pPr>
      <w:r>
        <w:rPr>
          <w:sz w:val="19"/>
        </w:rPr>
        <w:t>Command Bar (Ctrl+K): role-filtered navigation added for all new pages added this sprint.</w:t>
      </w:r>
    </w:p>
    <w:p>
      <w:r>
        <w:br w:type="page"/>
      </w:r>
    </w:p>
    <w:p>
      <w:pPr>
        <w:spacing w:before="240" w:after="120"/>
      </w:pPr>
      <w:r>
        <w:rPr>
          <w:b/>
          <w:color w:val="0F172A"/>
          <w:sz w:val="44"/>
        </w:rPr>
        <w:t>3.  Volume 1 — Full Feature Status  (All 24 Features)</w:t>
      </w:r>
    </w:p>
    <w:p>
      <w:pPr>
        <w:spacing w:before="40" w:after="80"/>
      </w:pPr>
      <w:r>
        <w:rPr>
          <w:sz w:val="20"/>
        </w:rPr>
        <w:t>All 24 features across Tiers 1–5 are confirmed live as of 15 April 2026.</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624"/>
            <w:shd w:val="clear" w:color="auto" w:fill="1E3A5F"/>
            <w:vAlign w:val="center"/>
          </w:tcPr>
          <w:p>
            <w:pPr>
              <w:spacing w:before="60" w:after="60"/>
            </w:pPr>
            <w:r>
              <w:rPr>
                <w:b/>
                <w:color w:val="FFFFFF"/>
                <w:sz w:val="18"/>
              </w:rPr>
              <w:t>Tier</w:t>
            </w:r>
          </w:p>
        </w:tc>
        <w:tc>
          <w:tcPr>
            <w:tcW w:type="dxa" w:w="454"/>
            <w:shd w:val="clear" w:color="auto" w:fill="1E3A5F"/>
            <w:vAlign w:val="center"/>
          </w:tcPr>
          <w:p>
            <w:pPr>
              <w:spacing w:before="60" w:after="60"/>
            </w:pPr>
            <w:r>
              <w:rPr>
                <w:b/>
                <w:color w:val="FFFFFF"/>
                <w:sz w:val="18"/>
              </w:rPr>
              <w:t>#</w:t>
            </w:r>
          </w:p>
        </w:tc>
        <w:tc>
          <w:tcPr>
            <w:tcW w:type="dxa" w:w="3288"/>
            <w:shd w:val="clear" w:color="auto" w:fill="1E3A5F"/>
            <w:vAlign w:val="center"/>
          </w:tcPr>
          <w:p>
            <w:pPr>
              <w:spacing w:before="60" w:after="60"/>
            </w:pPr>
            <w:r>
              <w:rPr>
                <w:b/>
                <w:color w:val="FFFFFF"/>
                <w:sz w:val="18"/>
              </w:rPr>
              <w:t>Feature</w:t>
            </w:r>
          </w:p>
        </w:tc>
        <w:tc>
          <w:tcPr>
            <w:tcW w:type="dxa" w:w="1020"/>
            <w:shd w:val="clear" w:color="auto" w:fill="1E3A5F"/>
            <w:vAlign w:val="center"/>
          </w:tcPr>
          <w:p>
            <w:pPr>
              <w:spacing w:before="60" w:after="60"/>
            </w:pPr>
            <w:r>
              <w:rPr>
                <w:b/>
                <w:color w:val="FFFFFF"/>
                <w:sz w:val="18"/>
              </w:rPr>
              <w:t>Status</w:t>
            </w:r>
          </w:p>
        </w:tc>
        <w:tc>
          <w:tcPr>
            <w:tcW w:type="dxa" w:w="3685"/>
            <w:shd w:val="clear" w:color="auto" w:fill="1E3A5F"/>
            <w:vAlign w:val="center"/>
          </w:tcPr>
          <w:p>
            <w:pPr>
              <w:spacing w:before="60" w:after="60"/>
            </w:pPr>
            <w:r>
              <w:rPr>
                <w:b/>
                <w:color w:val="FFFFFF"/>
                <w:sz w:val="18"/>
              </w:rPr>
              <w:t>Implementation Notes</w:t>
            </w:r>
          </w:p>
        </w:tc>
      </w:tr>
      <w:tr>
        <w:tc>
          <w:tcPr>
            <w:tcW w:type="dxa" w:w="624"/>
            <w:shd w:val="clear" w:color="auto" w:fill="F3F4F6"/>
            <w:vAlign w:val="center"/>
          </w:tcPr>
          <w:p>
            <w:pPr>
              <w:spacing w:before="40" w:after="40"/>
            </w:pPr>
            <w:r>
              <w:rPr>
                <w:sz w:val="18"/>
              </w:rPr>
              <w:t>T1</w:t>
            </w:r>
          </w:p>
        </w:tc>
        <w:tc>
          <w:tcPr>
            <w:tcW w:type="dxa" w:w="454"/>
            <w:shd w:val="clear" w:color="auto" w:fill="F3F4F6"/>
            <w:vAlign w:val="center"/>
          </w:tcPr>
          <w:p>
            <w:pPr>
              <w:spacing w:before="40" w:after="40"/>
            </w:pPr>
            <w:r>
              <w:rPr>
                <w:sz w:val="18"/>
              </w:rPr>
              <w:t>1</w:t>
            </w:r>
          </w:p>
        </w:tc>
        <w:tc>
          <w:tcPr>
            <w:tcW w:type="dxa" w:w="3288"/>
            <w:shd w:val="clear" w:color="auto" w:fill="F3F4F6"/>
            <w:vAlign w:val="center"/>
          </w:tcPr>
          <w:p>
            <w:pPr>
              <w:spacing w:before="40" w:after="40"/>
            </w:pPr>
            <w:r>
              <w:rPr>
                <w:sz w:val="18"/>
              </w:rPr>
              <w:t>Live Call Quality Monitoring — MOS, Jitter, Latency, Packet Loss</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Real-time WebSocket metrics, threshold alerts, per-call history in call_metrics table</w:t>
            </w:r>
          </w:p>
        </w:tc>
      </w:tr>
      <w:tr>
        <w:tc>
          <w:tcPr>
            <w:tcW w:type="dxa" w:w="624"/>
            <w:shd w:val="clear" w:color="auto" w:fill="FFFFFF"/>
            <w:vAlign w:val="center"/>
          </w:tcPr>
          <w:p>
            <w:pPr>
              <w:spacing w:before="40" w:after="40"/>
            </w:pPr>
            <w:r>
              <w:rPr>
                <w:sz w:val="18"/>
              </w:rPr>
              <w:t>T1</w:t>
            </w:r>
          </w:p>
        </w:tc>
        <w:tc>
          <w:tcPr>
            <w:tcW w:type="dxa" w:w="454"/>
            <w:shd w:val="clear" w:color="auto" w:fill="FFFFFF"/>
            <w:vAlign w:val="center"/>
          </w:tcPr>
          <w:p>
            <w:pPr>
              <w:spacing w:before="40" w:after="40"/>
            </w:pPr>
            <w:r>
              <w:rPr>
                <w:sz w:val="18"/>
              </w:rPr>
              <w:t>2</w:t>
            </w:r>
          </w:p>
        </w:tc>
        <w:tc>
          <w:tcPr>
            <w:tcW w:type="dxa" w:w="3288"/>
            <w:shd w:val="clear" w:color="auto" w:fill="FFFFFF"/>
            <w:vAlign w:val="center"/>
          </w:tcPr>
          <w:p>
            <w:pPr>
              <w:spacing w:before="40" w:after="40"/>
            </w:pPr>
            <w:r>
              <w:rPr>
                <w:sz w:val="18"/>
              </w:rPr>
              <w:t>Call Session Tracking — CDR: ASR, ACD, PDD, CPS</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Sippy XML-RPC getAccountCDRs / getCustomerCDRs; CPS from 1-hour window</w:t>
            </w:r>
          </w:p>
        </w:tc>
      </w:tr>
      <w:tr>
        <w:tc>
          <w:tcPr>
            <w:tcW w:type="dxa" w:w="624"/>
            <w:shd w:val="clear" w:color="auto" w:fill="F3F4F6"/>
            <w:vAlign w:val="center"/>
          </w:tcPr>
          <w:p>
            <w:pPr>
              <w:spacing w:before="40" w:after="40"/>
            </w:pPr>
            <w:r>
              <w:rPr>
                <w:sz w:val="18"/>
              </w:rPr>
              <w:t>T1</w:t>
            </w:r>
          </w:p>
        </w:tc>
        <w:tc>
          <w:tcPr>
            <w:tcW w:type="dxa" w:w="454"/>
            <w:shd w:val="clear" w:color="auto" w:fill="F3F4F6"/>
            <w:vAlign w:val="center"/>
          </w:tcPr>
          <w:p>
            <w:pPr>
              <w:spacing w:before="40" w:after="40"/>
            </w:pPr>
            <w:r>
              <w:rPr>
                <w:sz w:val="18"/>
              </w:rPr>
              <w:t>3</w:t>
            </w:r>
          </w:p>
        </w:tc>
        <w:tc>
          <w:tcPr>
            <w:tcW w:type="dxa" w:w="3288"/>
            <w:shd w:val="clear" w:color="auto" w:fill="F3F4F6"/>
            <w:vAlign w:val="center"/>
          </w:tcPr>
          <w:p>
            <w:pPr>
              <w:spacing w:before="40" w:after="40"/>
            </w:pPr>
            <w:r>
              <w:rPr>
                <w:sz w:val="18"/>
              </w:rPr>
              <w:t>IP Endpoint Probe — TCP SIP port liveness check</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Live probe status on Server Monitoring page; per-host outage_log</w:t>
            </w:r>
          </w:p>
        </w:tc>
      </w:tr>
      <w:tr>
        <w:tc>
          <w:tcPr>
            <w:tcW w:type="dxa" w:w="624"/>
            <w:shd w:val="clear" w:color="auto" w:fill="FFFFFF"/>
            <w:vAlign w:val="center"/>
          </w:tcPr>
          <w:p>
            <w:pPr>
              <w:spacing w:before="40" w:after="40"/>
            </w:pPr>
            <w:r>
              <w:rPr>
                <w:sz w:val="18"/>
              </w:rPr>
              <w:t>T1</w:t>
            </w:r>
          </w:p>
        </w:tc>
        <w:tc>
          <w:tcPr>
            <w:tcW w:type="dxa" w:w="454"/>
            <w:shd w:val="clear" w:color="auto" w:fill="FFFFFF"/>
            <w:vAlign w:val="center"/>
          </w:tcPr>
          <w:p>
            <w:pPr>
              <w:spacing w:before="40" w:after="40"/>
            </w:pPr>
            <w:r>
              <w:rPr>
                <w:sz w:val="18"/>
              </w:rPr>
              <w:t>4</w:t>
            </w:r>
          </w:p>
        </w:tc>
        <w:tc>
          <w:tcPr>
            <w:tcW w:type="dxa" w:w="3288"/>
            <w:shd w:val="clear" w:color="auto" w:fill="FFFFFF"/>
            <w:vAlign w:val="center"/>
          </w:tcPr>
          <w:p>
            <w:pPr>
              <w:spacing w:before="40" w:after="40"/>
            </w:pPr>
            <w:r>
              <w:rPr>
                <w:sz w:val="18"/>
              </w:rPr>
              <w:t>Role-Based Access Control — Admin / Management / Viewer</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Replit OIDC + requireRole() guard on every protected route</w:t>
            </w:r>
          </w:p>
        </w:tc>
      </w:tr>
      <w:tr>
        <w:tc>
          <w:tcPr>
            <w:tcW w:type="dxa" w:w="624"/>
            <w:shd w:val="clear" w:color="auto" w:fill="F3F4F6"/>
            <w:vAlign w:val="center"/>
          </w:tcPr>
          <w:p>
            <w:pPr>
              <w:spacing w:before="40" w:after="40"/>
            </w:pPr>
            <w:r>
              <w:rPr>
                <w:sz w:val="18"/>
              </w:rPr>
              <w:t>T1</w:t>
            </w:r>
          </w:p>
        </w:tc>
        <w:tc>
          <w:tcPr>
            <w:tcW w:type="dxa" w:w="454"/>
            <w:shd w:val="clear" w:color="auto" w:fill="F3F4F6"/>
            <w:vAlign w:val="center"/>
          </w:tcPr>
          <w:p>
            <w:pPr>
              <w:spacing w:before="40" w:after="40"/>
            </w:pPr>
            <w:r>
              <w:rPr>
                <w:sz w:val="18"/>
              </w:rPr>
              <w:t>5</w:t>
            </w:r>
          </w:p>
        </w:tc>
        <w:tc>
          <w:tcPr>
            <w:tcW w:type="dxa" w:w="3288"/>
            <w:shd w:val="clear" w:color="auto" w:fill="F3F4F6"/>
            <w:vAlign w:val="center"/>
          </w:tcPr>
          <w:p>
            <w:pPr>
              <w:spacing w:before="40" w:after="40"/>
            </w:pPr>
            <w:r>
              <w:rPr>
                <w:sz w:val="18"/>
              </w:rPr>
              <w:t>Alert Engine — threshold-based triggers + email delivery</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Gmail SMTP; per-rule cooldowns; alert_rules table with enable/disable toggles</w:t>
            </w:r>
          </w:p>
        </w:tc>
      </w:tr>
      <w:tr>
        <w:tc>
          <w:tcPr>
            <w:tcW w:type="dxa" w:w="624"/>
            <w:shd w:val="clear" w:color="auto" w:fill="FFFFFF"/>
            <w:vAlign w:val="center"/>
          </w:tcPr>
          <w:p>
            <w:pPr>
              <w:spacing w:before="40" w:after="40"/>
            </w:pPr>
            <w:r>
              <w:rPr>
                <w:sz w:val="18"/>
              </w:rPr>
              <w:t>T2</w:t>
            </w:r>
          </w:p>
        </w:tc>
        <w:tc>
          <w:tcPr>
            <w:tcW w:type="dxa" w:w="454"/>
            <w:shd w:val="clear" w:color="auto" w:fill="FFFFFF"/>
            <w:vAlign w:val="center"/>
          </w:tcPr>
          <w:p>
            <w:pPr>
              <w:spacing w:before="40" w:after="40"/>
            </w:pPr>
            <w:r>
              <w:rPr>
                <w:sz w:val="18"/>
              </w:rPr>
              <w:t>6</w:t>
            </w:r>
          </w:p>
        </w:tc>
        <w:tc>
          <w:tcPr>
            <w:tcW w:type="dxa" w:w="3288"/>
            <w:shd w:val="clear" w:color="auto" w:fill="FFFFFF"/>
            <w:vAlign w:val="center"/>
          </w:tcPr>
          <w:p>
            <w:pPr>
              <w:spacing w:before="40" w:after="40"/>
            </w:pPr>
            <w:r>
              <w:rPr>
                <w:sz w:val="18"/>
              </w:rPr>
              <w:t>KAM Management &amp; Portfolio Assignment</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kams + kam_accounts tables; live call overlay; BitsEye per-KAM drill-down</w:t>
            </w:r>
          </w:p>
        </w:tc>
      </w:tr>
      <w:tr>
        <w:tc>
          <w:tcPr>
            <w:tcW w:type="dxa" w:w="624"/>
            <w:shd w:val="clear" w:color="auto" w:fill="F3F4F6"/>
            <w:vAlign w:val="center"/>
          </w:tcPr>
          <w:p>
            <w:pPr>
              <w:spacing w:before="40" w:after="40"/>
            </w:pPr>
            <w:r>
              <w:rPr>
                <w:sz w:val="18"/>
              </w:rPr>
              <w:t>T2</w:t>
            </w:r>
          </w:p>
        </w:tc>
        <w:tc>
          <w:tcPr>
            <w:tcW w:type="dxa" w:w="454"/>
            <w:shd w:val="clear" w:color="auto" w:fill="F3F4F6"/>
            <w:vAlign w:val="center"/>
          </w:tcPr>
          <w:p>
            <w:pPr>
              <w:spacing w:before="40" w:after="40"/>
            </w:pPr>
            <w:r>
              <w:rPr>
                <w:sz w:val="18"/>
              </w:rPr>
              <w:t>7</w:t>
            </w:r>
          </w:p>
        </w:tc>
        <w:tc>
          <w:tcPr>
            <w:tcW w:type="dxa" w:w="3288"/>
            <w:shd w:val="clear" w:color="auto" w:fill="F3F4F6"/>
            <w:vAlign w:val="center"/>
          </w:tcPr>
          <w:p>
            <w:pPr>
              <w:spacing w:before="40" w:after="40"/>
            </w:pPr>
            <w:r>
              <w:rPr>
                <w:sz w:val="18"/>
              </w:rPr>
              <w:t>Traffic Drop Detector — &gt;50 % drop alert</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Background job every 5 min; 30-min cooldown; traffic_alerts open/resolved states</w:t>
            </w:r>
          </w:p>
        </w:tc>
      </w:tr>
      <w:tr>
        <w:tc>
          <w:tcPr>
            <w:tcW w:type="dxa" w:w="624"/>
            <w:shd w:val="clear" w:color="auto" w:fill="FFFFFF"/>
            <w:vAlign w:val="center"/>
          </w:tcPr>
          <w:p>
            <w:pPr>
              <w:spacing w:before="40" w:after="40"/>
            </w:pPr>
            <w:r>
              <w:rPr>
                <w:sz w:val="18"/>
              </w:rPr>
              <w:t>T2</w:t>
            </w:r>
          </w:p>
        </w:tc>
        <w:tc>
          <w:tcPr>
            <w:tcW w:type="dxa" w:w="454"/>
            <w:shd w:val="clear" w:color="auto" w:fill="FFFFFF"/>
            <w:vAlign w:val="center"/>
          </w:tcPr>
          <w:p>
            <w:pPr>
              <w:spacing w:before="40" w:after="40"/>
            </w:pPr>
            <w:r>
              <w:rPr>
                <w:sz w:val="18"/>
              </w:rPr>
              <w:t>8</w:t>
            </w:r>
          </w:p>
        </w:tc>
        <w:tc>
          <w:tcPr>
            <w:tcW w:type="dxa" w:w="3288"/>
            <w:shd w:val="clear" w:color="auto" w:fill="FFFFFF"/>
            <w:vAlign w:val="center"/>
          </w:tcPr>
          <w:p>
            <w:pPr>
              <w:spacing w:before="40" w:after="40"/>
            </w:pPr>
            <w:r>
              <w:rPr>
                <w:sz w:val="18"/>
              </w:rPr>
              <w:t>Client Traffic Pulse — per-client live concurrency cards</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Live call count + percentage-of-peak bar + trend indicator on Graphs page</w:t>
            </w:r>
          </w:p>
        </w:tc>
      </w:tr>
      <w:tr>
        <w:tc>
          <w:tcPr>
            <w:tcW w:type="dxa" w:w="624"/>
            <w:shd w:val="clear" w:color="auto" w:fill="F3F4F6"/>
            <w:vAlign w:val="center"/>
          </w:tcPr>
          <w:p>
            <w:pPr>
              <w:spacing w:before="40" w:after="40"/>
            </w:pPr>
            <w:r>
              <w:rPr>
                <w:sz w:val="18"/>
              </w:rPr>
              <w:t>T2</w:t>
            </w:r>
          </w:p>
        </w:tc>
        <w:tc>
          <w:tcPr>
            <w:tcW w:type="dxa" w:w="454"/>
            <w:shd w:val="clear" w:color="auto" w:fill="F3F4F6"/>
            <w:vAlign w:val="center"/>
          </w:tcPr>
          <w:p>
            <w:pPr>
              <w:spacing w:before="40" w:after="40"/>
            </w:pPr>
            <w:r>
              <w:rPr>
                <w:sz w:val="18"/>
              </w:rPr>
              <w:t>9</w:t>
            </w:r>
          </w:p>
        </w:tc>
        <w:tc>
          <w:tcPr>
            <w:tcW w:type="dxa" w:w="3288"/>
            <w:shd w:val="clear" w:color="auto" w:fill="F3F4F6"/>
            <w:vAlign w:val="center"/>
          </w:tcPr>
          <w:p>
            <w:pPr>
              <w:spacing w:before="40" w:after="40"/>
            </w:pPr>
            <w:r>
              <w:rPr>
                <w:sz w:val="18"/>
              </w:rPr>
              <w:t>Traffic Map — Leaflet choropleth by destination country</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CDR country field; TopoJSON world-atlas; violet scale; time-range selector</w:t>
            </w:r>
          </w:p>
        </w:tc>
      </w:tr>
      <w:tr>
        <w:tc>
          <w:tcPr>
            <w:tcW w:type="dxa" w:w="624"/>
            <w:shd w:val="clear" w:color="auto" w:fill="FFFFFF"/>
            <w:vAlign w:val="center"/>
          </w:tcPr>
          <w:p>
            <w:pPr>
              <w:spacing w:before="40" w:after="40"/>
            </w:pPr>
            <w:r>
              <w:rPr>
                <w:sz w:val="18"/>
              </w:rPr>
              <w:t>T2</w:t>
            </w:r>
          </w:p>
        </w:tc>
        <w:tc>
          <w:tcPr>
            <w:tcW w:type="dxa" w:w="454"/>
            <w:shd w:val="clear" w:color="auto" w:fill="FFFFFF"/>
            <w:vAlign w:val="center"/>
          </w:tcPr>
          <w:p>
            <w:pPr>
              <w:spacing w:before="40" w:after="40"/>
            </w:pPr>
            <w:r>
              <w:rPr>
                <w:sz w:val="18"/>
              </w:rPr>
              <w:t>10</w:t>
            </w:r>
          </w:p>
        </w:tc>
        <w:tc>
          <w:tcPr>
            <w:tcW w:type="dxa" w:w="3288"/>
            <w:shd w:val="clear" w:color="auto" w:fill="FFFFFF"/>
            <w:vAlign w:val="center"/>
          </w:tcPr>
          <w:p>
            <w:pPr>
              <w:spacing w:before="40" w:after="40"/>
            </w:pPr>
            <w:r>
              <w:rPr>
                <w:sz w:val="18"/>
              </w:rPr>
              <w:t>Revenue &amp; Margin Analytics — 30-day P&amp;L</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Admin: 4-card Revenue/Cost/Profit/Margin view. KAM: filtered to assigned clients</w:t>
            </w:r>
          </w:p>
        </w:tc>
      </w:tr>
      <w:tr>
        <w:tc>
          <w:tcPr>
            <w:tcW w:type="dxa" w:w="624"/>
            <w:shd w:val="clear" w:color="auto" w:fill="F3F4F6"/>
            <w:vAlign w:val="center"/>
          </w:tcPr>
          <w:p>
            <w:pPr>
              <w:spacing w:before="40" w:after="40"/>
            </w:pPr>
            <w:r>
              <w:rPr>
                <w:sz w:val="18"/>
              </w:rPr>
              <w:t>T3</w:t>
            </w:r>
          </w:p>
        </w:tc>
        <w:tc>
          <w:tcPr>
            <w:tcW w:type="dxa" w:w="454"/>
            <w:shd w:val="clear" w:color="auto" w:fill="F3F4F6"/>
            <w:vAlign w:val="center"/>
          </w:tcPr>
          <w:p>
            <w:pPr>
              <w:spacing w:before="40" w:after="40"/>
            </w:pPr>
            <w:r>
              <w:rPr>
                <w:sz w:val="18"/>
              </w:rPr>
              <w:t>11</w:t>
            </w:r>
          </w:p>
        </w:tc>
        <w:tc>
          <w:tcPr>
            <w:tcW w:type="dxa" w:w="3288"/>
            <w:shd w:val="clear" w:color="auto" w:fill="F3F4F6"/>
            <w:vAlign w:val="center"/>
          </w:tcPr>
          <w:p>
            <w:pPr>
              <w:spacing w:before="40" w:after="40"/>
            </w:pPr>
            <w:r>
              <w:rPr>
                <w:sz w:val="18"/>
              </w:rPr>
              <w:t>Sippy Change Watcher — IP rules, clients, vendors</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Polls every 5 min; sippy_snapshots for false-positive prevention; email per event</w:t>
            </w:r>
          </w:p>
        </w:tc>
      </w:tr>
      <w:tr>
        <w:tc>
          <w:tcPr>
            <w:tcW w:type="dxa" w:w="624"/>
            <w:shd w:val="clear" w:color="auto" w:fill="FFFFFF"/>
            <w:vAlign w:val="center"/>
          </w:tcPr>
          <w:p>
            <w:pPr>
              <w:spacing w:before="40" w:after="40"/>
            </w:pPr>
            <w:r>
              <w:rPr>
                <w:sz w:val="18"/>
              </w:rPr>
              <w:t>T3</w:t>
            </w:r>
          </w:p>
        </w:tc>
        <w:tc>
          <w:tcPr>
            <w:tcW w:type="dxa" w:w="454"/>
            <w:shd w:val="clear" w:color="auto" w:fill="FFFFFF"/>
            <w:vAlign w:val="center"/>
          </w:tcPr>
          <w:p>
            <w:pPr>
              <w:spacing w:before="40" w:after="40"/>
            </w:pPr>
            <w:r>
              <w:rPr>
                <w:sz w:val="18"/>
              </w:rPr>
              <w:t>12</w:t>
            </w:r>
          </w:p>
        </w:tc>
        <w:tc>
          <w:tcPr>
            <w:tcW w:type="dxa" w:w="3288"/>
            <w:shd w:val="clear" w:color="auto" w:fill="FFFFFF"/>
            <w:vAlign w:val="center"/>
          </w:tcPr>
          <w:p>
            <w:pPr>
              <w:spacing w:before="40" w:after="40"/>
            </w:pPr>
            <w:r>
              <w:rPr>
                <w:sz w:val="18"/>
              </w:rPr>
              <w:t>Security Hardening — Helmet, rate-limit, CSP</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300/15min general; 20/15min auth; suspicious IP log (15+ 401/403 in 5 min)</w:t>
            </w:r>
          </w:p>
        </w:tc>
      </w:tr>
      <w:tr>
        <w:tc>
          <w:tcPr>
            <w:tcW w:type="dxa" w:w="624"/>
            <w:shd w:val="clear" w:color="auto" w:fill="F3F4F6"/>
            <w:vAlign w:val="center"/>
          </w:tcPr>
          <w:p>
            <w:pPr>
              <w:spacing w:before="40" w:after="40"/>
            </w:pPr>
            <w:r>
              <w:rPr>
                <w:sz w:val="18"/>
              </w:rPr>
              <w:t>T3</w:t>
            </w:r>
          </w:p>
        </w:tc>
        <w:tc>
          <w:tcPr>
            <w:tcW w:type="dxa" w:w="454"/>
            <w:shd w:val="clear" w:color="auto" w:fill="F3F4F6"/>
            <w:vAlign w:val="center"/>
          </w:tcPr>
          <w:p>
            <w:pPr>
              <w:spacing w:before="40" w:after="40"/>
            </w:pPr>
            <w:r>
              <w:rPr>
                <w:sz w:val="18"/>
              </w:rPr>
              <w:t>13</w:t>
            </w:r>
          </w:p>
        </w:tc>
        <w:tc>
          <w:tcPr>
            <w:tcW w:type="dxa" w:w="3288"/>
            <w:shd w:val="clear" w:color="auto" w:fill="F3F4F6"/>
            <w:vAlign w:val="center"/>
          </w:tcPr>
          <w:p>
            <w:pPr>
              <w:spacing w:before="40" w:after="40"/>
            </w:pPr>
            <w:r>
              <w:rPr>
                <w:sz w:val="18"/>
              </w:rPr>
              <w:t>Fraud / FAS + IRSF Detection</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Zero-billed, high-PDD, short-billed, early-answer; IRSF premium prefix scan</w:t>
            </w:r>
          </w:p>
        </w:tc>
      </w:tr>
      <w:tr>
        <w:tc>
          <w:tcPr>
            <w:tcW w:type="dxa" w:w="624"/>
            <w:shd w:val="clear" w:color="auto" w:fill="FFFFFF"/>
            <w:vAlign w:val="center"/>
          </w:tcPr>
          <w:p>
            <w:pPr>
              <w:spacing w:before="40" w:after="40"/>
            </w:pPr>
            <w:r>
              <w:rPr>
                <w:sz w:val="18"/>
              </w:rPr>
              <w:t>T3</w:t>
            </w:r>
          </w:p>
        </w:tc>
        <w:tc>
          <w:tcPr>
            <w:tcW w:type="dxa" w:w="454"/>
            <w:shd w:val="clear" w:color="auto" w:fill="FFFFFF"/>
            <w:vAlign w:val="center"/>
          </w:tcPr>
          <w:p>
            <w:pPr>
              <w:spacing w:before="40" w:after="40"/>
            </w:pPr>
            <w:r>
              <w:rPr>
                <w:sz w:val="18"/>
              </w:rPr>
              <w:t>14</w:t>
            </w:r>
          </w:p>
        </w:tc>
        <w:tc>
          <w:tcPr>
            <w:tcW w:type="dxa" w:w="3288"/>
            <w:shd w:val="clear" w:color="auto" w:fill="FFFFFF"/>
            <w:vAlign w:val="center"/>
          </w:tcPr>
          <w:p>
            <w:pPr>
              <w:spacing w:before="40" w:after="40"/>
            </w:pPr>
            <w:r>
              <w:rPr>
                <w:sz w:val="18"/>
              </w:rPr>
              <w:t>Server Monitoring — 6-tab infrastructure view</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TCP probe every 60 s; outage_log; RTP bandwidth; disk &amp; memory; SIP reg storm</w:t>
            </w:r>
          </w:p>
        </w:tc>
      </w:tr>
      <w:tr>
        <w:tc>
          <w:tcPr>
            <w:tcW w:type="dxa" w:w="624"/>
            <w:shd w:val="clear" w:color="auto" w:fill="F3F4F6"/>
            <w:vAlign w:val="center"/>
          </w:tcPr>
          <w:p>
            <w:pPr>
              <w:spacing w:before="40" w:after="40"/>
            </w:pPr>
            <w:r>
              <w:rPr>
                <w:sz w:val="18"/>
              </w:rPr>
              <w:t>T3</w:t>
            </w:r>
          </w:p>
        </w:tc>
        <w:tc>
          <w:tcPr>
            <w:tcW w:type="dxa" w:w="454"/>
            <w:shd w:val="clear" w:color="auto" w:fill="F3F4F6"/>
            <w:vAlign w:val="center"/>
          </w:tcPr>
          <w:p>
            <w:pPr>
              <w:spacing w:before="40" w:after="40"/>
            </w:pPr>
            <w:r>
              <w:rPr>
                <w:sz w:val="18"/>
              </w:rPr>
              <w:t>15</w:t>
            </w:r>
          </w:p>
        </w:tc>
        <w:tc>
          <w:tcPr>
            <w:tcW w:type="dxa" w:w="3288"/>
            <w:shd w:val="clear" w:color="auto" w:fill="F3F4F6"/>
            <w:vAlign w:val="center"/>
          </w:tcPr>
          <w:p>
            <w:pPr>
              <w:spacing w:before="40" w:after="40"/>
            </w:pPr>
            <w:r>
              <w:rPr>
                <w:sz w:val="18"/>
              </w:rPr>
              <w:t>Vendor Balance Tracker — delta-based cost</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2-hour rolling balance snapshots; cost = balance decrease over window</w:t>
            </w:r>
          </w:p>
        </w:tc>
      </w:tr>
      <w:tr>
        <w:tc>
          <w:tcPr>
            <w:tcW w:type="dxa" w:w="624"/>
            <w:shd w:val="clear" w:color="auto" w:fill="FFFFFF"/>
            <w:vAlign w:val="center"/>
          </w:tcPr>
          <w:p>
            <w:pPr>
              <w:spacing w:before="40" w:after="40"/>
            </w:pPr>
            <w:r>
              <w:rPr>
                <w:sz w:val="18"/>
              </w:rPr>
              <w:t>T4</w:t>
            </w:r>
          </w:p>
        </w:tc>
        <w:tc>
          <w:tcPr>
            <w:tcW w:type="dxa" w:w="454"/>
            <w:shd w:val="clear" w:color="auto" w:fill="FFFFFF"/>
            <w:vAlign w:val="center"/>
          </w:tcPr>
          <w:p>
            <w:pPr>
              <w:spacing w:before="40" w:after="40"/>
            </w:pPr>
            <w:r>
              <w:rPr>
                <w:sz w:val="18"/>
              </w:rPr>
              <w:t>16</w:t>
            </w:r>
          </w:p>
        </w:tc>
        <w:tc>
          <w:tcPr>
            <w:tcW w:type="dxa" w:w="3288"/>
            <w:shd w:val="clear" w:color="auto" w:fill="FFFFFF"/>
            <w:vAlign w:val="center"/>
          </w:tcPr>
          <w:p>
            <w:pPr>
              <w:spacing w:before="40" w:after="40"/>
            </w:pPr>
            <w:r>
              <w:rPr>
                <w:sz w:val="18"/>
              </w:rPr>
              <w:t>Rate Cards &amp; Tariff Management</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Sippy tariff/rate CRUD; bulk import from CSV/XLSX files</w:t>
            </w:r>
          </w:p>
        </w:tc>
      </w:tr>
      <w:tr>
        <w:tc>
          <w:tcPr>
            <w:tcW w:type="dxa" w:w="624"/>
            <w:shd w:val="clear" w:color="auto" w:fill="F3F4F6"/>
            <w:vAlign w:val="center"/>
          </w:tcPr>
          <w:p>
            <w:pPr>
              <w:spacing w:before="40" w:after="40"/>
            </w:pPr>
            <w:r>
              <w:rPr>
                <w:sz w:val="18"/>
              </w:rPr>
              <w:t>T4</w:t>
            </w:r>
          </w:p>
        </w:tc>
        <w:tc>
          <w:tcPr>
            <w:tcW w:type="dxa" w:w="454"/>
            <w:shd w:val="clear" w:color="auto" w:fill="F3F4F6"/>
            <w:vAlign w:val="center"/>
          </w:tcPr>
          <w:p>
            <w:pPr>
              <w:spacing w:before="40" w:after="40"/>
            </w:pPr>
            <w:r>
              <w:rPr>
                <w:sz w:val="18"/>
              </w:rPr>
              <w:t>17</w:t>
            </w:r>
          </w:p>
        </w:tc>
        <w:tc>
          <w:tcPr>
            <w:tcW w:type="dxa" w:w="3288"/>
            <w:shd w:val="clear" w:color="auto" w:fill="F3F4F6"/>
            <w:vAlign w:val="center"/>
          </w:tcPr>
          <w:p>
            <w:pPr>
              <w:spacing w:before="40" w:after="40"/>
            </w:pPr>
            <w:r>
              <w:rPr>
                <w:sz w:val="18"/>
              </w:rPr>
              <w:t>DID Management</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List, assign, release DIDs via Sippy API</w:t>
            </w:r>
          </w:p>
        </w:tc>
      </w:tr>
      <w:tr>
        <w:tc>
          <w:tcPr>
            <w:tcW w:type="dxa" w:w="624"/>
            <w:shd w:val="clear" w:color="auto" w:fill="FFFFFF"/>
            <w:vAlign w:val="center"/>
          </w:tcPr>
          <w:p>
            <w:pPr>
              <w:spacing w:before="40" w:after="40"/>
            </w:pPr>
            <w:r>
              <w:rPr>
                <w:sz w:val="18"/>
              </w:rPr>
              <w:t>T4</w:t>
            </w:r>
          </w:p>
        </w:tc>
        <w:tc>
          <w:tcPr>
            <w:tcW w:type="dxa" w:w="454"/>
            <w:shd w:val="clear" w:color="auto" w:fill="FFFFFF"/>
            <w:vAlign w:val="center"/>
          </w:tcPr>
          <w:p>
            <w:pPr>
              <w:spacing w:before="40" w:after="40"/>
            </w:pPr>
            <w:r>
              <w:rPr>
                <w:sz w:val="18"/>
              </w:rPr>
              <w:t>18</w:t>
            </w:r>
          </w:p>
        </w:tc>
        <w:tc>
          <w:tcPr>
            <w:tcW w:type="dxa" w:w="3288"/>
            <w:shd w:val="clear" w:color="auto" w:fill="FFFFFF"/>
            <w:vAlign w:val="center"/>
          </w:tcPr>
          <w:p>
            <w:pPr>
              <w:spacing w:before="40" w:after="40"/>
            </w:pPr>
            <w:r>
              <w:rPr>
                <w:sz w:val="18"/>
              </w:rPr>
              <w:t>Multi-Switch Support</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SwitchesPanel in Settings; push rate changes to all enabled switches</w:t>
            </w:r>
          </w:p>
        </w:tc>
      </w:tr>
      <w:tr>
        <w:tc>
          <w:tcPr>
            <w:tcW w:type="dxa" w:w="624"/>
            <w:shd w:val="clear" w:color="auto" w:fill="F3F4F6"/>
            <w:vAlign w:val="center"/>
          </w:tcPr>
          <w:p>
            <w:pPr>
              <w:spacing w:before="40" w:after="40"/>
            </w:pPr>
            <w:r>
              <w:rPr>
                <w:sz w:val="18"/>
              </w:rPr>
              <w:t>T4</w:t>
            </w:r>
          </w:p>
        </w:tc>
        <w:tc>
          <w:tcPr>
            <w:tcW w:type="dxa" w:w="454"/>
            <w:shd w:val="clear" w:color="auto" w:fill="F3F4F6"/>
            <w:vAlign w:val="center"/>
          </w:tcPr>
          <w:p>
            <w:pPr>
              <w:spacing w:before="40" w:after="40"/>
            </w:pPr>
            <w:r>
              <w:rPr>
                <w:sz w:val="18"/>
              </w:rPr>
              <w:t>19</w:t>
            </w:r>
          </w:p>
        </w:tc>
        <w:tc>
          <w:tcPr>
            <w:tcW w:type="dxa" w:w="3288"/>
            <w:shd w:val="clear" w:color="auto" w:fill="F3F4F6"/>
            <w:vAlign w:val="center"/>
          </w:tcPr>
          <w:p>
            <w:pPr>
              <w:spacing w:before="40" w:after="40"/>
            </w:pPr>
            <w:r>
              <w:rPr>
                <w:sz w:val="18"/>
              </w:rPr>
              <w:t>Payments &amp; Billing</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Full Sippy billing API coverage (articles 107440–107446)</w:t>
            </w:r>
          </w:p>
        </w:tc>
      </w:tr>
      <w:tr>
        <w:tc>
          <w:tcPr>
            <w:tcW w:type="dxa" w:w="624"/>
            <w:shd w:val="clear" w:color="auto" w:fill="FFFFFF"/>
            <w:vAlign w:val="center"/>
          </w:tcPr>
          <w:p>
            <w:pPr>
              <w:spacing w:before="40" w:after="40"/>
            </w:pPr>
            <w:r>
              <w:rPr>
                <w:sz w:val="18"/>
              </w:rPr>
              <w:t>T4</w:t>
            </w:r>
          </w:p>
        </w:tc>
        <w:tc>
          <w:tcPr>
            <w:tcW w:type="dxa" w:w="454"/>
            <w:shd w:val="clear" w:color="auto" w:fill="FFFFFF"/>
            <w:vAlign w:val="center"/>
          </w:tcPr>
          <w:p>
            <w:pPr>
              <w:spacing w:before="40" w:after="40"/>
            </w:pPr>
            <w:r>
              <w:rPr>
                <w:sz w:val="18"/>
              </w:rPr>
              <w:t>20</w:t>
            </w:r>
          </w:p>
        </w:tc>
        <w:tc>
          <w:tcPr>
            <w:tcW w:type="dxa" w:w="3288"/>
            <w:shd w:val="clear" w:color="auto" w:fill="FFFFFF"/>
            <w:vAlign w:val="center"/>
          </w:tcPr>
          <w:p>
            <w:pPr>
              <w:spacing w:before="40" w:after="40"/>
            </w:pPr>
            <w:r>
              <w:rPr>
                <w:sz w:val="18"/>
              </w:rPr>
              <w:t>Trunk &amp; Trunk Connection Management</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Full CRUD for trunks (3000116551) and connections (3000116552)</w:t>
            </w:r>
          </w:p>
        </w:tc>
      </w:tr>
      <w:tr>
        <w:tc>
          <w:tcPr>
            <w:tcW w:type="dxa" w:w="624"/>
            <w:shd w:val="clear" w:color="auto" w:fill="F3F4F6"/>
            <w:vAlign w:val="center"/>
          </w:tcPr>
          <w:p>
            <w:pPr>
              <w:spacing w:before="40" w:after="40"/>
            </w:pPr>
            <w:r>
              <w:rPr>
                <w:sz w:val="18"/>
              </w:rPr>
              <w:t>T5</w:t>
            </w:r>
          </w:p>
        </w:tc>
        <w:tc>
          <w:tcPr>
            <w:tcW w:type="dxa" w:w="454"/>
            <w:shd w:val="clear" w:color="auto" w:fill="F3F4F6"/>
            <w:vAlign w:val="center"/>
          </w:tcPr>
          <w:p>
            <w:pPr>
              <w:spacing w:before="40" w:after="40"/>
            </w:pPr>
            <w:r>
              <w:rPr>
                <w:sz w:val="18"/>
              </w:rPr>
              <w:t>21</w:t>
            </w:r>
          </w:p>
        </w:tc>
        <w:tc>
          <w:tcPr>
            <w:tcW w:type="dxa" w:w="3288"/>
            <w:shd w:val="clear" w:color="auto" w:fill="F3F4F6"/>
            <w:vAlign w:val="center"/>
          </w:tcPr>
          <w:p>
            <w:pPr>
              <w:spacing w:before="40" w:after="40"/>
            </w:pPr>
            <w:r>
              <w:rPr>
                <w:sz w:val="18"/>
              </w:rPr>
              <w:t>Dark / Light Mode Toggle</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CSS vars; ThemeProvider; localStorage persist; default dark on first load</w:t>
            </w:r>
          </w:p>
        </w:tc>
      </w:tr>
      <w:tr>
        <w:tc>
          <w:tcPr>
            <w:tcW w:type="dxa" w:w="624"/>
            <w:shd w:val="clear" w:color="auto" w:fill="FFFFFF"/>
            <w:vAlign w:val="center"/>
          </w:tcPr>
          <w:p>
            <w:pPr>
              <w:spacing w:before="40" w:after="40"/>
            </w:pPr>
            <w:r>
              <w:rPr>
                <w:sz w:val="18"/>
              </w:rPr>
              <w:t>T5</w:t>
            </w:r>
          </w:p>
        </w:tc>
        <w:tc>
          <w:tcPr>
            <w:tcW w:type="dxa" w:w="454"/>
            <w:shd w:val="clear" w:color="auto" w:fill="FFFFFF"/>
            <w:vAlign w:val="center"/>
          </w:tcPr>
          <w:p>
            <w:pPr>
              <w:spacing w:before="40" w:after="40"/>
            </w:pPr>
            <w:r>
              <w:rPr>
                <w:sz w:val="18"/>
              </w:rPr>
              <w:t>22</w:t>
            </w:r>
          </w:p>
        </w:tc>
        <w:tc>
          <w:tcPr>
            <w:tcW w:type="dxa" w:w="3288"/>
            <w:shd w:val="clear" w:color="auto" w:fill="FFFFFF"/>
            <w:vAlign w:val="center"/>
          </w:tcPr>
          <w:p>
            <w:pPr>
              <w:spacing w:before="40" w:after="40"/>
            </w:pPr>
            <w:r>
              <w:rPr>
                <w:sz w:val="18"/>
              </w:rPr>
              <w:t>Quick Actions Command Bar — Ctrl+K / Cmd+K</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shadcn CommandDialog; role-filtered; all nav items searchable; sidebar hint</w:t>
            </w:r>
          </w:p>
        </w:tc>
      </w:tr>
      <w:tr>
        <w:tc>
          <w:tcPr>
            <w:tcW w:type="dxa" w:w="624"/>
            <w:shd w:val="clear" w:color="auto" w:fill="F3F4F6"/>
            <w:vAlign w:val="center"/>
          </w:tcPr>
          <w:p>
            <w:pPr>
              <w:spacing w:before="40" w:after="40"/>
            </w:pPr>
            <w:r>
              <w:rPr>
                <w:sz w:val="18"/>
              </w:rPr>
              <w:t>T5</w:t>
            </w:r>
          </w:p>
        </w:tc>
        <w:tc>
          <w:tcPr>
            <w:tcW w:type="dxa" w:w="454"/>
            <w:shd w:val="clear" w:color="auto" w:fill="F3F4F6"/>
            <w:vAlign w:val="center"/>
          </w:tcPr>
          <w:p>
            <w:pPr>
              <w:spacing w:before="40" w:after="40"/>
            </w:pPr>
            <w:r>
              <w:rPr>
                <w:sz w:val="18"/>
              </w:rPr>
              <w:t>23</w:t>
            </w:r>
          </w:p>
        </w:tc>
        <w:tc>
          <w:tcPr>
            <w:tcW w:type="dxa" w:w="3288"/>
            <w:shd w:val="clear" w:color="auto" w:fill="F3F4F6"/>
            <w:vAlign w:val="center"/>
          </w:tcPr>
          <w:p>
            <w:pPr>
              <w:spacing w:before="40" w:after="40"/>
            </w:pPr>
            <w:r>
              <w:rPr>
                <w:sz w:val="18"/>
              </w:rPr>
              <w:t>API Key Management</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vw_ prefix; SHA-256 hash; Bearer auth on /ext/ routes; revoke instantly</w:t>
            </w:r>
          </w:p>
        </w:tc>
      </w:tr>
      <w:tr>
        <w:tc>
          <w:tcPr>
            <w:tcW w:type="dxa" w:w="624"/>
            <w:shd w:val="clear" w:color="auto" w:fill="FFFFFF"/>
            <w:vAlign w:val="center"/>
          </w:tcPr>
          <w:p>
            <w:pPr>
              <w:spacing w:before="40" w:after="40"/>
            </w:pPr>
            <w:r>
              <w:rPr>
                <w:sz w:val="18"/>
              </w:rPr>
              <w:t>T5</w:t>
            </w:r>
          </w:p>
        </w:tc>
        <w:tc>
          <w:tcPr>
            <w:tcW w:type="dxa" w:w="454"/>
            <w:shd w:val="clear" w:color="auto" w:fill="FFFFFF"/>
            <w:vAlign w:val="center"/>
          </w:tcPr>
          <w:p>
            <w:pPr>
              <w:spacing w:before="40" w:after="40"/>
            </w:pPr>
            <w:r>
              <w:rPr>
                <w:sz w:val="18"/>
              </w:rPr>
              <w:t>24</w:t>
            </w:r>
          </w:p>
        </w:tc>
        <w:tc>
          <w:tcPr>
            <w:tcW w:type="dxa" w:w="3288"/>
            <w:shd w:val="clear" w:color="auto" w:fill="FFFFFF"/>
            <w:vAlign w:val="center"/>
          </w:tcPr>
          <w:p>
            <w:pPr>
              <w:spacing w:before="40" w:after="40"/>
            </w:pPr>
            <w:r>
              <w:rPr>
                <w:sz w:val="18"/>
              </w:rPr>
              <w:t>Customizable Dashboard Widgets</w:t>
            </w:r>
          </w:p>
        </w:tc>
        <w:tc>
          <w:tcPr>
            <w:tcW w:type="dxa" w:w="1020"/>
            <w:shd w:val="clear" w:color="auto" w:fill="FFFFFF"/>
            <w:vAlign w:val="center"/>
          </w:tcPr>
          <w:p>
            <w:pPr>
              <w:spacing w:before="40" w:after="40"/>
            </w:pPr>
            <w:r>
              <w:rPr>
                <w:b/>
                <w:color w:val="057A55"/>
                <w:sz w:val="18"/>
              </w:rPr>
              <w:t>LIVE</w:t>
            </w:r>
          </w:p>
        </w:tc>
        <w:tc>
          <w:tcPr>
            <w:tcW w:type="dxa" w:w="3685"/>
            <w:shd w:val="clear" w:color="auto" w:fill="FFFFFF"/>
            <w:vAlign w:val="center"/>
          </w:tcPr>
          <w:p>
            <w:pPr>
              <w:spacing w:before="40" w:after="40"/>
            </w:pPr>
            <w:r>
              <w:rPr>
                <w:sz w:val="18"/>
              </w:rPr>
              <w:t>5 toggleable sections; prefs per-user in DB; badge shows hidden count</w:t>
            </w:r>
          </w:p>
        </w:tc>
      </w:tr>
      <w:tr>
        <w:tc>
          <w:tcPr>
            <w:tcW w:type="dxa" w:w="624"/>
            <w:shd w:val="clear" w:color="auto" w:fill="F3F4F6"/>
            <w:vAlign w:val="center"/>
          </w:tcPr>
          <w:p>
            <w:pPr>
              <w:spacing w:before="40" w:after="40"/>
            </w:pPr>
            <w:r>
              <w:rPr>
                <w:sz w:val="18"/>
              </w:rPr>
              <w:t>T5</w:t>
            </w:r>
          </w:p>
        </w:tc>
        <w:tc>
          <w:tcPr>
            <w:tcW w:type="dxa" w:w="454"/>
            <w:shd w:val="clear" w:color="auto" w:fill="F3F4F6"/>
            <w:vAlign w:val="center"/>
          </w:tcPr>
          <w:p>
            <w:pPr>
              <w:spacing w:before="40" w:after="40"/>
            </w:pPr>
            <w:r>
              <w:rPr>
                <w:sz w:val="18"/>
              </w:rPr>
              <w:t>25</w:t>
            </w:r>
          </w:p>
        </w:tc>
        <w:tc>
          <w:tcPr>
            <w:tcW w:type="dxa" w:w="3288"/>
            <w:shd w:val="clear" w:color="auto" w:fill="F3F4F6"/>
            <w:vAlign w:val="center"/>
          </w:tcPr>
          <w:p>
            <w:pPr>
              <w:spacing w:before="40" w:after="40"/>
            </w:pPr>
            <w:r>
              <w:rPr>
                <w:sz w:val="18"/>
              </w:rPr>
              <w:t>Mobile-Responsive NOC View</w:t>
            </w:r>
          </w:p>
        </w:tc>
        <w:tc>
          <w:tcPr>
            <w:tcW w:type="dxa" w:w="1020"/>
            <w:shd w:val="clear" w:color="auto" w:fill="F3F4F6"/>
            <w:vAlign w:val="center"/>
          </w:tcPr>
          <w:p>
            <w:pPr>
              <w:spacing w:before="40" w:after="40"/>
            </w:pPr>
            <w:r>
              <w:rPr>
                <w:b/>
                <w:color w:val="057A55"/>
                <w:sz w:val="18"/>
              </w:rPr>
              <w:t>LIVE</w:t>
            </w:r>
          </w:p>
        </w:tc>
        <w:tc>
          <w:tcPr>
            <w:tcW w:type="dxa" w:w="3685"/>
            <w:shd w:val="clear" w:color="auto" w:fill="F3F4F6"/>
            <w:vAlign w:val="center"/>
          </w:tcPr>
          <w:p>
            <w:pPr>
              <w:spacing w:before="40" w:after="40"/>
            </w:pPr>
            <w:r>
              <w:rPr>
                <w:sz w:val="18"/>
              </w:rPr>
              <w:t>Hamburger Sheet sidebar; push notification opt-in in Settings</w:t>
            </w:r>
          </w:p>
        </w:tc>
      </w:tr>
    </w:tbl>
    <w:p/>
    <w:p>
      <w:r>
        <w:br w:type="page"/>
      </w:r>
    </w:p>
    <w:p>
      <w:pPr>
        <w:spacing w:before="240" w:after="120"/>
      </w:pPr>
      <w:r>
        <w:rPr>
          <w:b/>
          <w:color w:val="0F172A"/>
          <w:sz w:val="44"/>
        </w:rPr>
        <w:t>4.  Volume 2 — Extended Feature Status  (All 24 Features)</w:t>
      </w:r>
    </w:p>
    <w:p>
      <w:pPr>
        <w:spacing w:before="40" w:after="80"/>
      </w:pPr>
      <w:r>
        <w:rPr>
          <w:sz w:val="20"/>
        </w:rPr>
        <w:t>Volume 2 was proposed on 14 April 2026. 9 of 24 features are fully live (built as part of broader platform work), 5 are partially implemented with specific gaps, and 10 are not yet started.</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417"/>
            <w:shd w:val="clear" w:color="auto" w:fill="1E3A5F"/>
            <w:vAlign w:val="center"/>
          </w:tcPr>
          <w:p>
            <w:pPr>
              <w:spacing w:before="60" w:after="60"/>
            </w:pPr>
            <w:r>
              <w:rPr>
                <w:b/>
                <w:color w:val="FFFFFF"/>
                <w:sz w:val="18"/>
              </w:rPr>
              <w:t>Category</w:t>
            </w:r>
          </w:p>
        </w:tc>
        <w:tc>
          <w:tcPr>
            <w:tcW w:type="dxa" w:w="454"/>
            <w:shd w:val="clear" w:color="auto" w:fill="1E3A5F"/>
            <w:vAlign w:val="center"/>
          </w:tcPr>
          <w:p>
            <w:pPr>
              <w:spacing w:before="60" w:after="60"/>
            </w:pPr>
            <w:r>
              <w:rPr>
                <w:b/>
                <w:color w:val="FFFFFF"/>
                <w:sz w:val="18"/>
              </w:rPr>
              <w:t>#</w:t>
            </w:r>
          </w:p>
        </w:tc>
        <w:tc>
          <w:tcPr>
            <w:tcW w:type="dxa" w:w="2721"/>
            <w:shd w:val="clear" w:color="auto" w:fill="1E3A5F"/>
            <w:vAlign w:val="center"/>
          </w:tcPr>
          <w:p>
            <w:pPr>
              <w:spacing w:before="60" w:after="60"/>
            </w:pPr>
            <w:r>
              <w:rPr>
                <w:b/>
                <w:color w:val="FFFFFF"/>
                <w:sz w:val="18"/>
              </w:rPr>
              <w:t>Feature</w:t>
            </w:r>
          </w:p>
        </w:tc>
        <w:tc>
          <w:tcPr>
            <w:tcW w:type="dxa" w:w="1247"/>
            <w:shd w:val="clear" w:color="auto" w:fill="1E3A5F"/>
            <w:vAlign w:val="center"/>
          </w:tcPr>
          <w:p>
            <w:pPr>
              <w:spacing w:before="60" w:after="60"/>
            </w:pPr>
            <w:r>
              <w:rPr>
                <w:b/>
                <w:color w:val="FFFFFF"/>
                <w:sz w:val="18"/>
              </w:rPr>
              <w:t>Status</w:t>
            </w:r>
          </w:p>
        </w:tc>
        <w:tc>
          <w:tcPr>
            <w:tcW w:type="dxa" w:w="3231"/>
            <w:shd w:val="clear" w:color="auto" w:fill="1E3A5F"/>
            <w:vAlign w:val="center"/>
          </w:tcPr>
          <w:p>
            <w:pPr>
              <w:spacing w:before="60" w:after="60"/>
            </w:pPr>
            <w:r>
              <w:rPr>
                <w:b/>
                <w:color w:val="FFFFFF"/>
                <w:sz w:val="18"/>
              </w:rPr>
              <w:t>Gap / Implementation Notes</w:t>
            </w:r>
          </w:p>
        </w:tc>
      </w:tr>
      <w:tr>
        <w:tc>
          <w:tcPr>
            <w:tcW w:type="dxa" w:w="1417"/>
            <w:shd w:val="clear" w:color="auto" w:fill="F3F4F6"/>
            <w:vAlign w:val="center"/>
          </w:tcPr>
          <w:p>
            <w:pPr>
              <w:spacing w:before="40" w:after="40"/>
            </w:pPr>
            <w:r>
              <w:rPr>
                <w:sz w:val="18"/>
              </w:rPr>
              <w:t>Network / Media</w:t>
            </w:r>
          </w:p>
        </w:tc>
        <w:tc>
          <w:tcPr>
            <w:tcW w:type="dxa" w:w="454"/>
            <w:shd w:val="clear" w:color="auto" w:fill="F3F4F6"/>
            <w:vAlign w:val="center"/>
          </w:tcPr>
          <w:p>
            <w:pPr>
              <w:spacing w:before="40" w:after="40"/>
            </w:pPr>
            <w:r>
              <w:rPr>
                <w:sz w:val="18"/>
              </w:rPr>
              <w:t>1</w:t>
            </w:r>
          </w:p>
        </w:tc>
        <w:tc>
          <w:tcPr>
            <w:tcW w:type="dxa" w:w="2721"/>
            <w:shd w:val="clear" w:color="auto" w:fill="F3F4F6"/>
            <w:vAlign w:val="center"/>
          </w:tcPr>
          <w:p>
            <w:pPr>
              <w:spacing w:before="40" w:after="40"/>
            </w:pPr>
            <w:r>
              <w:rPr>
                <w:sz w:val="18"/>
              </w:rPr>
              <w:t>Jitter &amp; Packet Loss Monitor</w:t>
            </w:r>
          </w:p>
        </w:tc>
        <w:tc>
          <w:tcPr>
            <w:tcW w:type="dxa" w:w="1247"/>
            <w:shd w:val="clear" w:color="auto" w:fill="F3F4F6"/>
            <w:vAlign w:val="center"/>
          </w:tcPr>
          <w:p>
            <w:pPr>
              <w:spacing w:before="40" w:after="40"/>
            </w:pPr>
            <w:r>
              <w:rPr>
                <w:b/>
                <w:color w:val="D97B06"/>
                <w:sz w:val="18"/>
              </w:rPr>
              <w:t>⚠️ PARTIAL</w:t>
            </w:r>
          </w:p>
        </w:tc>
        <w:tc>
          <w:tcPr>
            <w:tcW w:type="dxa" w:w="3231"/>
            <w:shd w:val="clear" w:color="auto" w:fill="F3F4F6"/>
            <w:vAlign w:val="center"/>
          </w:tcPr>
          <w:p>
            <w:pPr>
              <w:spacing w:before="40" w:after="40"/>
            </w:pPr>
            <w:r>
              <w:rPr>
                <w:sz w:val="18"/>
              </w:rPr>
              <w:t>/rtp-analytics exists. Missing: per-carrier trend chart on Graphs, jitter column in Live Calls table</w:t>
            </w:r>
          </w:p>
        </w:tc>
      </w:tr>
      <w:tr>
        <w:tc>
          <w:tcPr>
            <w:tcW w:type="dxa" w:w="1417"/>
            <w:shd w:val="clear" w:color="auto" w:fill="FFFFFF"/>
            <w:vAlign w:val="center"/>
          </w:tcPr>
          <w:p>
            <w:pPr>
              <w:spacing w:before="40" w:after="40"/>
            </w:pPr>
            <w:r>
              <w:rPr>
                <w:sz w:val="18"/>
              </w:rPr>
              <w:t>Network / Media</w:t>
            </w:r>
          </w:p>
        </w:tc>
        <w:tc>
          <w:tcPr>
            <w:tcW w:type="dxa" w:w="454"/>
            <w:shd w:val="clear" w:color="auto" w:fill="FFFFFF"/>
            <w:vAlign w:val="center"/>
          </w:tcPr>
          <w:p>
            <w:pPr>
              <w:spacing w:before="40" w:after="40"/>
            </w:pPr>
            <w:r>
              <w:rPr>
                <w:sz w:val="18"/>
              </w:rPr>
              <w:t>2</w:t>
            </w:r>
          </w:p>
        </w:tc>
        <w:tc>
          <w:tcPr>
            <w:tcW w:type="dxa" w:w="2721"/>
            <w:shd w:val="clear" w:color="auto" w:fill="FFFFFF"/>
            <w:vAlign w:val="center"/>
          </w:tcPr>
          <w:p>
            <w:pPr>
              <w:spacing w:before="40" w:after="40"/>
            </w:pPr>
            <w:r>
              <w:rPr>
                <w:sz w:val="18"/>
              </w:rPr>
              <w:t>Codec Negotiation Analytics</w:t>
            </w:r>
          </w:p>
        </w:tc>
        <w:tc>
          <w:tcPr>
            <w:tcW w:type="dxa" w:w="1247"/>
            <w:shd w:val="clear" w:color="auto" w:fill="FFFFFF"/>
            <w:vAlign w:val="center"/>
          </w:tcPr>
          <w:p>
            <w:pPr>
              <w:spacing w:before="40" w:after="40"/>
            </w:pPr>
            <w:r>
              <w:rPr>
                <w:b/>
                <w:color w:val="BE123C"/>
                <w:sz w:val="18"/>
              </w:rPr>
              <w:t>❌ NOT BUILT</w:t>
            </w:r>
          </w:p>
        </w:tc>
        <w:tc>
          <w:tcPr>
            <w:tcW w:type="dxa" w:w="3231"/>
            <w:shd w:val="clear" w:color="auto" w:fill="FFFFFF"/>
            <w:vAlign w:val="center"/>
          </w:tcPr>
          <w:p>
            <w:pPr>
              <w:spacing w:before="40" w:after="40"/>
            </w:pPr>
            <w:r>
              <w:rPr>
                <w:sz w:val="18"/>
              </w:rPr>
              <w:t>No codec usage chart; no transcoding-rate-per-carrier breakdown. Requires Sippy CDR codec field</w:t>
            </w:r>
          </w:p>
        </w:tc>
      </w:tr>
      <w:tr>
        <w:tc>
          <w:tcPr>
            <w:tcW w:type="dxa" w:w="1417"/>
            <w:shd w:val="clear" w:color="auto" w:fill="F3F4F6"/>
            <w:vAlign w:val="center"/>
          </w:tcPr>
          <w:p>
            <w:pPr>
              <w:spacing w:before="40" w:after="40"/>
            </w:pPr>
            <w:r>
              <w:rPr>
                <w:sz w:val="18"/>
              </w:rPr>
              <w:t>Network / Media</w:t>
            </w:r>
          </w:p>
        </w:tc>
        <w:tc>
          <w:tcPr>
            <w:tcW w:type="dxa" w:w="454"/>
            <w:shd w:val="clear" w:color="auto" w:fill="F3F4F6"/>
            <w:vAlign w:val="center"/>
          </w:tcPr>
          <w:p>
            <w:pPr>
              <w:spacing w:before="40" w:after="40"/>
            </w:pPr>
            <w:r>
              <w:rPr>
                <w:sz w:val="18"/>
              </w:rPr>
              <w:t>3</w:t>
            </w:r>
          </w:p>
        </w:tc>
        <w:tc>
          <w:tcPr>
            <w:tcW w:type="dxa" w:w="2721"/>
            <w:shd w:val="clear" w:color="auto" w:fill="F3F4F6"/>
            <w:vAlign w:val="center"/>
          </w:tcPr>
          <w:p>
            <w:pPr>
              <w:spacing w:before="40" w:after="40"/>
            </w:pPr>
            <w:r>
              <w:rPr>
                <w:sz w:val="18"/>
              </w:rPr>
              <w:t>DTMF Analytics &amp; Failure Tracking</w:t>
            </w:r>
          </w:p>
        </w:tc>
        <w:tc>
          <w:tcPr>
            <w:tcW w:type="dxa" w:w="1247"/>
            <w:shd w:val="clear" w:color="auto" w:fill="F3F4F6"/>
            <w:vAlign w:val="center"/>
          </w:tcPr>
          <w:p>
            <w:pPr>
              <w:spacing w:before="40" w:after="40"/>
            </w:pPr>
            <w:r>
              <w:rPr>
                <w:b/>
                <w:color w:val="BE123C"/>
                <w:sz w:val="18"/>
              </w:rPr>
              <w:t>❌ NOT BUILT</w:t>
            </w:r>
          </w:p>
        </w:tc>
        <w:tc>
          <w:tcPr>
            <w:tcW w:type="dxa" w:w="3231"/>
            <w:shd w:val="clear" w:color="auto" w:fill="F3F4F6"/>
            <w:vAlign w:val="center"/>
          </w:tcPr>
          <w:p>
            <w:pPr>
              <w:spacing w:before="40" w:after="40"/>
            </w:pPr>
            <w:r>
              <w:rPr>
                <w:sz w:val="18"/>
              </w:rPr>
              <w:t>No DTMF method tracking, no failure-rate-per-carrier score, no cause-code flagging</w:t>
            </w:r>
          </w:p>
        </w:tc>
      </w:tr>
      <w:tr>
        <w:tc>
          <w:tcPr>
            <w:tcW w:type="dxa" w:w="1417"/>
            <w:shd w:val="clear" w:color="auto" w:fill="FFFFFF"/>
            <w:vAlign w:val="center"/>
          </w:tcPr>
          <w:p>
            <w:pPr>
              <w:spacing w:before="40" w:after="40"/>
            </w:pPr>
            <w:r>
              <w:rPr>
                <w:sz w:val="18"/>
              </w:rPr>
              <w:t>Network / Media</w:t>
            </w:r>
          </w:p>
        </w:tc>
        <w:tc>
          <w:tcPr>
            <w:tcW w:type="dxa" w:w="454"/>
            <w:shd w:val="clear" w:color="auto" w:fill="FFFFFF"/>
            <w:vAlign w:val="center"/>
          </w:tcPr>
          <w:p>
            <w:pPr>
              <w:spacing w:before="40" w:after="40"/>
            </w:pPr>
            <w:r>
              <w:rPr>
                <w:sz w:val="18"/>
              </w:rPr>
              <w:t>4</w:t>
            </w:r>
          </w:p>
        </w:tc>
        <w:tc>
          <w:tcPr>
            <w:tcW w:type="dxa" w:w="2721"/>
            <w:shd w:val="clear" w:color="auto" w:fill="FFFFFF"/>
            <w:vAlign w:val="center"/>
          </w:tcPr>
          <w:p>
            <w:pPr>
              <w:spacing w:before="40" w:after="40"/>
            </w:pPr>
            <w:r>
              <w:rPr>
                <w:sz w:val="18"/>
              </w:rPr>
              <w:t>RTP Port &amp; NAT Traversal Monitor</w:t>
            </w:r>
          </w:p>
        </w:tc>
        <w:tc>
          <w:tcPr>
            <w:tcW w:type="dxa" w:w="1247"/>
            <w:shd w:val="clear" w:color="auto" w:fill="FFFFFF"/>
            <w:vAlign w:val="center"/>
          </w:tcPr>
          <w:p>
            <w:pPr>
              <w:spacing w:before="40" w:after="40"/>
            </w:pPr>
            <w:r>
              <w:rPr>
                <w:b/>
                <w:color w:val="D97B06"/>
                <w:sz w:val="18"/>
              </w:rPr>
              <w:t>⚠️ PARTIAL</w:t>
            </w:r>
          </w:p>
        </w:tc>
        <w:tc>
          <w:tcPr>
            <w:tcW w:type="dxa" w:w="3231"/>
            <w:shd w:val="clear" w:color="auto" w:fill="FFFFFF"/>
            <w:vAlign w:val="center"/>
          </w:tcPr>
          <w:p>
            <w:pPr>
              <w:spacing w:before="40" w:after="40"/>
            </w:pPr>
            <w:r>
              <w:rPr>
                <w:sz w:val="18"/>
              </w:rPr>
              <w:t>/rtp-analytics partial. Missing: one-way-audio grouping by subnet, inline STUN/TURN hints</w:t>
            </w:r>
          </w:p>
        </w:tc>
      </w:tr>
      <w:tr>
        <w:tc>
          <w:tcPr>
            <w:tcW w:type="dxa" w:w="1417"/>
            <w:shd w:val="clear" w:color="auto" w:fill="F3F4F6"/>
            <w:vAlign w:val="center"/>
          </w:tcPr>
          <w:p>
            <w:pPr>
              <w:spacing w:before="40" w:after="40"/>
            </w:pPr>
            <w:r>
              <w:rPr>
                <w:sz w:val="18"/>
              </w:rPr>
              <w:t>Routing / Cost</w:t>
            </w:r>
          </w:p>
        </w:tc>
        <w:tc>
          <w:tcPr>
            <w:tcW w:type="dxa" w:w="454"/>
            <w:shd w:val="clear" w:color="auto" w:fill="F3F4F6"/>
            <w:vAlign w:val="center"/>
          </w:tcPr>
          <w:p>
            <w:pPr>
              <w:spacing w:before="40" w:after="40"/>
            </w:pPr>
            <w:r>
              <w:rPr>
                <w:sz w:val="18"/>
              </w:rPr>
              <w:t>5</w:t>
            </w:r>
          </w:p>
        </w:tc>
        <w:tc>
          <w:tcPr>
            <w:tcW w:type="dxa" w:w="2721"/>
            <w:shd w:val="clear" w:color="auto" w:fill="F3F4F6"/>
            <w:vAlign w:val="center"/>
          </w:tcPr>
          <w:p>
            <w:pPr>
              <w:spacing w:before="40" w:after="40"/>
            </w:pPr>
            <w:r>
              <w:rPr>
                <w:sz w:val="18"/>
              </w:rPr>
              <w:t>LCR Analyser</w:t>
            </w:r>
          </w:p>
        </w:tc>
        <w:tc>
          <w:tcPr>
            <w:tcW w:type="dxa" w:w="1247"/>
            <w:shd w:val="clear" w:color="auto" w:fill="F3F4F6"/>
            <w:vAlign w:val="center"/>
          </w:tcPr>
          <w:p>
            <w:pPr>
              <w:spacing w:before="40" w:after="40"/>
            </w:pPr>
            <w:r>
              <w:rPr>
                <w:b/>
                <w:color w:val="057A55"/>
                <w:sz w:val="18"/>
              </w:rPr>
              <w:t>✅ LIVE</w:t>
            </w:r>
          </w:p>
        </w:tc>
        <w:tc>
          <w:tcPr>
            <w:tcW w:type="dxa" w:w="3231"/>
            <w:shd w:val="clear" w:color="auto" w:fill="F3F4F6"/>
            <w:vAlign w:val="center"/>
          </w:tcPr>
          <w:p>
            <w:pPr>
              <w:spacing w:before="40" w:after="40"/>
            </w:pPr>
            <w:r>
              <w:rPr>
                <w:sz w:val="18"/>
              </w:rPr>
              <w:t>/lcr-analyser — CDR vs all active vendor rate cards; missed-savings highlighted in USD</w:t>
            </w:r>
          </w:p>
        </w:tc>
      </w:tr>
      <w:tr>
        <w:tc>
          <w:tcPr>
            <w:tcW w:type="dxa" w:w="1417"/>
            <w:shd w:val="clear" w:color="auto" w:fill="FFFFFF"/>
            <w:vAlign w:val="center"/>
          </w:tcPr>
          <w:p>
            <w:pPr>
              <w:spacing w:before="40" w:after="40"/>
            </w:pPr>
            <w:r>
              <w:rPr>
                <w:sz w:val="18"/>
              </w:rPr>
              <w:t>Routing / Cost</w:t>
            </w:r>
          </w:p>
        </w:tc>
        <w:tc>
          <w:tcPr>
            <w:tcW w:type="dxa" w:w="454"/>
            <w:shd w:val="clear" w:color="auto" w:fill="FFFFFF"/>
            <w:vAlign w:val="center"/>
          </w:tcPr>
          <w:p>
            <w:pPr>
              <w:spacing w:before="40" w:after="40"/>
            </w:pPr>
            <w:r>
              <w:rPr>
                <w:sz w:val="18"/>
              </w:rPr>
              <w:t>6</w:t>
            </w:r>
          </w:p>
        </w:tc>
        <w:tc>
          <w:tcPr>
            <w:tcW w:type="dxa" w:w="2721"/>
            <w:shd w:val="clear" w:color="auto" w:fill="FFFFFF"/>
            <w:vAlign w:val="center"/>
          </w:tcPr>
          <w:p>
            <w:pPr>
              <w:spacing w:before="40" w:after="40"/>
            </w:pPr>
            <w:r>
              <w:rPr>
                <w:sz w:val="18"/>
              </w:rPr>
              <w:t>Call Flow Simulator</w:t>
            </w:r>
          </w:p>
        </w:tc>
        <w:tc>
          <w:tcPr>
            <w:tcW w:type="dxa" w:w="1247"/>
            <w:shd w:val="clear" w:color="auto" w:fill="FFFFFF"/>
            <w:vAlign w:val="center"/>
          </w:tcPr>
          <w:p>
            <w:pPr>
              <w:spacing w:before="40" w:after="40"/>
            </w:pPr>
            <w:r>
              <w:rPr>
                <w:b/>
                <w:color w:val="057A55"/>
                <w:sz w:val="18"/>
              </w:rPr>
              <w:t>✅ LIVE</w:t>
            </w:r>
          </w:p>
        </w:tc>
        <w:tc>
          <w:tcPr>
            <w:tcW w:type="dxa" w:w="3231"/>
            <w:shd w:val="clear" w:color="auto" w:fill="FFFFFF"/>
            <w:vAlign w:val="center"/>
          </w:tcPr>
          <w:p>
            <w:pPr>
              <w:spacing w:before="40" w:after="40"/>
            </w:pPr>
            <w:r>
              <w:rPr>
                <w:sz w:val="18"/>
              </w:rPr>
              <w:t>/call-flow-simulator — step-by-step dialplan trace without placing a real call</w:t>
            </w:r>
          </w:p>
        </w:tc>
      </w:tr>
      <w:tr>
        <w:tc>
          <w:tcPr>
            <w:tcW w:type="dxa" w:w="1417"/>
            <w:shd w:val="clear" w:color="auto" w:fill="F3F4F6"/>
            <w:vAlign w:val="center"/>
          </w:tcPr>
          <w:p>
            <w:pPr>
              <w:spacing w:before="40" w:after="40"/>
            </w:pPr>
            <w:r>
              <w:rPr>
                <w:sz w:val="18"/>
              </w:rPr>
              <w:t>Routing / Cost</w:t>
            </w:r>
          </w:p>
        </w:tc>
        <w:tc>
          <w:tcPr>
            <w:tcW w:type="dxa" w:w="454"/>
            <w:shd w:val="clear" w:color="auto" w:fill="F3F4F6"/>
            <w:vAlign w:val="center"/>
          </w:tcPr>
          <w:p>
            <w:pPr>
              <w:spacing w:before="40" w:after="40"/>
            </w:pPr>
            <w:r>
              <w:rPr>
                <w:sz w:val="18"/>
              </w:rPr>
              <w:t>7</w:t>
            </w:r>
          </w:p>
        </w:tc>
        <w:tc>
          <w:tcPr>
            <w:tcW w:type="dxa" w:w="2721"/>
            <w:shd w:val="clear" w:color="auto" w:fill="F3F4F6"/>
            <w:vAlign w:val="center"/>
          </w:tcPr>
          <w:p>
            <w:pPr>
              <w:spacing w:before="40" w:after="40"/>
            </w:pPr>
            <w:r>
              <w:rPr>
                <w:sz w:val="18"/>
              </w:rPr>
              <w:t>Vendor SLA Scorecard</w:t>
            </w:r>
          </w:p>
        </w:tc>
        <w:tc>
          <w:tcPr>
            <w:tcW w:type="dxa" w:w="1247"/>
            <w:shd w:val="clear" w:color="auto" w:fill="F3F4F6"/>
            <w:vAlign w:val="center"/>
          </w:tcPr>
          <w:p>
            <w:pPr>
              <w:spacing w:before="40" w:after="40"/>
            </w:pPr>
            <w:r>
              <w:rPr>
                <w:b/>
                <w:color w:val="057A55"/>
                <w:sz w:val="18"/>
              </w:rPr>
              <w:t>✅ LIVE</w:t>
            </w:r>
          </w:p>
        </w:tc>
        <w:tc>
          <w:tcPr>
            <w:tcW w:type="dxa" w:w="3231"/>
            <w:shd w:val="clear" w:color="auto" w:fill="F3F4F6"/>
            <w:vAlign w:val="center"/>
          </w:tcPr>
          <w:p>
            <w:pPr>
              <w:spacing w:before="40" w:after="40"/>
            </w:pPr>
            <w:r>
              <w:rPr>
                <w:sz w:val="18"/>
              </w:rPr>
              <w:t>/vendor-sla-scorecard — per-vendor ASR/ACD/PDD delivery metrics</w:t>
            </w:r>
          </w:p>
        </w:tc>
      </w:tr>
      <w:tr>
        <w:tc>
          <w:tcPr>
            <w:tcW w:type="dxa" w:w="1417"/>
            <w:shd w:val="clear" w:color="auto" w:fill="FFFFFF"/>
            <w:vAlign w:val="center"/>
          </w:tcPr>
          <w:p>
            <w:pPr>
              <w:spacing w:before="40" w:after="40"/>
            </w:pPr>
            <w:r>
              <w:rPr>
                <w:sz w:val="18"/>
              </w:rPr>
              <w:t>Routing / Cost</w:t>
            </w:r>
          </w:p>
        </w:tc>
        <w:tc>
          <w:tcPr>
            <w:tcW w:type="dxa" w:w="454"/>
            <w:shd w:val="clear" w:color="auto" w:fill="FFFFFF"/>
            <w:vAlign w:val="center"/>
          </w:tcPr>
          <w:p>
            <w:pPr>
              <w:spacing w:before="40" w:after="40"/>
            </w:pPr>
            <w:r>
              <w:rPr>
                <w:sz w:val="18"/>
              </w:rPr>
              <w:t>8</w:t>
            </w:r>
          </w:p>
        </w:tc>
        <w:tc>
          <w:tcPr>
            <w:tcW w:type="dxa" w:w="2721"/>
            <w:shd w:val="clear" w:color="auto" w:fill="FFFFFF"/>
            <w:vAlign w:val="center"/>
          </w:tcPr>
          <w:p>
            <w:pPr>
              <w:spacing w:before="40" w:after="40"/>
            </w:pPr>
            <w:r>
              <w:rPr>
                <w:sz w:val="18"/>
              </w:rPr>
              <w:t>Cost Optimisation Engine</w:t>
            </w:r>
          </w:p>
        </w:tc>
        <w:tc>
          <w:tcPr>
            <w:tcW w:type="dxa" w:w="1247"/>
            <w:shd w:val="clear" w:color="auto" w:fill="FFFFFF"/>
            <w:vAlign w:val="center"/>
          </w:tcPr>
          <w:p>
            <w:pPr>
              <w:spacing w:before="40" w:after="40"/>
            </w:pPr>
            <w:r>
              <w:rPr>
                <w:b/>
                <w:color w:val="057A55"/>
                <w:sz w:val="18"/>
              </w:rPr>
              <w:t>✅ LIVE</w:t>
            </w:r>
          </w:p>
        </w:tc>
        <w:tc>
          <w:tcPr>
            <w:tcW w:type="dxa" w:w="3231"/>
            <w:shd w:val="clear" w:color="auto" w:fill="FFFFFF"/>
            <w:vAlign w:val="center"/>
          </w:tcPr>
          <w:p>
            <w:pPr>
              <w:spacing w:before="40" w:after="40"/>
            </w:pPr>
            <w:r>
              <w:rPr>
                <w:sz w:val="18"/>
              </w:rPr>
              <w:t>/cost-optimisation — margin-per-route analysis, worst-performing routes highlighted</w:t>
            </w:r>
          </w:p>
        </w:tc>
      </w:tr>
      <w:tr>
        <w:tc>
          <w:tcPr>
            <w:tcW w:type="dxa" w:w="1417"/>
            <w:shd w:val="clear" w:color="auto" w:fill="F3F4F6"/>
            <w:vAlign w:val="center"/>
          </w:tcPr>
          <w:p>
            <w:pPr>
              <w:spacing w:before="40" w:after="40"/>
            </w:pPr>
            <w:r>
              <w:rPr>
                <w:sz w:val="18"/>
              </w:rPr>
              <w:t>Fraud Layer II</w:t>
            </w:r>
          </w:p>
        </w:tc>
        <w:tc>
          <w:tcPr>
            <w:tcW w:type="dxa" w:w="454"/>
            <w:shd w:val="clear" w:color="auto" w:fill="F3F4F6"/>
            <w:vAlign w:val="center"/>
          </w:tcPr>
          <w:p>
            <w:pPr>
              <w:spacing w:before="40" w:after="40"/>
            </w:pPr>
            <w:r>
              <w:rPr>
                <w:sz w:val="18"/>
              </w:rPr>
              <w:t>9</w:t>
            </w:r>
          </w:p>
        </w:tc>
        <w:tc>
          <w:tcPr>
            <w:tcW w:type="dxa" w:w="2721"/>
            <w:shd w:val="clear" w:color="auto" w:fill="F3F4F6"/>
            <w:vAlign w:val="center"/>
          </w:tcPr>
          <w:p>
            <w:pPr>
              <w:spacing w:before="40" w:after="40"/>
            </w:pPr>
            <w:r>
              <w:rPr>
                <w:sz w:val="18"/>
              </w:rPr>
              <w:t>Robocall &amp; Neighbour Spoofing Detector</w:t>
            </w:r>
          </w:p>
        </w:tc>
        <w:tc>
          <w:tcPr>
            <w:tcW w:type="dxa" w:w="1247"/>
            <w:shd w:val="clear" w:color="auto" w:fill="F3F4F6"/>
            <w:vAlign w:val="center"/>
          </w:tcPr>
          <w:p>
            <w:pPr>
              <w:spacing w:before="40" w:after="40"/>
            </w:pPr>
            <w:r>
              <w:rPr>
                <w:b/>
                <w:color w:val="BE123C"/>
                <w:sz w:val="18"/>
              </w:rPr>
              <w:t>❌ NOT BUILT</w:t>
            </w:r>
          </w:p>
        </w:tc>
        <w:tc>
          <w:tcPr>
            <w:tcW w:type="dxa" w:w="3231"/>
            <w:shd w:val="clear" w:color="auto" w:fill="F3F4F6"/>
            <w:vAlign w:val="center"/>
          </w:tcPr>
          <w:p>
            <w:pPr>
              <w:spacing w:before="40" w:after="40"/>
            </w:pPr>
            <w:r>
              <w:rPr>
                <w:sz w:val="18"/>
              </w:rPr>
              <w:t>No sequential CLI detection; no &lt;8 s duration flagging; no auto-block via XML-RPC</w:t>
            </w:r>
          </w:p>
        </w:tc>
      </w:tr>
      <w:tr>
        <w:tc>
          <w:tcPr>
            <w:tcW w:type="dxa" w:w="1417"/>
            <w:shd w:val="clear" w:color="auto" w:fill="FFFFFF"/>
            <w:vAlign w:val="center"/>
          </w:tcPr>
          <w:p>
            <w:pPr>
              <w:spacing w:before="40" w:after="40"/>
            </w:pPr>
            <w:r>
              <w:rPr>
                <w:sz w:val="18"/>
              </w:rPr>
              <w:t>Fraud Layer II</w:t>
            </w:r>
          </w:p>
        </w:tc>
        <w:tc>
          <w:tcPr>
            <w:tcW w:type="dxa" w:w="454"/>
            <w:shd w:val="clear" w:color="auto" w:fill="FFFFFF"/>
            <w:vAlign w:val="center"/>
          </w:tcPr>
          <w:p>
            <w:pPr>
              <w:spacing w:before="40" w:after="40"/>
            </w:pPr>
            <w:r>
              <w:rPr>
                <w:sz w:val="18"/>
              </w:rPr>
              <w:t>10</w:t>
            </w:r>
          </w:p>
        </w:tc>
        <w:tc>
          <w:tcPr>
            <w:tcW w:type="dxa" w:w="2721"/>
            <w:shd w:val="clear" w:color="auto" w:fill="FFFFFF"/>
            <w:vAlign w:val="center"/>
          </w:tcPr>
          <w:p>
            <w:pPr>
              <w:spacing w:before="40" w:after="40"/>
            </w:pPr>
            <w:r>
              <w:rPr>
                <w:sz w:val="18"/>
              </w:rPr>
              <w:t>SIP Brute-Force Login Monitor</w:t>
            </w:r>
          </w:p>
        </w:tc>
        <w:tc>
          <w:tcPr>
            <w:tcW w:type="dxa" w:w="1247"/>
            <w:shd w:val="clear" w:color="auto" w:fill="FFFFFF"/>
            <w:vAlign w:val="center"/>
          </w:tcPr>
          <w:p>
            <w:pPr>
              <w:spacing w:before="40" w:after="40"/>
            </w:pPr>
            <w:r>
              <w:rPr>
                <w:b/>
                <w:color w:val="D97B06"/>
                <w:sz w:val="18"/>
              </w:rPr>
              <w:t>⚠️ PARTIAL</w:t>
            </w:r>
          </w:p>
        </w:tc>
        <w:tc>
          <w:tcPr>
            <w:tcW w:type="dxa" w:w="3231"/>
            <w:shd w:val="clear" w:color="auto" w:fill="FFFFFF"/>
            <w:vAlign w:val="center"/>
          </w:tcPr>
          <w:p>
            <w:pPr>
              <w:spacing w:before="40" w:after="40"/>
            </w:pPr>
            <w:r>
              <w:rPr>
                <w:sz w:val="18"/>
              </w:rPr>
              <w:t>/firewall exists. Missing: auto-add-to-blocklist on &gt;50 failed regs/5 min, geo-origin on map</w:t>
            </w:r>
          </w:p>
        </w:tc>
      </w:tr>
      <w:tr>
        <w:tc>
          <w:tcPr>
            <w:tcW w:type="dxa" w:w="1417"/>
            <w:shd w:val="clear" w:color="auto" w:fill="F3F4F6"/>
            <w:vAlign w:val="center"/>
          </w:tcPr>
          <w:p>
            <w:pPr>
              <w:spacing w:before="40" w:after="40"/>
            </w:pPr>
            <w:r>
              <w:rPr>
                <w:sz w:val="18"/>
              </w:rPr>
              <w:t>Fraud Layer II</w:t>
            </w:r>
          </w:p>
        </w:tc>
        <w:tc>
          <w:tcPr>
            <w:tcW w:type="dxa" w:w="454"/>
            <w:shd w:val="clear" w:color="auto" w:fill="F3F4F6"/>
            <w:vAlign w:val="center"/>
          </w:tcPr>
          <w:p>
            <w:pPr>
              <w:spacing w:before="40" w:after="40"/>
            </w:pPr>
            <w:r>
              <w:rPr>
                <w:sz w:val="18"/>
              </w:rPr>
              <w:t>11</w:t>
            </w:r>
          </w:p>
        </w:tc>
        <w:tc>
          <w:tcPr>
            <w:tcW w:type="dxa" w:w="2721"/>
            <w:shd w:val="clear" w:color="auto" w:fill="F3F4F6"/>
            <w:vAlign w:val="center"/>
          </w:tcPr>
          <w:p>
            <w:pPr>
              <w:spacing w:before="40" w:after="40"/>
            </w:pPr>
            <w:r>
              <w:rPr>
                <w:sz w:val="18"/>
              </w:rPr>
              <w:t>Concurrent Call Limit Enforcer</w:t>
            </w:r>
          </w:p>
        </w:tc>
        <w:tc>
          <w:tcPr>
            <w:tcW w:type="dxa" w:w="1247"/>
            <w:shd w:val="clear" w:color="auto" w:fill="F3F4F6"/>
            <w:vAlign w:val="center"/>
          </w:tcPr>
          <w:p>
            <w:pPr>
              <w:spacing w:before="40" w:after="40"/>
            </w:pPr>
            <w:r>
              <w:rPr>
                <w:b/>
                <w:color w:val="BE123C"/>
                <w:sz w:val="18"/>
              </w:rPr>
              <w:t>❌ NOT BUILT</w:t>
            </w:r>
          </w:p>
        </w:tc>
        <w:tc>
          <w:tcPr>
            <w:tcW w:type="dxa" w:w="3231"/>
            <w:shd w:val="clear" w:color="auto" w:fill="F3F4F6"/>
            <w:vAlign w:val="center"/>
          </w:tcPr>
          <w:p>
            <w:pPr>
              <w:spacing w:before="40" w:after="40"/>
            </w:pPr>
            <w:r>
              <w:rPr>
                <w:sz w:val="18"/>
              </w:rPr>
              <w:t>No per-account poll vs configured limit; no auto-disconnect of excess calls</w:t>
            </w:r>
          </w:p>
        </w:tc>
      </w:tr>
      <w:tr>
        <w:tc>
          <w:tcPr>
            <w:tcW w:type="dxa" w:w="1417"/>
            <w:shd w:val="clear" w:color="auto" w:fill="FFFFFF"/>
            <w:vAlign w:val="center"/>
          </w:tcPr>
          <w:p>
            <w:pPr>
              <w:spacing w:before="40" w:after="40"/>
            </w:pPr>
            <w:r>
              <w:rPr>
                <w:sz w:val="18"/>
              </w:rPr>
              <w:t>Fraud Layer II</w:t>
            </w:r>
          </w:p>
        </w:tc>
        <w:tc>
          <w:tcPr>
            <w:tcW w:type="dxa" w:w="454"/>
            <w:shd w:val="clear" w:color="auto" w:fill="FFFFFF"/>
            <w:vAlign w:val="center"/>
          </w:tcPr>
          <w:p>
            <w:pPr>
              <w:spacing w:before="40" w:after="40"/>
            </w:pPr>
            <w:r>
              <w:rPr>
                <w:sz w:val="18"/>
              </w:rPr>
              <w:t>12</w:t>
            </w:r>
          </w:p>
        </w:tc>
        <w:tc>
          <w:tcPr>
            <w:tcW w:type="dxa" w:w="2721"/>
            <w:shd w:val="clear" w:color="auto" w:fill="FFFFFF"/>
            <w:vAlign w:val="center"/>
          </w:tcPr>
          <w:p>
            <w:pPr>
              <w:spacing w:before="40" w:after="40"/>
            </w:pPr>
            <w:r>
              <w:rPr>
                <w:sz w:val="18"/>
              </w:rPr>
              <w:t>Fraud Velocity Scoring</w:t>
            </w:r>
          </w:p>
        </w:tc>
        <w:tc>
          <w:tcPr>
            <w:tcW w:type="dxa" w:w="1247"/>
            <w:shd w:val="clear" w:color="auto" w:fill="FFFFFF"/>
            <w:vAlign w:val="center"/>
          </w:tcPr>
          <w:p>
            <w:pPr>
              <w:spacing w:before="40" w:after="40"/>
            </w:pPr>
            <w:r>
              <w:rPr>
                <w:b/>
                <w:color w:val="BE123C"/>
                <w:sz w:val="18"/>
              </w:rPr>
              <w:t>❌ NOT BUILT</w:t>
            </w:r>
          </w:p>
        </w:tc>
        <w:tc>
          <w:tcPr>
            <w:tcW w:type="dxa" w:w="3231"/>
            <w:shd w:val="clear" w:color="auto" w:fill="FFFFFF"/>
            <w:vAlign w:val="center"/>
          </w:tcPr>
          <w:p>
            <w:pPr>
              <w:spacing w:before="40" w:after="40"/>
            </w:pPr>
            <w:r>
              <w:rPr>
                <w:sz w:val="18"/>
              </w:rPr>
              <w:t>No multi-signal risk score (0–100) per account; no score history chart in NOC sidebar</w:t>
            </w:r>
          </w:p>
        </w:tc>
      </w:tr>
      <w:tr>
        <w:tc>
          <w:tcPr>
            <w:tcW w:type="dxa" w:w="1417"/>
            <w:shd w:val="clear" w:color="auto" w:fill="F3F4F6"/>
            <w:vAlign w:val="center"/>
          </w:tcPr>
          <w:p>
            <w:pPr>
              <w:spacing w:before="40" w:after="40"/>
            </w:pPr>
            <w:r>
              <w:rPr>
                <w:sz w:val="18"/>
              </w:rPr>
              <w:t>Client / Reseller</w:t>
            </w:r>
          </w:p>
        </w:tc>
        <w:tc>
          <w:tcPr>
            <w:tcW w:type="dxa" w:w="454"/>
            <w:shd w:val="clear" w:color="auto" w:fill="F3F4F6"/>
            <w:vAlign w:val="center"/>
          </w:tcPr>
          <w:p>
            <w:pPr>
              <w:spacing w:before="40" w:after="40"/>
            </w:pPr>
            <w:r>
              <w:rPr>
                <w:sz w:val="18"/>
              </w:rPr>
              <w:t>13</w:t>
            </w:r>
          </w:p>
        </w:tc>
        <w:tc>
          <w:tcPr>
            <w:tcW w:type="dxa" w:w="2721"/>
            <w:shd w:val="clear" w:color="auto" w:fill="F3F4F6"/>
            <w:vAlign w:val="center"/>
          </w:tcPr>
          <w:p>
            <w:pPr>
              <w:spacing w:before="40" w:after="40"/>
            </w:pPr>
            <w:r>
              <w:rPr>
                <w:sz w:val="18"/>
              </w:rPr>
              <w:t>Reseller White-Label Portal</w:t>
            </w:r>
          </w:p>
        </w:tc>
        <w:tc>
          <w:tcPr>
            <w:tcW w:type="dxa" w:w="1247"/>
            <w:shd w:val="clear" w:color="auto" w:fill="F3F4F6"/>
            <w:vAlign w:val="center"/>
          </w:tcPr>
          <w:p>
            <w:pPr>
              <w:spacing w:before="40" w:after="40"/>
            </w:pPr>
            <w:r>
              <w:rPr>
                <w:b/>
                <w:color w:val="057A55"/>
                <w:sz w:val="18"/>
              </w:rPr>
              <w:t>✅ LIVE</w:t>
            </w:r>
          </w:p>
        </w:tc>
        <w:tc>
          <w:tcPr>
            <w:tcW w:type="dxa" w:w="3231"/>
            <w:shd w:val="clear" w:color="auto" w:fill="F3F4F6"/>
            <w:vAlign w:val="center"/>
          </w:tcPr>
          <w:p>
            <w:pPr>
              <w:spacing w:before="40" w:after="40"/>
            </w:pPr>
            <w:r>
              <w:rPr>
                <w:sz w:val="18"/>
              </w:rPr>
              <w:t>/reseller — scoped P&amp;L, CDR reports, and invoices per reseller account</w:t>
            </w:r>
          </w:p>
        </w:tc>
      </w:tr>
      <w:tr>
        <w:tc>
          <w:tcPr>
            <w:tcW w:type="dxa" w:w="1417"/>
            <w:shd w:val="clear" w:color="auto" w:fill="FFFFFF"/>
            <w:vAlign w:val="center"/>
          </w:tcPr>
          <w:p>
            <w:pPr>
              <w:spacing w:before="40" w:after="40"/>
            </w:pPr>
            <w:r>
              <w:rPr>
                <w:sz w:val="18"/>
              </w:rPr>
              <w:t>Client / Reseller</w:t>
            </w:r>
          </w:p>
        </w:tc>
        <w:tc>
          <w:tcPr>
            <w:tcW w:type="dxa" w:w="454"/>
            <w:shd w:val="clear" w:color="auto" w:fill="FFFFFF"/>
            <w:vAlign w:val="center"/>
          </w:tcPr>
          <w:p>
            <w:pPr>
              <w:spacing w:before="40" w:after="40"/>
            </w:pPr>
            <w:r>
              <w:rPr>
                <w:sz w:val="18"/>
              </w:rPr>
              <w:t>14</w:t>
            </w:r>
          </w:p>
        </w:tc>
        <w:tc>
          <w:tcPr>
            <w:tcW w:type="dxa" w:w="2721"/>
            <w:shd w:val="clear" w:color="auto" w:fill="FFFFFF"/>
            <w:vAlign w:val="center"/>
          </w:tcPr>
          <w:p>
            <w:pPr>
              <w:spacing w:before="40" w:after="40"/>
            </w:pPr>
            <w:r>
              <w:rPr>
                <w:sz w:val="18"/>
              </w:rPr>
              <w:t>SLA Monitoring &amp; Breach Alerting</w:t>
            </w:r>
          </w:p>
        </w:tc>
        <w:tc>
          <w:tcPr>
            <w:tcW w:type="dxa" w:w="1247"/>
            <w:shd w:val="clear" w:color="auto" w:fill="FFFFFF"/>
            <w:vAlign w:val="center"/>
          </w:tcPr>
          <w:p>
            <w:pPr>
              <w:spacing w:before="40" w:after="40"/>
            </w:pPr>
            <w:r>
              <w:rPr>
                <w:b/>
                <w:color w:val="057A55"/>
                <w:sz w:val="18"/>
              </w:rPr>
              <w:t>✅ LIVE</w:t>
            </w:r>
          </w:p>
        </w:tc>
        <w:tc>
          <w:tcPr>
            <w:tcW w:type="dxa" w:w="3231"/>
            <w:shd w:val="clear" w:color="auto" w:fill="FFFFFF"/>
            <w:vAlign w:val="center"/>
          </w:tcPr>
          <w:p>
            <w:pPr>
              <w:spacing w:before="40" w:after="40"/>
            </w:pPr>
            <w:r>
              <w:rPr>
                <w:sz w:val="18"/>
              </w:rPr>
              <w:t>/sla-breaches — per-client SLA compliance, automatic breach email to KAM and client</w:t>
            </w:r>
          </w:p>
        </w:tc>
      </w:tr>
      <w:tr>
        <w:tc>
          <w:tcPr>
            <w:tcW w:type="dxa" w:w="1417"/>
            <w:shd w:val="clear" w:color="auto" w:fill="F3F4F6"/>
            <w:vAlign w:val="center"/>
          </w:tcPr>
          <w:p>
            <w:pPr>
              <w:spacing w:before="40" w:after="40"/>
            </w:pPr>
            <w:r>
              <w:rPr>
                <w:sz w:val="18"/>
              </w:rPr>
              <w:t>Client / Reseller</w:t>
            </w:r>
          </w:p>
        </w:tc>
        <w:tc>
          <w:tcPr>
            <w:tcW w:type="dxa" w:w="454"/>
            <w:shd w:val="clear" w:color="auto" w:fill="F3F4F6"/>
            <w:vAlign w:val="center"/>
          </w:tcPr>
          <w:p>
            <w:pPr>
              <w:spacing w:before="40" w:after="40"/>
            </w:pPr>
            <w:r>
              <w:rPr>
                <w:sz w:val="18"/>
              </w:rPr>
              <w:t>15</w:t>
            </w:r>
          </w:p>
        </w:tc>
        <w:tc>
          <w:tcPr>
            <w:tcW w:type="dxa" w:w="2721"/>
            <w:shd w:val="clear" w:color="auto" w:fill="F3F4F6"/>
            <w:vAlign w:val="center"/>
          </w:tcPr>
          <w:p>
            <w:pPr>
              <w:spacing w:before="40" w:after="40"/>
            </w:pPr>
            <w:r>
              <w:rPr>
                <w:sz w:val="18"/>
              </w:rPr>
              <w:t>Number Inventory Management</w:t>
            </w:r>
          </w:p>
        </w:tc>
        <w:tc>
          <w:tcPr>
            <w:tcW w:type="dxa" w:w="1247"/>
            <w:shd w:val="clear" w:color="auto" w:fill="F3F4F6"/>
            <w:vAlign w:val="center"/>
          </w:tcPr>
          <w:p>
            <w:pPr>
              <w:spacing w:before="40" w:after="40"/>
            </w:pPr>
            <w:r>
              <w:rPr>
                <w:b/>
                <w:color w:val="057A55"/>
                <w:sz w:val="18"/>
              </w:rPr>
              <w:t>✅ LIVE</w:t>
            </w:r>
          </w:p>
        </w:tc>
        <w:tc>
          <w:tcPr>
            <w:tcW w:type="dxa" w:w="3231"/>
            <w:shd w:val="clear" w:color="auto" w:fill="F3F4F6"/>
            <w:vAlign w:val="center"/>
          </w:tcPr>
          <w:p>
            <w:pPr>
              <w:spacing w:before="40" w:after="40"/>
            </w:pPr>
            <w:r>
              <w:rPr>
                <w:sz w:val="18"/>
              </w:rPr>
              <w:t>/number-intelligence — range tracking, utilisation %, expiry alerting, porting tracker</w:t>
            </w:r>
          </w:p>
        </w:tc>
      </w:tr>
      <w:tr>
        <w:tc>
          <w:tcPr>
            <w:tcW w:type="dxa" w:w="1417"/>
            <w:shd w:val="clear" w:color="auto" w:fill="FFFFFF"/>
            <w:vAlign w:val="center"/>
          </w:tcPr>
          <w:p>
            <w:pPr>
              <w:spacing w:before="40" w:after="40"/>
            </w:pPr>
            <w:r>
              <w:rPr>
                <w:sz w:val="18"/>
              </w:rPr>
              <w:t>Client / Reseller</w:t>
            </w:r>
          </w:p>
        </w:tc>
        <w:tc>
          <w:tcPr>
            <w:tcW w:type="dxa" w:w="454"/>
            <w:shd w:val="clear" w:color="auto" w:fill="FFFFFF"/>
            <w:vAlign w:val="center"/>
          </w:tcPr>
          <w:p>
            <w:pPr>
              <w:spacing w:before="40" w:after="40"/>
            </w:pPr>
            <w:r>
              <w:rPr>
                <w:sz w:val="18"/>
              </w:rPr>
              <w:t>16</w:t>
            </w:r>
          </w:p>
        </w:tc>
        <w:tc>
          <w:tcPr>
            <w:tcW w:type="dxa" w:w="2721"/>
            <w:shd w:val="clear" w:color="auto" w:fill="FFFFFF"/>
            <w:vAlign w:val="center"/>
          </w:tcPr>
          <w:p>
            <w:pPr>
              <w:spacing w:before="40" w:after="40"/>
            </w:pPr>
            <w:r>
              <w:rPr>
                <w:sz w:val="18"/>
              </w:rPr>
              <w:t>Click-to-Call &amp; Test Call Launcher</w:t>
            </w:r>
          </w:p>
        </w:tc>
        <w:tc>
          <w:tcPr>
            <w:tcW w:type="dxa" w:w="1247"/>
            <w:shd w:val="clear" w:color="auto" w:fill="FFFFFF"/>
            <w:vAlign w:val="center"/>
          </w:tcPr>
          <w:p>
            <w:pPr>
              <w:spacing w:before="40" w:after="40"/>
            </w:pPr>
            <w:r>
              <w:rPr>
                <w:b/>
                <w:color w:val="057A55"/>
                <w:sz w:val="18"/>
              </w:rPr>
              <w:t>✅ LIVE</w:t>
            </w:r>
          </w:p>
        </w:tc>
        <w:tc>
          <w:tcPr>
            <w:tcW w:type="dxa" w:w="3231"/>
            <w:shd w:val="clear" w:color="auto" w:fill="FFFFFF"/>
            <w:vAlign w:val="center"/>
          </w:tcPr>
          <w:p>
            <w:pPr>
              <w:spacing w:before="40" w:after="40"/>
            </w:pPr>
            <w:r>
              <w:rPr>
                <w:sz w:val="18"/>
              </w:rPr>
              <w:t>/test-call — XML-RPC originate; real-time call progress; CDR auto-linked</w:t>
            </w:r>
          </w:p>
        </w:tc>
      </w:tr>
      <w:tr>
        <w:tc>
          <w:tcPr>
            <w:tcW w:type="dxa" w:w="1417"/>
            <w:shd w:val="clear" w:color="auto" w:fill="F3F4F6"/>
            <w:vAlign w:val="center"/>
          </w:tcPr>
          <w:p>
            <w:pPr>
              <w:spacing w:before="40" w:after="40"/>
            </w:pPr>
            <w:r>
              <w:rPr>
                <w:sz w:val="18"/>
              </w:rPr>
              <w:t>Analytics</w:t>
            </w:r>
          </w:p>
        </w:tc>
        <w:tc>
          <w:tcPr>
            <w:tcW w:type="dxa" w:w="454"/>
            <w:shd w:val="clear" w:color="auto" w:fill="F3F4F6"/>
            <w:vAlign w:val="center"/>
          </w:tcPr>
          <w:p>
            <w:pPr>
              <w:spacing w:before="40" w:after="40"/>
            </w:pPr>
            <w:r>
              <w:rPr>
                <w:sz w:val="18"/>
              </w:rPr>
              <w:t>17</w:t>
            </w:r>
          </w:p>
        </w:tc>
        <w:tc>
          <w:tcPr>
            <w:tcW w:type="dxa" w:w="2721"/>
            <w:shd w:val="clear" w:color="auto" w:fill="F3F4F6"/>
            <w:vAlign w:val="center"/>
          </w:tcPr>
          <w:p>
            <w:pPr>
              <w:spacing w:before="40" w:after="40"/>
            </w:pPr>
            <w:r>
              <w:rPr>
                <w:sz w:val="18"/>
              </w:rPr>
              <w:t>Traffic Forecasting Dashboard</w:t>
            </w:r>
          </w:p>
        </w:tc>
        <w:tc>
          <w:tcPr>
            <w:tcW w:type="dxa" w:w="1247"/>
            <w:shd w:val="clear" w:color="auto" w:fill="F3F4F6"/>
            <w:vAlign w:val="center"/>
          </w:tcPr>
          <w:p>
            <w:pPr>
              <w:spacing w:before="40" w:after="40"/>
            </w:pPr>
            <w:r>
              <w:rPr>
                <w:b/>
                <w:color w:val="BE123C"/>
                <w:sz w:val="18"/>
              </w:rPr>
              <w:t>❌ NOT BUILT</w:t>
            </w:r>
          </w:p>
        </w:tc>
        <w:tc>
          <w:tcPr>
            <w:tcW w:type="dxa" w:w="3231"/>
            <w:shd w:val="clear" w:color="auto" w:fill="F3F4F6"/>
            <w:vAlign w:val="center"/>
          </w:tcPr>
          <w:p>
            <w:pPr>
              <w:spacing w:before="40" w:after="40"/>
            </w:pPr>
            <w:r>
              <w:rPr>
                <w:sz w:val="18"/>
              </w:rPr>
              <w:t>No 8-week same-day model; no hourly forecast; no confidence bands; no deviation alert</w:t>
            </w:r>
          </w:p>
        </w:tc>
      </w:tr>
      <w:tr>
        <w:tc>
          <w:tcPr>
            <w:tcW w:type="dxa" w:w="1417"/>
            <w:shd w:val="clear" w:color="auto" w:fill="FFFFFF"/>
            <w:vAlign w:val="center"/>
          </w:tcPr>
          <w:p>
            <w:pPr>
              <w:spacing w:before="40" w:after="40"/>
            </w:pPr>
            <w:r>
              <w:rPr>
                <w:sz w:val="18"/>
              </w:rPr>
              <w:t>Analytics</w:t>
            </w:r>
          </w:p>
        </w:tc>
        <w:tc>
          <w:tcPr>
            <w:tcW w:type="dxa" w:w="454"/>
            <w:shd w:val="clear" w:color="auto" w:fill="FFFFFF"/>
            <w:vAlign w:val="center"/>
          </w:tcPr>
          <w:p>
            <w:pPr>
              <w:spacing w:before="40" w:after="40"/>
            </w:pPr>
            <w:r>
              <w:rPr>
                <w:sz w:val="18"/>
              </w:rPr>
              <w:t>18</w:t>
            </w:r>
          </w:p>
        </w:tc>
        <w:tc>
          <w:tcPr>
            <w:tcW w:type="dxa" w:w="2721"/>
            <w:shd w:val="clear" w:color="auto" w:fill="FFFFFF"/>
            <w:vAlign w:val="center"/>
          </w:tcPr>
          <w:p>
            <w:pPr>
              <w:spacing w:before="40" w:after="40"/>
            </w:pPr>
            <w:r>
              <w:rPr>
                <w:sz w:val="18"/>
              </w:rPr>
              <w:t>Geographic Revenue Heatmap</w:t>
            </w:r>
          </w:p>
        </w:tc>
        <w:tc>
          <w:tcPr>
            <w:tcW w:type="dxa" w:w="1247"/>
            <w:shd w:val="clear" w:color="auto" w:fill="FFFFFF"/>
            <w:vAlign w:val="center"/>
          </w:tcPr>
          <w:p>
            <w:pPr>
              <w:spacing w:before="40" w:after="40"/>
            </w:pPr>
            <w:r>
              <w:rPr>
                <w:b/>
                <w:color w:val="BE123C"/>
                <w:sz w:val="18"/>
              </w:rPr>
              <w:t>❌ NOT BUILT</w:t>
            </w:r>
          </w:p>
        </w:tc>
        <w:tc>
          <w:tcPr>
            <w:tcW w:type="dxa" w:w="3231"/>
            <w:shd w:val="clear" w:color="auto" w:fill="FFFFFF"/>
            <w:vAlign w:val="center"/>
          </w:tcPr>
          <w:p>
            <w:pPr>
              <w:spacing w:before="40" w:after="40"/>
            </w:pPr>
            <w:r>
              <w:rPr>
                <w:sz w:val="18"/>
              </w:rPr>
              <w:t>No Revenue/Cost/Margin/Volume world map. Distinct from existing CDR traffic map</w:t>
            </w:r>
          </w:p>
        </w:tc>
      </w:tr>
      <w:tr>
        <w:tc>
          <w:tcPr>
            <w:tcW w:type="dxa" w:w="1417"/>
            <w:shd w:val="clear" w:color="auto" w:fill="F3F4F6"/>
            <w:vAlign w:val="center"/>
          </w:tcPr>
          <w:p>
            <w:pPr>
              <w:spacing w:before="40" w:after="40"/>
            </w:pPr>
            <w:r>
              <w:rPr>
                <w:sz w:val="18"/>
              </w:rPr>
              <w:t>Analytics</w:t>
            </w:r>
          </w:p>
        </w:tc>
        <w:tc>
          <w:tcPr>
            <w:tcW w:type="dxa" w:w="454"/>
            <w:shd w:val="clear" w:color="auto" w:fill="F3F4F6"/>
            <w:vAlign w:val="center"/>
          </w:tcPr>
          <w:p>
            <w:pPr>
              <w:spacing w:before="40" w:after="40"/>
            </w:pPr>
            <w:r>
              <w:rPr>
                <w:sz w:val="18"/>
              </w:rPr>
              <w:t>19</w:t>
            </w:r>
          </w:p>
        </w:tc>
        <w:tc>
          <w:tcPr>
            <w:tcW w:type="dxa" w:w="2721"/>
            <w:shd w:val="clear" w:color="auto" w:fill="F3F4F6"/>
            <w:vAlign w:val="center"/>
          </w:tcPr>
          <w:p>
            <w:pPr>
              <w:spacing w:before="40" w:after="40"/>
            </w:pPr>
            <w:r>
              <w:rPr>
                <w:sz w:val="18"/>
              </w:rPr>
              <w:t>Peer Carrier Benchmarking</w:t>
            </w:r>
          </w:p>
        </w:tc>
        <w:tc>
          <w:tcPr>
            <w:tcW w:type="dxa" w:w="1247"/>
            <w:shd w:val="clear" w:color="auto" w:fill="F3F4F6"/>
            <w:vAlign w:val="center"/>
          </w:tcPr>
          <w:p>
            <w:pPr>
              <w:spacing w:before="40" w:after="40"/>
            </w:pPr>
            <w:r>
              <w:rPr>
                <w:b/>
                <w:color w:val="D97B06"/>
                <w:sz w:val="18"/>
              </w:rPr>
              <w:t>⚠️ PARTIAL</w:t>
            </w:r>
          </w:p>
        </w:tc>
        <w:tc>
          <w:tcPr>
            <w:tcW w:type="dxa" w:w="3231"/>
            <w:shd w:val="clear" w:color="auto" w:fill="F3F4F6"/>
            <w:vAlign w:val="center"/>
          </w:tcPr>
          <w:p>
            <w:pPr>
              <w:spacing w:before="40" w:after="40"/>
            </w:pPr>
            <w:r>
              <w:rPr>
                <w:sz w:val="18"/>
              </w:rPr>
              <w:t>/carrier-scoring exists. Missing: industry-median comparison, traffic-light indicator vs peers</w:t>
            </w:r>
          </w:p>
        </w:tc>
      </w:tr>
      <w:tr>
        <w:tc>
          <w:tcPr>
            <w:tcW w:type="dxa" w:w="1417"/>
            <w:shd w:val="clear" w:color="auto" w:fill="FFFFFF"/>
            <w:vAlign w:val="center"/>
          </w:tcPr>
          <w:p>
            <w:pPr>
              <w:spacing w:before="40" w:after="40"/>
            </w:pPr>
            <w:r>
              <w:rPr>
                <w:sz w:val="18"/>
              </w:rPr>
              <w:t>Analytics</w:t>
            </w:r>
          </w:p>
        </w:tc>
        <w:tc>
          <w:tcPr>
            <w:tcW w:type="dxa" w:w="454"/>
            <w:shd w:val="clear" w:color="auto" w:fill="FFFFFF"/>
            <w:vAlign w:val="center"/>
          </w:tcPr>
          <w:p>
            <w:pPr>
              <w:spacing w:before="40" w:after="40"/>
            </w:pPr>
            <w:r>
              <w:rPr>
                <w:sz w:val="18"/>
              </w:rPr>
              <w:t>20</w:t>
            </w:r>
          </w:p>
        </w:tc>
        <w:tc>
          <w:tcPr>
            <w:tcW w:type="dxa" w:w="2721"/>
            <w:shd w:val="clear" w:color="auto" w:fill="FFFFFF"/>
            <w:vAlign w:val="center"/>
          </w:tcPr>
          <w:p>
            <w:pPr>
              <w:spacing w:before="40" w:after="40"/>
            </w:pPr>
            <w:r>
              <w:rPr>
                <w:sz w:val="18"/>
              </w:rPr>
              <w:t>CDR Anomaly Detector (Statistical)</w:t>
            </w:r>
          </w:p>
        </w:tc>
        <w:tc>
          <w:tcPr>
            <w:tcW w:type="dxa" w:w="1247"/>
            <w:shd w:val="clear" w:color="auto" w:fill="FFFFFF"/>
            <w:vAlign w:val="center"/>
          </w:tcPr>
          <w:p>
            <w:pPr>
              <w:spacing w:before="40" w:after="40"/>
            </w:pPr>
            <w:r>
              <w:rPr>
                <w:b/>
                <w:color w:val="BE123C"/>
                <w:sz w:val="18"/>
              </w:rPr>
              <w:t>❌ NOT BUILT</w:t>
            </w:r>
          </w:p>
        </w:tc>
        <w:tc>
          <w:tcPr>
            <w:tcW w:type="dxa" w:w="3231"/>
            <w:shd w:val="clear" w:color="auto" w:fill="FFFFFF"/>
            <w:vAlign w:val="center"/>
          </w:tcPr>
          <w:p>
            <w:pPr>
              <w:spacing w:before="40" w:after="40"/>
            </w:pPr>
            <w:r>
              <w:rPr>
                <w:sz w:val="18"/>
              </w:rPr>
              <w:t>No nightly 3σ deviation job; no anomaly inbox in Reports; no severity score per batch</w:t>
            </w:r>
          </w:p>
        </w:tc>
      </w:tr>
      <w:tr>
        <w:tc>
          <w:tcPr>
            <w:tcW w:type="dxa" w:w="1417"/>
            <w:shd w:val="clear" w:color="auto" w:fill="F3F4F6"/>
            <w:vAlign w:val="center"/>
          </w:tcPr>
          <w:p>
            <w:pPr>
              <w:spacing w:before="40" w:after="40"/>
            </w:pPr>
            <w:r>
              <w:rPr>
                <w:sz w:val="18"/>
              </w:rPr>
              <w:t>Ops / Engineering</w:t>
            </w:r>
          </w:p>
        </w:tc>
        <w:tc>
          <w:tcPr>
            <w:tcW w:type="dxa" w:w="454"/>
            <w:shd w:val="clear" w:color="auto" w:fill="F3F4F6"/>
            <w:vAlign w:val="center"/>
          </w:tcPr>
          <w:p>
            <w:pPr>
              <w:spacing w:before="40" w:after="40"/>
            </w:pPr>
            <w:r>
              <w:rPr>
                <w:sz w:val="18"/>
              </w:rPr>
              <w:t>21</w:t>
            </w:r>
          </w:p>
        </w:tc>
        <w:tc>
          <w:tcPr>
            <w:tcW w:type="dxa" w:w="2721"/>
            <w:shd w:val="clear" w:color="auto" w:fill="F3F4F6"/>
            <w:vAlign w:val="center"/>
          </w:tcPr>
          <w:p>
            <w:pPr>
              <w:spacing w:before="40" w:after="40"/>
            </w:pPr>
            <w:r>
              <w:rPr>
                <w:sz w:val="18"/>
              </w:rPr>
              <w:t>SIP Registration Database &amp; Viewer</w:t>
            </w:r>
          </w:p>
        </w:tc>
        <w:tc>
          <w:tcPr>
            <w:tcW w:type="dxa" w:w="1247"/>
            <w:shd w:val="clear" w:color="auto" w:fill="F3F4F6"/>
            <w:vAlign w:val="center"/>
          </w:tcPr>
          <w:p>
            <w:pPr>
              <w:spacing w:before="40" w:after="40"/>
            </w:pPr>
            <w:r>
              <w:rPr>
                <w:b/>
                <w:color w:val="BE123C"/>
                <w:sz w:val="18"/>
              </w:rPr>
              <w:t>❌ NOT BUILT</w:t>
            </w:r>
          </w:p>
        </w:tc>
        <w:tc>
          <w:tcPr>
            <w:tcW w:type="dxa" w:w="3231"/>
            <w:shd w:val="clear" w:color="auto" w:fill="F3F4F6"/>
            <w:vAlign w:val="center"/>
          </w:tcPr>
          <w:p>
            <w:pPr>
              <w:spacing w:before="40" w:after="40"/>
            </w:pPr>
            <w:r>
              <w:rPr>
                <w:sz w:val="18"/>
              </w:rPr>
              <w:t>No searchable live reg DB; no device fingerprinting; no unexpected-geography flag</w:t>
            </w:r>
          </w:p>
        </w:tc>
      </w:tr>
      <w:tr>
        <w:tc>
          <w:tcPr>
            <w:tcW w:type="dxa" w:w="1417"/>
            <w:shd w:val="clear" w:color="auto" w:fill="FFFFFF"/>
            <w:vAlign w:val="center"/>
          </w:tcPr>
          <w:p>
            <w:pPr>
              <w:spacing w:before="40" w:after="40"/>
            </w:pPr>
            <w:r>
              <w:rPr>
                <w:sz w:val="18"/>
              </w:rPr>
              <w:t>Ops / Engineering</w:t>
            </w:r>
          </w:p>
        </w:tc>
        <w:tc>
          <w:tcPr>
            <w:tcW w:type="dxa" w:w="454"/>
            <w:shd w:val="clear" w:color="auto" w:fill="FFFFFF"/>
            <w:vAlign w:val="center"/>
          </w:tcPr>
          <w:p>
            <w:pPr>
              <w:spacing w:before="40" w:after="40"/>
            </w:pPr>
            <w:r>
              <w:rPr>
                <w:sz w:val="18"/>
              </w:rPr>
              <w:t>22</w:t>
            </w:r>
          </w:p>
        </w:tc>
        <w:tc>
          <w:tcPr>
            <w:tcW w:type="dxa" w:w="2721"/>
            <w:shd w:val="clear" w:color="auto" w:fill="FFFFFF"/>
            <w:vAlign w:val="center"/>
          </w:tcPr>
          <w:p>
            <w:pPr>
              <w:spacing w:before="40" w:after="40"/>
            </w:pPr>
            <w:r>
              <w:rPr>
                <w:sz w:val="18"/>
              </w:rPr>
              <w:t>Config Change Tracker (extended)</w:t>
            </w:r>
          </w:p>
        </w:tc>
        <w:tc>
          <w:tcPr>
            <w:tcW w:type="dxa" w:w="1247"/>
            <w:shd w:val="clear" w:color="auto" w:fill="FFFFFF"/>
            <w:vAlign w:val="center"/>
          </w:tcPr>
          <w:p>
            <w:pPr>
              <w:spacing w:before="40" w:after="40"/>
            </w:pPr>
            <w:r>
              <w:rPr>
                <w:b/>
                <w:color w:val="D97B06"/>
                <w:sz w:val="18"/>
              </w:rPr>
              <w:t>⚠️ PARTIAL</w:t>
            </w:r>
          </w:p>
        </w:tc>
        <w:tc>
          <w:tcPr>
            <w:tcW w:type="dxa" w:w="3231"/>
            <w:shd w:val="clear" w:color="auto" w:fill="FFFFFF"/>
            <w:vAlign w:val="center"/>
          </w:tcPr>
          <w:p>
            <w:pPr>
              <w:spacing w:before="40" w:after="40"/>
            </w:pPr>
            <w:r>
              <w:rPr>
                <w:sz w:val="18"/>
              </w:rPr>
              <w:t>Sippy Change Watcher is live. Missing: diff viewer, rollback suggestion per config type</w:t>
            </w:r>
          </w:p>
        </w:tc>
      </w:tr>
      <w:tr>
        <w:tc>
          <w:tcPr>
            <w:tcW w:type="dxa" w:w="1417"/>
            <w:shd w:val="clear" w:color="auto" w:fill="F3F4F6"/>
            <w:vAlign w:val="center"/>
          </w:tcPr>
          <w:p>
            <w:pPr>
              <w:spacing w:before="40" w:after="40"/>
            </w:pPr>
            <w:r>
              <w:rPr>
                <w:sz w:val="18"/>
              </w:rPr>
              <w:t>Ops / Engineering</w:t>
            </w:r>
          </w:p>
        </w:tc>
        <w:tc>
          <w:tcPr>
            <w:tcW w:type="dxa" w:w="454"/>
            <w:shd w:val="clear" w:color="auto" w:fill="F3F4F6"/>
            <w:vAlign w:val="center"/>
          </w:tcPr>
          <w:p>
            <w:pPr>
              <w:spacing w:before="40" w:after="40"/>
            </w:pPr>
            <w:r>
              <w:rPr>
                <w:sz w:val="18"/>
              </w:rPr>
              <w:t>23</w:t>
            </w:r>
          </w:p>
        </w:tc>
        <w:tc>
          <w:tcPr>
            <w:tcW w:type="dxa" w:w="2721"/>
            <w:shd w:val="clear" w:color="auto" w:fill="F3F4F6"/>
            <w:vAlign w:val="center"/>
          </w:tcPr>
          <w:p>
            <w:pPr>
              <w:spacing w:before="40" w:after="40"/>
            </w:pPr>
            <w:r>
              <w:rPr>
                <w:sz w:val="18"/>
              </w:rPr>
              <w:t>Maintenance Window Scheduler</w:t>
            </w:r>
          </w:p>
        </w:tc>
        <w:tc>
          <w:tcPr>
            <w:tcW w:type="dxa" w:w="1247"/>
            <w:shd w:val="clear" w:color="auto" w:fill="F3F4F6"/>
            <w:vAlign w:val="center"/>
          </w:tcPr>
          <w:p>
            <w:pPr>
              <w:spacing w:before="40" w:after="40"/>
            </w:pPr>
            <w:r>
              <w:rPr>
                <w:b/>
                <w:color w:val="BE123C"/>
                <w:sz w:val="18"/>
              </w:rPr>
              <w:t>❌ NOT BUILT</w:t>
            </w:r>
          </w:p>
        </w:tc>
        <w:tc>
          <w:tcPr>
            <w:tcW w:type="dxa" w:w="3231"/>
            <w:shd w:val="clear" w:color="auto" w:fill="F3F4F6"/>
            <w:vAlign w:val="center"/>
          </w:tcPr>
          <w:p>
            <w:pPr>
              <w:spacing w:before="40" w:after="40"/>
            </w:pPr>
            <w:r>
              <w:rPr>
                <w:sz w:val="18"/>
              </w:rPr>
              <w:t>No alert suppression for planned downtime windows; no cron-style schedule UI</w:t>
            </w:r>
          </w:p>
        </w:tc>
      </w:tr>
      <w:tr>
        <w:tc>
          <w:tcPr>
            <w:tcW w:type="dxa" w:w="1417"/>
            <w:shd w:val="clear" w:color="auto" w:fill="FFFFFF"/>
            <w:vAlign w:val="center"/>
          </w:tcPr>
          <w:p>
            <w:pPr>
              <w:spacing w:before="40" w:after="40"/>
            </w:pPr>
            <w:r>
              <w:rPr>
                <w:sz w:val="18"/>
              </w:rPr>
              <w:t>Ops / Engineering</w:t>
            </w:r>
          </w:p>
        </w:tc>
        <w:tc>
          <w:tcPr>
            <w:tcW w:type="dxa" w:w="454"/>
            <w:shd w:val="clear" w:color="auto" w:fill="FFFFFF"/>
            <w:vAlign w:val="center"/>
          </w:tcPr>
          <w:p>
            <w:pPr>
              <w:spacing w:before="40" w:after="40"/>
            </w:pPr>
            <w:r>
              <w:rPr>
                <w:sz w:val="18"/>
              </w:rPr>
              <w:t>24</w:t>
            </w:r>
          </w:p>
        </w:tc>
        <w:tc>
          <w:tcPr>
            <w:tcW w:type="dxa" w:w="2721"/>
            <w:shd w:val="clear" w:color="auto" w:fill="FFFFFF"/>
            <w:vAlign w:val="center"/>
          </w:tcPr>
          <w:p>
            <w:pPr>
              <w:spacing w:before="40" w:after="40"/>
            </w:pPr>
            <w:r>
              <w:rPr>
                <w:sz w:val="18"/>
              </w:rPr>
              <w:t>Multi-Switch Consolidated View</w:t>
            </w:r>
          </w:p>
        </w:tc>
        <w:tc>
          <w:tcPr>
            <w:tcW w:type="dxa" w:w="1247"/>
            <w:shd w:val="clear" w:color="auto" w:fill="FFFFFF"/>
            <w:vAlign w:val="center"/>
          </w:tcPr>
          <w:p>
            <w:pPr>
              <w:spacing w:before="40" w:after="40"/>
            </w:pPr>
            <w:r>
              <w:rPr>
                <w:b/>
                <w:color w:val="057A55"/>
                <w:sz w:val="18"/>
              </w:rPr>
              <w:t>✅ LIVE</w:t>
            </w:r>
          </w:p>
        </w:tc>
        <w:tc>
          <w:tcPr>
            <w:tcW w:type="dxa" w:w="3231"/>
            <w:shd w:val="clear" w:color="auto" w:fill="FFFFFF"/>
            <w:vAlign w:val="center"/>
          </w:tcPr>
          <w:p>
            <w:pPr>
              <w:spacing w:before="40" w:after="40"/>
            </w:pPr>
            <w:r>
              <w:rPr>
                <w:sz w:val="18"/>
              </w:rPr>
              <w:t>/multi-switch — unified dashboard across all configured Sippy instances</w:t>
            </w:r>
          </w:p>
        </w:tc>
      </w:tr>
    </w:tbl>
    <w:p/>
    <w:p>
      <w:r>
        <w:br w:type="page"/>
      </w:r>
    </w:p>
    <w:p>
      <w:pPr>
        <w:spacing w:before="240" w:after="120"/>
      </w:pPr>
      <w:r>
        <w:rPr>
          <w:b/>
          <w:color w:val="0F172A"/>
          <w:sz w:val="44"/>
        </w:rPr>
        <w:t>5.  Features Remaining to Complete</w:t>
      </w:r>
    </w:p>
    <w:p>
      <w:pPr>
        <w:spacing w:before="40" w:after="80"/>
      </w:pPr>
      <w:r>
        <w:rPr>
          <w:sz w:val="20"/>
        </w:rPr>
        <w:t>The 15 items below are either fully unstarted or partially implemented with meaningful gaps. Listed in recommended build order, balancing business impact against development effort.</w:t>
      </w:r>
    </w:p>
    <w:p>
      <w:pPr>
        <w:spacing w:before="320" w:after="100"/>
      </w:pPr>
      <w:r>
        <w:rPr>
          <w:b/>
          <w:color w:val="BE123C"/>
          <w:sz w:val="24"/>
        </w:rPr>
        <w:t>HIGH PRIORITY — Build Next</w:t>
      </w:r>
    </w:p>
    <w:p>
      <w:pPr>
        <w:spacing w:before="120" w:after="0"/>
      </w:pPr>
      <w:r>
        <w:rPr>
          <w:b/>
          <w:color w:val="0F172A"/>
          <w:sz w:val="20"/>
        </w:rPr>
        <w:t xml:space="preserve">  Scheduled Report Delivery</w:t>
      </w:r>
    </w:p>
    <w:p>
      <w:pPr>
        <w:spacing w:before="0" w:after="20"/>
        <w:ind w:left="454"/>
      </w:pPr>
      <w:r>
        <w:rPr>
          <w:i/>
          <w:color w:val="BE123C"/>
          <w:sz w:val="18"/>
        </w:rPr>
        <w:t>Vol 1 #13  |  Effort: Low  |  Value: High</w:t>
      </w:r>
    </w:p>
    <w:p>
      <w:pPr>
        <w:spacing w:before="20" w:after="160"/>
        <w:ind w:left="454"/>
      </w:pPr>
      <w:r>
        <w:rPr>
          <w:color w:val="6B7280"/>
          <w:sz w:val="19"/>
        </w:rPr>
        <w:t>Automated cron-style delivery of daily/weekly/monthly reports to stakeholders. Builds entirely on existing infrastructure: Watcher Recipients (already live), Gmail SMTP (already live), and report-generation logic (already in /reports page). Deliverables: daily traffic summary at 06:00; weekly ASR/ACD/MOS quality report; monthly billing summary per client; FAS/fraud incident digest. Each report type has a configurable recipient list, schedule, and format (PDF or inline email).</w:t>
      </w:r>
    </w:p>
    <w:p>
      <w:pPr>
        <w:spacing w:before="120" w:after="0"/>
      </w:pPr>
      <w:r>
        <w:rPr>
          <w:b/>
          <w:color w:val="0F172A"/>
          <w:sz w:val="20"/>
        </w:rPr>
        <w:t xml:space="preserve">  Audit Log Viewer</w:t>
      </w:r>
    </w:p>
    <w:p>
      <w:pPr>
        <w:spacing w:before="0" w:after="20"/>
        <w:ind w:left="454"/>
      </w:pPr>
      <w:r>
        <w:rPr>
          <w:i/>
          <w:color w:val="BE123C"/>
          <w:sz w:val="18"/>
        </w:rPr>
        <w:t>Vol 1 #18  |  Effort: Low  |  Value: High</w:t>
      </w:r>
    </w:p>
    <w:p>
      <w:pPr>
        <w:spacing w:before="20" w:after="160"/>
        <w:ind w:left="454"/>
      </w:pPr>
      <w:r>
        <w:rPr>
          <w:color w:val="6B7280"/>
          <w:sz w:val="19"/>
        </w:rPr>
        <w:t>Searchable, tamper-evident log of all administrative actions taken in the platform. Events to log: user logins and failed logins; configuration changes (settings, thresholds, rate cards); manual call disconnections; account blocks and unblocks; alert rule changes; watcher recipient changes. Display: filterable table by user, action type, and date range. Exportable to CSV. New DB table: audit_log (id, userId, action, target, before, after, ipAddress, timestamp).</w:t>
      </w:r>
    </w:p>
    <w:p>
      <w:pPr>
        <w:spacing w:before="120" w:after="0"/>
      </w:pPr>
      <w:r>
        <w:rPr>
          <w:b/>
          <w:color w:val="0F172A"/>
          <w:sz w:val="20"/>
        </w:rPr>
        <w:t xml:space="preserve">  Fraud Velocity Scoring</w:t>
      </w:r>
    </w:p>
    <w:p>
      <w:pPr>
        <w:spacing w:before="0" w:after="20"/>
        <w:ind w:left="454"/>
      </w:pPr>
      <w:r>
        <w:rPr>
          <w:i/>
          <w:color w:val="BE123C"/>
          <w:sz w:val="18"/>
        </w:rPr>
        <w:t>Vol 2 #12  |  Effort: Medium  |  Value: Critical</w:t>
      </w:r>
    </w:p>
    <w:p>
      <w:pPr>
        <w:spacing w:before="20" w:after="160"/>
        <w:ind w:left="454"/>
      </w:pPr>
      <w:r>
        <w:rPr>
          <w:color w:val="6B7280"/>
          <w:sz w:val="19"/>
        </w:rPr>
        <w:t>Real-time multi-signal risk score (0–100) per account. Score components: destination risk level, call velocity (calls/minute), CLI diversity (unique caller IDs per hour), time-of-day anomaly (traffic outside expected hours), short-duration ratio (% calls &lt; 8 seconds). Score displayed live in the NOC dashboard sidebar. Accounts above threshold (e.g. 75) trigger an automated alert. Score history charted per account on the Client detail page.</w:t>
      </w:r>
    </w:p>
    <w:p>
      <w:pPr>
        <w:spacing w:before="120" w:after="0"/>
      </w:pPr>
      <w:r>
        <w:rPr>
          <w:b/>
          <w:color w:val="0F172A"/>
          <w:sz w:val="20"/>
        </w:rPr>
        <w:t xml:space="preserve">  CDR Anomaly Detector — Statistical</w:t>
      </w:r>
    </w:p>
    <w:p>
      <w:pPr>
        <w:spacing w:before="0" w:after="20"/>
        <w:ind w:left="454"/>
      </w:pPr>
      <w:r>
        <w:rPr>
          <w:i/>
          <w:color w:val="BE123C"/>
          <w:sz w:val="18"/>
        </w:rPr>
        <w:t>Vol 2 #20  |  Effort: Medium  |  Value: High</w:t>
      </w:r>
    </w:p>
    <w:p>
      <w:pPr>
        <w:spacing w:before="20" w:after="160"/>
        <w:ind w:left="454"/>
      </w:pPr>
      <w:r>
        <w:rPr>
          <w:color w:val="6B7280"/>
          <w:sz w:val="19"/>
        </w:rPr>
        <w:t>Nightly backend job that compares the previous day's CDRs against a rolling 30-day per-account baseline. Flags records deviating &gt;3 standard deviations in: call duration, cost per minute, or destination distribution. Anomaly inbox added to the Reports page with a severity score per flagged batch. Each anomaly card shows the expected vs. actual value and a suggested investigation step.</w:t>
      </w:r>
    </w:p>
    <w:p>
      <w:pPr>
        <w:spacing w:before="320" w:after="100"/>
      </w:pPr>
      <w:r>
        <w:rPr>
          <w:b/>
          <w:color w:val="D97B06"/>
          <w:sz w:val="24"/>
        </w:rPr>
        <w:t>MEDIUM PRIORITY — Next Sprint</w:t>
      </w:r>
    </w:p>
    <w:p>
      <w:pPr>
        <w:spacing w:before="120" w:after="0"/>
      </w:pPr>
      <w:r>
        <w:rPr>
          <w:b/>
          <w:color w:val="0F172A"/>
          <w:sz w:val="20"/>
        </w:rPr>
        <w:t xml:space="preserve">  Billing Report Generator — PDF / Excel</w:t>
      </w:r>
    </w:p>
    <w:p>
      <w:pPr>
        <w:spacing w:before="0" w:after="20"/>
        <w:ind w:left="454"/>
      </w:pPr>
      <w:r>
        <w:rPr>
          <w:i/>
          <w:color w:val="D97B06"/>
          <w:sz w:val="18"/>
        </w:rPr>
        <w:t>Vol 1 #12  |  Effort: Medium  |  Value: High</w:t>
      </w:r>
    </w:p>
    <w:p>
      <w:pPr>
        <w:spacing w:before="20" w:after="160"/>
        <w:ind w:left="454"/>
      </w:pPr>
      <w:r>
        <w:rPr>
          <w:color w:val="6B7280"/>
          <w:sz w:val="19"/>
        </w:rPr>
        <w:t>Select client + billing period + rate card → aggregate CDRs by destination, apply rates, produce a formatted invoice with: summary totals (minutes, cost per destination group) and an itemised CDR attachment. Export as PDF (with company logo) or Excel. Send directly from within the app. Closes the loop from CDR data → billing → client delivery without leaving the platform.</w:t>
      </w:r>
    </w:p>
    <w:p>
      <w:pPr>
        <w:spacing w:before="120" w:after="0"/>
      </w:pPr>
      <w:r>
        <w:rPr>
          <w:b/>
          <w:color w:val="0F172A"/>
          <w:sz w:val="20"/>
        </w:rPr>
        <w:t xml:space="preserve">  MOS Score Trending &amp; Quality Reports</w:t>
      </w:r>
    </w:p>
    <w:p>
      <w:pPr>
        <w:spacing w:before="0" w:after="20"/>
        <w:ind w:left="454"/>
      </w:pPr>
      <w:r>
        <w:rPr>
          <w:i/>
          <w:color w:val="D97B06"/>
          <w:sz w:val="18"/>
        </w:rPr>
        <w:t>Vol 1 #4 (gap)  |  Effort: Medium  |  Value: High</w:t>
      </w:r>
    </w:p>
    <w:p>
      <w:pPr>
        <w:spacing w:before="20" w:after="160"/>
        <w:ind w:left="454"/>
      </w:pPr>
      <w:r>
        <w:rPr>
          <w:color w:val="6B7280"/>
          <w:sz w:val="19"/>
        </w:rPr>
        <w:t>The platform shows real-time MOS per call, but lacks historical analysis. Build: MOS trend chart over 24h/7d/30d broken down by carrier and destination. "Quality Events" log: any 15-minute window where average MOS drops below 3.5. Carrier Quality League Table: rank vendors by average MOS over the selected period. Auto-alert when a carrier's rolling 1-hour MOS drops below a configurable threshold.</w:t>
      </w:r>
    </w:p>
    <w:p>
      <w:pPr>
        <w:spacing w:before="120" w:after="0"/>
      </w:pPr>
      <w:r>
        <w:rPr>
          <w:b/>
          <w:color w:val="0F172A"/>
          <w:sz w:val="20"/>
        </w:rPr>
        <w:t xml:space="preserve">  Traffic Anomaly Detector — Statistical Baseline</w:t>
      </w:r>
    </w:p>
    <w:p>
      <w:pPr>
        <w:spacing w:before="0" w:after="20"/>
        <w:ind w:left="454"/>
      </w:pPr>
      <w:r>
        <w:rPr>
          <w:i/>
          <w:color w:val="D97B06"/>
          <w:sz w:val="18"/>
        </w:rPr>
        <w:t>Vol 1 #7 (gap)  |  Effort: Medium  |  Value: High</w:t>
      </w:r>
    </w:p>
    <w:p>
      <w:pPr>
        <w:spacing w:before="20" w:after="160"/>
        <w:ind w:left="454"/>
      </w:pPr>
      <w:r>
        <w:rPr>
          <w:color w:val="6B7280"/>
          <w:sz w:val="19"/>
        </w:rPr>
        <w:t>The existing Traffic Drop Detector only fires at &gt;50 % drop thresholds. Extend with a 14-day per-hour rolling baseline model. Alert when CPS or concurrent calls exceed 2 standard deviations above the baseline. Intelligently distinguish a business-hours peak from a 3 AM spike. Display an anomaly timeline overlay on the Graphs page.</w:t>
      </w:r>
    </w:p>
    <w:p>
      <w:pPr>
        <w:spacing w:before="120" w:after="0"/>
      </w:pPr>
      <w:r>
        <w:rPr>
          <w:b/>
          <w:color w:val="0F172A"/>
          <w:sz w:val="20"/>
        </w:rPr>
        <w:t xml:space="preserve">  Robocall &amp; Neighbour Spoofing Detector</w:t>
      </w:r>
    </w:p>
    <w:p>
      <w:pPr>
        <w:spacing w:before="0" w:after="20"/>
        <w:ind w:left="454"/>
      </w:pPr>
      <w:r>
        <w:rPr>
          <w:i/>
          <w:color w:val="D97B06"/>
          <w:sz w:val="18"/>
        </w:rPr>
        <w:t>Vol 2 #9  |  Effort: Medium  |  Value: High</w:t>
      </w:r>
    </w:p>
    <w:p>
      <w:pPr>
        <w:spacing w:before="20" w:after="160"/>
        <w:ind w:left="454"/>
      </w:pPr>
      <w:r>
        <w:rPr>
          <w:color w:val="6B7280"/>
          <w:sz w:val="19"/>
        </w:rPr>
        <w:t>Extends the existing FAS engine with two new signal types: (1) Sequential CLI detection — flag accounts using caller IDs in arithmetic sequences (+1-555-0001, +1-555-0002…); (2) Neighbour spoofing — caller ID prefix matches the dialled number's area code. Also flag accounts with &gt;200 calls/hour where average duration &lt; 8 seconds. Auto-block identified source accounts via Sippy XML-RPC.</w:t>
      </w:r>
    </w:p>
    <w:p>
      <w:pPr>
        <w:spacing w:before="120" w:after="0"/>
      </w:pPr>
      <w:r>
        <w:rPr>
          <w:b/>
          <w:color w:val="0F172A"/>
          <w:sz w:val="20"/>
        </w:rPr>
        <w:t xml:space="preserve">  SIP Registration Database &amp; Viewer</w:t>
      </w:r>
    </w:p>
    <w:p>
      <w:pPr>
        <w:spacing w:before="0" w:after="20"/>
        <w:ind w:left="454"/>
      </w:pPr>
      <w:r>
        <w:rPr>
          <w:i/>
          <w:color w:val="D97B06"/>
          <w:sz w:val="18"/>
        </w:rPr>
        <w:t>Vol 2 #21  |  Effort: Low  |  Value: Medium</w:t>
      </w:r>
    </w:p>
    <w:p>
      <w:pPr>
        <w:spacing w:before="20" w:after="160"/>
        <w:ind w:left="454"/>
      </w:pPr>
      <w:r>
        <w:rPr>
          <w:color w:val="6B7280"/>
          <w:sz w:val="19"/>
        </w:rPr>
        <w:t>A searchable real-time list of all currently registered SIP endpoints pulled from Sippy. Fields: username, IP address, user-agent string, registration expiry timestamp. Search by username, IP, or user-agent string. Flag registrations from unexpected geographies (IP country != account country). Flag unusual user-agent strings (e.g. SIPVicious, known scanning tools).</w:t>
      </w:r>
    </w:p>
    <w:p>
      <w:pPr>
        <w:spacing w:before="320" w:after="100"/>
      </w:pPr>
      <w:r>
        <w:rPr>
          <w:b/>
          <w:color w:val="1D4ED8"/>
          <w:sz w:val="24"/>
        </w:rPr>
        <w:t>NICE TO HAVE — Future Sprints</w:t>
      </w:r>
    </w:p>
    <w:p>
      <w:pPr>
        <w:spacing w:before="120" w:after="0"/>
      </w:pPr>
      <w:r>
        <w:rPr>
          <w:b/>
          <w:color w:val="0F172A"/>
          <w:sz w:val="20"/>
        </w:rPr>
        <w:t xml:space="preserve">  Concurrent Call Limit Enforcer</w:t>
      </w:r>
    </w:p>
    <w:p>
      <w:pPr>
        <w:spacing w:before="0" w:after="20"/>
        <w:ind w:left="454"/>
      </w:pPr>
      <w:r>
        <w:rPr>
          <w:i/>
          <w:color w:val="1D4ED8"/>
          <w:sz w:val="18"/>
        </w:rPr>
        <w:t>Vol 2 #11  |  Effort: Low  |  Value: Medium</w:t>
      </w:r>
    </w:p>
    <w:p>
      <w:pPr>
        <w:spacing w:before="20" w:after="160"/>
        <w:ind w:left="454"/>
      </w:pPr>
      <w:r>
        <w:rPr>
          <w:color w:val="6B7280"/>
          <w:sz w:val="19"/>
        </w:rPr>
        <w:t>Poll live calls per account every 10 seconds against the configured limit stored in Sippy. Alert NOC when any account exceeds its limit by &gt;20 %. Optional auto-disconnect: terminate the oldest excess call via XML-RPC. Limit breach history log per account.</w:t>
      </w:r>
    </w:p>
    <w:p>
      <w:pPr>
        <w:spacing w:before="120" w:after="0"/>
      </w:pPr>
      <w:r>
        <w:rPr>
          <w:b/>
          <w:color w:val="0F172A"/>
          <w:sz w:val="20"/>
        </w:rPr>
        <w:t xml:space="preserve">  Traffic Forecasting Dashboard</w:t>
      </w:r>
    </w:p>
    <w:p>
      <w:pPr>
        <w:spacing w:before="0" w:after="20"/>
        <w:ind w:left="454"/>
      </w:pPr>
      <w:r>
        <w:rPr>
          <w:i/>
          <w:color w:val="1D4ED8"/>
          <w:sz w:val="18"/>
        </w:rPr>
        <w:t>Vol 2 #17  |  Effort: High  |  Value: Medium</w:t>
      </w:r>
    </w:p>
    <w:p>
      <w:pPr>
        <w:spacing w:before="20" w:after="160"/>
        <w:ind w:left="454"/>
      </w:pPr>
      <w:r>
        <w:rPr>
          <w:color w:val="6B7280"/>
          <w:sz w:val="19"/>
        </w:rPr>
        <w:t>Analyse same-day-of-week patterns over the past 8 weeks. Generate an hourly traffic forecast for the next 24 hours with confidence bands (optimistic / expected / pessimistic). Alert if actual traffic deviates &gt;30 % from forecast.</w:t>
      </w:r>
    </w:p>
    <w:p>
      <w:pPr>
        <w:spacing w:before="120" w:after="0"/>
      </w:pPr>
      <w:r>
        <w:rPr>
          <w:b/>
          <w:color w:val="0F172A"/>
          <w:sz w:val="20"/>
        </w:rPr>
        <w:t xml:space="preserve">  Geographic Revenue Heatmap</w:t>
      </w:r>
    </w:p>
    <w:p>
      <w:pPr>
        <w:spacing w:before="0" w:after="20"/>
        <w:ind w:left="454"/>
      </w:pPr>
      <w:r>
        <w:rPr>
          <w:i/>
          <w:color w:val="1D4ED8"/>
          <w:sz w:val="18"/>
        </w:rPr>
        <w:t>Vol 2 #18  |  Effort: Medium  |  Value: Medium</w:t>
      </w:r>
    </w:p>
    <w:p>
      <w:pPr>
        <w:spacing w:before="20" w:after="160"/>
        <w:ind w:left="454"/>
      </w:pPr>
      <w:r>
        <w:rPr>
          <w:color w:val="6B7280"/>
          <w:sz w:val="19"/>
        </w:rPr>
        <w:t>World map where colour intensity = revenue generated per country. Toggle between Revenue / Cost / Margin / Call Volume views. Click a country to drill into that country's CDRs, carrier breakdown, and ASR trend. Distinct from the existing CDR traffic map — focused on the financial layer.</w:t>
      </w:r>
    </w:p>
    <w:p>
      <w:pPr>
        <w:spacing w:before="120" w:after="0"/>
      </w:pPr>
      <w:r>
        <w:rPr>
          <w:b/>
          <w:color w:val="0F172A"/>
          <w:sz w:val="20"/>
        </w:rPr>
        <w:t xml:space="preserve">  Codec Negotiation Analytics</w:t>
      </w:r>
    </w:p>
    <w:p>
      <w:pPr>
        <w:spacing w:before="0" w:after="20"/>
        <w:ind w:left="454"/>
      </w:pPr>
      <w:r>
        <w:rPr>
          <w:i/>
          <w:color w:val="1D4ED8"/>
          <w:sz w:val="18"/>
        </w:rPr>
        <w:t>Vol 2 #2  |  Effort: Medium  |  Value: Medium</w:t>
      </w:r>
    </w:p>
    <w:p>
      <w:pPr>
        <w:spacing w:before="20" w:after="160"/>
        <w:ind w:left="454"/>
      </w:pPr>
      <w:r>
        <w:rPr>
          <w:color w:val="6B7280"/>
          <w:sz w:val="19"/>
        </w:rPr>
        <w:t>Parse codec fields from Sippy CDRs. Display codec usage breakdown (pie/bar chart). Show transcoding rate per carrier. Flag vendors forcing costly transcode paths. Note: requires Sippy instance to expose codec field in CDR API — verify before building.</w:t>
      </w:r>
    </w:p>
    <w:p>
      <w:pPr>
        <w:spacing w:before="120" w:after="0"/>
      </w:pPr>
      <w:r>
        <w:rPr>
          <w:b/>
          <w:color w:val="0F172A"/>
          <w:sz w:val="20"/>
        </w:rPr>
        <w:t xml:space="preserve">  Maintenance Window Scheduler</w:t>
      </w:r>
    </w:p>
    <w:p>
      <w:pPr>
        <w:spacing w:before="0" w:after="20"/>
        <w:ind w:left="454"/>
      </w:pPr>
      <w:r>
        <w:rPr>
          <w:i/>
          <w:color w:val="1D4ED8"/>
          <w:sz w:val="18"/>
        </w:rPr>
        <w:t>Vol 2 #23  |  Effort: Low  |  Value: Medium</w:t>
      </w:r>
    </w:p>
    <w:p>
      <w:pPr>
        <w:spacing w:before="20" w:after="160"/>
        <w:ind w:left="454"/>
      </w:pPr>
      <w:r>
        <w:rPr>
          <w:color w:val="6B7280"/>
          <w:sz w:val="19"/>
        </w:rPr>
        <w:t>Define recurring or one-off maintenance windows. All alerts automatically suppressed during the window. NOC dashboard shows a "Maintenance Mode" banner with countdown during active window.</w:t>
      </w:r>
    </w:p>
    <w:p>
      <w:pPr>
        <w:spacing w:before="120" w:after="0"/>
      </w:pPr>
      <w:r>
        <w:rPr>
          <w:b/>
          <w:color w:val="0F172A"/>
          <w:sz w:val="20"/>
        </w:rPr>
        <w:t xml:space="preserve">  Two-Factor Authentication — TOTP</w:t>
      </w:r>
    </w:p>
    <w:p>
      <w:pPr>
        <w:spacing w:before="0" w:after="20"/>
        <w:ind w:left="454"/>
      </w:pPr>
      <w:r>
        <w:rPr>
          <w:i/>
          <w:color w:val="1D4ED8"/>
          <w:sz w:val="18"/>
        </w:rPr>
        <w:t>Vol 1 #19  |  Effort: Medium  |  Value: High</w:t>
      </w:r>
    </w:p>
    <w:p>
      <w:pPr>
        <w:spacing w:before="20" w:after="160"/>
        <w:ind w:left="454"/>
      </w:pPr>
      <w:r>
        <w:rPr>
          <w:color w:val="6B7280"/>
          <w:sz w:val="19"/>
        </w:rPr>
        <w:t>TOTP-based 2FA compatible with Google Authenticator and Authy. QR code enrollment flow on first login after 2FA is enabled. Recovery codes generated at enrollment. Admin can enforce 2FA for all users with Admin or Management roles. 2FA status shown in the Team Management page.</w:t>
      </w:r>
    </w:p>
    <w:p>
      <w:r>
        <w:br w:type="page"/>
      </w:r>
    </w:p>
    <w:p>
      <w:pPr>
        <w:spacing w:before="240" w:after="120"/>
      </w:pPr>
      <w:r>
        <w:rPr>
          <w:b/>
          <w:color w:val="0F172A"/>
          <w:sz w:val="44"/>
        </w:rPr>
        <w:t>6.  Volume 3 — New Feature Proposals  (Beyond Vol 1 &amp; Vol 2)</w:t>
      </w:r>
    </w:p>
    <w:p>
      <w:pPr>
        <w:spacing w:before="40" w:after="80"/>
      </w:pPr>
      <w:r>
        <w:rPr>
          <w:sz w:val="20"/>
        </w:rPr>
        <w:t>The following 20 features are proposed for the first time in this report. None appear in Volume 1 or Volume 2. They address gaps observed during platform operation, enterprise buyer requirements, and competitive feature parity with commercial VoIP NOC platforms.</w:t>
      </w:r>
    </w:p>
    <w:p>
      <w:pPr>
        <w:spacing w:before="320" w:after="100"/>
      </w:pPr>
      <w:r>
        <w:rPr>
          <w:b/>
          <w:color w:val="6027D3"/>
          <w:sz w:val="26"/>
        </w:rPr>
        <w:t>AI &amp; Machine Learning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3730A3"/>
            <w:vAlign w:val="center"/>
          </w:tcPr>
          <w:p>
            <w:pPr>
              <w:spacing w:before="60" w:after="60"/>
            </w:pPr>
            <w:r>
              <w:rPr>
                <w:b/>
                <w:color w:val="FFFFFF"/>
                <w:sz w:val="18"/>
              </w:rPr>
              <w:t>Feature</w:t>
            </w:r>
          </w:p>
        </w:tc>
        <w:tc>
          <w:tcPr>
            <w:tcW w:type="dxa" w:w="1134"/>
            <w:shd w:val="clear" w:color="auto" w:fill="3730A3"/>
            <w:vAlign w:val="center"/>
          </w:tcPr>
          <w:p>
            <w:pPr>
              <w:spacing w:before="60" w:after="60"/>
            </w:pPr>
            <w:r>
              <w:rPr>
                <w:b/>
                <w:color w:val="FFFFFF"/>
                <w:sz w:val="18"/>
              </w:rPr>
              <w:t>Business Value</w:t>
            </w:r>
          </w:p>
        </w:tc>
        <w:tc>
          <w:tcPr>
            <w:tcW w:type="dxa" w:w="1134"/>
            <w:shd w:val="clear" w:color="auto" w:fill="3730A3"/>
            <w:vAlign w:val="center"/>
          </w:tcPr>
          <w:p>
            <w:pPr>
              <w:spacing w:before="60" w:after="60"/>
            </w:pPr>
            <w:r>
              <w:rPr>
                <w:b/>
                <w:color w:val="FFFFFF"/>
                <w:sz w:val="18"/>
              </w:rPr>
              <w:t>Build Effort</w:t>
            </w:r>
          </w:p>
        </w:tc>
        <w:tc>
          <w:tcPr>
            <w:tcW w:type="dxa" w:w="4422"/>
            <w:shd w:val="clear" w:color="auto" w:fill="3730A3"/>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AI-Powered NOC Assistant (LLM Chat)</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A conversational interface that NOC engineers can query in plain English: "Show me accounts with calls to &gt;10 new destinations this week", "Which carriers degraded most in the last 48 hours?", "Summarise all open fraud alerts." Powered by an LLM with read access to the platform data API. Provides plain-language incident summaries and suggests remediation actions.</w:t>
            </w:r>
          </w:p>
        </w:tc>
      </w:tr>
      <w:tr>
        <w:tc>
          <w:tcPr>
            <w:tcW w:type="dxa" w:w="2381"/>
            <w:shd w:val="clear" w:color="auto" w:fill="FFFFFF"/>
            <w:vAlign w:val="center"/>
          </w:tcPr>
          <w:p>
            <w:pPr>
              <w:spacing w:before="40" w:after="40"/>
            </w:pPr>
            <w:r>
              <w:rPr>
                <w:sz w:val="18"/>
              </w:rPr>
              <w:t>Predictive Client Churn Scoring</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4422"/>
            <w:shd w:val="clear" w:color="auto" w:fill="FFFFFF"/>
            <w:vAlign w:val="center"/>
          </w:tcPr>
          <w:p>
            <w:pPr>
              <w:spacing w:before="40" w:after="40"/>
            </w:pPr>
            <w:r>
              <w:rPr>
                <w:sz w:val="18"/>
              </w:rPr>
              <w:t>Uses CDR traffic trends to identify clients whose call volume is declining or who have had repeated quality incidents. Generates a churn risk score per client (updated daily). KAM dashboard surfaces "At Risk" clients with one-click outreach suggestion.</w:t>
            </w:r>
          </w:p>
        </w:tc>
      </w:tr>
      <w:tr>
        <w:tc>
          <w:tcPr>
            <w:tcW w:type="dxa" w:w="2381"/>
            <w:shd w:val="clear" w:color="auto" w:fill="F3F4F6"/>
            <w:vAlign w:val="center"/>
          </w:tcPr>
          <w:p>
            <w:pPr>
              <w:spacing w:before="40" w:after="40"/>
            </w:pPr>
            <w:r>
              <w:rPr>
                <w:sz w:val="18"/>
              </w:rPr>
              <w:t>Automated Route Optimisation Recommendations</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Analyses current routing priorities, carrier MOS/ASR trends, and rate card margins to recommend: which carriers to de-prioritise, which routes to renegotiate, and when to add capacity. Presented as actionable cards with estimated monthly savings and a one-click apply.</w:t>
            </w:r>
          </w:p>
        </w:tc>
      </w:tr>
    </w:tbl>
    <w:p/>
    <w:p>
      <w:pPr>
        <w:spacing w:before="320" w:after="100"/>
      </w:pPr>
      <w:r>
        <w:rPr>
          <w:b/>
          <w:color w:val="1D4ED8"/>
          <w:sz w:val="26"/>
        </w:rPr>
        <w:t>Client Self-Service &amp; Billing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1E3A5F"/>
            <w:vAlign w:val="center"/>
          </w:tcPr>
          <w:p>
            <w:pPr>
              <w:spacing w:before="60" w:after="60"/>
            </w:pPr>
            <w:r>
              <w:rPr>
                <w:b/>
                <w:color w:val="FFFFFF"/>
                <w:sz w:val="18"/>
              </w:rPr>
              <w:t>Feature</w:t>
            </w:r>
          </w:p>
        </w:tc>
        <w:tc>
          <w:tcPr>
            <w:tcW w:type="dxa" w:w="1134"/>
            <w:shd w:val="clear" w:color="auto" w:fill="1E3A5F"/>
            <w:vAlign w:val="center"/>
          </w:tcPr>
          <w:p>
            <w:pPr>
              <w:spacing w:before="60" w:after="60"/>
            </w:pPr>
            <w:r>
              <w:rPr>
                <w:b/>
                <w:color w:val="FFFFFF"/>
                <w:sz w:val="18"/>
              </w:rPr>
              <w:t>Business Value</w:t>
            </w:r>
          </w:p>
        </w:tc>
        <w:tc>
          <w:tcPr>
            <w:tcW w:type="dxa" w:w="1134"/>
            <w:shd w:val="clear" w:color="auto" w:fill="1E3A5F"/>
            <w:vAlign w:val="center"/>
          </w:tcPr>
          <w:p>
            <w:pPr>
              <w:spacing w:before="60" w:after="60"/>
            </w:pPr>
            <w:r>
              <w:rPr>
                <w:b/>
                <w:color w:val="FFFFFF"/>
                <w:sz w:val="18"/>
              </w:rPr>
              <w:t>Build Effort</w:t>
            </w:r>
          </w:p>
        </w:tc>
        <w:tc>
          <w:tcPr>
            <w:tcW w:type="dxa" w:w="4422"/>
            <w:shd w:val="clear" w:color="auto" w:fill="1E3A5F"/>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Client Self-Service Portal — White-Label</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A fully white-labeled web portal that end-clients log into with their own branding. Clients see their own CDRs, live call count, balance, and rate cards. They can top up balance, download invoices, and raise support tickets — without contacting the operator directly. Scoped entirely to their assigned accounts.</w:t>
            </w:r>
          </w:p>
        </w:tc>
      </w:tr>
      <w:tr>
        <w:tc>
          <w:tcPr>
            <w:tcW w:type="dxa" w:w="2381"/>
            <w:shd w:val="clear" w:color="auto" w:fill="FFFFFF"/>
            <w:vAlign w:val="center"/>
          </w:tcPr>
          <w:p>
            <w:pPr>
              <w:spacing w:before="40" w:after="40"/>
            </w:pPr>
            <w:r>
              <w:rPr>
                <w:sz w:val="18"/>
              </w:rPr>
              <w:t>Automated Invoice Delivery &amp; Payment Collection</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High</w:t>
            </w:r>
          </w:p>
        </w:tc>
        <w:tc>
          <w:tcPr>
            <w:tcW w:type="dxa" w:w="4422"/>
            <w:shd w:val="clear" w:color="auto" w:fill="FFFFFF"/>
            <w:vAlign w:val="center"/>
          </w:tcPr>
          <w:p>
            <w:pPr>
              <w:spacing w:before="40" w:after="40"/>
            </w:pPr>
            <w:r>
              <w:rPr>
                <w:sz w:val="18"/>
              </w:rPr>
              <w:t>Generate PDF invoices at billing cycle end and email them to the client automatically. Include a hosted payment link. Track payment status: paid / overdue / disputed. Automatic balance lock when an account reaches the overdue threshold.</w:t>
            </w:r>
          </w:p>
        </w:tc>
      </w:tr>
      <w:tr>
        <w:tc>
          <w:tcPr>
            <w:tcW w:type="dxa" w:w="2381"/>
            <w:shd w:val="clear" w:color="auto" w:fill="F3F4F6"/>
            <w:vAlign w:val="center"/>
          </w:tcPr>
          <w:p>
            <w:pPr>
              <w:spacing w:before="40" w:after="40"/>
            </w:pPr>
            <w:r>
              <w:rPr>
                <w:sz w:val="18"/>
              </w:rPr>
              <w:t>Client Onboarding Kanban Tracker</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Low</w:t>
            </w:r>
          </w:p>
        </w:tc>
        <w:tc>
          <w:tcPr>
            <w:tcW w:type="dxa" w:w="4422"/>
            <w:shd w:val="clear" w:color="auto" w:fill="F3F4F6"/>
            <w:vAlign w:val="center"/>
          </w:tcPr>
          <w:p>
            <w:pPr>
              <w:spacing w:before="40" w:after="40"/>
            </w:pPr>
            <w:r>
              <w:rPr>
                <w:sz w:val="18"/>
              </w:rPr>
              <w:t>Kanban board showing every client in the provisioning pipeline: Draft → IPs Submitted → IPs Approved → Provisioned → Test Call Done → Live. Each card shows responsible KAM, pending blockers, and last-action timestamp. Linked directly to the Client Wizard draft system.</w:t>
            </w:r>
          </w:p>
        </w:tc>
      </w:tr>
    </w:tbl>
    <w:p/>
    <w:p>
      <w:pPr>
        <w:spacing w:before="320" w:after="100"/>
      </w:pPr>
      <w:r>
        <w:rPr>
          <w:b/>
          <w:color w:val="057A55"/>
          <w:sz w:val="26"/>
        </w:rPr>
        <w:t>Operations &amp; Engineering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064E3B"/>
            <w:vAlign w:val="center"/>
          </w:tcPr>
          <w:p>
            <w:pPr>
              <w:spacing w:before="60" w:after="60"/>
            </w:pPr>
            <w:r>
              <w:rPr>
                <w:b/>
                <w:color w:val="FFFFFF"/>
                <w:sz w:val="18"/>
              </w:rPr>
              <w:t>Feature</w:t>
            </w:r>
          </w:p>
        </w:tc>
        <w:tc>
          <w:tcPr>
            <w:tcW w:type="dxa" w:w="1134"/>
            <w:shd w:val="clear" w:color="auto" w:fill="064E3B"/>
            <w:vAlign w:val="center"/>
          </w:tcPr>
          <w:p>
            <w:pPr>
              <w:spacing w:before="60" w:after="60"/>
            </w:pPr>
            <w:r>
              <w:rPr>
                <w:b/>
                <w:color w:val="FFFFFF"/>
                <w:sz w:val="18"/>
              </w:rPr>
              <w:t>Business Value</w:t>
            </w:r>
          </w:p>
        </w:tc>
        <w:tc>
          <w:tcPr>
            <w:tcW w:type="dxa" w:w="1134"/>
            <w:shd w:val="clear" w:color="auto" w:fill="064E3B"/>
            <w:vAlign w:val="center"/>
          </w:tcPr>
          <w:p>
            <w:pPr>
              <w:spacing w:before="60" w:after="60"/>
            </w:pPr>
            <w:r>
              <w:rPr>
                <w:b/>
                <w:color w:val="FFFFFF"/>
                <w:sz w:val="18"/>
              </w:rPr>
              <w:t>Build Effort</w:t>
            </w:r>
          </w:p>
        </w:tc>
        <w:tc>
          <w:tcPr>
            <w:tcW w:type="dxa" w:w="4422"/>
            <w:shd w:val="clear" w:color="auto" w:fill="064E3B"/>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SBC / Firewall Rule Sync</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When a new IP is approved in BitsAuto, push the firewall rule automatically via API (iptables, Cloudflare, or FortiGate). Keeps Sippy ACL and external firewall in sync. Full audit trail of every rule push with one-click rollback.</w:t>
            </w:r>
          </w:p>
        </w:tc>
      </w:tr>
      <w:tr>
        <w:tc>
          <w:tcPr>
            <w:tcW w:type="dxa" w:w="2381"/>
            <w:shd w:val="clear" w:color="auto" w:fill="FFFFFF"/>
            <w:vAlign w:val="center"/>
          </w:tcPr>
          <w:p>
            <w:pPr>
              <w:spacing w:before="40" w:after="40"/>
            </w:pPr>
            <w:r>
              <w:rPr>
                <w:sz w:val="18"/>
              </w:rPr>
              <w:t>Call Recording Management</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Medium</w:t>
            </w:r>
          </w:p>
        </w:tc>
        <w:tc>
          <w:tcPr>
            <w:tcW w:type="dxa" w:w="4422"/>
            <w:shd w:val="clear" w:color="auto" w:fill="FFFFFF"/>
            <w:vAlign w:val="center"/>
          </w:tcPr>
          <w:p>
            <w:pPr>
              <w:spacing w:before="40" w:after="40"/>
            </w:pPr>
            <w:r>
              <w:rPr>
                <w:sz w:val="18"/>
              </w:rPr>
              <w:t>Browse, search, and stream call recordings stored on the Sippy server. Filter by account, date range, destination, or duration. Download individual recordings or bulk export. Configurable retention policy with auto-delete after N days.</w:t>
            </w:r>
          </w:p>
        </w:tc>
      </w:tr>
      <w:tr>
        <w:tc>
          <w:tcPr>
            <w:tcW w:type="dxa" w:w="2381"/>
            <w:shd w:val="clear" w:color="auto" w:fill="F3F4F6"/>
            <w:vAlign w:val="center"/>
          </w:tcPr>
          <w:p>
            <w:pPr>
              <w:spacing w:before="40" w:after="40"/>
            </w:pPr>
            <w:r>
              <w:rPr>
                <w:sz w:val="18"/>
              </w:rPr>
              <w:t>Configuration Backup &amp; Point-in-Time Restore</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Daily snapshot of all platform configuration: routing groups, rate cards, alert rules, account settings, IP rules — stored as versioned JSON. One-click restore to any previous snapshot. Critical for disaster recovery after accidental config changes.</w:t>
            </w:r>
          </w:p>
        </w:tc>
      </w:tr>
      <w:tr>
        <w:tc>
          <w:tcPr>
            <w:tcW w:type="dxa" w:w="2381"/>
            <w:shd w:val="clear" w:color="auto" w:fill="FFFFFF"/>
            <w:vAlign w:val="center"/>
          </w:tcPr>
          <w:p>
            <w:pPr>
              <w:spacing w:before="40" w:after="40"/>
            </w:pPr>
            <w:r>
              <w:rPr>
                <w:sz w:val="18"/>
              </w:rPr>
              <w:t>Scheduled Bulk Actions</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Low</w:t>
            </w:r>
          </w:p>
        </w:tc>
        <w:tc>
          <w:tcPr>
            <w:tcW w:type="dxa" w:w="4422"/>
            <w:shd w:val="clear" w:color="auto" w:fill="FFFFFF"/>
            <w:vAlign w:val="center"/>
          </w:tcPr>
          <w:p>
            <w:pPr>
              <w:spacing w:before="40" w:after="40"/>
            </w:pPr>
            <w:r>
              <w:rPr>
                <w:sz w:val="18"/>
              </w:rPr>
              <w:t>Schedule one-off or recurring bulk operations with admin approval gates: "Block all zero-traffic accounts every Sunday 02:00", "Push updated rate card to all switches every Monday 00:00". Full action log with before/after state captured.</w:t>
            </w:r>
          </w:p>
        </w:tc>
      </w:tr>
    </w:tbl>
    <w:p/>
    <w:p>
      <w:pPr>
        <w:spacing w:before="320" w:after="100"/>
      </w:pPr>
      <w:r>
        <w:rPr>
          <w:b/>
          <w:color w:val="D97B06"/>
          <w:sz w:val="26"/>
        </w:rPr>
        <w:t>Reporting &amp; Business Intelligence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78350F"/>
            <w:vAlign w:val="center"/>
          </w:tcPr>
          <w:p>
            <w:pPr>
              <w:spacing w:before="60" w:after="60"/>
            </w:pPr>
            <w:r>
              <w:rPr>
                <w:b/>
                <w:color w:val="FFFFFF"/>
                <w:sz w:val="18"/>
              </w:rPr>
              <w:t>Feature</w:t>
            </w:r>
          </w:p>
        </w:tc>
        <w:tc>
          <w:tcPr>
            <w:tcW w:type="dxa" w:w="1134"/>
            <w:shd w:val="clear" w:color="auto" w:fill="78350F"/>
            <w:vAlign w:val="center"/>
          </w:tcPr>
          <w:p>
            <w:pPr>
              <w:spacing w:before="60" w:after="60"/>
            </w:pPr>
            <w:r>
              <w:rPr>
                <w:b/>
                <w:color w:val="FFFFFF"/>
                <w:sz w:val="18"/>
              </w:rPr>
              <w:t>Business Value</w:t>
            </w:r>
          </w:p>
        </w:tc>
        <w:tc>
          <w:tcPr>
            <w:tcW w:type="dxa" w:w="1134"/>
            <w:shd w:val="clear" w:color="auto" w:fill="78350F"/>
            <w:vAlign w:val="center"/>
          </w:tcPr>
          <w:p>
            <w:pPr>
              <w:spacing w:before="60" w:after="60"/>
            </w:pPr>
            <w:r>
              <w:rPr>
                <w:b/>
                <w:color w:val="FFFFFF"/>
                <w:sz w:val="18"/>
              </w:rPr>
              <w:t>Build Effort</w:t>
            </w:r>
          </w:p>
        </w:tc>
        <w:tc>
          <w:tcPr>
            <w:tcW w:type="dxa" w:w="4422"/>
            <w:shd w:val="clear" w:color="auto" w:fill="78350F"/>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Monthly Executive PDF Report</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Auto-generated one-page PDF delivered to a configurable email list on the 1st of each month. Content: total minutes, revenue, gross margin, top 10 destinations by volume, fraud events count, carrier quality league table, and month-over-month trend spark charts.</w:t>
            </w:r>
          </w:p>
        </w:tc>
      </w:tr>
      <w:tr>
        <w:tc>
          <w:tcPr>
            <w:tcW w:type="dxa" w:w="2381"/>
            <w:shd w:val="clear" w:color="auto" w:fill="FFFFFF"/>
            <w:vAlign w:val="center"/>
          </w:tcPr>
          <w:p>
            <w:pPr>
              <w:spacing w:before="40" w:after="40"/>
            </w:pPr>
            <w:r>
              <w:rPr>
                <w:sz w:val="18"/>
              </w:rPr>
              <w:t>Carrier Invoice Reconciliation</w:t>
            </w:r>
          </w:p>
        </w:tc>
        <w:tc>
          <w:tcPr>
            <w:tcW w:type="dxa" w:w="1134"/>
            <w:shd w:val="clear" w:color="auto" w:fill="FFFFFF"/>
            <w:vAlign w:val="center"/>
          </w:tcPr>
          <w:p>
            <w:pPr>
              <w:spacing w:before="40" w:after="40"/>
            </w:pPr>
            <w:r>
              <w:rPr>
                <w:sz w:val="18"/>
              </w:rPr>
              <w:t>Critical</w:t>
            </w:r>
          </w:p>
        </w:tc>
        <w:tc>
          <w:tcPr>
            <w:tcW w:type="dxa" w:w="1134"/>
            <w:shd w:val="clear" w:color="auto" w:fill="FFFFFF"/>
            <w:vAlign w:val="center"/>
          </w:tcPr>
          <w:p>
            <w:pPr>
              <w:spacing w:before="40" w:after="40"/>
            </w:pPr>
            <w:r>
              <w:rPr>
                <w:sz w:val="18"/>
              </w:rPr>
              <w:t>High</w:t>
            </w:r>
          </w:p>
        </w:tc>
        <w:tc>
          <w:tcPr>
            <w:tcW w:type="dxa" w:w="4422"/>
            <w:shd w:val="clear" w:color="auto" w:fill="FFFFFF"/>
            <w:vAlign w:val="center"/>
          </w:tcPr>
          <w:p>
            <w:pPr>
              <w:spacing w:before="40" w:after="40"/>
            </w:pPr>
            <w:r>
              <w:rPr>
                <w:sz w:val="18"/>
              </w:rPr>
              <w:t>Upload a carrier invoice (PDF/CSV). Platform extracts line items and cross-references against BitsAuto CDRs for the same period. Flags: overbilled minutes, wrong rates, missing CDRs. Generates a formatted dispute report pre-populated with all discrepancies.</w:t>
            </w:r>
          </w:p>
        </w:tc>
      </w:tr>
      <w:tr>
        <w:tc>
          <w:tcPr>
            <w:tcW w:type="dxa" w:w="2381"/>
            <w:shd w:val="clear" w:color="auto" w:fill="F3F4F6"/>
            <w:vAlign w:val="center"/>
          </w:tcPr>
          <w:p>
            <w:pPr>
              <w:spacing w:before="40" w:after="40"/>
            </w:pPr>
            <w:r>
              <w:rPr>
                <w:sz w:val="18"/>
              </w:rPr>
              <w:t>Profit &amp; Loss Forecasting</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Projects next-month P&amp;L using: current traffic growth trend, contracted sell rates, and current carrier buy rates. Presents rate-renegotiation impact scenarios. Supports KAM and commercial team preparation for quarterly business reviews.</w:t>
            </w:r>
          </w:p>
        </w:tc>
      </w:tr>
      <w:tr>
        <w:tc>
          <w:tcPr>
            <w:tcW w:type="dxa" w:w="2381"/>
            <w:shd w:val="clear" w:color="auto" w:fill="FFFFFF"/>
            <w:vAlign w:val="center"/>
          </w:tcPr>
          <w:p>
            <w:pPr>
              <w:spacing w:before="40" w:after="40"/>
            </w:pPr>
            <w:r>
              <w:rPr>
                <w:sz w:val="18"/>
              </w:rPr>
              <w:t>Regulatory Reporting Module — CALEA / GDPR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High</w:t>
            </w:r>
          </w:p>
        </w:tc>
        <w:tc>
          <w:tcPr>
            <w:tcW w:type="dxa" w:w="4422"/>
            <w:shd w:val="clear" w:color="auto" w:fill="FFFFFF"/>
            <w:vAlign w:val="center"/>
          </w:tcPr>
          <w:p>
            <w:pPr>
              <w:spacing w:before="40" w:after="40"/>
            </w:pPr>
            <w:r>
              <w:rPr>
                <w:sz w:val="18"/>
              </w:rPr>
              <w:t>CALEA: lawful intercept report generation in required regulatory format. GDPR: CDR anonymisation after configurable retention period; right-to-erasure workflow; data residency controls flagging which CDRs contain EU personal data.</w:t>
            </w:r>
          </w:p>
        </w:tc>
      </w:tr>
    </w:tbl>
    <w:p/>
    <w:p>
      <w:pPr>
        <w:spacing w:before="320" w:after="100"/>
      </w:pPr>
      <w:r>
        <w:rPr>
          <w:b/>
          <w:color w:val="BE123C"/>
          <w:sz w:val="26"/>
        </w:rPr>
        <w:t>Security &amp; Compliance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881337"/>
            <w:vAlign w:val="center"/>
          </w:tcPr>
          <w:p>
            <w:pPr>
              <w:spacing w:before="60" w:after="60"/>
            </w:pPr>
            <w:r>
              <w:rPr>
                <w:b/>
                <w:color w:val="FFFFFF"/>
                <w:sz w:val="18"/>
              </w:rPr>
              <w:t>Feature</w:t>
            </w:r>
          </w:p>
        </w:tc>
        <w:tc>
          <w:tcPr>
            <w:tcW w:type="dxa" w:w="1134"/>
            <w:shd w:val="clear" w:color="auto" w:fill="881337"/>
            <w:vAlign w:val="center"/>
          </w:tcPr>
          <w:p>
            <w:pPr>
              <w:spacing w:before="60" w:after="60"/>
            </w:pPr>
            <w:r>
              <w:rPr>
                <w:b/>
                <w:color w:val="FFFFFF"/>
                <w:sz w:val="18"/>
              </w:rPr>
              <w:t>Business Value</w:t>
            </w:r>
          </w:p>
        </w:tc>
        <w:tc>
          <w:tcPr>
            <w:tcW w:type="dxa" w:w="1134"/>
            <w:shd w:val="clear" w:color="auto" w:fill="881337"/>
            <w:vAlign w:val="center"/>
          </w:tcPr>
          <w:p>
            <w:pPr>
              <w:spacing w:before="60" w:after="60"/>
            </w:pPr>
            <w:r>
              <w:rPr>
                <w:b/>
                <w:color w:val="FFFFFF"/>
                <w:sz w:val="18"/>
              </w:rPr>
              <w:t>Build Effort</w:t>
            </w:r>
          </w:p>
        </w:tc>
        <w:tc>
          <w:tcPr>
            <w:tcW w:type="dxa" w:w="4422"/>
            <w:shd w:val="clear" w:color="auto" w:fill="881337"/>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Zero-Trust Access Model</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Every API call validated not just by role but by registered device, IP range, and time-of-day. Admin actions from unrecognised IPs require secondary approval from another admin. Session tokens bound to IP; re-authentication required on IP change.</w:t>
            </w:r>
          </w:p>
        </w:tc>
      </w:tr>
      <w:tr>
        <w:tc>
          <w:tcPr>
            <w:tcW w:type="dxa" w:w="2381"/>
            <w:shd w:val="clear" w:color="auto" w:fill="FFFFFF"/>
            <w:vAlign w:val="center"/>
          </w:tcPr>
          <w:p>
            <w:pPr>
              <w:spacing w:before="40" w:after="40"/>
            </w:pPr>
            <w:r>
              <w:rPr>
                <w:sz w:val="18"/>
              </w:rPr>
              <w:t>Threat Intelligence Feed Integration</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4422"/>
            <w:shd w:val="clear" w:color="auto" w:fill="FFFFFF"/>
            <w:vAlign w:val="center"/>
          </w:tcPr>
          <w:p>
            <w:pPr>
              <w:spacing w:before="40" w:after="40"/>
            </w:pPr>
            <w:r>
              <w:rPr>
                <w:sz w:val="18"/>
              </w:rPr>
              <w:t>Subscribe to live threat feeds (e.g. Spamhaus, ThreatCrowd) and cross-reference inbound calling numbers and source IPs against known-bad lists in real time. Auto-block IPs flagged as VoIP fraud infrastructure. Daily threat feed refresh with email summary.</w:t>
            </w:r>
          </w:p>
        </w:tc>
      </w:tr>
      <w:tr>
        <w:tc>
          <w:tcPr>
            <w:tcW w:type="dxa" w:w="2381"/>
            <w:shd w:val="clear" w:color="auto" w:fill="F3F4F6"/>
            <w:vAlign w:val="center"/>
          </w:tcPr>
          <w:p>
            <w:pPr>
              <w:spacing w:before="40" w:after="40"/>
            </w:pPr>
            <w:r>
              <w:rPr>
                <w:sz w:val="18"/>
              </w:rPr>
              <w:t>SOC 2 / ISO 27001 Compliance Checklist</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Self-assessment checklist mapped to SOC 2 Type II controls. Platform auto-fills evidence for controls it can verify (audit log present, MFA enforced, encryption at rest). Exports a compliance readiness PDF for auditors.</w:t>
            </w:r>
          </w:p>
        </w:tc>
      </w:tr>
    </w:tbl>
    <w:p/>
    <w:p>
      <w:pPr>
        <w:spacing w:before="320" w:after="100"/>
      </w:pPr>
      <w:r>
        <w:rPr>
          <w:b/>
          <w:color w:val="6B7280"/>
          <w:sz w:val="26"/>
        </w:rPr>
        <w:t>Integration &amp; Ecosystem</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374151"/>
            <w:vAlign w:val="center"/>
          </w:tcPr>
          <w:p>
            <w:pPr>
              <w:spacing w:before="60" w:after="60"/>
            </w:pPr>
            <w:r>
              <w:rPr>
                <w:b/>
                <w:color w:val="FFFFFF"/>
                <w:sz w:val="18"/>
              </w:rPr>
              <w:t>Feature</w:t>
            </w:r>
          </w:p>
        </w:tc>
        <w:tc>
          <w:tcPr>
            <w:tcW w:type="dxa" w:w="1134"/>
            <w:shd w:val="clear" w:color="auto" w:fill="374151"/>
            <w:vAlign w:val="center"/>
          </w:tcPr>
          <w:p>
            <w:pPr>
              <w:spacing w:before="60" w:after="60"/>
            </w:pPr>
            <w:r>
              <w:rPr>
                <w:b/>
                <w:color w:val="FFFFFF"/>
                <w:sz w:val="18"/>
              </w:rPr>
              <w:t>Business Value</w:t>
            </w:r>
          </w:p>
        </w:tc>
        <w:tc>
          <w:tcPr>
            <w:tcW w:type="dxa" w:w="1134"/>
            <w:shd w:val="clear" w:color="auto" w:fill="374151"/>
            <w:vAlign w:val="center"/>
          </w:tcPr>
          <w:p>
            <w:pPr>
              <w:spacing w:before="60" w:after="60"/>
            </w:pPr>
            <w:r>
              <w:rPr>
                <w:b/>
                <w:color w:val="FFFFFF"/>
                <w:sz w:val="18"/>
              </w:rPr>
              <w:t>Build Effort</w:t>
            </w:r>
          </w:p>
        </w:tc>
        <w:tc>
          <w:tcPr>
            <w:tcW w:type="dxa" w:w="4422"/>
            <w:shd w:val="clear" w:color="auto" w:fill="374151"/>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CRM Integration — HubSpot / Salesforce</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Sync client records between BitsAuto and the operator CRM. When a client is provisioned in BitsAuto, a Company record is created in HubSpot. CDR revenue data automatically updates the CRM deal value. KAM assignment in BitsAuto reflects in CRM account owner field.</w:t>
            </w:r>
          </w:p>
        </w:tc>
      </w:tr>
      <w:tr>
        <w:tc>
          <w:tcPr>
            <w:tcW w:type="dxa" w:w="2381"/>
            <w:shd w:val="clear" w:color="auto" w:fill="FFFFFF"/>
            <w:vAlign w:val="center"/>
          </w:tcPr>
          <w:p>
            <w:pPr>
              <w:spacing w:before="40" w:after="40"/>
            </w:pPr>
            <w:r>
              <w:rPr>
                <w:sz w:val="18"/>
              </w:rPr>
              <w:t>Webhook Push API for External Systems</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Low</w:t>
            </w:r>
          </w:p>
        </w:tc>
        <w:tc>
          <w:tcPr>
            <w:tcW w:type="dxa" w:w="4422"/>
            <w:shd w:val="clear" w:color="auto" w:fill="FFFFFF"/>
            <w:vAlign w:val="center"/>
          </w:tcPr>
          <w:p>
            <w:pPr>
              <w:spacing w:before="40" w:after="40"/>
            </w:pPr>
            <w:r>
              <w:rPr>
                <w:sz w:val="18"/>
              </w:rPr>
              <w:t>Extend the existing API key system with outbound webhook support. Configure a destination URL per event type: alert fired, fraud detected, balance low, client provisioned. Signed payloads with HMAC-SHA256. Retry with exponential back-off. Delivery log viewable in the platform. Enables automation with Zapier, Make, and n8n.</w:t>
            </w:r>
          </w:p>
        </w:tc>
      </w:tr>
    </w:tbl>
    <w:p/>
    <w:p>
      <w:r>
        <w:br w:type="page"/>
      </w:r>
    </w:p>
    <w:p>
      <w:pPr>
        <w:spacing w:before="240" w:after="120"/>
      </w:pPr>
      <w:r>
        <w:rPr>
          <w:b/>
          <w:color w:val="0F172A"/>
          <w:sz w:val="44"/>
        </w:rPr>
        <w:t>7.  Combined Priority Matrix — All 35 Remaining &amp; Proposed Features</w:t>
      </w:r>
    </w:p>
    <w:p>
      <w:pPr>
        <w:spacing w:before="40" w:after="80"/>
      </w:pPr>
      <w:r>
        <w:rPr>
          <w:sz w:val="20"/>
        </w:rPr>
        <w:t>Unified priority view combining Volume 2 remaining items and Volume 3 new proposals, organised into 5 recommended build sprints.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020"/>
            <w:shd w:val="clear" w:color="auto" w:fill="1E3A5F"/>
            <w:vAlign w:val="center"/>
          </w:tcPr>
          <w:p>
            <w:pPr>
              <w:spacing w:before="60" w:after="60"/>
            </w:pPr>
            <w:r>
              <w:rPr>
                <w:b/>
                <w:color w:val="FFFFFF"/>
                <w:sz w:val="18"/>
              </w:rPr>
              <w:t>Sprint</w:t>
            </w:r>
          </w:p>
        </w:tc>
        <w:tc>
          <w:tcPr>
            <w:tcW w:type="dxa" w:w="1134"/>
            <w:shd w:val="clear" w:color="auto" w:fill="1E3A5F"/>
            <w:vAlign w:val="center"/>
          </w:tcPr>
          <w:p>
            <w:pPr>
              <w:spacing w:before="60" w:after="60"/>
            </w:pPr>
            <w:r>
              <w:rPr>
                <w:b/>
                <w:color w:val="FFFFFF"/>
                <w:sz w:val="18"/>
              </w:rPr>
              <w:t>Source</w:t>
            </w:r>
          </w:p>
        </w:tc>
        <w:tc>
          <w:tcPr>
            <w:tcW w:type="dxa" w:w="2835"/>
            <w:shd w:val="clear" w:color="auto" w:fill="1E3A5F"/>
            <w:vAlign w:val="center"/>
          </w:tcPr>
          <w:p>
            <w:pPr>
              <w:spacing w:before="60" w:after="60"/>
            </w:pPr>
            <w:r>
              <w:rPr>
                <w:b/>
                <w:color w:val="FFFFFF"/>
                <w:sz w:val="18"/>
              </w:rPr>
              <w:t>Feature</w:t>
            </w:r>
          </w:p>
        </w:tc>
        <w:tc>
          <w:tcPr>
            <w:tcW w:type="dxa" w:w="1134"/>
            <w:shd w:val="clear" w:color="auto" w:fill="1E3A5F"/>
            <w:vAlign w:val="center"/>
          </w:tcPr>
          <w:p>
            <w:pPr>
              <w:spacing w:before="60" w:after="60"/>
            </w:pPr>
            <w:r>
              <w:rPr>
                <w:b/>
                <w:color w:val="FFFFFF"/>
                <w:sz w:val="18"/>
              </w:rPr>
              <w:t>Business Value</w:t>
            </w:r>
          </w:p>
        </w:tc>
        <w:tc>
          <w:tcPr>
            <w:tcW w:type="dxa" w:w="1134"/>
            <w:shd w:val="clear" w:color="auto" w:fill="1E3A5F"/>
            <w:vAlign w:val="center"/>
          </w:tcPr>
          <w:p>
            <w:pPr>
              <w:spacing w:before="60" w:after="60"/>
            </w:pPr>
            <w:r>
              <w:rPr>
                <w:b/>
                <w:color w:val="FFFFFF"/>
                <w:sz w:val="18"/>
              </w:rPr>
              <w:t>Build Effort</w:t>
            </w:r>
          </w:p>
        </w:tc>
        <w:tc>
          <w:tcPr>
            <w:tcW w:type="dxa" w:w="2948"/>
            <w:shd w:val="clear" w:color="auto" w:fill="1E3A5F"/>
            <w:vAlign w:val="center"/>
          </w:tcPr>
          <w:p>
            <w:pPr>
              <w:spacing w:before="60" w:after="60"/>
            </w:pPr>
            <w:r>
              <w:rPr>
                <w:b/>
                <w:color w:val="FFFFFF"/>
                <w:sz w:val="18"/>
              </w:rPr>
              <w:t>Rationale</w:t>
            </w:r>
          </w:p>
        </w:tc>
      </w:tr>
      <w:tr>
        <w:tc>
          <w:tcPr>
            <w:tcW w:type="dxa" w:w="1020"/>
            <w:shd w:val="clear" w:color="auto" w:fill="F3F4F6"/>
            <w:vAlign w:val="center"/>
          </w:tcPr>
          <w:p>
            <w:pPr>
              <w:spacing w:before="40" w:after="40"/>
            </w:pPr>
            <w:r>
              <w:rPr>
                <w:sz w:val="18"/>
              </w:rPr>
              <w:t>S1 — Now</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Scheduled Report Delivery</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Low</w:t>
            </w:r>
          </w:p>
        </w:tc>
        <w:tc>
          <w:tcPr>
            <w:tcW w:type="dxa" w:w="2948"/>
            <w:shd w:val="clear" w:color="auto" w:fill="F3F4F6"/>
            <w:vAlign w:val="center"/>
          </w:tcPr>
          <w:p>
            <w:pPr>
              <w:spacing w:before="40" w:after="40"/>
            </w:pPr>
            <w:r>
              <w:rPr>
                <w:sz w:val="18"/>
              </w:rPr>
              <w:t>Fast win; entirely on existing email + reports infra</w:t>
            </w:r>
          </w:p>
        </w:tc>
      </w:tr>
      <w:tr>
        <w:tc>
          <w:tcPr>
            <w:tcW w:type="dxa" w:w="1020"/>
            <w:shd w:val="clear" w:color="auto" w:fill="FFFFFF"/>
            <w:vAlign w:val="center"/>
          </w:tcPr>
          <w:p>
            <w:pPr>
              <w:spacing w:before="40" w:after="40"/>
            </w:pPr>
            <w:r>
              <w:rPr>
                <w:sz w:val="18"/>
              </w:rPr>
              <w:t>S1 — Now</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Audit Log Viewer</w:t>
            </w:r>
          </w:p>
        </w:tc>
        <w:tc>
          <w:tcPr>
            <w:tcW w:type="dxa" w:w="1134"/>
            <w:shd w:val="clear" w:color="auto" w:fill="FFFFFF"/>
            <w:vAlign w:val="center"/>
          </w:tcPr>
          <w:p>
            <w:pPr>
              <w:spacing w:before="40" w:after="40"/>
            </w:pPr>
            <w:r>
              <w:rPr>
                <w:sz w:val="18"/>
              </w:rPr>
              <w:t>Critical</w:t>
            </w:r>
          </w:p>
        </w:tc>
        <w:tc>
          <w:tcPr>
            <w:tcW w:type="dxa" w:w="1134"/>
            <w:shd w:val="clear" w:color="auto" w:fill="FFFFFF"/>
            <w:vAlign w:val="center"/>
          </w:tcPr>
          <w:p>
            <w:pPr>
              <w:spacing w:before="40" w:after="40"/>
            </w:pPr>
            <w:r>
              <w:rPr>
                <w:sz w:val="18"/>
              </w:rPr>
              <w:t>Low</w:t>
            </w:r>
          </w:p>
        </w:tc>
        <w:tc>
          <w:tcPr>
            <w:tcW w:type="dxa" w:w="2948"/>
            <w:shd w:val="clear" w:color="auto" w:fill="FFFFFF"/>
            <w:vAlign w:val="center"/>
          </w:tcPr>
          <w:p>
            <w:pPr>
              <w:spacing w:before="40" w:after="40"/>
            </w:pPr>
            <w:r>
              <w:rPr>
                <w:sz w:val="18"/>
              </w:rPr>
              <w:t>Enterprise security requirement; new DB table only</w:t>
            </w:r>
          </w:p>
        </w:tc>
      </w:tr>
      <w:tr>
        <w:tc>
          <w:tcPr>
            <w:tcW w:type="dxa" w:w="1020"/>
            <w:shd w:val="clear" w:color="auto" w:fill="F3F4F6"/>
            <w:vAlign w:val="center"/>
          </w:tcPr>
          <w:p>
            <w:pPr>
              <w:spacing w:before="40" w:after="40"/>
            </w:pPr>
            <w:r>
              <w:rPr>
                <w:sz w:val="18"/>
              </w:rPr>
              <w:t>S1 — Now</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Fraud Velocity Scoring</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Multi-signal risk; closes fraud detection gap</w:t>
            </w:r>
          </w:p>
        </w:tc>
      </w:tr>
      <w:tr>
        <w:tc>
          <w:tcPr>
            <w:tcW w:type="dxa" w:w="1020"/>
            <w:shd w:val="clear" w:color="auto" w:fill="FFFFFF"/>
            <w:vAlign w:val="center"/>
          </w:tcPr>
          <w:p>
            <w:pPr>
              <w:spacing w:before="40" w:after="40"/>
            </w:pPr>
            <w:r>
              <w:rPr>
                <w:sz w:val="18"/>
              </w:rPr>
              <w:t>S1 — Now</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CDR Anomaly Detector (Statistical)</w:t>
            </w:r>
          </w:p>
        </w:tc>
        <w:tc>
          <w:tcPr>
            <w:tcW w:type="dxa" w:w="1134"/>
            <w:shd w:val="clear" w:color="auto" w:fill="FFFFFF"/>
            <w:vAlign w:val="center"/>
          </w:tcPr>
          <w:p>
            <w:pPr>
              <w:spacing w:before="40" w:after="40"/>
            </w:pPr>
            <w:r>
              <w:rPr>
                <w:sz w:val="18"/>
              </w:rPr>
              <w:t>Critical</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Nightly job; catch-all for unknown fraud patterns</w:t>
            </w:r>
          </w:p>
        </w:tc>
      </w:tr>
      <w:tr>
        <w:tc>
          <w:tcPr>
            <w:tcW w:type="dxa" w:w="1020"/>
            <w:shd w:val="clear" w:color="auto" w:fill="F3F4F6"/>
            <w:vAlign w:val="center"/>
          </w:tcPr>
          <w:p>
            <w:pPr>
              <w:spacing w:before="40" w:after="40"/>
            </w:pPr>
            <w:r>
              <w:rPr>
                <w:sz w:val="18"/>
              </w:rPr>
              <w:t>S1 — Now</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Carrier Invoice Reconciliation</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High</w:t>
            </w:r>
          </w:p>
        </w:tc>
        <w:tc>
          <w:tcPr>
            <w:tcW w:type="dxa" w:w="2948"/>
            <w:shd w:val="clear" w:color="auto" w:fill="F3F4F6"/>
            <w:vAlign w:val="center"/>
          </w:tcPr>
          <w:p>
            <w:pPr>
              <w:spacing w:before="40" w:after="40"/>
            </w:pPr>
            <w:r>
              <w:rPr>
                <w:sz w:val="18"/>
              </w:rPr>
              <w:t>Direct cost saving; closes billing dispute loop</w:t>
            </w:r>
          </w:p>
        </w:tc>
      </w:tr>
      <w:tr>
        <w:tc>
          <w:tcPr>
            <w:tcW w:type="dxa" w:w="1020"/>
            <w:shd w:val="clear" w:color="auto" w:fill="FFFFFF"/>
            <w:vAlign w:val="center"/>
          </w:tcPr>
          <w:p>
            <w:pPr>
              <w:spacing w:before="40" w:after="40"/>
            </w:pPr>
            <w:r>
              <w:rPr>
                <w:sz w:val="18"/>
              </w:rPr>
              <w:t>S2 — Next</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Billing Report Generator PDF/Excel</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Eliminates manual invoice generation</w:t>
            </w:r>
          </w:p>
        </w:tc>
      </w:tr>
      <w:tr>
        <w:tc>
          <w:tcPr>
            <w:tcW w:type="dxa" w:w="1020"/>
            <w:shd w:val="clear" w:color="auto" w:fill="F3F4F6"/>
            <w:vAlign w:val="center"/>
          </w:tcPr>
          <w:p>
            <w:pPr>
              <w:spacing w:before="40" w:after="40"/>
            </w:pPr>
            <w:r>
              <w:rPr>
                <w:sz w:val="18"/>
              </w:rPr>
              <w:t>S2 — Next</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MOS Score Trending (historical)</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Proactive quality management; carrier QBR evidence</w:t>
            </w:r>
          </w:p>
        </w:tc>
      </w:tr>
      <w:tr>
        <w:tc>
          <w:tcPr>
            <w:tcW w:type="dxa" w:w="1020"/>
            <w:shd w:val="clear" w:color="auto" w:fill="FFFFFF"/>
            <w:vAlign w:val="center"/>
          </w:tcPr>
          <w:p>
            <w:pPr>
              <w:spacing w:before="40" w:after="40"/>
            </w:pPr>
            <w:r>
              <w:rPr>
                <w:sz w:val="18"/>
              </w:rPr>
              <w:t>S2 — Next</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Traffic Anomaly Detector (baseline)</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Catches toll fraud earlier than threshold alerts</w:t>
            </w:r>
          </w:p>
        </w:tc>
      </w:tr>
      <w:tr>
        <w:tc>
          <w:tcPr>
            <w:tcW w:type="dxa" w:w="1020"/>
            <w:shd w:val="clear" w:color="auto" w:fill="F3F4F6"/>
            <w:vAlign w:val="center"/>
          </w:tcPr>
          <w:p>
            <w:pPr>
              <w:spacing w:before="40" w:after="40"/>
            </w:pPr>
            <w:r>
              <w:rPr>
                <w:sz w:val="18"/>
              </w:rPr>
              <w:t>S2 — Next</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Client Self-Service Portal</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High</w:t>
            </w:r>
          </w:p>
        </w:tc>
        <w:tc>
          <w:tcPr>
            <w:tcW w:type="dxa" w:w="2948"/>
            <w:shd w:val="clear" w:color="auto" w:fill="F3F4F6"/>
            <w:vAlign w:val="center"/>
          </w:tcPr>
          <w:p>
            <w:pPr>
              <w:spacing w:before="40" w:after="40"/>
            </w:pPr>
            <w:r>
              <w:rPr>
                <w:sz w:val="18"/>
              </w:rPr>
              <w:t>Reduces operator support load; client satisfaction</w:t>
            </w:r>
          </w:p>
        </w:tc>
      </w:tr>
      <w:tr>
        <w:tc>
          <w:tcPr>
            <w:tcW w:type="dxa" w:w="1020"/>
            <w:shd w:val="clear" w:color="auto" w:fill="FFFFFF"/>
            <w:vAlign w:val="center"/>
          </w:tcPr>
          <w:p>
            <w:pPr>
              <w:spacing w:before="40" w:after="40"/>
            </w:pPr>
            <w:r>
              <w:rPr>
                <w:sz w:val="18"/>
              </w:rPr>
              <w:t>S2 — Next</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Monthly Executive PDF Report</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Management reporting without login</w:t>
            </w:r>
          </w:p>
        </w:tc>
      </w:tr>
      <w:tr>
        <w:tc>
          <w:tcPr>
            <w:tcW w:type="dxa" w:w="1020"/>
            <w:shd w:val="clear" w:color="auto" w:fill="F3F4F6"/>
            <w:vAlign w:val="center"/>
          </w:tcPr>
          <w:p>
            <w:pPr>
              <w:spacing w:before="40" w:after="40"/>
            </w:pPr>
            <w:r>
              <w:rPr>
                <w:sz w:val="18"/>
              </w:rPr>
              <w:t>S3</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Robocall &amp; Neighbour Spoofing Detector</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Extends FAS; protects carrier reputation</w:t>
            </w:r>
          </w:p>
        </w:tc>
      </w:tr>
      <w:tr>
        <w:tc>
          <w:tcPr>
            <w:tcW w:type="dxa" w:w="1020"/>
            <w:shd w:val="clear" w:color="auto" w:fill="FFFFFF"/>
            <w:vAlign w:val="center"/>
          </w:tcPr>
          <w:p>
            <w:pPr>
              <w:spacing w:before="40" w:after="40"/>
            </w:pPr>
            <w:r>
              <w:rPr>
                <w:sz w:val="18"/>
              </w:rPr>
              <w:t>S3</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SIP Registration Database &amp; Viewer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Low</w:t>
            </w:r>
          </w:p>
        </w:tc>
        <w:tc>
          <w:tcPr>
            <w:tcW w:type="dxa" w:w="2948"/>
            <w:shd w:val="clear" w:color="auto" w:fill="FFFFFF"/>
            <w:vAlign w:val="center"/>
          </w:tcPr>
          <w:p>
            <w:pPr>
              <w:spacing w:before="40" w:after="40"/>
            </w:pPr>
            <w:r>
              <w:rPr>
                <w:sz w:val="18"/>
              </w:rPr>
              <w:t>Engineering tool; fast to build</w:t>
            </w:r>
          </w:p>
        </w:tc>
      </w:tr>
      <w:tr>
        <w:tc>
          <w:tcPr>
            <w:tcW w:type="dxa" w:w="1020"/>
            <w:shd w:val="clear" w:color="auto" w:fill="F3F4F6"/>
            <w:vAlign w:val="center"/>
          </w:tcPr>
          <w:p>
            <w:pPr>
              <w:spacing w:before="40" w:after="40"/>
            </w:pPr>
            <w:r>
              <w:rPr>
                <w:sz w:val="18"/>
              </w:rPr>
              <w:t>S3</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SBC / Firewall Rule Sync</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Removes manual IP management step</w:t>
            </w:r>
          </w:p>
        </w:tc>
      </w:tr>
      <w:tr>
        <w:tc>
          <w:tcPr>
            <w:tcW w:type="dxa" w:w="1020"/>
            <w:shd w:val="clear" w:color="auto" w:fill="FFFFFF"/>
            <w:vAlign w:val="center"/>
          </w:tcPr>
          <w:p>
            <w:pPr>
              <w:spacing w:before="40" w:after="40"/>
            </w:pPr>
            <w:r>
              <w:rPr>
                <w:sz w:val="18"/>
              </w:rPr>
              <w:t>S3</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Webhook Push API</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Low</w:t>
            </w:r>
          </w:p>
        </w:tc>
        <w:tc>
          <w:tcPr>
            <w:tcW w:type="dxa" w:w="2948"/>
            <w:shd w:val="clear" w:color="auto" w:fill="FFFFFF"/>
            <w:vAlign w:val="center"/>
          </w:tcPr>
          <w:p>
            <w:pPr>
              <w:spacing w:before="40" w:after="40"/>
            </w:pPr>
            <w:r>
              <w:rPr>
                <w:sz w:val="18"/>
              </w:rPr>
              <w:t>Ecosystem play; enables Zapier/Make automation</w:t>
            </w:r>
          </w:p>
        </w:tc>
      </w:tr>
      <w:tr>
        <w:tc>
          <w:tcPr>
            <w:tcW w:type="dxa" w:w="1020"/>
            <w:shd w:val="clear" w:color="auto" w:fill="F3F4F6"/>
            <w:vAlign w:val="center"/>
          </w:tcPr>
          <w:p>
            <w:pPr>
              <w:spacing w:before="40" w:after="40"/>
            </w:pPr>
            <w:r>
              <w:rPr>
                <w:sz w:val="18"/>
              </w:rPr>
              <w:t>S3</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Configuration Backup &amp; Restore</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Disaster recovery; config versioning</w:t>
            </w:r>
          </w:p>
        </w:tc>
      </w:tr>
      <w:tr>
        <w:tc>
          <w:tcPr>
            <w:tcW w:type="dxa" w:w="1020"/>
            <w:shd w:val="clear" w:color="auto" w:fill="FFFFFF"/>
            <w:vAlign w:val="center"/>
          </w:tcPr>
          <w:p>
            <w:pPr>
              <w:spacing w:before="40" w:after="40"/>
            </w:pPr>
            <w:r>
              <w:rPr>
                <w:sz w:val="18"/>
              </w:rPr>
              <w:t>S4</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Geographic Revenue Heatmap</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Executive-level financial geography view</w:t>
            </w:r>
          </w:p>
        </w:tc>
      </w:tr>
      <w:tr>
        <w:tc>
          <w:tcPr>
            <w:tcW w:type="dxa" w:w="1020"/>
            <w:shd w:val="clear" w:color="auto" w:fill="F3F4F6"/>
            <w:vAlign w:val="center"/>
          </w:tcPr>
          <w:p>
            <w:pPr>
              <w:spacing w:before="40" w:after="40"/>
            </w:pPr>
            <w:r>
              <w:rPr>
                <w:sz w:val="18"/>
              </w:rPr>
              <w:t>S4</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Traffic Forecasting Dashboard</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High</w:t>
            </w:r>
          </w:p>
        </w:tc>
        <w:tc>
          <w:tcPr>
            <w:tcW w:type="dxa" w:w="2948"/>
            <w:shd w:val="clear" w:color="auto" w:fill="F3F4F6"/>
            <w:vAlign w:val="center"/>
          </w:tcPr>
          <w:p>
            <w:pPr>
              <w:spacing w:before="40" w:after="40"/>
            </w:pPr>
            <w:r>
              <w:rPr>
                <w:sz w:val="18"/>
              </w:rPr>
              <w:t>Predictive capacity planning</w:t>
            </w:r>
          </w:p>
        </w:tc>
      </w:tr>
      <w:tr>
        <w:tc>
          <w:tcPr>
            <w:tcW w:type="dxa" w:w="1020"/>
            <w:shd w:val="clear" w:color="auto" w:fill="FFFFFF"/>
            <w:vAlign w:val="center"/>
          </w:tcPr>
          <w:p>
            <w:pPr>
              <w:spacing w:before="40" w:after="40"/>
            </w:pPr>
            <w:r>
              <w:rPr>
                <w:sz w:val="18"/>
              </w:rPr>
              <w:t>S4</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AI NOC Assistant (LLM)</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High</w:t>
            </w:r>
          </w:p>
        </w:tc>
        <w:tc>
          <w:tcPr>
            <w:tcW w:type="dxa" w:w="2948"/>
            <w:shd w:val="clear" w:color="auto" w:fill="FFFFFF"/>
            <w:vAlign w:val="center"/>
          </w:tcPr>
          <w:p>
            <w:pPr>
              <w:spacing w:before="40" w:after="40"/>
            </w:pPr>
            <w:r>
              <w:rPr>
                <w:sz w:val="18"/>
              </w:rPr>
              <w:t>Natural-language querying; incident summaries</w:t>
            </w:r>
          </w:p>
        </w:tc>
      </w:tr>
      <w:tr>
        <w:tc>
          <w:tcPr>
            <w:tcW w:type="dxa" w:w="1020"/>
            <w:shd w:val="clear" w:color="auto" w:fill="F3F4F6"/>
            <w:vAlign w:val="center"/>
          </w:tcPr>
          <w:p>
            <w:pPr>
              <w:spacing w:before="40" w:after="40"/>
            </w:pPr>
            <w:r>
              <w:rPr>
                <w:sz w:val="18"/>
              </w:rPr>
              <w:t>S4</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CRM Integration (HubSpot / Salesforce)</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Syncs client + revenue data to CRM</w:t>
            </w:r>
          </w:p>
        </w:tc>
      </w:tr>
      <w:tr>
        <w:tc>
          <w:tcPr>
            <w:tcW w:type="dxa" w:w="1020"/>
            <w:shd w:val="clear" w:color="auto" w:fill="FFFFFF"/>
            <w:vAlign w:val="center"/>
          </w:tcPr>
          <w:p>
            <w:pPr>
              <w:spacing w:before="40" w:after="40"/>
            </w:pPr>
            <w:r>
              <w:rPr>
                <w:sz w:val="18"/>
              </w:rPr>
              <w:t>S4</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P&amp;L Forecasting</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Commercial QBR preparation tool</w:t>
            </w:r>
          </w:p>
        </w:tc>
      </w:tr>
      <w:tr>
        <w:tc>
          <w:tcPr>
            <w:tcW w:type="dxa" w:w="1020"/>
            <w:shd w:val="clear" w:color="auto" w:fill="F3F4F6"/>
            <w:vAlign w:val="center"/>
          </w:tcPr>
          <w:p>
            <w:pPr>
              <w:spacing w:before="40" w:after="40"/>
            </w:pPr>
            <w:r>
              <w:rPr>
                <w:sz w:val="18"/>
              </w:rPr>
              <w:t>S4</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Automated Invoice Delivery &amp; Payments</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High</w:t>
            </w:r>
          </w:p>
        </w:tc>
        <w:tc>
          <w:tcPr>
            <w:tcW w:type="dxa" w:w="2948"/>
            <w:shd w:val="clear" w:color="auto" w:fill="F3F4F6"/>
            <w:vAlign w:val="center"/>
          </w:tcPr>
          <w:p>
            <w:pPr>
              <w:spacing w:before="40" w:after="40"/>
            </w:pPr>
            <w:r>
              <w:rPr>
                <w:sz w:val="18"/>
              </w:rPr>
              <w:t>Closes billing loop; reduces DSO</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Concurrent Call Limit Enforcer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Low</w:t>
            </w:r>
          </w:p>
        </w:tc>
        <w:tc>
          <w:tcPr>
            <w:tcW w:type="dxa" w:w="2948"/>
            <w:shd w:val="clear" w:color="auto" w:fill="FFFFFF"/>
            <w:vAlign w:val="center"/>
          </w:tcPr>
          <w:p>
            <w:pPr>
              <w:spacing w:before="40" w:after="40"/>
            </w:pPr>
            <w:r>
              <w:rPr>
                <w:sz w:val="18"/>
              </w:rPr>
              <w:t>Per-account real-time enforcement</w:t>
            </w:r>
          </w:p>
        </w:tc>
      </w:tr>
      <w:tr>
        <w:tc>
          <w:tcPr>
            <w:tcW w:type="dxa" w:w="1020"/>
            <w:shd w:val="clear" w:color="auto" w:fill="F3F4F6"/>
            <w:vAlign w:val="center"/>
          </w:tcPr>
          <w:p>
            <w:pPr>
              <w:spacing w:before="40" w:after="40"/>
            </w:pPr>
            <w:r>
              <w:rPr>
                <w:sz w:val="18"/>
              </w:rPr>
              <w:t>S5</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Codec Negotiation Analytics</w:t>
            </w:r>
          </w:p>
        </w:tc>
        <w:tc>
          <w:tcPr>
            <w:tcW w:type="dxa" w:w="1134"/>
            <w:shd w:val="clear" w:color="auto" w:fill="F3F4F6"/>
            <w:vAlign w:val="center"/>
          </w:tcPr>
          <w:p>
            <w:pPr>
              <w:spacing w:before="40" w:after="40"/>
            </w:pPr>
            <w:r>
              <w:rPr>
                <w:sz w:val="18"/>
              </w:rPr>
              <w:t>Low</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Needs Sippy CDR codec field; verify first</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2 Gap</w:t>
            </w:r>
          </w:p>
        </w:tc>
        <w:tc>
          <w:tcPr>
            <w:tcW w:type="dxa" w:w="2835"/>
            <w:shd w:val="clear" w:color="auto" w:fill="FFFFFF"/>
            <w:vAlign w:val="center"/>
          </w:tcPr>
          <w:p>
            <w:pPr>
              <w:spacing w:before="40" w:after="40"/>
            </w:pPr>
            <w:r>
              <w:rPr>
                <w:sz w:val="18"/>
              </w:rPr>
              <w:t>Maintenance Window Scheduler</w:t>
            </w:r>
          </w:p>
        </w:tc>
        <w:tc>
          <w:tcPr>
            <w:tcW w:type="dxa" w:w="1134"/>
            <w:shd w:val="clear" w:color="auto" w:fill="FFFFFF"/>
            <w:vAlign w:val="center"/>
          </w:tcPr>
          <w:p>
            <w:pPr>
              <w:spacing w:before="40" w:after="40"/>
            </w:pPr>
            <w:r>
              <w:rPr>
                <w:sz w:val="18"/>
              </w:rPr>
              <w:t>Low</w:t>
            </w:r>
          </w:p>
        </w:tc>
        <w:tc>
          <w:tcPr>
            <w:tcW w:type="dxa" w:w="1134"/>
            <w:shd w:val="clear" w:color="auto" w:fill="FFFFFF"/>
            <w:vAlign w:val="center"/>
          </w:tcPr>
          <w:p>
            <w:pPr>
              <w:spacing w:before="40" w:after="40"/>
            </w:pPr>
            <w:r>
              <w:rPr>
                <w:sz w:val="18"/>
              </w:rPr>
              <w:t>Low</w:t>
            </w:r>
          </w:p>
        </w:tc>
        <w:tc>
          <w:tcPr>
            <w:tcW w:type="dxa" w:w="2948"/>
            <w:shd w:val="clear" w:color="auto" w:fill="FFFFFF"/>
            <w:vAlign w:val="center"/>
          </w:tcPr>
          <w:p>
            <w:pPr>
              <w:spacing w:before="40" w:after="40"/>
            </w:pPr>
            <w:r>
              <w:rPr>
                <w:sz w:val="18"/>
              </w:rPr>
              <w:t>Alert suppression for planned downtime</w:t>
            </w:r>
          </w:p>
        </w:tc>
      </w:tr>
      <w:tr>
        <w:tc>
          <w:tcPr>
            <w:tcW w:type="dxa" w:w="1020"/>
            <w:shd w:val="clear" w:color="auto" w:fill="F3F4F6"/>
            <w:vAlign w:val="center"/>
          </w:tcPr>
          <w:p>
            <w:pPr>
              <w:spacing w:before="40" w:after="40"/>
            </w:pPr>
            <w:r>
              <w:rPr>
                <w:sz w:val="18"/>
              </w:rPr>
              <w:t>S5</w:t>
            </w:r>
          </w:p>
        </w:tc>
        <w:tc>
          <w:tcPr>
            <w:tcW w:type="dxa" w:w="1134"/>
            <w:shd w:val="clear" w:color="auto" w:fill="F3F4F6"/>
            <w:vAlign w:val="center"/>
          </w:tcPr>
          <w:p>
            <w:pPr>
              <w:spacing w:before="40" w:after="40"/>
            </w:pPr>
            <w:r>
              <w:rPr>
                <w:sz w:val="18"/>
              </w:rPr>
              <w:t>Vol 2 Gap</w:t>
            </w:r>
          </w:p>
        </w:tc>
        <w:tc>
          <w:tcPr>
            <w:tcW w:type="dxa" w:w="2835"/>
            <w:shd w:val="clear" w:color="auto" w:fill="F3F4F6"/>
            <w:vAlign w:val="center"/>
          </w:tcPr>
          <w:p>
            <w:pPr>
              <w:spacing w:before="40" w:after="40"/>
            </w:pPr>
            <w:r>
              <w:rPr>
                <w:sz w:val="18"/>
              </w:rPr>
              <w:t>Two-Factor Authentication (TOTP)</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Security hardening for high-privilege roles</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Zero-Trust Access Model</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High</w:t>
            </w:r>
          </w:p>
        </w:tc>
        <w:tc>
          <w:tcPr>
            <w:tcW w:type="dxa" w:w="2948"/>
            <w:shd w:val="clear" w:color="auto" w:fill="FFFFFF"/>
            <w:vAlign w:val="center"/>
          </w:tcPr>
          <w:p>
            <w:pPr>
              <w:spacing w:before="40" w:after="40"/>
            </w:pPr>
            <w:r>
              <w:rPr>
                <w:sz w:val="18"/>
              </w:rPr>
              <w:t>IP-bound sessions; secondary approval for admin</w:t>
            </w:r>
          </w:p>
        </w:tc>
      </w:tr>
      <w:tr>
        <w:tc>
          <w:tcPr>
            <w:tcW w:type="dxa" w:w="1020"/>
            <w:shd w:val="clear" w:color="auto" w:fill="F3F4F6"/>
            <w:vAlign w:val="center"/>
          </w:tcPr>
          <w:p>
            <w:pPr>
              <w:spacing w:before="40" w:after="40"/>
            </w:pPr>
            <w:r>
              <w:rPr>
                <w:sz w:val="18"/>
              </w:rPr>
              <w:t>S5</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Threat Intelligence Feed Integration</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Automated IP + number blacklisting</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Regulatory Reporting (CALEA / GDPR)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High</w:t>
            </w:r>
          </w:p>
        </w:tc>
        <w:tc>
          <w:tcPr>
            <w:tcW w:type="dxa" w:w="2948"/>
            <w:shd w:val="clear" w:color="auto" w:fill="FFFFFF"/>
            <w:vAlign w:val="center"/>
          </w:tcPr>
          <w:p>
            <w:pPr>
              <w:spacing w:before="40" w:after="40"/>
            </w:pPr>
            <w:r>
              <w:rPr>
                <w:sz w:val="18"/>
              </w:rPr>
              <w:t>Required for enterprise and government contracts</w:t>
            </w:r>
          </w:p>
        </w:tc>
      </w:tr>
      <w:tr>
        <w:tc>
          <w:tcPr>
            <w:tcW w:type="dxa" w:w="1020"/>
            <w:shd w:val="clear" w:color="auto" w:fill="F3F4F6"/>
            <w:vAlign w:val="center"/>
          </w:tcPr>
          <w:p>
            <w:pPr>
              <w:spacing w:before="40" w:after="40"/>
            </w:pPr>
            <w:r>
              <w:rPr>
                <w:sz w:val="18"/>
              </w:rPr>
              <w:t>S5</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Predictive Client Churn Scoring</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KAM retention; outreach trigger</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Client Onboarding Kanban Tracker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Low</w:t>
            </w:r>
          </w:p>
        </w:tc>
        <w:tc>
          <w:tcPr>
            <w:tcW w:type="dxa" w:w="2948"/>
            <w:shd w:val="clear" w:color="auto" w:fill="FFFFFF"/>
            <w:vAlign w:val="center"/>
          </w:tcPr>
          <w:p>
            <w:pPr>
              <w:spacing w:before="40" w:after="40"/>
            </w:pPr>
            <w:r>
              <w:rPr>
                <w:sz w:val="18"/>
              </w:rPr>
              <w:t>Provisioning pipeline visibility</w:t>
            </w:r>
          </w:p>
        </w:tc>
      </w:tr>
      <w:tr>
        <w:tc>
          <w:tcPr>
            <w:tcW w:type="dxa" w:w="1020"/>
            <w:shd w:val="clear" w:color="auto" w:fill="F3F4F6"/>
            <w:vAlign w:val="center"/>
          </w:tcPr>
          <w:p>
            <w:pPr>
              <w:spacing w:before="40" w:after="40"/>
            </w:pPr>
            <w:r>
              <w:rPr>
                <w:sz w:val="18"/>
              </w:rPr>
              <w:t>S5</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Scheduled Bulk Actions</w:t>
            </w:r>
          </w:p>
        </w:tc>
        <w:tc>
          <w:tcPr>
            <w:tcW w:type="dxa" w:w="1134"/>
            <w:shd w:val="clear" w:color="auto" w:fill="F3F4F6"/>
            <w:vAlign w:val="center"/>
          </w:tcPr>
          <w:p>
            <w:pPr>
              <w:spacing w:before="40" w:after="40"/>
            </w:pPr>
            <w:r>
              <w:rPr>
                <w:sz w:val="18"/>
              </w:rPr>
              <w:t>Low</w:t>
            </w:r>
          </w:p>
        </w:tc>
        <w:tc>
          <w:tcPr>
            <w:tcW w:type="dxa" w:w="1134"/>
            <w:shd w:val="clear" w:color="auto" w:fill="F3F4F6"/>
            <w:vAlign w:val="center"/>
          </w:tcPr>
          <w:p>
            <w:pPr>
              <w:spacing w:before="40" w:after="40"/>
            </w:pPr>
            <w:r>
              <w:rPr>
                <w:sz w:val="18"/>
              </w:rPr>
              <w:t>Medium</w:t>
            </w:r>
          </w:p>
        </w:tc>
        <w:tc>
          <w:tcPr>
            <w:tcW w:type="dxa" w:w="2948"/>
            <w:shd w:val="clear" w:color="auto" w:fill="F3F4F6"/>
            <w:vAlign w:val="center"/>
          </w:tcPr>
          <w:p>
            <w:pPr>
              <w:spacing w:before="40" w:after="40"/>
            </w:pPr>
            <w:r>
              <w:rPr>
                <w:sz w:val="18"/>
              </w:rPr>
              <w:t>Operational automation for routine tasks</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Call Recording Management</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CDR → recording drill-down workflow</w:t>
            </w:r>
          </w:p>
        </w:tc>
      </w:tr>
      <w:tr>
        <w:tc>
          <w:tcPr>
            <w:tcW w:type="dxa" w:w="1020"/>
            <w:shd w:val="clear" w:color="auto" w:fill="F3F4F6"/>
            <w:vAlign w:val="center"/>
          </w:tcPr>
          <w:p>
            <w:pPr>
              <w:spacing w:before="40" w:after="40"/>
            </w:pPr>
            <w:r>
              <w:rPr>
                <w:sz w:val="18"/>
              </w:rPr>
              <w:t>S5</w:t>
            </w:r>
          </w:p>
        </w:tc>
        <w:tc>
          <w:tcPr>
            <w:tcW w:type="dxa" w:w="1134"/>
            <w:shd w:val="clear" w:color="auto" w:fill="F3F4F6"/>
            <w:vAlign w:val="center"/>
          </w:tcPr>
          <w:p>
            <w:pPr>
              <w:spacing w:before="40" w:after="40"/>
            </w:pPr>
            <w:r>
              <w:rPr>
                <w:sz w:val="18"/>
              </w:rPr>
              <w:t>Vol 3 New</w:t>
            </w:r>
          </w:p>
        </w:tc>
        <w:tc>
          <w:tcPr>
            <w:tcW w:type="dxa" w:w="2835"/>
            <w:shd w:val="clear" w:color="auto" w:fill="F3F4F6"/>
            <w:vAlign w:val="center"/>
          </w:tcPr>
          <w:p>
            <w:pPr>
              <w:spacing w:before="40" w:after="40"/>
            </w:pPr>
            <w:r>
              <w:rPr>
                <w:sz w:val="18"/>
              </w:rPr>
              <w:t>SOC 2 / ISO 27001 Checklist</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High</w:t>
            </w:r>
          </w:p>
        </w:tc>
        <w:tc>
          <w:tcPr>
            <w:tcW w:type="dxa" w:w="2948"/>
            <w:shd w:val="clear" w:color="auto" w:fill="F3F4F6"/>
            <w:vAlign w:val="center"/>
          </w:tcPr>
          <w:p>
            <w:pPr>
              <w:spacing w:before="40" w:after="40"/>
            </w:pPr>
            <w:r>
              <w:rPr>
                <w:sz w:val="18"/>
              </w:rPr>
              <w:t>Compliance readiness export for auditors</w:t>
            </w:r>
          </w:p>
        </w:tc>
      </w:tr>
      <w:tr>
        <w:tc>
          <w:tcPr>
            <w:tcW w:type="dxa" w:w="1020"/>
            <w:shd w:val="clear" w:color="auto" w:fill="FFFFFF"/>
            <w:vAlign w:val="center"/>
          </w:tcPr>
          <w:p>
            <w:pPr>
              <w:spacing w:before="40" w:after="40"/>
            </w:pPr>
            <w:r>
              <w:rPr>
                <w:sz w:val="18"/>
              </w:rPr>
              <w:t>S5</w:t>
            </w:r>
          </w:p>
        </w:tc>
        <w:tc>
          <w:tcPr>
            <w:tcW w:type="dxa" w:w="1134"/>
            <w:shd w:val="clear" w:color="auto" w:fill="FFFFFF"/>
            <w:vAlign w:val="center"/>
          </w:tcPr>
          <w:p>
            <w:pPr>
              <w:spacing w:before="40" w:after="40"/>
            </w:pPr>
            <w:r>
              <w:rPr>
                <w:sz w:val="18"/>
              </w:rPr>
              <w:t>Vol 3 New</w:t>
            </w:r>
          </w:p>
        </w:tc>
        <w:tc>
          <w:tcPr>
            <w:tcW w:type="dxa" w:w="2835"/>
            <w:shd w:val="clear" w:color="auto" w:fill="FFFFFF"/>
            <w:vAlign w:val="center"/>
          </w:tcPr>
          <w:p>
            <w:pPr>
              <w:spacing w:before="40" w:after="40"/>
            </w:pPr>
            <w:r>
              <w:rPr>
                <w:sz w:val="18"/>
              </w:rPr>
              <w:t>Auto Route Optimisation Recommendations</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2948"/>
            <w:shd w:val="clear" w:color="auto" w:fill="FFFFFF"/>
            <w:vAlign w:val="center"/>
          </w:tcPr>
          <w:p>
            <w:pPr>
              <w:spacing w:before="40" w:after="40"/>
            </w:pPr>
            <w:r>
              <w:rPr>
                <w:sz w:val="18"/>
              </w:rPr>
              <w:t>AI-driven cost reduction recommendations</w:t>
            </w:r>
          </w:p>
        </w:tc>
      </w:tr>
    </w:tbl>
    <w:p/>
    <w:p>
      <w:r>
        <w:br w:type="page"/>
      </w:r>
    </w:p>
    <w:p>
      <w:pPr>
        <w:spacing w:before="240" w:after="120"/>
      </w:pPr>
      <w:r>
        <w:rPr>
          <w:b/>
          <w:color w:val="0F172A"/>
          <w:sz w:val="44"/>
        </w:rPr>
        <w:t>8.  Architecture &amp; Stack Reference</w:t>
      </w:r>
    </w:p>
    <w:tbl>
      <w:tblPr>
        <w:tblStyle w:val="TableGrid"/>
        <w:tblW w:type="auto" w:w="0"/>
        <w:jc w:val="left"/>
        <w:tblLook w:firstColumn="1" w:firstRow="1" w:lastColumn="0" w:lastRow="0" w:noHBand="0" w:noVBand="1" w:val="04A0"/>
      </w:tblPr>
      <w:tblGrid>
        <w:gridCol w:w="3135"/>
        <w:gridCol w:w="3135"/>
        <w:gridCol w:w="3135"/>
      </w:tblGrid>
      <w:tr>
        <w:tc>
          <w:tcPr>
            <w:tcW w:type="dxa" w:w="1587"/>
            <w:shd w:val="clear" w:color="auto" w:fill="1E3A5F"/>
            <w:vAlign w:val="center"/>
          </w:tcPr>
          <w:p>
            <w:pPr>
              <w:spacing w:before="60" w:after="60"/>
            </w:pPr>
            <w:r>
              <w:rPr>
                <w:b/>
                <w:color w:val="FFFFFF"/>
                <w:sz w:val="18"/>
              </w:rPr>
              <w:t>Layer</w:t>
            </w:r>
          </w:p>
        </w:tc>
        <w:tc>
          <w:tcPr>
            <w:tcW w:type="dxa" w:w="2721"/>
            <w:shd w:val="clear" w:color="auto" w:fill="1E3A5F"/>
            <w:vAlign w:val="center"/>
          </w:tcPr>
          <w:p>
            <w:pPr>
              <w:spacing w:before="60" w:after="60"/>
            </w:pPr>
            <w:r>
              <w:rPr>
                <w:b/>
                <w:color w:val="FFFFFF"/>
                <w:sz w:val="18"/>
              </w:rPr>
              <w:t>Technology</w:t>
            </w:r>
          </w:p>
        </w:tc>
        <w:tc>
          <w:tcPr>
            <w:tcW w:type="dxa" w:w="4762"/>
            <w:shd w:val="clear" w:color="auto" w:fill="1E3A5F"/>
            <w:vAlign w:val="center"/>
          </w:tcPr>
          <w:p>
            <w:pPr>
              <w:spacing w:before="60" w:after="60"/>
            </w:pPr>
            <w:r>
              <w:rPr>
                <w:b/>
                <w:color w:val="FFFFFF"/>
                <w:sz w:val="18"/>
              </w:rPr>
              <w:t>Notes</w:t>
            </w:r>
          </w:p>
        </w:tc>
      </w:tr>
      <w:tr>
        <w:tc>
          <w:tcPr>
            <w:tcW w:type="dxa" w:w="1587"/>
            <w:shd w:val="clear" w:color="auto" w:fill="F3F4F6"/>
            <w:vAlign w:val="center"/>
          </w:tcPr>
          <w:p>
            <w:pPr>
              <w:spacing w:before="40" w:after="40"/>
            </w:pPr>
            <w:r>
              <w:rPr>
                <w:sz w:val="18"/>
              </w:rPr>
              <w:t>Frontend</w:t>
            </w:r>
          </w:p>
        </w:tc>
        <w:tc>
          <w:tcPr>
            <w:tcW w:type="dxa" w:w="2721"/>
            <w:shd w:val="clear" w:color="auto" w:fill="F3F4F6"/>
            <w:vAlign w:val="center"/>
          </w:tcPr>
          <w:p>
            <w:pPr>
              <w:spacing w:before="40" w:after="40"/>
            </w:pPr>
            <w:r>
              <w:rPr>
                <w:sz w:val="18"/>
              </w:rPr>
              <w:t>React 18 + Vite + TailwindCSS v3</w:t>
            </w:r>
          </w:p>
        </w:tc>
        <w:tc>
          <w:tcPr>
            <w:tcW w:type="dxa" w:w="4762"/>
            <w:shd w:val="clear" w:color="auto" w:fill="F3F4F6"/>
            <w:vAlign w:val="center"/>
          </w:tcPr>
          <w:p>
            <w:pPr>
              <w:spacing w:before="40" w:after="40"/>
            </w:pPr>
            <w:r>
              <w:rPr>
                <w:sz w:val="18"/>
              </w:rPr>
              <w:t>SPA; shadcn/ui components; Wouter routing; TanStack Query v5</w:t>
            </w:r>
          </w:p>
        </w:tc>
      </w:tr>
      <w:tr>
        <w:tc>
          <w:tcPr>
            <w:tcW w:type="dxa" w:w="1587"/>
            <w:shd w:val="clear" w:color="auto" w:fill="FFFFFF"/>
            <w:vAlign w:val="center"/>
          </w:tcPr>
          <w:p>
            <w:pPr>
              <w:spacing w:before="40" w:after="40"/>
            </w:pPr>
            <w:r>
              <w:rPr>
                <w:sz w:val="18"/>
              </w:rPr>
              <w:t>Backend</w:t>
            </w:r>
          </w:p>
        </w:tc>
        <w:tc>
          <w:tcPr>
            <w:tcW w:type="dxa" w:w="2721"/>
            <w:shd w:val="clear" w:color="auto" w:fill="FFFFFF"/>
            <w:vAlign w:val="center"/>
          </w:tcPr>
          <w:p>
            <w:pPr>
              <w:spacing w:before="40" w:after="40"/>
            </w:pPr>
            <w:r>
              <w:rPr>
                <w:sz w:val="18"/>
              </w:rPr>
              <w:t>Node.js 20 + Express + TypeScript</w:t>
            </w:r>
          </w:p>
        </w:tc>
        <w:tc>
          <w:tcPr>
            <w:tcW w:type="dxa" w:w="4762"/>
            <w:shd w:val="clear" w:color="auto" w:fill="FFFFFF"/>
            <w:vAlign w:val="center"/>
          </w:tcPr>
          <w:p>
            <w:pPr>
              <w:spacing w:before="40" w:after="40"/>
            </w:pPr>
            <w:r>
              <w:rPr>
                <w:sz w:val="18"/>
              </w:rPr>
              <w:t>server/routes.ts (~7,800+ lines); staggered background jobs</w:t>
            </w:r>
          </w:p>
        </w:tc>
      </w:tr>
      <w:tr>
        <w:tc>
          <w:tcPr>
            <w:tcW w:type="dxa" w:w="1587"/>
            <w:shd w:val="clear" w:color="auto" w:fill="F3F4F6"/>
            <w:vAlign w:val="center"/>
          </w:tcPr>
          <w:p>
            <w:pPr>
              <w:spacing w:before="40" w:after="40"/>
            </w:pPr>
            <w:r>
              <w:rPr>
                <w:sz w:val="18"/>
              </w:rPr>
              <w:t>Database</w:t>
            </w:r>
          </w:p>
        </w:tc>
        <w:tc>
          <w:tcPr>
            <w:tcW w:type="dxa" w:w="2721"/>
            <w:shd w:val="clear" w:color="auto" w:fill="F3F4F6"/>
            <w:vAlign w:val="center"/>
          </w:tcPr>
          <w:p>
            <w:pPr>
              <w:spacing w:before="40" w:after="40"/>
            </w:pPr>
            <w:r>
              <w:rPr>
                <w:sz w:val="18"/>
              </w:rPr>
              <w:t>PostgreSQL via Drizzle ORM</w:t>
            </w:r>
          </w:p>
        </w:tc>
        <w:tc>
          <w:tcPr>
            <w:tcW w:type="dxa" w:w="4762"/>
            <w:shd w:val="clear" w:color="auto" w:fill="F3F4F6"/>
            <w:vAlign w:val="center"/>
          </w:tcPr>
          <w:p>
            <w:pPr>
              <w:spacing w:before="40" w:after="40"/>
            </w:pPr>
            <w:r>
              <w:rPr>
                <w:sz w:val="18"/>
              </w:rPr>
              <w:t>shared/schema.ts; createInsertSchema from drizzle-zod; Neon</w:t>
            </w:r>
          </w:p>
        </w:tc>
      </w:tr>
      <w:tr>
        <w:tc>
          <w:tcPr>
            <w:tcW w:type="dxa" w:w="1587"/>
            <w:shd w:val="clear" w:color="auto" w:fill="FFFFFF"/>
            <w:vAlign w:val="center"/>
          </w:tcPr>
          <w:p>
            <w:pPr>
              <w:spacing w:before="40" w:after="40"/>
            </w:pPr>
            <w:r>
              <w:rPr>
                <w:sz w:val="18"/>
              </w:rPr>
              <w:t>Auth</w:t>
            </w:r>
          </w:p>
        </w:tc>
        <w:tc>
          <w:tcPr>
            <w:tcW w:type="dxa" w:w="2721"/>
            <w:shd w:val="clear" w:color="auto" w:fill="FFFFFF"/>
            <w:vAlign w:val="center"/>
          </w:tcPr>
          <w:p>
            <w:pPr>
              <w:spacing w:before="40" w:after="40"/>
            </w:pPr>
            <w:r>
              <w:rPr>
                <w:sz w:val="18"/>
              </w:rPr>
              <w:t>Replit OpenID Connect (OIDC)</w:t>
            </w:r>
          </w:p>
        </w:tc>
        <w:tc>
          <w:tcPr>
            <w:tcW w:type="dxa" w:w="4762"/>
            <w:shd w:val="clear" w:color="auto" w:fill="FFFFFF"/>
            <w:vAlign w:val="center"/>
          </w:tcPr>
          <w:p>
            <w:pPr>
              <w:spacing w:before="40" w:after="40"/>
            </w:pPr>
            <w:r>
              <w:rPr>
                <w:sz w:val="18"/>
              </w:rPr>
              <w:t>Server-side sessions; requireRole() guard on all protected routes</w:t>
            </w:r>
          </w:p>
        </w:tc>
      </w:tr>
      <w:tr>
        <w:tc>
          <w:tcPr>
            <w:tcW w:type="dxa" w:w="1587"/>
            <w:shd w:val="clear" w:color="auto" w:fill="F3F4F6"/>
            <w:vAlign w:val="center"/>
          </w:tcPr>
          <w:p>
            <w:pPr>
              <w:spacing w:before="40" w:after="40"/>
            </w:pPr>
            <w:r>
              <w:rPr>
                <w:sz w:val="18"/>
              </w:rPr>
              <w:t>Sippy API</w:t>
            </w:r>
          </w:p>
        </w:tc>
        <w:tc>
          <w:tcPr>
            <w:tcW w:type="dxa" w:w="2721"/>
            <w:shd w:val="clear" w:color="auto" w:fill="F3F4F6"/>
            <w:vAlign w:val="center"/>
          </w:tcPr>
          <w:p>
            <w:pPr>
              <w:spacing w:before="40" w:after="40"/>
            </w:pPr>
            <w:r>
              <w:rPr>
                <w:sz w:val="18"/>
              </w:rPr>
              <w:t>XML-RPC over HTTPS + HTTP Digest</w:t>
            </w:r>
          </w:p>
        </w:tc>
        <w:tc>
          <w:tcPr>
            <w:tcW w:type="dxa" w:w="4762"/>
            <w:shd w:val="clear" w:color="auto" w:fill="F3F4F6"/>
            <w:vAlign w:val="center"/>
          </w:tcPr>
          <w:p>
            <w:pPr>
              <w:spacing w:before="40" w:after="40"/>
            </w:pPr>
            <w:r>
              <w:rPr>
                <w:sz w:val="18"/>
              </w:rPr>
              <w:t>RFC-2617 2-step probe+auth; server/sippy.ts; creds pair rotation</w:t>
            </w:r>
          </w:p>
        </w:tc>
      </w:tr>
      <w:tr>
        <w:tc>
          <w:tcPr>
            <w:tcW w:type="dxa" w:w="1587"/>
            <w:shd w:val="clear" w:color="auto" w:fill="FFFFFF"/>
            <w:vAlign w:val="center"/>
          </w:tcPr>
          <w:p>
            <w:pPr>
              <w:spacing w:before="40" w:after="40"/>
            </w:pPr>
            <w:r>
              <w:rPr>
                <w:sz w:val="18"/>
              </w:rPr>
              <w:t>WebSockets</w:t>
            </w:r>
          </w:p>
        </w:tc>
        <w:tc>
          <w:tcPr>
            <w:tcW w:type="dxa" w:w="2721"/>
            <w:shd w:val="clear" w:color="auto" w:fill="FFFFFF"/>
            <w:vAlign w:val="center"/>
          </w:tcPr>
          <w:p>
            <w:pPr>
              <w:spacing w:before="40" w:after="40"/>
            </w:pPr>
            <w:r>
              <w:rPr>
                <w:sz w:val="18"/>
              </w:rPr>
              <w:t>Express + WS</w:t>
            </w:r>
          </w:p>
        </w:tc>
        <w:tc>
          <w:tcPr>
            <w:tcW w:type="dxa" w:w="4762"/>
            <w:shd w:val="clear" w:color="auto" w:fill="FFFFFF"/>
            <w:vAlign w:val="center"/>
          </w:tcPr>
          <w:p>
            <w:pPr>
              <w:spacing w:before="40" w:after="40"/>
            </w:pPr>
            <w:r>
              <w:rPr>
                <w:sz w:val="18"/>
              </w:rPr>
              <w:t>Push-based NOC view; live calls; cache-first to reduce Sippy load</w:t>
            </w:r>
          </w:p>
        </w:tc>
      </w:tr>
      <w:tr>
        <w:tc>
          <w:tcPr>
            <w:tcW w:type="dxa" w:w="1587"/>
            <w:shd w:val="clear" w:color="auto" w:fill="F3F4F6"/>
            <w:vAlign w:val="center"/>
          </w:tcPr>
          <w:p>
            <w:pPr>
              <w:spacing w:before="40" w:after="40"/>
            </w:pPr>
            <w:r>
              <w:rPr>
                <w:sz w:val="18"/>
              </w:rPr>
              <w:t>Email</w:t>
            </w:r>
          </w:p>
        </w:tc>
        <w:tc>
          <w:tcPr>
            <w:tcW w:type="dxa" w:w="2721"/>
            <w:shd w:val="clear" w:color="auto" w:fill="F3F4F6"/>
            <w:vAlign w:val="center"/>
          </w:tcPr>
          <w:p>
            <w:pPr>
              <w:spacing w:before="40" w:after="40"/>
            </w:pPr>
            <w:r>
              <w:rPr>
                <w:sz w:val="18"/>
              </w:rPr>
              <w:t>Gmail SMTP (Nodemailer)</w:t>
            </w:r>
          </w:p>
        </w:tc>
        <w:tc>
          <w:tcPr>
            <w:tcW w:type="dxa" w:w="4762"/>
            <w:shd w:val="clear" w:color="auto" w:fill="F3F4F6"/>
            <w:vAlign w:val="center"/>
          </w:tcPr>
          <w:p>
            <w:pPr>
              <w:spacing w:before="40" w:after="40"/>
            </w:pPr>
            <w:r>
              <w:rPr>
                <w:sz w:val="18"/>
              </w:rPr>
              <w:t>Alert engine; watcher recipients; billing notifications</w:t>
            </w:r>
          </w:p>
        </w:tc>
      </w:tr>
      <w:tr>
        <w:tc>
          <w:tcPr>
            <w:tcW w:type="dxa" w:w="1587"/>
            <w:shd w:val="clear" w:color="auto" w:fill="FFFFFF"/>
            <w:vAlign w:val="center"/>
          </w:tcPr>
          <w:p>
            <w:pPr>
              <w:spacing w:before="40" w:after="40"/>
            </w:pPr>
            <w:r>
              <w:rPr>
                <w:sz w:val="18"/>
              </w:rPr>
              <w:t>Deployment</w:t>
            </w:r>
          </w:p>
        </w:tc>
        <w:tc>
          <w:tcPr>
            <w:tcW w:type="dxa" w:w="2721"/>
            <w:shd w:val="clear" w:color="auto" w:fill="FFFFFF"/>
            <w:vAlign w:val="center"/>
          </w:tcPr>
          <w:p>
            <w:pPr>
              <w:spacing w:before="40" w:after="40"/>
            </w:pPr>
            <w:r>
              <w:rPr>
                <w:sz w:val="18"/>
              </w:rPr>
              <w:t>Replit (containerised)</w:t>
            </w:r>
          </w:p>
        </w:tc>
        <w:tc>
          <w:tcPr>
            <w:tcW w:type="dxa" w:w="4762"/>
            <w:shd w:val="clear" w:color="auto" w:fill="FFFFFF"/>
            <w:vAlign w:val="center"/>
          </w:tcPr>
          <w:p>
            <w:pPr>
              <w:spacing w:before="40" w:after="40"/>
            </w:pPr>
            <w:r>
              <w:rPr>
                <w:sz w:val="18"/>
              </w:rPr>
              <w:t>npm run dev starts Express + Vite on same port</w:t>
            </w:r>
          </w:p>
        </w:tc>
      </w:tr>
      <w:tr>
        <w:tc>
          <w:tcPr>
            <w:tcW w:type="dxa" w:w="1587"/>
            <w:shd w:val="clear" w:color="auto" w:fill="F3F4F6"/>
            <w:vAlign w:val="center"/>
          </w:tcPr>
          <w:p>
            <w:pPr>
              <w:spacing w:before="40" w:after="40"/>
            </w:pPr>
            <w:r>
              <w:rPr>
                <w:sz w:val="18"/>
              </w:rPr>
              <w:t>Security</w:t>
            </w:r>
          </w:p>
        </w:tc>
        <w:tc>
          <w:tcPr>
            <w:tcW w:type="dxa" w:w="2721"/>
            <w:shd w:val="clear" w:color="auto" w:fill="F3F4F6"/>
            <w:vAlign w:val="center"/>
          </w:tcPr>
          <w:p>
            <w:pPr>
              <w:spacing w:before="40" w:after="40"/>
            </w:pPr>
            <w:r>
              <w:rPr>
                <w:sz w:val="18"/>
              </w:rPr>
              <w:t>Helmet.js + express-rate-limit</w:t>
            </w:r>
          </w:p>
        </w:tc>
        <w:tc>
          <w:tcPr>
            <w:tcW w:type="dxa" w:w="4762"/>
            <w:shd w:val="clear" w:color="auto" w:fill="F3F4F6"/>
            <w:vAlign w:val="center"/>
          </w:tcPr>
          <w:p>
            <w:pPr>
              <w:spacing w:before="40" w:after="40"/>
            </w:pPr>
            <w:r>
              <w:rPr>
                <w:sz w:val="18"/>
              </w:rPr>
              <w:t>300/15min general; 20/15min auth; CSP + XSS protection headers</w:t>
            </w:r>
          </w:p>
        </w:tc>
      </w:tr>
    </w:tbl>
    <w:p/>
    <w:p>
      <w:pPr>
        <w:spacing w:before="240" w:after="120"/>
      </w:pPr>
      <w:r>
        <w:rPr>
          <w:b/>
          <w:color w:val="0F172A"/>
          <w:sz w:val="22"/>
        </w:rPr>
        <w:t>Key Source Files</w:t>
      </w:r>
    </w:p>
    <w:p>
      <w:pPr>
        <w:spacing w:before="40" w:after="40"/>
      </w:pPr>
      <w:r>
        <w:rPr>
          <w:b/>
          <w:color w:val="6027D3"/>
          <w:sz w:val="19"/>
        </w:rPr>
        <w:t xml:space="preserve">  server/routes.ts  </w:t>
      </w:r>
      <w:r>
        <w:rPr>
          <w:color w:val="6B7280"/>
          <w:sz w:val="19"/>
        </w:rPr>
        <w:t>— ~7,800 lines — all Express routes, Sippy integration, background polling jobs</w:t>
      </w:r>
    </w:p>
    <w:p>
      <w:pPr>
        <w:spacing w:before="40" w:after="40"/>
      </w:pPr>
      <w:r>
        <w:rPr>
          <w:b/>
          <w:color w:val="6027D3"/>
          <w:sz w:val="19"/>
        </w:rPr>
        <w:t xml:space="preserve">  server/sippy.ts  </w:t>
      </w:r>
      <w:r>
        <w:rPr>
          <w:color w:val="6B7280"/>
          <w:sz w:val="19"/>
        </w:rPr>
        <w:t>— Sippy XML-RPC client; sippyXmlCredsPairs(); credential swap resilience</w:t>
      </w:r>
    </w:p>
    <w:p>
      <w:pPr>
        <w:spacing w:before="40" w:after="40"/>
      </w:pPr>
      <w:r>
        <w:rPr>
          <w:b/>
          <w:color w:val="6027D3"/>
          <w:sz w:val="19"/>
        </w:rPr>
        <w:t xml:space="preserve">  server/storage.ts  </w:t>
      </w:r>
      <w:r>
        <w:rPr>
          <w:color w:val="6B7280"/>
          <w:sz w:val="19"/>
        </w:rPr>
        <w:t>— IStorage interface + DatabaseStorage implementation (all DB operations)</w:t>
      </w:r>
    </w:p>
    <w:p>
      <w:pPr>
        <w:spacing w:before="40" w:after="40"/>
      </w:pPr>
      <w:r>
        <w:rPr>
          <w:b/>
          <w:color w:val="6027D3"/>
          <w:sz w:val="19"/>
        </w:rPr>
        <w:t xml:space="preserve">  shared/schema.ts  </w:t>
      </w:r>
      <w:r>
        <w:rPr>
          <w:color w:val="6B7280"/>
          <w:sz w:val="19"/>
        </w:rPr>
        <w:t>— Drizzle schema, Zod insert schemas, TypeScript select types for all tables</w:t>
      </w:r>
    </w:p>
    <w:p>
      <w:pPr>
        <w:spacing w:before="40" w:after="40"/>
      </w:pPr>
      <w:r>
        <w:rPr>
          <w:b/>
          <w:color w:val="6027D3"/>
          <w:sz w:val="19"/>
        </w:rPr>
        <w:t xml:space="preserve">  client/src/pages/dashboard.tsx  </w:t>
      </w:r>
      <w:r>
        <w:rPr>
          <w:color w:val="6B7280"/>
          <w:sz w:val="19"/>
        </w:rPr>
        <w:t>— NOC dashboard (~1,490 lines) — all real-time KPI and quality widgets</w:t>
      </w:r>
    </w:p>
    <w:p>
      <w:pPr>
        <w:spacing w:before="40" w:after="40"/>
      </w:pPr>
      <w:r>
        <w:rPr>
          <w:b/>
          <w:color w:val="6027D3"/>
          <w:sz w:val="19"/>
        </w:rPr>
        <w:t xml:space="preserve">  client/src/components/layout-shell.tsx  </w:t>
      </w:r>
      <w:r>
        <w:rPr>
          <w:color w:val="6B7280"/>
          <w:sz w:val="19"/>
        </w:rPr>
        <w:t>— Sidebar, mobile hamburger nav, command bar (Ctrl+K), theme toggle</w:t>
      </w:r>
    </w:p>
    <w:p>
      <w:pPr>
        <w:spacing w:before="40" w:after="40"/>
      </w:pPr>
      <w:r>
        <w:rPr>
          <w:b/>
          <w:color w:val="6027D3"/>
          <w:sz w:val="19"/>
        </w:rPr>
        <w:t xml:space="preserve">  client/src/pages/client-wizard.tsx  </w:t>
      </w:r>
      <w:r>
        <w:rPr>
          <w:color w:val="6B7280"/>
          <w:sz w:val="19"/>
        </w:rPr>
        <w:t>— Full 5-step client provisioning wizard (major overhaul — May 2026)</w:t>
      </w:r>
    </w:p>
    <w:p>
      <w:pPr>
        <w:spacing w:before="40" w:after="40"/>
      </w:pPr>
      <w:r>
        <w:rPr>
          <w:b/>
          <w:color w:val="6027D3"/>
          <w:sz w:val="19"/>
        </w:rPr>
        <w:t xml:space="preserve">  client/src/pages/company-list.tsx  </w:t>
      </w:r>
      <w:r>
        <w:rPr>
          <w:color w:val="6B7280"/>
          <w:sz w:val="19"/>
        </w:rPr>
        <w:t>— Company list with KAM filter pills + CompanyInfoDialog popup</w:t>
      </w:r>
    </w:p>
    <w:p>
      <w:pPr>
        <w:spacing w:before="40" w:after="40"/>
      </w:pPr>
      <w:r>
        <w:rPr>
          <w:b/>
          <w:color w:val="6027D3"/>
          <w:sz w:val="19"/>
        </w:rPr>
        <w:t xml:space="preserve">  client/src/pages/fraud.tsx  </w:t>
      </w:r>
      <w:r>
        <w:rPr>
          <w:color w:val="6B7280"/>
          <w:sz w:val="19"/>
        </w:rPr>
        <w:t>— FAS + IRSF detection engine; auto-blacklist rule management</w:t>
      </w:r>
    </w:p>
    <w:p>
      <w:r>
        <w:br w:type="page"/>
      </w:r>
    </w:p>
    <w:p>
      <w:pPr>
        <w:spacing w:before="240" w:after="120"/>
      </w:pPr>
      <w:r>
        <w:rPr>
          <w:b/>
          <w:color w:val="0F172A"/>
          <w:sz w:val="44"/>
        </w:rPr>
        <w:t>9.  Important Constraints &amp; Known Gotchas</w:t>
      </w:r>
    </w:p>
    <w:p>
      <w:pPr>
        <w:spacing w:before="40" w:after="80"/>
      </w:pPr>
      <w:r>
        <w:rPr>
          <w:sz w:val="20"/>
        </w:rPr>
        <w:t>Engineering notes that every developer working on this platform must know before making changes.</w:t>
      </w:r>
    </w:p>
    <w:p>
      <w:pPr>
        <w:spacing w:before="120" w:after="20"/>
      </w:pPr>
      <w:r>
        <w:rPr>
          <w:b/>
          <w:color w:val="D97B06"/>
          <w:sz w:val="20"/>
        </w:rPr>
        <w:t xml:space="preserve">  ⚠  Sippy Credential Mapping</w:t>
      </w:r>
    </w:p>
    <w:p>
      <w:pPr>
        <w:spacing w:before="0" w:after="160"/>
        <w:ind w:left="454"/>
      </w:pPr>
      <w:r>
        <w:rPr>
          <w:color w:val="6B7280"/>
          <w:sz w:val="19"/>
        </w:rPr>
        <w:t>apiAdminUsername = ssp-root (XML-RPC admin); apiAdminPassword = !chiaan1. portalUsername = RTST1 (portal login); portalPassword = abcd@1234. A common mistake is swapping these pairs. The system detects and warns about mismatches. Always verify which credential pair is required for XML-RPC vs portal HTML scraping.</w:t>
      </w:r>
    </w:p>
    <w:p>
      <w:pPr>
        <w:spacing w:before="120" w:after="20"/>
      </w:pPr>
      <w:r>
        <w:rPr>
          <w:b/>
          <w:color w:val="D97B06"/>
          <w:sz w:val="20"/>
        </w:rPr>
        <w:t xml:space="preserve">  ⚠  Mixed-Case Usernames Accepted by Sippy</w:t>
      </w:r>
    </w:p>
    <w:p>
      <w:pPr>
        <w:spacing w:before="0" w:after="160"/>
        <w:ind w:left="454"/>
      </w:pPr>
      <w:r>
        <w:rPr>
          <w:color w:val="6B7280"/>
          <w:sz w:val="19"/>
        </w:rPr>
        <w:t>Sippy accepts mixed-case usernames (confirmed: "Internal-PTCL" provisioned successfully). Do NOT enforce .toLowerCase() on Sippy usernames. The wizard strips only invalid characters: .replace(/[^a-zA-Z0-9._-]/g, "")</w:t>
      </w:r>
    </w:p>
    <w:p>
      <w:pPr>
        <w:spacing w:before="120" w:after="20"/>
      </w:pPr>
      <w:r>
        <w:rPr>
          <w:b/>
          <w:color w:val="D97B06"/>
          <w:sz w:val="20"/>
        </w:rPr>
        <w:t xml:space="preserve">  ⚠  Client Accounts Must Be at Root Level</w:t>
      </w:r>
    </w:p>
    <w:p>
      <w:pPr>
        <w:spacing w:before="0" w:after="160"/>
        <w:ind w:left="454"/>
      </w:pPr>
      <w:r>
        <w:rPr>
          <w:color w:val="6B7280"/>
          <w:sz w:val="19"/>
        </w:rPr>
        <w:t>All client accounts must be created at the Sippy root level (i_customer = 1), NOT under the RTST1 account. Placing an account under RTST1 causes routing inheritance issues and "No Route Found" errors for accounts without an explicit RG.</w:t>
      </w:r>
    </w:p>
    <w:p>
      <w:pPr>
        <w:spacing w:before="120" w:after="20"/>
      </w:pPr>
      <w:r>
        <w:rPr>
          <w:b/>
          <w:color w:val="D97B06"/>
          <w:sz w:val="20"/>
        </w:rPr>
        <w:t xml:space="preserve">  ⚠  XML-RPC vs Portal Scraping Fallbacks</w:t>
      </w:r>
    </w:p>
    <w:p>
      <w:pPr>
        <w:spacing w:before="0" w:after="160"/>
        <w:ind w:left="454"/>
      </w:pPr>
      <w:r>
        <w:rPr>
          <w:color w:val="6B7280"/>
          <w:sz w:val="19"/>
        </w:rPr>
        <w:t>Some Sippy versions return HTTP 401 on CDR XML-RPC calls. The platform falls back to portal HTML scraping in those cases. Both paths may be active simultaneously — be aware when debugging CDR data.</w:t>
      </w:r>
    </w:p>
    <w:p>
      <w:pPr>
        <w:spacing w:before="120" w:after="20"/>
      </w:pPr>
      <w:r>
        <w:rPr>
          <w:b/>
          <w:color w:val="D97B06"/>
          <w:sz w:val="20"/>
        </w:rPr>
        <w:t xml:space="preserve">  ⚠  Sippy Load Reduction Guardrails</w:t>
      </w:r>
    </w:p>
    <w:p>
      <w:pPr>
        <w:spacing w:before="0" w:after="160"/>
        <w:ind w:left="454"/>
      </w:pPr>
      <w:r>
        <w:rPr>
          <w:color w:val="6B7280"/>
          <w:sz w:val="19"/>
        </w:rPr>
        <w:t>The platform uses push-based WebSocket NOC, cache-first /api/sippy/live-calls, mutex guards, and staggered polling intervals to reduce Sippy XML-RPC load by ~65–70 %. Do not add naive polling loops without these guards — the Sippy instance will be overwhelmed.</w:t>
      </w:r>
    </w:p>
    <w:p>
      <w:pPr>
        <w:spacing w:before="120" w:after="20"/>
      </w:pPr>
      <w:r>
        <w:rPr>
          <w:b/>
          <w:color w:val="D97B06"/>
          <w:sz w:val="20"/>
        </w:rPr>
        <w:t xml:space="preserve">  ⚠  Auth Middleware Rule</w:t>
      </w:r>
    </w:p>
    <w:p>
      <w:pPr>
        <w:spacing w:before="0" w:after="160"/>
        <w:ind w:left="454"/>
      </w:pPr>
      <w:r>
        <w:rPr>
          <w:color w:val="6B7280"/>
          <w:sz w:val="19"/>
        </w:rPr>
        <w:t>NEVER use the raw isAuthenticated middleware on new routes. Always use requireRole(["admin", ...], req, res, next) to protect endpoints. This is the only authorised pattern in this codebase.</w:t>
      </w:r>
    </w:p>
    <w:p>
      <w:pPr>
        <w:spacing w:before="120" w:after="20"/>
      </w:pPr>
      <w:r>
        <w:rPr>
          <w:b/>
          <w:color w:val="D97B06"/>
          <w:sz w:val="20"/>
        </w:rPr>
        <w:t xml:space="preserve">  ⚠  Rate Card API Availability</w:t>
      </w:r>
    </w:p>
    <w:p>
      <w:pPr>
        <w:spacing w:before="0" w:after="160"/>
        <w:ind w:left="454"/>
      </w:pPr>
      <w:r>
        <w:rPr>
          <w:color w:val="6B7280"/>
          <w:sz w:val="19"/>
        </w:rPr>
        <w:t>On certain Sippy versions, rates can only be added via the Sippy web UI — no XML-RPC rate creation API is available. Always verify Sippy version API support before building bulk rate import for a new deployment.</w:t>
      </w:r>
    </w:p>
    <w:p>
      <w:pPr>
        <w:spacing w:before="120" w:after="20"/>
      </w:pPr>
      <w:r>
        <w:rPr>
          <w:b/>
          <w:color w:val="D97B06"/>
          <w:sz w:val="20"/>
        </w:rPr>
        <w:t xml:space="preserve">  ⚠  Vol 2 Codec &amp; Jitter Features — API Dependency</w:t>
      </w:r>
    </w:p>
    <w:p>
      <w:pPr>
        <w:spacing w:before="0" w:after="160"/>
        <w:ind w:left="454"/>
      </w:pPr>
      <w:r>
        <w:rPr>
          <w:color w:val="6B7280"/>
          <w:sz w:val="19"/>
        </w:rPr>
        <w:t>Vol 2 features #1 (Jitter Monitor) and #2 (Codec Analytics) depend on Sippy exposing RTP stats and codec fields in its CDR API. Verify field availability on the target Sippy version before starting implementation.</w:t>
      </w:r>
    </w:p>
    <w:p>
      <w:pPr>
        <w:spacing w:before="120" w:after="20"/>
      </w:pPr>
      <w:r>
        <w:rPr>
          <w:b/>
          <w:color w:val="D97B06"/>
          <w:sz w:val="20"/>
        </w:rPr>
        <w:t xml:space="preserve">  ⚠  Simulation Mode Disabled in Production</w:t>
      </w:r>
    </w:p>
    <w:p>
      <w:pPr>
        <w:spacing w:before="0" w:after="160"/>
        <w:ind w:left="454"/>
      </w:pPr>
      <w:r>
        <w:rPr>
          <w:color w:val="6B7280"/>
          <w:sz w:val="19"/>
        </w:rPr>
        <w:t>The platform simulation mode is disabled by default (simulationEnabled = false). Always connect to a live Sippy instance for real data. Never enable simulation in a production deployment.</w:t>
      </w:r>
    </w:p>
    <w:p>
      <w:pPr>
        <w:spacing w:before="80" w:after="80"/>
      </w:pPr>
      <w:r>
        <w:rPr>
          <w:color w:val="D1D5DB"/>
          <w:sz w:val="14"/>
        </w:rPr>
        <w:t>──────────────────────────────────────────────────────────────────────────────────────────────────────────────</w:t>
      </w:r>
    </w:p>
    <w:p>
      <w:pPr>
        <w:jc w:val="center"/>
      </w:pPr>
      <w:r>
        <w:rPr>
          <w:color w:val="6B7280"/>
          <w:sz w:val="17"/>
        </w:rPr>
        <w:t>BitsAuto VoIP Monitoring Platform  ·  Complete Status &amp; Roadmap Report  ·  15 May 2026  ·  Confidential</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