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F66E6" w14:textId="3539E7AB" w:rsidR="00481998" w:rsidRPr="000A0268" w:rsidRDefault="000A0268" w:rsidP="000A0268">
      <w:pPr>
        <w:pStyle w:val="Title"/>
        <w:jc w:val="center"/>
        <w:rPr>
          <w:rFonts w:ascii="Calibri" w:hAnsi="Calibri" w:cs="Calibri"/>
        </w:rPr>
      </w:pPr>
      <w:r w:rsidRPr="000A0268">
        <w:rPr>
          <w:rFonts w:ascii="Calibri" w:hAnsi="Calibri" w:cs="Calibri"/>
        </w:rPr>
        <w:t>HyperFusion SOP</w:t>
      </w:r>
    </w:p>
    <w:p w14:paraId="0D51AF03" w14:textId="31EFDF9B" w:rsidR="000A0268" w:rsidRPr="000A0268" w:rsidRDefault="000A0268" w:rsidP="000A0268">
      <w:pPr>
        <w:jc w:val="right"/>
        <w:rPr>
          <w:rFonts w:ascii="Calibri" w:hAnsi="Calibri" w:cs="Calibri"/>
        </w:rPr>
      </w:pPr>
      <w:r w:rsidRPr="000A0268">
        <w:rPr>
          <w:rFonts w:ascii="Calibri" w:hAnsi="Calibri" w:cs="Calibri"/>
        </w:rPr>
        <w:t>Version 1.0</w:t>
      </w:r>
      <w:r w:rsidR="001D0225">
        <w:rPr>
          <w:rFonts w:ascii="Calibri" w:hAnsi="Calibri" w:cs="Calibri"/>
        </w:rPr>
        <w:t xml:space="preserve">    </w:t>
      </w:r>
      <w:r w:rsidRPr="000A0268">
        <w:rPr>
          <w:rFonts w:ascii="Calibri" w:hAnsi="Calibri" w:cs="Calibri"/>
        </w:rPr>
        <w:t>Jinhong</w:t>
      </w:r>
      <w:r w:rsidR="001D0225">
        <w:rPr>
          <w:rFonts w:ascii="Calibri" w:hAnsi="Calibri" w:cs="Calibri"/>
        </w:rPr>
        <w:t xml:space="preserve">    1</w:t>
      </w:r>
      <w:r w:rsidR="00701330">
        <w:rPr>
          <w:rFonts w:ascii="Calibri" w:hAnsi="Calibri" w:cs="Calibri"/>
        </w:rPr>
        <w:t>0/12/2026</w:t>
      </w:r>
    </w:p>
    <w:p w14:paraId="75C8E0B9" w14:textId="1DFD18B9" w:rsidR="00E77F4F" w:rsidRPr="00E77F4F" w:rsidRDefault="000A0268" w:rsidP="00E77F4F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>Turn on the power strip switch for the light sources</w:t>
      </w:r>
      <w:r w:rsidR="00375F3C">
        <w:rPr>
          <w:rFonts w:ascii="Calibri" w:hAnsi="Calibri" w:cs="Calibri"/>
        </w:rPr>
        <w:t>.</w:t>
      </w:r>
      <w:r w:rsidR="00E77F4F" w:rsidRPr="00E77F4F">
        <w:rPr>
          <w:noProof/>
        </w:rPr>
        <w:drawing>
          <wp:inline distT="0" distB="0" distL="0" distR="0" wp14:anchorId="3D099E90" wp14:editId="149ADC92">
            <wp:extent cx="3886200" cy="2931672"/>
            <wp:effectExtent l="0" t="0" r="0" b="2540"/>
            <wp:docPr id="605338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3388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92256" cy="2936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A4FD2" w14:textId="11AA2A3B" w:rsidR="00782F7E" w:rsidRDefault="00E77F4F" w:rsidP="00E77F4F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Switch the buttons following the indicated orders of SWIR PCU if you are planning to use SWIR. </w:t>
      </w:r>
      <w:r w:rsidR="00782F7E">
        <w:rPr>
          <w:rFonts w:ascii="Calibri" w:hAnsi="Calibri" w:cs="Calibri"/>
        </w:rPr>
        <w:t xml:space="preserve">Wait for at least 5 min before connecting SWIR to let the cooling system be stable. </w:t>
      </w:r>
      <w:r>
        <w:rPr>
          <w:rFonts w:ascii="Calibri" w:hAnsi="Calibri" w:cs="Calibri"/>
        </w:rPr>
        <w:t>Skip this step if you only need to use FX10e</w:t>
      </w:r>
      <w:r w:rsidR="00375F3C">
        <w:rPr>
          <w:rFonts w:ascii="Calibri" w:hAnsi="Calibri" w:cs="Calibri"/>
        </w:rPr>
        <w:t>.</w:t>
      </w:r>
    </w:p>
    <w:p w14:paraId="343E7600" w14:textId="68133EBA" w:rsidR="00E77F4F" w:rsidRDefault="00E77F4F" w:rsidP="00782F7E">
      <w:pPr>
        <w:pStyle w:val="ListParagraph"/>
        <w:rPr>
          <w:rFonts w:ascii="Calibri" w:hAnsi="Calibri" w:cs="Calibri"/>
        </w:rPr>
      </w:pPr>
      <w:r w:rsidRPr="00E77F4F">
        <w:rPr>
          <w:noProof/>
        </w:rPr>
        <w:drawing>
          <wp:inline distT="0" distB="0" distL="0" distR="0" wp14:anchorId="209925C3" wp14:editId="76F4DCB8">
            <wp:extent cx="2590800" cy="3454400"/>
            <wp:effectExtent l="0" t="0" r="0" b="0"/>
            <wp:docPr id="576374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3749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91012" cy="3454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CD201" w14:textId="43D1526D" w:rsidR="00E77F4F" w:rsidRDefault="00E77F4F" w:rsidP="00E77F4F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>Open the HyperFusion app</w:t>
      </w:r>
      <w:r w:rsidR="00701330">
        <w:rPr>
          <w:rFonts w:ascii="Calibri" w:hAnsi="Calibri" w:cs="Calibri"/>
        </w:rPr>
        <w:t xml:space="preserve">, which is usually located in </w:t>
      </w:r>
      <w:r w:rsidR="00701330" w:rsidRPr="00701330">
        <w:rPr>
          <w:rFonts w:ascii="Calibri" w:hAnsi="Calibri" w:cs="Calibri"/>
        </w:rPr>
        <w:t>"D:\HyperFusion</w:t>
      </w:r>
      <w:r w:rsidR="00426561">
        <w:rPr>
          <w:rFonts w:ascii="Calibri" w:hAnsi="Calibri" w:cs="Calibri"/>
        </w:rPr>
        <w:t>\app</w:t>
      </w:r>
      <w:r w:rsidR="00701330" w:rsidRPr="00701330">
        <w:rPr>
          <w:rFonts w:ascii="Calibri" w:hAnsi="Calibri" w:cs="Calibri"/>
        </w:rPr>
        <w:t>\app.exe"</w:t>
      </w:r>
      <w:r w:rsidR="00375F3C">
        <w:rPr>
          <w:rFonts w:ascii="Calibri" w:hAnsi="Calibri" w:cs="Calibri"/>
        </w:rPr>
        <w:t>.</w:t>
      </w:r>
    </w:p>
    <w:p w14:paraId="1EE340C8" w14:textId="408B75E9" w:rsidR="00701330" w:rsidRDefault="001D0225" w:rsidP="00E77F4F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Connect FX10e under the </w:t>
      </w:r>
      <w:r w:rsidR="00375F3C">
        <w:rPr>
          <w:rFonts w:ascii="Calibri" w:hAnsi="Calibri" w:cs="Calibri"/>
        </w:rPr>
        <w:t>C</w:t>
      </w:r>
      <w:r>
        <w:rPr>
          <w:rFonts w:ascii="Calibri" w:hAnsi="Calibri" w:cs="Calibri"/>
        </w:rPr>
        <w:t xml:space="preserve">amera tabs, an eBus Device Selection window will pop up (if you don’t see it check the </w:t>
      </w:r>
      <w:r w:rsidR="00394F7D">
        <w:rPr>
          <w:rFonts w:ascii="Calibri" w:hAnsi="Calibri" w:cs="Calibri"/>
        </w:rPr>
        <w:t xml:space="preserve">windows </w:t>
      </w:r>
      <w:r w:rsidR="003C76AF">
        <w:rPr>
          <w:rFonts w:ascii="Calibri" w:hAnsi="Calibri" w:cs="Calibri"/>
        </w:rPr>
        <w:t>at</w:t>
      </w:r>
      <w:r w:rsidR="00394F7D">
        <w:rPr>
          <w:rFonts w:ascii="Calibri" w:hAnsi="Calibri" w:cs="Calibri"/>
        </w:rPr>
        <w:t xml:space="preserve"> the taskbar</w:t>
      </w:r>
      <w:r>
        <w:rPr>
          <w:rFonts w:ascii="Calibri" w:hAnsi="Calibri" w:cs="Calibri"/>
        </w:rPr>
        <w:t>)</w:t>
      </w:r>
      <w:r w:rsidR="00E76BF3">
        <w:rPr>
          <w:rFonts w:ascii="Calibri" w:hAnsi="Calibri" w:cs="Calibri"/>
        </w:rPr>
        <w:t>. Check “Show unreachable Network Devices” and the FX10e device will show up. Double click it to connect to FX10e</w:t>
      </w:r>
      <w:r w:rsidR="00375F3C">
        <w:rPr>
          <w:rFonts w:ascii="Calibri" w:hAnsi="Calibri" w:cs="Calibri"/>
        </w:rPr>
        <w:t>. The default setting is optimized parameters.</w:t>
      </w:r>
    </w:p>
    <w:p w14:paraId="232C19FE" w14:textId="1BA50AF8" w:rsidR="001D0225" w:rsidRDefault="001D0225" w:rsidP="001D0225">
      <w:pPr>
        <w:pStyle w:val="ListParagraph"/>
        <w:rPr>
          <w:rFonts w:ascii="Calibri" w:hAnsi="Calibri" w:cs="Calibri"/>
        </w:rPr>
      </w:pPr>
      <w:r w:rsidRPr="001D0225">
        <w:rPr>
          <w:rFonts w:ascii="Calibri" w:hAnsi="Calibri" w:cs="Calibri"/>
          <w:noProof/>
        </w:rPr>
        <w:drawing>
          <wp:inline distT="0" distB="0" distL="0" distR="0" wp14:anchorId="25A28F3B" wp14:editId="7262CCAC">
            <wp:extent cx="5943600" cy="3191510"/>
            <wp:effectExtent l="0" t="0" r="0" b="8890"/>
            <wp:docPr id="441505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5054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31C73" w14:textId="2499CF60" w:rsidR="001D0225" w:rsidRDefault="001D0225" w:rsidP="001D0225">
      <w:pPr>
        <w:pStyle w:val="ListParagraph"/>
        <w:rPr>
          <w:rFonts w:ascii="Calibri" w:hAnsi="Calibri" w:cs="Calibri"/>
        </w:rPr>
      </w:pPr>
      <w:r w:rsidRPr="001D0225">
        <w:rPr>
          <w:rFonts w:ascii="Calibri" w:hAnsi="Calibri" w:cs="Calibri"/>
          <w:noProof/>
        </w:rPr>
        <w:drawing>
          <wp:inline distT="0" distB="0" distL="0" distR="0" wp14:anchorId="3BB56DD7" wp14:editId="30D4803D">
            <wp:extent cx="4008120" cy="3277473"/>
            <wp:effectExtent l="0" t="0" r="0" b="0"/>
            <wp:docPr id="368214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214088" name=""/>
                    <pic:cNvPicPr/>
                  </pic:nvPicPr>
                  <pic:blipFill rotWithShape="1">
                    <a:blip r:embed="rId8"/>
                    <a:srcRect l="769" t="1238" r="769" b="15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4778" cy="32829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94F80D" w14:textId="7A352A4E" w:rsidR="003F63A0" w:rsidRDefault="003F63A0" w:rsidP="003F63A0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Connect SWIR under the </w:t>
      </w:r>
      <w:r w:rsidR="00375F3C">
        <w:rPr>
          <w:rFonts w:ascii="Calibri" w:hAnsi="Calibri" w:cs="Calibri"/>
        </w:rPr>
        <w:t>C</w:t>
      </w:r>
      <w:r>
        <w:rPr>
          <w:rFonts w:ascii="Calibri" w:hAnsi="Calibri" w:cs="Calibri"/>
        </w:rPr>
        <w:t>amera tabs by simply clicking the “Connect” button</w:t>
      </w:r>
      <w:r w:rsidR="00782F7E">
        <w:rPr>
          <w:rFonts w:ascii="Calibri" w:hAnsi="Calibri" w:cs="Calibri"/>
        </w:rPr>
        <w:t>. It might take 20-30 seconds to connect SWIR</w:t>
      </w:r>
      <w:r w:rsidR="00375F3C">
        <w:rPr>
          <w:rFonts w:ascii="Calibri" w:hAnsi="Calibri" w:cs="Calibri"/>
        </w:rPr>
        <w:t>. The default setting is optimized parameters.</w:t>
      </w:r>
    </w:p>
    <w:p w14:paraId="23B6190D" w14:textId="7B6C292F" w:rsidR="00375F3C" w:rsidRDefault="00375F3C" w:rsidP="003F63A0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>Connect the Stage under the Stage tab by simply clicking the “Connect” button.</w:t>
      </w:r>
    </w:p>
    <w:p w14:paraId="0238F61F" w14:textId="0FF0A52B" w:rsidR="00375F3C" w:rsidRDefault="00375F3C" w:rsidP="003F63A0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>Connect the light houses under the Light tab by clicking “Refresh” and “Connect” buttons. Adjust the lighting intensity and configuration as you need. The default setting is optimized parameters.</w:t>
      </w:r>
    </w:p>
    <w:p w14:paraId="40DCEC06" w14:textId="7F26CB8C" w:rsidR="00375F3C" w:rsidRDefault="00375F3C" w:rsidP="003F63A0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>Go to the Capture tab to begin your data acquisition</w:t>
      </w:r>
      <w:r w:rsidR="00DA7BF9">
        <w:rPr>
          <w:rFonts w:ascii="Calibri" w:hAnsi="Calibri" w:cs="Calibri"/>
        </w:rPr>
        <w:t>, where you can set the data folder location, scanning configuration (what cameras and what scanning modes), sample physical length, and preprocessing configuration.</w:t>
      </w:r>
    </w:p>
    <w:p w14:paraId="5B7992E8" w14:textId="3EBF3270" w:rsidR="00DA7BF9" w:rsidRDefault="00DA7BF9" w:rsidP="00DA7BF9">
      <w:pPr>
        <w:pStyle w:val="ListParagraph"/>
        <w:rPr>
          <w:rFonts w:ascii="Calibri" w:hAnsi="Calibri" w:cs="Calibri"/>
        </w:rPr>
      </w:pPr>
      <w:r w:rsidRPr="00DA7BF9">
        <w:rPr>
          <w:rFonts w:ascii="Calibri" w:hAnsi="Calibri" w:cs="Calibri"/>
          <w:noProof/>
        </w:rPr>
        <w:drawing>
          <wp:inline distT="0" distB="0" distL="0" distR="0" wp14:anchorId="47FEBA3E" wp14:editId="1B79F2A2">
            <wp:extent cx="2560320" cy="5104885"/>
            <wp:effectExtent l="0" t="0" r="0" b="635"/>
            <wp:docPr id="2091408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4089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65728" cy="5115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91C36" w14:textId="3CFE7404" w:rsidR="00AA4E27" w:rsidRPr="00E77F4F" w:rsidRDefault="00AA4E27" w:rsidP="00AA4E27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For more user manual details, please refer to </w:t>
      </w:r>
      <w:r w:rsidRPr="00AA4E27">
        <w:rPr>
          <w:rFonts w:ascii="Calibri" w:hAnsi="Calibri" w:cs="Calibri"/>
        </w:rPr>
        <w:t>"D:\HyperFusion\USERMANUAL.md"</w:t>
      </w:r>
    </w:p>
    <w:sectPr w:rsidR="00AA4E27" w:rsidRPr="00E77F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8D1CEC"/>
    <w:multiLevelType w:val="hybridMultilevel"/>
    <w:tmpl w:val="806A01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9B87A65"/>
    <w:multiLevelType w:val="hybridMultilevel"/>
    <w:tmpl w:val="71EE18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6363751">
    <w:abstractNumId w:val="0"/>
  </w:num>
  <w:num w:numId="2" w16cid:durableId="12409479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998"/>
    <w:rsid w:val="000A0268"/>
    <w:rsid w:val="001D0225"/>
    <w:rsid w:val="002E2A97"/>
    <w:rsid w:val="00375F3C"/>
    <w:rsid w:val="00394F7D"/>
    <w:rsid w:val="003C76AF"/>
    <w:rsid w:val="003F63A0"/>
    <w:rsid w:val="00426561"/>
    <w:rsid w:val="00481998"/>
    <w:rsid w:val="00701330"/>
    <w:rsid w:val="00782F7E"/>
    <w:rsid w:val="008765D4"/>
    <w:rsid w:val="00AA4E27"/>
    <w:rsid w:val="00DA7BF9"/>
    <w:rsid w:val="00E76BF3"/>
    <w:rsid w:val="00E77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29A5D5"/>
  <w15:chartTrackingRefBased/>
  <w15:docId w15:val="{C686ACA7-1179-46D6-855F-C04C3801C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19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19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19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19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19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19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19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19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19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19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19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19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19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19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19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19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19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19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19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19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19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19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19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19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19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19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19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19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19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3</Pages>
  <Words>217</Words>
  <Characters>1239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Cornell University</Company>
  <LinksUpToDate>false</LinksUpToDate>
  <CharactersWithSpaces>1454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Jinhong Yu</dc:creator>
  <cp:keywords/>
  <dc:description/>
  <cp:lastModifiedBy>Jinhong Yu</cp:lastModifiedBy>
  <cp:revision>11</cp:revision>
  <dcterms:created xsi:type="dcterms:W3CDTF">2026-10-12T19:16:00Z</dcterms:created>
  <dcterms:modified xsi:type="dcterms:W3CDTF">2026-10-12T20:07:00Z</dcterms:modified>
</cp:coreProperties>
</file>