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52D4" w14:textId="77777777" w:rsidR="00EE6F71" w:rsidRDefault="00DF5A25">
      <w:pPr>
        <w:pStyle w:val="Ttulo"/>
        <w:jc w:val="center"/>
      </w:pPr>
      <w:r>
        <w:rPr>
          <w:color w:val="1F3B57"/>
        </w:rPr>
        <w:t>FASE F — MIGRATION PLANNING</w:t>
      </w:r>
    </w:p>
    <w:p w14:paraId="3EDB46FD" w14:textId="77777777" w:rsidR="00EE6F71" w:rsidRDefault="00DF5A25">
      <w:pPr>
        <w:jc w:val="center"/>
      </w:pPr>
      <w:r>
        <w:rPr>
          <w:i/>
          <w:sz w:val="22"/>
        </w:rPr>
        <w:t>Architecture Development Method (ADM) — TOGAF 9.1</w:t>
      </w:r>
    </w:p>
    <w:p w14:paraId="7D3F25AF" w14:textId="77777777" w:rsidR="00EE6F71" w:rsidRDefault="00DF5A25">
      <w:pPr>
        <w:jc w:val="center"/>
      </w:pPr>
      <w:r>
        <w:rPr>
          <w:b/>
          <w:sz w:val="26"/>
        </w:rPr>
        <w:t>Componente: Final Architecture Roadmap</w:t>
      </w:r>
    </w:p>
    <w:p w14:paraId="7A95993D" w14:textId="77777777" w:rsidR="00EE6F71" w:rsidRDefault="00EE6F71"/>
    <w:p w14:paraId="5824C44D" w14:textId="77777777" w:rsidR="00EE6F71" w:rsidRDefault="00DF5A25">
      <w:pPr>
        <w:pStyle w:val="Ttulo2"/>
      </w:pPr>
      <w:r>
        <w:rPr>
          <w:color w:val="1F3B57"/>
        </w:rPr>
        <w:t>Artefacto TOGAF — Ficha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E6F71" w14:paraId="3328A9E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58BA3A7" w14:textId="77777777" w:rsidR="00EE6F71" w:rsidRDefault="00DF5A25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520" w:type="dxa"/>
            <w:shd w:val="clear" w:color="auto" w:fill="F2F2F2"/>
          </w:tcPr>
          <w:p w14:paraId="291203CD" w14:textId="77777777" w:rsidR="00EE6F71" w:rsidRDefault="00DF5A25">
            <w:r>
              <w:rPr>
                <w:sz w:val="19"/>
              </w:rPr>
              <w:t>F-FAR-001</w:t>
            </w:r>
          </w:p>
        </w:tc>
      </w:tr>
      <w:tr w:rsidR="00EE6F71" w14:paraId="01918BC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A0B32B3" w14:textId="77777777" w:rsidR="00EE6F71" w:rsidRDefault="00DF5A25"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6520" w:type="dxa"/>
            <w:shd w:val="clear" w:color="auto" w:fill="F2F2F2"/>
          </w:tcPr>
          <w:p w14:paraId="5AA4DBCF" w14:textId="77777777" w:rsidR="00EE6F71" w:rsidRDefault="00DF5A25">
            <w:r>
              <w:rPr>
                <w:sz w:val="19"/>
              </w:rPr>
              <w:t>Final Architecture Roadmap</w:t>
            </w:r>
          </w:p>
        </w:tc>
      </w:tr>
      <w:tr w:rsidR="00EE6F71" w14:paraId="43929DC2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47AC73F6" w14:textId="77777777" w:rsidR="00EE6F71" w:rsidRDefault="00DF5A25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6520" w:type="dxa"/>
            <w:shd w:val="clear" w:color="auto" w:fill="F2F2F2"/>
          </w:tcPr>
          <w:p w14:paraId="3DE98B52" w14:textId="77777777" w:rsidR="00EE6F71" w:rsidRDefault="00DF5A25">
            <w:r>
              <w:rPr>
                <w:sz w:val="19"/>
              </w:rPr>
              <w:t>Roadmap</w:t>
            </w:r>
          </w:p>
        </w:tc>
      </w:tr>
      <w:tr w:rsidR="00EE6F71" w14:paraId="776AD390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6ABAF490" w14:textId="77777777" w:rsidR="00EE6F71" w:rsidRDefault="00DF5A25">
            <w:r>
              <w:rPr>
                <w:b/>
                <w:color w:val="FFFFFF"/>
                <w:sz w:val="19"/>
              </w:rPr>
              <w:t>Fase ADM</w:t>
            </w:r>
          </w:p>
        </w:tc>
        <w:tc>
          <w:tcPr>
            <w:tcW w:w="6520" w:type="dxa"/>
            <w:shd w:val="clear" w:color="auto" w:fill="F2F2F2"/>
          </w:tcPr>
          <w:p w14:paraId="21453765" w14:textId="77777777" w:rsidR="00EE6F71" w:rsidRDefault="00DF5A25">
            <w:r>
              <w:rPr>
                <w:sz w:val="19"/>
              </w:rPr>
              <w:t xml:space="preserve">Fase F - </w:t>
            </w:r>
            <w:r>
              <w:rPr>
                <w:sz w:val="19"/>
              </w:rPr>
              <w:t>Migration Planning</w:t>
            </w:r>
          </w:p>
        </w:tc>
      </w:tr>
      <w:tr w:rsidR="00EE6F71" w14:paraId="72ADAFAB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8432C27" w14:textId="77777777" w:rsidR="00EE6F71" w:rsidRDefault="00DF5A25"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w="6520" w:type="dxa"/>
            <w:shd w:val="clear" w:color="auto" w:fill="F2F2F2"/>
          </w:tcPr>
          <w:p w14:paraId="2401C34A" w14:textId="77777777" w:rsidR="00EE6F71" w:rsidRDefault="00DF5A25">
            <w:r>
              <w:rPr>
                <w:sz w:val="19"/>
              </w:rPr>
              <w:t>Migración</w:t>
            </w:r>
          </w:p>
        </w:tc>
      </w:tr>
      <w:tr w:rsidR="00EE6F71" w14:paraId="7E67F8FE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C391F65" w14:textId="77777777" w:rsidR="00EE6F71" w:rsidRDefault="00DF5A25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6520" w:type="dxa"/>
            <w:shd w:val="clear" w:color="auto" w:fill="F2F2F2"/>
          </w:tcPr>
          <w:p w14:paraId="06762B4E" w14:textId="77777777" w:rsidR="00EE6F71" w:rsidRDefault="00DF5A25">
            <w:r>
              <w:rPr>
                <w:sz w:val="19"/>
              </w:rPr>
              <w:t>v1.0</w:t>
            </w:r>
          </w:p>
        </w:tc>
      </w:tr>
      <w:tr w:rsidR="00EE6F71" w14:paraId="71CD9F0B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75C8282C" w14:textId="77777777" w:rsidR="00EE6F71" w:rsidRDefault="00DF5A25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6520" w:type="dxa"/>
            <w:shd w:val="clear" w:color="auto" w:fill="F2F2F2"/>
          </w:tcPr>
          <w:p w14:paraId="1ABA2296" w14:textId="77777777" w:rsidR="00EE6F71" w:rsidRDefault="00DF5A25">
            <w:r>
              <w:rPr>
                <w:sz w:val="19"/>
              </w:rPr>
              <w:t>Aprobado</w:t>
            </w:r>
          </w:p>
        </w:tc>
      </w:tr>
      <w:tr w:rsidR="00EE6F71" w14:paraId="4AA8E1B6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785B5EEE" w14:textId="77777777" w:rsidR="00EE6F71" w:rsidRDefault="00DF5A25"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6520" w:type="dxa"/>
            <w:shd w:val="clear" w:color="auto" w:fill="F2F2F2"/>
          </w:tcPr>
          <w:p w14:paraId="6455CD11" w14:textId="77777777" w:rsidR="00EE6F71" w:rsidRDefault="00DF5A25">
            <w:r>
              <w:rPr>
                <w:sz w:val="19"/>
              </w:rPr>
              <w:t>Equipo de Arquitectura — Persona 6 (Fases E/F + Riesgos)</w:t>
            </w:r>
          </w:p>
        </w:tc>
      </w:tr>
      <w:tr w:rsidR="00EE6F71" w14:paraId="30BBFDFB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4BE7E978" w14:textId="77777777" w:rsidR="00EE6F71" w:rsidRDefault="00DF5A25"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w="6520" w:type="dxa"/>
            <w:shd w:val="clear" w:color="auto" w:fill="F2F2F2"/>
          </w:tcPr>
          <w:p w14:paraId="1AF47F15" w14:textId="77777777" w:rsidR="00EE6F71" w:rsidRDefault="00DF5A25">
            <w:r>
              <w:rPr>
                <w:sz w:val="19"/>
              </w:rPr>
              <w:t>Prompt Maestro CTOS-EXT-TRANSP v5.0 (Módulos A.2, L) + TOGAF 9.1 ADM Fase F</w:t>
            </w:r>
          </w:p>
        </w:tc>
      </w:tr>
      <w:tr w:rsidR="00EE6F71" w14:paraId="0783153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70B4640" w14:textId="77777777" w:rsidR="00EE6F71" w:rsidRDefault="00DF5A25"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6520" w:type="dxa"/>
            <w:shd w:val="clear" w:color="auto" w:fill="F2F2F2"/>
          </w:tcPr>
          <w:p w14:paraId="4692C457" w14:textId="77777777" w:rsidR="00EE6F71" w:rsidRDefault="00DF5A25">
            <w:r>
              <w:rPr>
                <w:sz w:val="19"/>
              </w:rPr>
              <w:t xml:space="preserve">F-BVA-001, </w:t>
            </w:r>
            <w:r>
              <w:rPr>
                <w:sz w:val="19"/>
              </w:rPr>
              <w:t>F-MPR-001, OBJ-02, MÓDULO L</w:t>
            </w:r>
          </w:p>
        </w:tc>
      </w:tr>
      <w:tr w:rsidR="00EE6F71" w14:paraId="2E125ABF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4AD105F7" w14:textId="77777777" w:rsidR="00EE6F71" w:rsidRDefault="00DF5A25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6520" w:type="dxa"/>
            <w:shd w:val="clear" w:color="auto" w:fill="F2F2F2"/>
          </w:tcPr>
          <w:p w14:paraId="4FDEB6A9" w14:textId="77777777" w:rsidR="00EE6F71" w:rsidRDefault="00DF5A25">
            <w:r>
              <w:rPr>
                <w:sz w:val="19"/>
              </w:rPr>
              <w:t>2026-07-03</w:t>
            </w:r>
          </w:p>
        </w:tc>
      </w:tr>
      <w:tr w:rsidR="00EE6F71" w14:paraId="04786DC0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13013B4" w14:textId="77777777" w:rsidR="00EE6F71" w:rsidRDefault="00DF5A25"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w="6520" w:type="dxa"/>
            <w:shd w:val="clear" w:color="auto" w:fill="F2F2F2"/>
          </w:tcPr>
          <w:p w14:paraId="7C708A59" w14:textId="77777777" w:rsidR="00EE6F71" w:rsidRDefault="00DF5A25">
            <w:r>
              <w:rPr>
                <w:sz w:val="19"/>
              </w:rPr>
              <w:t>/05_Migration_Planning/F_Final_Architecture_Roadmap/</w:t>
            </w:r>
          </w:p>
        </w:tc>
      </w:tr>
    </w:tbl>
    <w:p w14:paraId="1B170424" w14:textId="77777777" w:rsidR="00EE6F71" w:rsidRDefault="00EE6F71"/>
    <w:p w14:paraId="5D06A50E" w14:textId="77777777" w:rsidR="00EE6F71" w:rsidRDefault="00DF5A25">
      <w:pPr>
        <w:pStyle w:val="Ttulo1"/>
      </w:pPr>
      <w:r>
        <w:rPr>
          <w:color w:val="1F3B57"/>
        </w:rPr>
        <w:t>1. Propósito</w:t>
      </w:r>
    </w:p>
    <w:p w14:paraId="62F6EAF7" w14:textId="77777777" w:rsidR="00EE6F71" w:rsidRDefault="00DF5A25">
      <w:r>
        <w:t xml:space="preserve">Este documento presenta el Architecture Roadmap final, priorizado y calendarizado, de CTOS-EXT-TRANSP, conforme al Paso 6 de la </w:t>
      </w:r>
      <w:r>
        <w:t>Fase F del ADM de TOGAF ("Confirm Architecture Roadmap and update Architecture Definition Document"). Consolida el Architecture Roadmap v0.1 (Fase E), la priorización del Business Value Assessment (F-BVA-001) y los proyectos definidos en Migration Projects</w:t>
      </w:r>
      <w:r>
        <w:t xml:space="preserve"> (F-MPR-001), organizados en 3 horizontes sobre un total de 24 meses desde la aprobación de la Fase A (MÓDULO A.2).</w:t>
      </w:r>
    </w:p>
    <w:p w14:paraId="35A1009D" w14:textId="77777777" w:rsidR="00EE6F71" w:rsidRDefault="00DF5A25">
      <w:pPr>
        <w:pStyle w:val="Ttulo1"/>
      </w:pPr>
      <w:r>
        <w:rPr>
          <w:color w:val="1F3B57"/>
        </w:rPr>
        <w:t>2. Metodología de los 3 Horizontes</w:t>
      </w:r>
    </w:p>
    <w:p w14:paraId="7CA15CAD" w14:textId="77777777" w:rsidR="00EE6F71" w:rsidRDefault="00DF5A25">
      <w:r>
        <w:t>Siguiendo el formato estándar de EA Roadmap de TOGAF (corto, mediano y largo plazo), el roadmap se organi</w:t>
      </w:r>
      <w:r>
        <w:t>za en 3 horizontes calendarizados sobre las capas de Negocio, Datos/Aplicaciones y Tecnología/Gobernanza del sistema: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EE6F71" w14:paraId="436C3CB1" w14:textId="77777777">
        <w:trPr>
          <w:jc w:val="center"/>
        </w:trPr>
        <w:tc>
          <w:tcPr>
            <w:tcW w:w="2835" w:type="dxa"/>
            <w:shd w:val="clear" w:color="auto" w:fill="1F3B57"/>
          </w:tcPr>
          <w:p w14:paraId="556D4A4A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w="1701" w:type="dxa"/>
            <w:shd w:val="clear" w:color="auto" w:fill="1F3B57"/>
          </w:tcPr>
          <w:p w14:paraId="5CC7D305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w="4535" w:type="dxa"/>
            <w:shd w:val="clear" w:color="auto" w:fill="1F3B57"/>
          </w:tcPr>
          <w:p w14:paraId="78F7545C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Enfoque</w:t>
            </w:r>
          </w:p>
        </w:tc>
      </w:tr>
      <w:tr w:rsidR="00EE6F71" w14:paraId="6C493D35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A61221A" w14:textId="77777777" w:rsidR="00EE6F71" w:rsidRDefault="00DF5A25">
            <w:r>
              <w:rPr>
                <w:sz w:val="19"/>
              </w:rPr>
              <w:t>Horizonte 1 — Corto plazo</w:t>
            </w:r>
          </w:p>
        </w:tc>
        <w:tc>
          <w:tcPr>
            <w:tcW w:w="1701" w:type="dxa"/>
            <w:shd w:val="clear" w:color="auto" w:fill="F2F2F2"/>
          </w:tcPr>
          <w:p w14:paraId="6B660414" w14:textId="77777777" w:rsidR="00EE6F71" w:rsidRDefault="00DF5A25">
            <w:pPr>
              <w:jc w:val="center"/>
            </w:pPr>
            <w:r>
              <w:rPr>
                <w:sz w:val="19"/>
              </w:rPr>
              <w:t>Meses 1–9</w:t>
            </w:r>
          </w:p>
        </w:tc>
        <w:tc>
          <w:tcPr>
            <w:tcW w:w="4535" w:type="dxa"/>
            <w:shd w:val="clear" w:color="auto" w:fill="F2F2F2"/>
          </w:tcPr>
          <w:p w14:paraId="43B75BCA" w14:textId="77777777" w:rsidR="00EE6F71" w:rsidRDefault="00DF5A25">
            <w:pPr>
              <w:jc w:val="center"/>
            </w:pPr>
            <w:r>
              <w:rPr>
                <w:sz w:val="19"/>
              </w:rPr>
              <w:t>Arquitectura, diseño y Piloto Lima (SJL, Ate, El Agustino).</w:t>
            </w:r>
          </w:p>
        </w:tc>
      </w:tr>
      <w:tr w:rsidR="00EE6F71" w14:paraId="3F810FD0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50BDF883" w14:textId="77777777" w:rsidR="00EE6F71" w:rsidRDefault="00DF5A25">
            <w:r>
              <w:rPr>
                <w:sz w:val="19"/>
              </w:rPr>
              <w:t>Horizonte 2 — Mediano plazo</w:t>
            </w:r>
          </w:p>
        </w:tc>
        <w:tc>
          <w:tcPr>
            <w:tcW w:w="1701" w:type="dxa"/>
            <w:shd w:val="clear" w:color="auto" w:fill="F2F2F2"/>
          </w:tcPr>
          <w:p w14:paraId="22F3A6EA" w14:textId="77777777" w:rsidR="00EE6F71" w:rsidRDefault="00DF5A25">
            <w:pPr>
              <w:jc w:val="center"/>
            </w:pPr>
            <w:r>
              <w:rPr>
                <w:sz w:val="19"/>
              </w:rPr>
              <w:t>Meses 10–18</w:t>
            </w:r>
          </w:p>
        </w:tc>
        <w:tc>
          <w:tcPr>
            <w:tcW w:w="4535" w:type="dxa"/>
            <w:shd w:val="clear" w:color="auto" w:fill="F2F2F2"/>
          </w:tcPr>
          <w:p w14:paraId="78571301" w14:textId="77777777" w:rsidR="00EE6F71" w:rsidRDefault="00DF5A25">
            <w:pPr>
              <w:jc w:val="center"/>
            </w:pPr>
            <w:r>
              <w:rPr>
                <w:sz w:val="19"/>
              </w:rPr>
              <w:t>Despliegue Regional (43 distritos).</w:t>
            </w:r>
          </w:p>
        </w:tc>
      </w:tr>
      <w:tr w:rsidR="00EE6F71" w14:paraId="41EB4659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5548818B" w14:textId="77777777" w:rsidR="00EE6F71" w:rsidRDefault="00DF5A25">
            <w:r>
              <w:rPr>
                <w:sz w:val="19"/>
              </w:rPr>
              <w:t>Horizonte 3 — Largo plazo</w:t>
            </w:r>
          </w:p>
        </w:tc>
        <w:tc>
          <w:tcPr>
            <w:tcW w:w="1701" w:type="dxa"/>
            <w:shd w:val="clear" w:color="auto" w:fill="F2F2F2"/>
          </w:tcPr>
          <w:p w14:paraId="599E8950" w14:textId="77777777" w:rsidR="00EE6F71" w:rsidRDefault="00DF5A25">
            <w:pPr>
              <w:jc w:val="center"/>
            </w:pPr>
            <w:r>
              <w:rPr>
                <w:sz w:val="19"/>
              </w:rPr>
              <w:t>Meses 19–24</w:t>
            </w:r>
          </w:p>
        </w:tc>
        <w:tc>
          <w:tcPr>
            <w:tcW w:w="4535" w:type="dxa"/>
            <w:shd w:val="clear" w:color="auto" w:fill="F2F2F2"/>
          </w:tcPr>
          <w:p w14:paraId="32069768" w14:textId="77777777" w:rsidR="00EE6F71" w:rsidRDefault="00DF5A25">
            <w:pPr>
              <w:jc w:val="center"/>
            </w:pPr>
            <w:r>
              <w:rPr>
                <w:sz w:val="19"/>
              </w:rPr>
              <w:t>Evaluación Nacional y consolidación de gobernanza.</w:t>
            </w:r>
          </w:p>
        </w:tc>
      </w:tr>
    </w:tbl>
    <w:p w14:paraId="79F6AECD" w14:textId="77777777" w:rsidR="00EE6F71" w:rsidRDefault="00DF5A25">
      <w:pPr>
        <w:pStyle w:val="Ttulo1"/>
      </w:pPr>
      <w:r>
        <w:rPr>
          <w:color w:val="1F3B57"/>
        </w:rPr>
        <w:t>3. Roadmap Detallado y Calendarizado</w:t>
      </w:r>
    </w:p>
    <w:p w14:paraId="079CF2F3" w14:textId="77777777" w:rsidR="00EE6F71" w:rsidRDefault="00DF5A25">
      <w:pPr>
        <w:pStyle w:val="Ttulo2"/>
      </w:pPr>
      <w:r>
        <w:rPr>
          <w:color w:val="1F3B57"/>
        </w:rPr>
        <w:t>3.1 Horizonte 1 — Corto Plazo (Meses 1–9)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1701"/>
      </w:tblGrid>
      <w:tr w:rsidR="00EE6F71" w14:paraId="596AB8F8" w14:textId="77777777">
        <w:trPr>
          <w:jc w:val="center"/>
        </w:trPr>
        <w:tc>
          <w:tcPr>
            <w:tcW w:w="5102" w:type="dxa"/>
            <w:shd w:val="clear" w:color="auto" w:fill="1F3B57"/>
          </w:tcPr>
          <w:p w14:paraId="2B210D26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Building Block / Hito</w:t>
            </w:r>
          </w:p>
        </w:tc>
        <w:tc>
          <w:tcPr>
            <w:tcW w:w="2268" w:type="dxa"/>
            <w:shd w:val="clear" w:color="auto" w:fill="1F3B57"/>
          </w:tcPr>
          <w:p w14:paraId="2E023F7A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w="1701" w:type="dxa"/>
            <w:shd w:val="clear" w:color="auto" w:fill="1F3B57"/>
          </w:tcPr>
          <w:p w14:paraId="2749E88A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</w:tr>
      <w:tr w:rsidR="00EE6F71" w14:paraId="7AF8C170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6E46DCD4" w14:textId="77777777" w:rsidR="00EE6F71" w:rsidRDefault="00DF5A25">
            <w:r>
              <w:rPr>
                <w:sz w:val="19"/>
              </w:rPr>
              <w:t>Decisión INT-07/INT-08 (Observatorio del Crimen / Asyste)</w:t>
            </w:r>
          </w:p>
        </w:tc>
        <w:tc>
          <w:tcPr>
            <w:tcW w:w="2268" w:type="dxa"/>
            <w:shd w:val="clear" w:color="auto" w:fill="F2F2F2"/>
          </w:tcPr>
          <w:p w14:paraId="2F92AFF2" w14:textId="77777777" w:rsidR="00EE6F71" w:rsidRDefault="00DF5A25">
            <w:pPr>
              <w:jc w:val="center"/>
            </w:pPr>
            <w:r>
              <w:rPr>
                <w:sz w:val="19"/>
              </w:rPr>
              <w:t>Meses 1–3</w:t>
            </w:r>
          </w:p>
        </w:tc>
        <w:tc>
          <w:tcPr>
            <w:tcW w:w="1701" w:type="dxa"/>
            <w:shd w:val="clear" w:color="auto" w:fill="F2F2F2"/>
          </w:tcPr>
          <w:p w14:paraId="2974A55E" w14:textId="77777777" w:rsidR="00EE6F71" w:rsidRDefault="00DF5A25">
            <w:pPr>
              <w:jc w:val="center"/>
            </w:pPr>
            <w:r>
              <w:rPr>
                <w:sz w:val="19"/>
              </w:rPr>
              <w:t>Prioridad 1</w:t>
            </w:r>
          </w:p>
        </w:tc>
      </w:tr>
      <w:tr w:rsidR="00EE6F71" w14:paraId="05EE03CC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3421F207" w14:textId="77777777" w:rsidR="00EE6F71" w:rsidRDefault="00DF5A25">
            <w:r>
              <w:rPr>
                <w:sz w:val="19"/>
              </w:rPr>
              <w:t>Arquitectura de datos y aplicaciones (Fase C)</w:t>
            </w:r>
          </w:p>
        </w:tc>
        <w:tc>
          <w:tcPr>
            <w:tcW w:w="2268" w:type="dxa"/>
            <w:shd w:val="clear" w:color="auto" w:fill="F2F2F2"/>
          </w:tcPr>
          <w:p w14:paraId="154ED8A1" w14:textId="77777777" w:rsidR="00EE6F71" w:rsidRDefault="00DF5A25">
            <w:pPr>
              <w:jc w:val="center"/>
            </w:pPr>
            <w:r>
              <w:rPr>
                <w:sz w:val="19"/>
              </w:rPr>
              <w:t>Meses 1–3</w:t>
            </w:r>
          </w:p>
        </w:tc>
        <w:tc>
          <w:tcPr>
            <w:tcW w:w="1701" w:type="dxa"/>
            <w:shd w:val="clear" w:color="auto" w:fill="F2F2F2"/>
          </w:tcPr>
          <w:p w14:paraId="0CD9430D" w14:textId="77777777" w:rsidR="00EE6F71" w:rsidRDefault="00DF5A25">
            <w:pPr>
              <w:jc w:val="center"/>
            </w:pPr>
            <w:r>
              <w:rPr>
                <w:sz w:val="19"/>
              </w:rPr>
              <w:t>Prioridad 1</w:t>
            </w:r>
          </w:p>
        </w:tc>
      </w:tr>
      <w:tr w:rsidR="00EE6F71" w14:paraId="07A992D0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171453D2" w14:textId="77777777" w:rsidR="00EE6F71" w:rsidRDefault="00DF5A25">
            <w:r>
              <w:rPr>
                <w:sz w:val="19"/>
              </w:rPr>
              <w:t>App Ciudadana + motor de clustering (DBSCAN)</w:t>
            </w:r>
          </w:p>
        </w:tc>
        <w:tc>
          <w:tcPr>
            <w:tcW w:w="2268" w:type="dxa"/>
            <w:shd w:val="clear" w:color="auto" w:fill="F2F2F2"/>
          </w:tcPr>
          <w:p w14:paraId="01E0674D" w14:textId="77777777" w:rsidR="00EE6F71" w:rsidRDefault="00DF5A25">
            <w:pPr>
              <w:jc w:val="center"/>
            </w:pPr>
            <w:r>
              <w:rPr>
                <w:sz w:val="19"/>
              </w:rPr>
              <w:t>Meses 4–9</w:t>
            </w:r>
          </w:p>
        </w:tc>
        <w:tc>
          <w:tcPr>
            <w:tcW w:w="1701" w:type="dxa"/>
            <w:shd w:val="clear" w:color="auto" w:fill="F2F2F2"/>
          </w:tcPr>
          <w:p w14:paraId="18E79771" w14:textId="77777777" w:rsidR="00EE6F71" w:rsidRDefault="00DF5A25">
            <w:pPr>
              <w:jc w:val="center"/>
            </w:pPr>
            <w:r>
              <w:rPr>
                <w:sz w:val="19"/>
              </w:rPr>
              <w:t>Prioridad 1</w:t>
            </w:r>
          </w:p>
        </w:tc>
      </w:tr>
      <w:tr w:rsidR="00EE6F71" w14:paraId="7E8835F4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0F71E7FE" w14:textId="77777777" w:rsidR="00EE6F71" w:rsidRDefault="00DF5A25">
            <w:r>
              <w:rPr>
                <w:sz w:val="19"/>
              </w:rPr>
              <w:lastRenderedPageBreak/>
              <w:t>Integración INT-04 (despacho PNP) e INT-05 (WhatsApp)</w:t>
            </w:r>
          </w:p>
        </w:tc>
        <w:tc>
          <w:tcPr>
            <w:tcW w:w="2268" w:type="dxa"/>
            <w:shd w:val="clear" w:color="auto" w:fill="F2F2F2"/>
          </w:tcPr>
          <w:p w14:paraId="1FDDB81E" w14:textId="77777777" w:rsidR="00EE6F71" w:rsidRDefault="00DF5A25">
            <w:pPr>
              <w:jc w:val="center"/>
            </w:pPr>
            <w:r>
              <w:rPr>
                <w:sz w:val="19"/>
              </w:rPr>
              <w:t>Meses 4–9</w:t>
            </w:r>
          </w:p>
        </w:tc>
        <w:tc>
          <w:tcPr>
            <w:tcW w:w="1701" w:type="dxa"/>
            <w:shd w:val="clear" w:color="auto" w:fill="F2F2F2"/>
          </w:tcPr>
          <w:p w14:paraId="17ED1D42" w14:textId="77777777" w:rsidR="00EE6F71" w:rsidRDefault="00DF5A25">
            <w:pPr>
              <w:jc w:val="center"/>
            </w:pPr>
            <w:r>
              <w:rPr>
                <w:sz w:val="19"/>
              </w:rPr>
              <w:t>Prioridad 1</w:t>
            </w:r>
          </w:p>
        </w:tc>
      </w:tr>
    </w:tbl>
    <w:p w14:paraId="4A8ACEB2" w14:textId="77777777" w:rsidR="00EE6F71" w:rsidRDefault="00DF5A25">
      <w:pPr>
        <w:pStyle w:val="Ttulo2"/>
      </w:pPr>
      <w:r>
        <w:rPr>
          <w:color w:val="1F3B57"/>
        </w:rPr>
        <w:t>3.2 Horizonte 2 — Mediano Plazo (Meses 10–18)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1701"/>
      </w:tblGrid>
      <w:tr w:rsidR="00EE6F71" w14:paraId="2A0082C0" w14:textId="77777777">
        <w:trPr>
          <w:jc w:val="center"/>
        </w:trPr>
        <w:tc>
          <w:tcPr>
            <w:tcW w:w="5102" w:type="dxa"/>
            <w:shd w:val="clear" w:color="auto" w:fill="1F3B57"/>
          </w:tcPr>
          <w:p w14:paraId="4A2862A6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Building Block / Hito</w:t>
            </w:r>
          </w:p>
        </w:tc>
        <w:tc>
          <w:tcPr>
            <w:tcW w:w="2268" w:type="dxa"/>
            <w:shd w:val="clear" w:color="auto" w:fill="1F3B57"/>
          </w:tcPr>
          <w:p w14:paraId="0A5D47EF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w="1701" w:type="dxa"/>
            <w:shd w:val="clear" w:color="auto" w:fill="1F3B57"/>
          </w:tcPr>
          <w:p w14:paraId="379D5632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</w:tr>
      <w:tr w:rsidR="00EE6F71" w14:paraId="5850F6C2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70A4B745" w14:textId="77777777" w:rsidR="00EE6F71" w:rsidRDefault="00DF5A25">
            <w:r>
              <w:rPr>
                <w:sz w:val="19"/>
              </w:rPr>
              <w:t>Despliegue Regional — 43 distritos</w:t>
            </w:r>
          </w:p>
        </w:tc>
        <w:tc>
          <w:tcPr>
            <w:tcW w:w="2268" w:type="dxa"/>
            <w:shd w:val="clear" w:color="auto" w:fill="F2F2F2"/>
          </w:tcPr>
          <w:p w14:paraId="7A17C2C1" w14:textId="77777777" w:rsidR="00EE6F71" w:rsidRDefault="00DF5A25">
            <w:pPr>
              <w:jc w:val="center"/>
            </w:pPr>
            <w:r>
              <w:rPr>
                <w:sz w:val="19"/>
              </w:rPr>
              <w:t>Meses 10–18</w:t>
            </w:r>
          </w:p>
        </w:tc>
        <w:tc>
          <w:tcPr>
            <w:tcW w:w="1701" w:type="dxa"/>
            <w:shd w:val="clear" w:color="auto" w:fill="F2F2F2"/>
          </w:tcPr>
          <w:p w14:paraId="7C976D81" w14:textId="77777777" w:rsidR="00EE6F71" w:rsidRDefault="00DF5A25">
            <w:pPr>
              <w:jc w:val="center"/>
            </w:pPr>
            <w:r>
              <w:rPr>
                <w:sz w:val="19"/>
              </w:rPr>
              <w:t>Prioridad 3</w:t>
            </w:r>
          </w:p>
        </w:tc>
      </w:tr>
      <w:tr w:rsidR="00EE6F71" w14:paraId="30FD6896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351744EC" w14:textId="77777777" w:rsidR="00EE6F71" w:rsidRDefault="00DF5A25">
            <w:r>
              <w:rPr>
                <w:sz w:val="19"/>
              </w:rPr>
              <w:t>Escalamiento de infraestructura AWS + INT-06 (Amazon Location Service)</w:t>
            </w:r>
          </w:p>
        </w:tc>
        <w:tc>
          <w:tcPr>
            <w:tcW w:w="2268" w:type="dxa"/>
            <w:shd w:val="clear" w:color="auto" w:fill="F2F2F2"/>
          </w:tcPr>
          <w:p w14:paraId="58BBE068" w14:textId="77777777" w:rsidR="00EE6F71" w:rsidRDefault="00DF5A25">
            <w:pPr>
              <w:jc w:val="center"/>
            </w:pPr>
            <w:r>
              <w:rPr>
                <w:sz w:val="19"/>
              </w:rPr>
              <w:t>Meses 10–18</w:t>
            </w:r>
          </w:p>
        </w:tc>
        <w:tc>
          <w:tcPr>
            <w:tcW w:w="1701" w:type="dxa"/>
            <w:shd w:val="clear" w:color="auto" w:fill="F2F2F2"/>
          </w:tcPr>
          <w:p w14:paraId="3A9CEB58" w14:textId="77777777" w:rsidR="00EE6F71" w:rsidRDefault="00DF5A25">
            <w:pPr>
              <w:jc w:val="center"/>
            </w:pPr>
            <w:r>
              <w:rPr>
                <w:sz w:val="19"/>
              </w:rPr>
              <w:t>Prioridad 2</w:t>
            </w:r>
          </w:p>
        </w:tc>
      </w:tr>
      <w:tr w:rsidR="00EE6F71" w14:paraId="69DFA296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04A1FF43" w14:textId="77777777" w:rsidR="00EE6F71" w:rsidRDefault="00DF5A25">
            <w:r>
              <w:rPr>
                <w:sz w:val="19"/>
              </w:rPr>
              <w:t>Consolidación de gobernanza (Fase G)</w:t>
            </w:r>
          </w:p>
        </w:tc>
        <w:tc>
          <w:tcPr>
            <w:tcW w:w="2268" w:type="dxa"/>
            <w:shd w:val="clear" w:color="auto" w:fill="F2F2F2"/>
          </w:tcPr>
          <w:p w14:paraId="55CA6CBA" w14:textId="77777777" w:rsidR="00EE6F71" w:rsidRDefault="00DF5A25">
            <w:pPr>
              <w:jc w:val="center"/>
            </w:pPr>
            <w:r>
              <w:rPr>
                <w:sz w:val="19"/>
              </w:rPr>
              <w:t>Meses 12–18</w:t>
            </w:r>
          </w:p>
        </w:tc>
        <w:tc>
          <w:tcPr>
            <w:tcW w:w="1701" w:type="dxa"/>
            <w:shd w:val="clear" w:color="auto" w:fill="F2F2F2"/>
          </w:tcPr>
          <w:p w14:paraId="51BA0F09" w14:textId="77777777" w:rsidR="00EE6F71" w:rsidRDefault="00DF5A25">
            <w:pPr>
              <w:jc w:val="center"/>
            </w:pPr>
            <w:r>
              <w:rPr>
                <w:sz w:val="19"/>
              </w:rPr>
              <w:t>Prioridad 2</w:t>
            </w:r>
          </w:p>
        </w:tc>
      </w:tr>
    </w:tbl>
    <w:p w14:paraId="436D37EC" w14:textId="77777777" w:rsidR="00EE6F71" w:rsidRDefault="00DF5A25">
      <w:pPr>
        <w:pStyle w:val="Ttulo2"/>
      </w:pPr>
      <w:r>
        <w:rPr>
          <w:color w:val="1F3B57"/>
        </w:rPr>
        <w:t>3.3 Horizonte 3 — Largo Plazo (Meses 19–24)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1701"/>
      </w:tblGrid>
      <w:tr w:rsidR="00EE6F71" w14:paraId="57A70453" w14:textId="77777777">
        <w:trPr>
          <w:jc w:val="center"/>
        </w:trPr>
        <w:tc>
          <w:tcPr>
            <w:tcW w:w="5102" w:type="dxa"/>
            <w:shd w:val="clear" w:color="auto" w:fill="1F3B57"/>
          </w:tcPr>
          <w:p w14:paraId="500733FF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Building Block / Hito</w:t>
            </w:r>
          </w:p>
        </w:tc>
        <w:tc>
          <w:tcPr>
            <w:tcW w:w="2268" w:type="dxa"/>
            <w:shd w:val="clear" w:color="auto" w:fill="1F3B57"/>
          </w:tcPr>
          <w:p w14:paraId="3F62A09E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w="1701" w:type="dxa"/>
            <w:shd w:val="clear" w:color="auto" w:fill="1F3B57"/>
          </w:tcPr>
          <w:p w14:paraId="45B8A537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</w:tr>
      <w:tr w:rsidR="00EE6F71" w14:paraId="09CC8602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3D5DB9B9" w14:textId="77777777" w:rsidR="00EE6F71" w:rsidRDefault="00DF5A25">
            <w:r>
              <w:rPr>
                <w:sz w:val="19"/>
              </w:rPr>
              <w:t>Evaluación Nacional (Lima + otras regiones)</w:t>
            </w:r>
          </w:p>
        </w:tc>
        <w:tc>
          <w:tcPr>
            <w:tcW w:w="2268" w:type="dxa"/>
            <w:shd w:val="clear" w:color="auto" w:fill="F2F2F2"/>
          </w:tcPr>
          <w:p w14:paraId="4FAAB251" w14:textId="77777777" w:rsidR="00EE6F71" w:rsidRDefault="00DF5A25">
            <w:pPr>
              <w:jc w:val="center"/>
            </w:pPr>
            <w:r>
              <w:rPr>
                <w:sz w:val="19"/>
              </w:rPr>
              <w:t>Meses 19–24</w:t>
            </w:r>
          </w:p>
        </w:tc>
        <w:tc>
          <w:tcPr>
            <w:tcW w:w="1701" w:type="dxa"/>
            <w:shd w:val="clear" w:color="auto" w:fill="F2F2F2"/>
          </w:tcPr>
          <w:p w14:paraId="6287AB89" w14:textId="77777777" w:rsidR="00EE6F71" w:rsidRDefault="00DF5A25">
            <w:pPr>
              <w:jc w:val="center"/>
            </w:pPr>
            <w:r>
              <w:rPr>
                <w:sz w:val="19"/>
              </w:rPr>
              <w:t>Prioridad 2</w:t>
            </w:r>
          </w:p>
        </w:tc>
      </w:tr>
      <w:tr w:rsidR="00EE6F71" w14:paraId="46C4A4A0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063DA909" w14:textId="77777777" w:rsidR="00EE6F71" w:rsidRDefault="00DF5A25">
            <w:r>
              <w:rPr>
                <w:sz w:val="19"/>
              </w:rPr>
              <w:t>Cierre del ciclo ADM y lecciones aprendidas</w:t>
            </w:r>
          </w:p>
        </w:tc>
        <w:tc>
          <w:tcPr>
            <w:tcW w:w="2268" w:type="dxa"/>
            <w:shd w:val="clear" w:color="auto" w:fill="F2F2F2"/>
          </w:tcPr>
          <w:p w14:paraId="068A7B7D" w14:textId="77777777" w:rsidR="00EE6F71" w:rsidRDefault="00DF5A25">
            <w:pPr>
              <w:jc w:val="center"/>
            </w:pPr>
            <w:r>
              <w:rPr>
                <w:sz w:val="19"/>
              </w:rPr>
              <w:t>Mes 24</w:t>
            </w:r>
          </w:p>
        </w:tc>
        <w:tc>
          <w:tcPr>
            <w:tcW w:w="1701" w:type="dxa"/>
            <w:shd w:val="clear" w:color="auto" w:fill="F2F2F2"/>
          </w:tcPr>
          <w:p w14:paraId="09B02D40" w14:textId="77777777" w:rsidR="00EE6F71" w:rsidRDefault="00DF5A25">
            <w:pPr>
              <w:jc w:val="center"/>
            </w:pPr>
            <w:r>
              <w:rPr>
                <w:sz w:val="19"/>
              </w:rPr>
              <w:t>Prioridad 1</w:t>
            </w:r>
          </w:p>
        </w:tc>
      </w:tr>
      <w:tr w:rsidR="00EE6F71" w14:paraId="1887F37B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00EC66B2" w14:textId="77777777" w:rsidR="00EE6F71" w:rsidRDefault="00DF5A25">
            <w:r>
              <w:rPr>
                <w:sz w:val="19"/>
              </w:rPr>
              <w:t>Requests for Architecture Work — nueva iteración (si aplica)</w:t>
            </w:r>
          </w:p>
        </w:tc>
        <w:tc>
          <w:tcPr>
            <w:tcW w:w="2268" w:type="dxa"/>
            <w:shd w:val="clear" w:color="auto" w:fill="F2F2F2"/>
          </w:tcPr>
          <w:p w14:paraId="082C629B" w14:textId="77777777" w:rsidR="00EE6F71" w:rsidRDefault="00DF5A25">
            <w:pPr>
              <w:jc w:val="center"/>
            </w:pPr>
            <w:r>
              <w:rPr>
                <w:sz w:val="19"/>
              </w:rPr>
              <w:t>Mes 24+</w:t>
            </w:r>
          </w:p>
        </w:tc>
        <w:tc>
          <w:tcPr>
            <w:tcW w:w="1701" w:type="dxa"/>
            <w:shd w:val="clear" w:color="auto" w:fill="F2F2F2"/>
          </w:tcPr>
          <w:p w14:paraId="29CF80AB" w14:textId="77777777" w:rsidR="00EE6F71" w:rsidRDefault="00DF5A25">
            <w:pPr>
              <w:jc w:val="center"/>
            </w:pPr>
            <w:r>
              <w:rPr>
                <w:sz w:val="19"/>
              </w:rPr>
              <w:t>A evaluar</w:t>
            </w:r>
          </w:p>
        </w:tc>
      </w:tr>
    </w:tbl>
    <w:p w14:paraId="32947F3A" w14:textId="77777777" w:rsidR="00EE6F71" w:rsidRDefault="00DF5A25">
      <w:pPr>
        <w:pStyle w:val="Ttulo1"/>
      </w:pPr>
      <w:r>
        <w:rPr>
          <w:color w:val="1F3B57"/>
        </w:rPr>
        <w:t>4. Riesgos Asociados por Horizonte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EE6F71" w14:paraId="53756A60" w14:textId="77777777">
        <w:trPr>
          <w:jc w:val="center"/>
        </w:trPr>
        <w:tc>
          <w:tcPr>
            <w:tcW w:w="1701" w:type="dxa"/>
            <w:shd w:val="clear" w:color="auto" w:fill="1F3B57"/>
          </w:tcPr>
          <w:p w14:paraId="05E1A57C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w="3402" w:type="dxa"/>
            <w:shd w:val="clear" w:color="auto" w:fill="1F3B57"/>
          </w:tcPr>
          <w:p w14:paraId="3C9633DE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3969" w:type="dxa"/>
            <w:shd w:val="clear" w:color="auto" w:fill="1F3B57"/>
          </w:tcPr>
          <w:p w14:paraId="6950951D" w14:textId="77777777" w:rsidR="00EE6F71" w:rsidRDefault="00DF5A25">
            <w:pPr>
              <w:jc w:val="center"/>
            </w:pPr>
            <w:r>
              <w:rPr>
                <w:b/>
                <w:color w:val="FFFFFF"/>
                <w:sz w:val="19"/>
              </w:rPr>
              <w:t>Mitigación</w:t>
            </w:r>
          </w:p>
        </w:tc>
      </w:tr>
      <w:tr w:rsidR="00EE6F71" w14:paraId="068B465C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A7ED3D8" w14:textId="77777777" w:rsidR="00EE6F71" w:rsidRDefault="00DF5A25">
            <w:pPr>
              <w:jc w:val="center"/>
            </w:pPr>
            <w:r>
              <w:rPr>
                <w:sz w:val="19"/>
              </w:rPr>
              <w:t>Horizonte 1</w:t>
            </w:r>
          </w:p>
        </w:tc>
        <w:tc>
          <w:tcPr>
            <w:tcW w:w="3402" w:type="dxa"/>
            <w:shd w:val="clear" w:color="auto" w:fill="F2F2F2"/>
          </w:tcPr>
          <w:p w14:paraId="4E91DFAF" w14:textId="77777777" w:rsidR="00EE6F71" w:rsidRDefault="00DF5A25">
            <w:pPr>
              <w:jc w:val="center"/>
            </w:pPr>
            <w:r>
              <w:rPr>
                <w:sz w:val="19"/>
              </w:rPr>
              <w:t>RIE-ANT-01 (alertas sin despacho real)</w:t>
            </w:r>
          </w:p>
        </w:tc>
        <w:tc>
          <w:tcPr>
            <w:tcW w:w="3969" w:type="dxa"/>
            <w:shd w:val="clear" w:color="auto" w:fill="F2F2F2"/>
          </w:tcPr>
          <w:p w14:paraId="4D3F0AB9" w14:textId="77777777" w:rsidR="00EE6F71" w:rsidRDefault="00DF5A25">
            <w:pPr>
              <w:jc w:val="center"/>
            </w:pPr>
            <w:r>
              <w:rPr>
                <w:sz w:val="19"/>
              </w:rPr>
              <w:t>Medir TRI (OBJ-02) desde el Mes 4; escalar a Comandante si no mejora en 2 meses.</w:t>
            </w:r>
          </w:p>
        </w:tc>
      </w:tr>
      <w:tr w:rsidR="00EE6F71" w14:paraId="3CF4C7BC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2816E129" w14:textId="77777777" w:rsidR="00EE6F71" w:rsidRDefault="00DF5A25">
            <w:pPr>
              <w:jc w:val="center"/>
            </w:pPr>
            <w:r>
              <w:rPr>
                <w:sz w:val="19"/>
              </w:rPr>
              <w:t>Horizonte 2</w:t>
            </w:r>
          </w:p>
        </w:tc>
        <w:tc>
          <w:tcPr>
            <w:tcW w:w="3402" w:type="dxa"/>
            <w:shd w:val="clear" w:color="auto" w:fill="F2F2F2"/>
          </w:tcPr>
          <w:p w14:paraId="10C89C0B" w14:textId="77777777" w:rsidR="00EE6F71" w:rsidRDefault="00DF5A25">
            <w:pPr>
              <w:jc w:val="center"/>
            </w:pPr>
            <w:r>
              <w:rPr>
                <w:sz w:val="19"/>
              </w:rPr>
              <w:t>RIE-ANT-02 (retroalimentación tipo predictive policing)</w:t>
            </w:r>
          </w:p>
        </w:tc>
        <w:tc>
          <w:tcPr>
            <w:tcW w:w="3969" w:type="dxa"/>
            <w:shd w:val="clear" w:color="auto" w:fill="F2F2F2"/>
          </w:tcPr>
          <w:p w14:paraId="7B1703AC" w14:textId="77777777" w:rsidR="00EE6F71" w:rsidRDefault="00DF5A25">
            <w:pPr>
              <w:jc w:val="center"/>
            </w:pPr>
            <w:r>
              <w:rPr>
                <w:sz w:val="19"/>
              </w:rPr>
              <w:t xml:space="preserve">Revisar Clústeres </w:t>
            </w:r>
            <w:r>
              <w:rPr>
                <w:sz w:val="19"/>
              </w:rPr>
              <w:t>"Resueltos" vs. nuevos antes de escalar Amazon Location Service.</w:t>
            </w:r>
          </w:p>
        </w:tc>
      </w:tr>
      <w:tr w:rsidR="00EE6F71" w14:paraId="67F13CAC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159F40A8" w14:textId="77777777" w:rsidR="00EE6F71" w:rsidRDefault="00DF5A25">
            <w:pPr>
              <w:jc w:val="center"/>
            </w:pPr>
            <w:r>
              <w:rPr>
                <w:sz w:val="19"/>
              </w:rPr>
              <w:t>Horizonte 3</w:t>
            </w:r>
          </w:p>
        </w:tc>
        <w:tc>
          <w:tcPr>
            <w:tcW w:w="3402" w:type="dxa"/>
            <w:shd w:val="clear" w:color="auto" w:fill="F2F2F2"/>
          </w:tcPr>
          <w:p w14:paraId="198019D7" w14:textId="77777777" w:rsidR="00EE6F71" w:rsidRDefault="00DF5A25">
            <w:pPr>
              <w:jc w:val="center"/>
            </w:pPr>
            <w:r>
              <w:rPr>
                <w:sz w:val="19"/>
              </w:rPr>
              <w:t>RIE-TRANSP-03 (seguimiento operativo insuficiente)</w:t>
            </w:r>
          </w:p>
        </w:tc>
        <w:tc>
          <w:tcPr>
            <w:tcW w:w="3969" w:type="dxa"/>
            <w:shd w:val="clear" w:color="auto" w:fill="F2F2F2"/>
          </w:tcPr>
          <w:p w14:paraId="626C1868" w14:textId="77777777" w:rsidR="00EE6F71" w:rsidRDefault="00DF5A25">
            <w:pPr>
              <w:jc w:val="center"/>
            </w:pPr>
            <w:r>
              <w:rPr>
                <w:sz w:val="19"/>
              </w:rPr>
              <w:t>Auditoría final de despacho real antes del cierre del ciclo ADM.</w:t>
            </w:r>
          </w:p>
        </w:tc>
      </w:tr>
    </w:tbl>
    <w:p w14:paraId="2CB18C18" w14:textId="77777777" w:rsidR="00EE6F71" w:rsidRDefault="00EE6F71"/>
    <w:p w14:paraId="325846FE" w14:textId="77777777" w:rsidR="00EE6F71" w:rsidRDefault="00DF5A25">
      <w:pPr>
        <w:pStyle w:val="Ttulo1"/>
      </w:pPr>
      <w:r>
        <w:rPr>
          <w:color w:val="1F3B57"/>
        </w:rPr>
        <w:t>5. Conclusión</w:t>
      </w:r>
    </w:p>
    <w:p w14:paraId="7FA842AE" w14:textId="77777777" w:rsidR="00EE6F71" w:rsidRDefault="00DF5A25">
      <w:r>
        <w:t>El roadmap de 3 horizontes confirma que la via</w:t>
      </w:r>
      <w:r>
        <w:t>bilidad de todo el ciclo depende de cerrar, dentro del Horizonte 1, la decisión sobre la relación con el Observatorio del Crimen PNP y el Programa Asyste (INT-07/INT-08): sin esa definición, el diseño del motor de clustering usado en los Horizontes 2 y 3 q</w:t>
      </w:r>
      <w:r>
        <w:t>ueda en riesgo de rediseño. Este roadmap final actualiza y reemplaza la versión v0.1 generada en la Fase E.</w:t>
      </w:r>
    </w:p>
    <w:p w14:paraId="75130731" w14:textId="77777777" w:rsidR="00EE6F71" w:rsidRDefault="00EE6F71"/>
    <w:p w14:paraId="7607D7E9" w14:textId="77777777" w:rsidR="00EE6F71" w:rsidRDefault="00DF5A25">
      <w:r>
        <w:rPr>
          <w:i/>
          <w:color w:val="666666"/>
          <w:sz w:val="18"/>
        </w:rPr>
        <w:t xml:space="preserve">Supuestos asumidos: la calendarización de cada hito se derivó directamente de las duraciones del MÓDULO L; ajustar fechas exactas cuando la Fase A </w:t>
      </w:r>
      <w:r>
        <w:rPr>
          <w:i/>
          <w:color w:val="666666"/>
          <w:sz w:val="18"/>
        </w:rPr>
        <w:t>sea aprobada formalmente.</w:t>
      </w:r>
    </w:p>
    <w:sectPr w:rsidR="00EE6F71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7108"/>
    <w:rsid w:val="00AA1D8D"/>
    <w:rsid w:val="00B47730"/>
    <w:rsid w:val="00CB0664"/>
    <w:rsid w:val="00DF5A25"/>
    <w:rsid w:val="00EE6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AA2DC9"/>
  <w14:defaultImageDpi w14:val="300"/>
  <w15:docId w15:val="{5B8B60DA-DC4D-4C7F-861D-D2B4F3C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2026-07-03T22:41:00Z</dcterms:created>
  <dcterms:modified xsi:type="dcterms:W3CDTF">2026-07-03T22:41:00Z</dcterms:modified>
  <cp:category/>
</cp:coreProperties>
</file>