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A5F"/>
          <w:sz w:val="48"/>
          <w:szCs w:val="48"/>
        </w:rPr>
        <w:t xml:space="preserve">ROADMAP DE IMPLEMENTACIÓN</w:t>
      </w:r>
    </w:p>
    <w:p>
      <w:pPr>
        <w:spacing w:after="100" w:before="200"/>
        <w:jc w:val="center"/>
      </w:pPr>
      <w:r>
        <w:rPr>
          <w:b/>
          <w:bCs/>
          <w:color w:val="1F3A5F"/>
          <w:sz w:val="36"/>
          <w:szCs w:val="36"/>
        </w:rPr>
        <w:t xml:space="preserve">CTOS-EXT-TRANSP v5.0</w:t>
      </w:r>
    </w:p>
    <w:p>
      <w:pPr>
        <w:spacing w:after="600"/>
        <w:jc w:val="center"/>
      </w:pPr>
      <w:r>
        <w:rPr>
          <w:i/>
          <w:iCs/>
          <w:color w:val="5A5A5A"/>
          <w:sz w:val="24"/>
          <w:szCs w:val="24"/>
        </w:rPr>
        <w:t xml:space="preserve">Sistema de Inteligencia Táctica contra Extorsión al Sector Transporte</w:t>
      </w:r>
    </w:p>
    <w:p>
      <w:pPr>
        <w:spacing w:after="100"/>
        <w:jc w:val="center"/>
      </w:pPr>
      <w:r>
        <w:rPr>
          <w:b/>
          <w:bCs/>
          <w:color w:val="B00020"/>
          <w:sz w:val="20"/>
          <w:szCs w:val="20"/>
        </w:rPr>
        <w:t xml:space="preserve">Clasificación: RESERVADO — Uso interno PNP / Equipo de arquitectura</w:t>
      </w:r>
    </w:p>
    <w:p>
      <w:pPr>
        <w:spacing w:after="100"/>
        <w:jc w:val="center"/>
      </w:pPr>
      <w:r>
        <w:rPr>
          <w:color w:val="5A5A5A"/>
          <w:sz w:val="20"/>
          <w:szCs w:val="20"/>
        </w:rPr>
        <w:t xml:space="preserve">Marco: TOGAF 9.2 (ADM) — Horizonte: 24 meses</w:t>
      </w:r>
    </w:p>
    <w:p>
      <w:pPr>
        <w:spacing w:after="1400"/>
        <w:jc w:val="center"/>
      </w:pPr>
      <w:r>
        <w:rPr>
          <w:color w:val="5A5A5A"/>
          <w:sz w:val="20"/>
          <w:szCs w:val="20"/>
        </w:rPr>
        <w:t xml:space="preserve">Fecha de generación: 03 de julio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A5F"/>
        </w:rPr>
        <w:t xml:space="preserve">1. Resumen Ejecutivo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Este roadmap consolida la ruta de implementación de CTOS-EXT-TRANSP a lo largo de 24 meses, organizada en cuatro fases de despliegue (Fase 0 a Fase 3) alineadas con las fases del ciclo TOGAF ADM (Visión, Negocio, Datos, Aplicaciones, Tecnología, Plan, Gobernanza y Gestión del Cambio). Integra hitos técnicos, decisiones pendientes de arquitectura, dependencias entre fases, asignación de equipo, gestión de riesgos y los puntos de control (gates) que el Comité de Arquitectura debe aprobar antes de avanzar de una fase a la siguiente.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El sistema se posiciona como complementario — no sustituto — de la Central 111, el Programa Asyste y la División del Observatorio del Crimen de la PNP (Ley N.° 32490). La relación exacta con estos dos últimos es una decisión pendiente que debe resolverse formalmente dentro de la Fase 0, antes de aprobar el cierre de la Fase de Visión.</w:t>
      </w:r>
    </w:p>
    <w:p>
      <w:pPr>
        <w:pStyle w:val="Heading1"/>
        <w:spacing w:after="200" w:before="400"/>
      </w:pPr>
      <w:r>
        <w:rPr>
          <w:b/>
          <w:bCs/>
          <w:color w:val="1F3A5F"/>
        </w:rPr>
        <w:t xml:space="preserve">2. Cronograma Consolidado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"/>
        <w:gridCol w:w="1872"/>
        <w:gridCol w:w="1310"/>
        <w:gridCol w:w="2059"/>
        <w:gridCol w:w="3182"/>
      </w:tblGrid>
      <w:tr>
        <w:trPr>
          <w:tblHeader/>
        </w:trPr>
        <w:tc>
          <w:tcPr>
            <w:tcW w:type="dxa" w:w="936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872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31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2059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Periodo estimado</w:t>
            </w:r>
          </w:p>
        </w:tc>
        <w:tc>
          <w:tcPr>
            <w:tcW w:type="dxa" w:w="3182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</w:tr>
      <w:tr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0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Arquitectura y Diseño</w:t>
            </w:r>
          </w:p>
        </w:tc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 meses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Ago – Oct 2026</w:t>
            </w:r>
          </w:p>
        </w:tc>
        <w:tc>
          <w:tcPr>
            <w:tcW w:type="dxa" w:w="318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Diseño técnico; resolución de integraciones pendientes (Observatorio del Crimen, Asyste, botón de pánico C5i)</w:t>
            </w:r>
          </w:p>
        </w:tc>
      </w:tr>
      <w:tr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1</w:t>
            </w:r>
          </w:p>
        </w:tc>
        <w:tc>
          <w:tcPr>
            <w:tcW w:type="dxa" w:w="1872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Piloto Lima</w:t>
            </w:r>
          </w:p>
        </w:tc>
        <w:tc>
          <w:tcPr>
            <w:tcW w:type="dxa" w:w="1310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 meses</w:t>
            </w:r>
          </w:p>
        </w:tc>
        <w:tc>
          <w:tcPr>
            <w:tcW w:type="dxa" w:w="2059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Nov 2026 – Abr 2027</w:t>
            </w:r>
          </w:p>
        </w:tc>
        <w:tc>
          <w:tcPr>
            <w:tcW w:type="dxa" w:w="3182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San Juan de Lurigancho, Ate, El Agustino</w:t>
            </w:r>
          </w:p>
        </w:tc>
      </w:tr>
      <w:tr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2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Despliegue Regional</w:t>
            </w:r>
          </w:p>
        </w:tc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 meses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May 2027 – Ene 2028</w:t>
            </w:r>
          </w:p>
        </w:tc>
        <w:tc>
          <w:tcPr>
            <w:tcW w:type="dxa" w:w="318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43 distritos de Lima Metropolitana</w:t>
            </w:r>
          </w:p>
        </w:tc>
      </w:tr>
      <w:tr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3</w:t>
            </w:r>
          </w:p>
        </w:tc>
        <w:tc>
          <w:tcPr>
            <w:tcW w:type="dxa" w:w="1872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Evaluación Nacional</w:t>
            </w:r>
          </w:p>
        </w:tc>
        <w:tc>
          <w:tcPr>
            <w:tcW w:type="dxa" w:w="1310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 meses</w:t>
            </w:r>
          </w:p>
        </w:tc>
        <w:tc>
          <w:tcPr>
            <w:tcW w:type="dxa" w:w="2059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Feb 2028 – Jul 2028</w:t>
            </w:r>
          </w:p>
        </w:tc>
        <w:tc>
          <w:tcPr>
            <w:tcW w:type="dxa" w:w="3182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Consolidación Lima + evaluación de expansión a otras regiones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50"/>
      </w:pPr>
      <w:r>
        <w:rPr>
          <w:b w:val="false"/>
          <w:bCs w:val="false"/>
          <w:i/>
          <w:iCs/>
          <w:sz w:val="21"/>
          <w:szCs w:val="21"/>
        </w:rPr>
        <w:t xml:space="preserve">Las Fases E/F (Plan), G (Gobernanza) y H (Gestión del Cambio) no son secuenciales sino transversales: arrancan en paralelo desde la Fase 0 y se mantienen activas durante todo el horizonte de 24 meses, como se detalla en la sección 4 (Dependencias entre Fases).</w:t>
      </w:r>
    </w:p>
    <w:p>
      <w:pPr>
        <w:pStyle w:val="Heading1"/>
        <w:spacing w:after="200" w:before="400"/>
      </w:pPr>
      <w:r>
        <w:rPr>
          <w:b/>
          <w:bCs/>
          <w:color w:val="1F3A5F"/>
        </w:rPr>
        <w:t xml:space="preserve">3. Detalle de Hitos por Fase</w:t>
      </w:r>
    </w:p>
    <w:p>
      <w:pPr>
        <w:pStyle w:val="Heading2"/>
        <w:spacing w:after="150" w:before="300"/>
      </w:pPr>
      <w:r>
        <w:rPr>
          <w:color w:val="1F3A5F"/>
        </w:rPr>
        <w:t xml:space="preserve">3.1 Fase 0 — Arquitectura y Diseño (Meses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44"/>
        <w:gridCol w:w="936"/>
        <w:gridCol w:w="4680"/>
      </w:tblGrid>
      <w:tr>
        <w:trPr>
          <w:tblHeader/>
        </w:trPr>
        <w:tc>
          <w:tcPr>
            <w:tcW w:type="dxa" w:w="3744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936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46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Cierre de Fase A (Visión)</w:t>
            </w:r>
          </w:p>
        </w:tc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Documento de Visión con posicionamiento explícito frente a Central 111, Asyste y Observatorio del Crimen</w:t>
            </w:r>
          </w:p>
        </w:tc>
      </w:tr>
      <w:tr>
        <w:tc>
          <w:tcPr>
            <w:tcW w:type="dxa" w:w="3744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Decisión INT-07 (Observatorio del Crimen)</w:t>
            </w:r>
          </w:p>
        </w:tc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680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Documento de integración autorizada o deslinde explícito</w:t>
            </w:r>
          </w:p>
        </w:tc>
      </w:tr>
      <w:tr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Decisión INT-08 (Programa Asyste)</w:t>
            </w:r>
          </w:p>
        </w:tc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Documento de puente agregado o canales paralelos independientes</w:t>
            </w:r>
          </w:p>
        </w:tc>
      </w:tr>
      <w:tr>
        <w:tc>
          <w:tcPr>
            <w:tcW w:type="dxa" w:w="3744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Decisión sobre botón de pánico / sistema C5i</w:t>
            </w:r>
          </w:p>
        </w:tc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680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Definición de si es fuente de Reporte Ciudadano o sistema independiente</w:t>
            </w:r>
          </w:p>
        </w:tc>
      </w:tr>
      <w:tr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Cierre de Fase B (Negocio)</w:t>
            </w:r>
          </w:p>
        </w:tc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Actores, roles y procesos de negocio validados (PN-01 a PN-12)</w:t>
            </w:r>
          </w:p>
        </w:tc>
      </w:tr>
      <w:tr>
        <w:tc>
          <w:tcPr>
            <w:tcW w:type="dxa" w:w="3744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Cierre de Fase C – Datos</w:t>
            </w:r>
          </w:p>
        </w:tc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4680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Modelo de datos (E) y modelo de scoring (F) validados y congelados</w:t>
            </w:r>
          </w:p>
        </w:tc>
      </w:tr>
      <w:tr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Cierre de Fase C – Aplicaciones</w:t>
            </w:r>
          </w:p>
        </w:tc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Microservicios y matriz de permisos CRUD (J.4) aprobados</w:t>
            </w:r>
          </w:p>
        </w:tc>
      </w:tr>
      <w:tr>
        <w:tc>
          <w:tcPr>
            <w:tcW w:type="dxa" w:w="3744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Cierre de Fase D (Tecnología)</w:t>
            </w:r>
          </w:p>
        </w:tc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4680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Arquitectura híbrida, DBSCAN adaptativo (ADR-09) e integraciones autorizadas documentadas</w:t>
            </w:r>
          </w:p>
        </w:tc>
      </w:tr>
      <w:tr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Aprobación de Fases E/F, G y H</w:t>
            </w:r>
          </w:p>
        </w:tc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Plan de implementación, matriz de gobernanza y plan de gestión del cambio aprobados</w:t>
            </w:r>
          </w:p>
        </w:tc>
      </w:tr>
    </w:tbl>
    <w:p>
      <w:pPr>
        <w:pBdr>
          <w:top w:val="single" w:color="B36B00" w:sz="6" w:space="4"/>
          <w:bottom w:val="single" w:color="B36B00" w:sz="6" w:space="4"/>
          <w:left w:val="single" w:color="B36B00" w:sz="6" w:space="4"/>
          <w:right w:val="single" w:color="B36B00" w:sz="6" w:space="4"/>
        </w:pBdr>
        <w:shd w:fill="FFF3CD" w:val="clear"/>
        <w:spacing w:after="250" w:before="150"/>
      </w:pPr>
      <w:r>
        <w:rPr>
          <w:b/>
          <w:bCs/>
          <w:color w:val="B36B00"/>
          <w:sz w:val="20"/>
          <w:szCs w:val="20"/>
        </w:rPr>
        <w:t xml:space="preserve">PUNTO DE CONTROL (GATE): </w:t>
      </w:r>
      <w:r>
        <w:rPr>
          <w:color w:val="5A4400"/>
          <w:sz w:val="20"/>
          <w:szCs w:val="20"/>
        </w:rPr>
        <w:t xml:space="preserve">El Comité de Arquitectura aprueba el cierre de Fase 0 solo si las decisiones sobre INT-07, INT-08 y el botón de pánico C5i están documentadas — no pueden quedar implícitas ni abiertas al iniciar el piloto.</w:t>
      </w:r>
    </w:p>
    <w:p>
      <w:pPr>
        <w:pStyle w:val="Heading2"/>
        <w:spacing w:after="150" w:before="300"/>
      </w:pPr>
      <w:r>
        <w:rPr>
          <w:color w:val="1F3A5F"/>
        </w:rPr>
        <w:t xml:space="preserve">3.2 Fase 1 — Piloto Lima (Meses 4–9)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936"/>
        <w:gridCol w:w="4867"/>
      </w:tblGrid>
      <w:tr>
        <w:trPr>
          <w:tblHeader/>
        </w:trPr>
        <w:tc>
          <w:tcPr>
            <w:tcW w:type="dxa" w:w="3557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936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4867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355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Despliegue de infraestructura on-premise y componentes AWS</w:t>
            </w:r>
          </w:p>
        </w:tc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48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Entorno productivo activo (PostgreSQL+PostGIS, Kafka, MinIO, K8s, S3+CloudFront, Lambda)</w:t>
            </w:r>
          </w:p>
        </w:tc>
      </w:tr>
      <w:tr>
        <w:tc>
          <w:tcPr>
            <w:tcW w:type="dxa" w:w="3557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Lanzamiento de canales en los 3 distritos piloto</w:t>
            </w:r>
          </w:p>
        </w:tc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4867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 Ciudadana, Portal Web y Chatbot WhatsApp operativos en SJL, Ate y El Agustino</w:t>
            </w:r>
          </w:p>
        </w:tc>
      </w:tr>
      <w:tr>
        <w:tc>
          <w:tcPr>
            <w:tcW w:type="dxa" w:w="355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Calibración de DBSCAN con datos reales</w:t>
            </w:r>
          </w:p>
        </w:tc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6–7</w:t>
            </w:r>
          </w:p>
        </w:tc>
        <w:tc>
          <w:tcPr>
            <w:tcW w:type="dxa" w:w="48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Parámetros de épsilon ajustados por tipo de zona (radial, lineal, mixta)</w:t>
            </w:r>
          </w:p>
        </w:tc>
      </w:tr>
      <w:tr>
        <w:tc>
          <w:tcPr>
            <w:tcW w:type="dxa" w:w="3557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Primera medición formal de TRI (OBJ-02)</w:t>
            </w:r>
          </w:p>
        </w:tc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4867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Reporte de tiempo de respuesta con y sin despacho confirmado</w:t>
            </w:r>
          </w:p>
        </w:tc>
      </w:tr>
      <w:tr>
        <w:tc>
          <w:tcPr>
            <w:tcW w:type="dxa" w:w="355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Revisión intermedia de riesgos RIE-ANT-01 y RIE-ANT-02</w:t>
            </w:r>
          </w:p>
        </w:tc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48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Informe de seguimiento de despacho real y efecto de retroalimentación</w:t>
            </w:r>
          </w:p>
        </w:tc>
      </w:tr>
      <w:tr>
        <w:tc>
          <w:tcPr>
            <w:tcW w:type="dxa" w:w="3557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Evaluación integral de metas del piloto (OBJ-01 a OBJ-09)</w:t>
            </w:r>
          </w:p>
        </w:tc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4867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Reporte ejecutivo de cierre de piloto</w:t>
            </w:r>
          </w:p>
        </w:tc>
      </w:tr>
    </w:tbl>
    <w:p>
      <w:pPr>
        <w:pBdr>
          <w:top w:val="single" w:color="B36B00" w:sz="6" w:space="4"/>
          <w:bottom w:val="single" w:color="B36B00" w:sz="6" w:space="4"/>
          <w:left w:val="single" w:color="B36B00" w:sz="6" w:space="4"/>
          <w:right w:val="single" w:color="B36B00" w:sz="6" w:space="4"/>
        </w:pBdr>
        <w:shd w:fill="FFF3CD" w:val="clear"/>
        <w:spacing w:after="250" w:before="150"/>
      </w:pPr>
      <w:r>
        <w:rPr>
          <w:b/>
          <w:bCs/>
          <w:color w:val="B36B00"/>
          <w:sz w:val="20"/>
          <w:szCs w:val="20"/>
        </w:rPr>
        <w:t xml:space="preserve">PUNTO DE CONTROL (GATE): </w:t>
      </w:r>
      <w:r>
        <w:rPr>
          <w:color w:val="5A4400"/>
          <w:sz w:val="20"/>
          <w:szCs w:val="20"/>
        </w:rPr>
        <w:t xml:space="preserve">Decisión Go / No-Go para expansión regional, condicionada a que el TRI promedio y la tasa de filtrado de baja calidad (OBJ-02, OBJ-03) alcancen las metas mínimas definidas para el piloto.</w:t>
      </w:r>
    </w:p>
    <w:p>
      <w:pPr>
        <w:pStyle w:val="Heading2"/>
        <w:spacing w:after="150" w:before="300"/>
      </w:pPr>
      <w:r>
        <w:rPr>
          <w:color w:val="1F3A5F"/>
        </w:rPr>
        <w:t xml:space="preserve">3.3 Fase 2 — Despliegue Regional (Meses 10–18)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936"/>
        <w:gridCol w:w="4867"/>
      </w:tblGrid>
      <w:tr>
        <w:trPr>
          <w:tblHeader/>
        </w:trPr>
        <w:tc>
          <w:tcPr>
            <w:tcW w:type="dxa" w:w="3557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936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4867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355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Expansión progresiva por lotes de distritos</w:t>
            </w:r>
          </w:p>
        </w:tc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10–14</w:t>
            </w:r>
          </w:p>
        </w:tc>
        <w:tc>
          <w:tcPr>
            <w:tcW w:type="dxa" w:w="48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Cobertura escalonada hasta completar los 43 distritos de Lima Metropolitana</w:t>
            </w:r>
          </w:p>
        </w:tc>
      </w:tr>
      <w:tr>
        <w:tc>
          <w:tcPr>
            <w:tcW w:type="dxa" w:w="3557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Recalibración de la lista de Corredores Troncales</w:t>
            </w:r>
          </w:p>
        </w:tc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4867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Actualización basada en datos frescos del piloto y primeros meses de expansión</w:t>
            </w:r>
          </w:p>
        </w:tc>
      </w:tr>
      <w:tr>
        <w:tc>
          <w:tcPr>
            <w:tcW w:type="dxa" w:w="355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Integración con Observatorio del Crimen / Asyste (si fue aprobada en Fase 0)</w:t>
            </w:r>
          </w:p>
        </w:tc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48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Implementación técnica del puente de datos agregados definido en INT-07/INT-08</w:t>
            </w:r>
          </w:p>
        </w:tc>
      </w:tr>
      <w:tr>
        <w:tc>
          <w:tcPr>
            <w:tcW w:type="dxa" w:w="3557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Auditoría de privacidad y anonimato estructural</w:t>
            </w:r>
          </w:p>
        </w:tc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4867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Verificación de cumplimiento de C.3 (minimización, anonimato, retención)</w:t>
            </w:r>
          </w:p>
        </w:tc>
      </w:tr>
      <w:tr>
        <w:tc>
          <w:tcPr>
            <w:tcW w:type="dxa" w:w="355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Revisión de capacidad a escala completa</w:t>
            </w:r>
          </w:p>
        </w:tc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48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Validación de RTO/RPO y disponibilidad 99.5% con los 43 distritos activos</w:t>
            </w:r>
          </w:p>
        </w:tc>
      </w:tr>
      <w:tr>
        <w:tc>
          <w:tcPr>
            <w:tcW w:type="dxa" w:w="3557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Evaluación semestral de KPIs</w:t>
            </w:r>
          </w:p>
        </w:tc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4867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Reporte consolidado de OBJ-01 a OBJ-09 a nivel Lima Metropolitana</w:t>
            </w:r>
          </w:p>
        </w:tc>
      </w:tr>
    </w:tbl>
    <w:p>
      <w:pPr>
        <w:pBdr>
          <w:top w:val="single" w:color="B36B00" w:sz="6" w:space="4"/>
          <w:bottom w:val="single" w:color="B36B00" w:sz="6" w:space="4"/>
          <w:left w:val="single" w:color="B36B00" w:sz="6" w:space="4"/>
          <w:right w:val="single" w:color="B36B00" w:sz="6" w:space="4"/>
        </w:pBdr>
        <w:shd w:fill="FFF3CD" w:val="clear"/>
        <w:spacing w:after="250" w:before="150"/>
      </w:pPr>
      <w:r>
        <w:rPr>
          <w:b/>
          <w:bCs/>
          <w:color w:val="B36B00"/>
          <w:sz w:val="20"/>
          <w:szCs w:val="20"/>
        </w:rPr>
        <w:t xml:space="preserve">PUNTO DE CONTROL (GATE): </w:t>
      </w:r>
      <w:r>
        <w:rPr>
          <w:color w:val="5A4400"/>
          <w:sz w:val="20"/>
          <w:szCs w:val="20"/>
        </w:rPr>
        <w:t xml:space="preserve">Aprobación para iniciar la evaluación nacional, condicionada a que la auditoría de privacidad no reporte incidentes de identificación involuntaria (OBJ-05 = 0).</w:t>
      </w:r>
    </w:p>
    <w:p>
      <w:pPr>
        <w:pStyle w:val="Heading2"/>
        <w:spacing w:after="150" w:before="300"/>
      </w:pPr>
      <w:r>
        <w:rPr>
          <w:color w:val="1F3A5F"/>
        </w:rPr>
        <w:t xml:space="preserve">3.4 Fase 3 — Evaluación Nacional (Meses 19–24)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936"/>
        <w:gridCol w:w="4867"/>
      </w:tblGrid>
      <w:tr>
        <w:trPr>
          <w:tblHeader/>
        </w:trPr>
        <w:tc>
          <w:tcPr>
            <w:tcW w:type="dxa" w:w="3557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936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4867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355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Consolidación de resultados de Lima Metropolitana</w:t>
            </w:r>
          </w:p>
        </w:tc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19–20</w:t>
            </w:r>
          </w:p>
        </w:tc>
        <w:tc>
          <w:tcPr>
            <w:tcW w:type="dxa" w:w="48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Informe consolidado de 18 meses de operación</w:t>
            </w:r>
          </w:p>
        </w:tc>
      </w:tr>
      <w:tr>
        <w:tc>
          <w:tcPr>
            <w:tcW w:type="dxa" w:w="3557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Estudio de factibilidad de expansión a otras regiones</w:t>
            </w:r>
          </w:p>
        </w:tc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type="dxa" w:w="4867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Análisis de viabilidad técnica, legal y presupuestal fuera de Lima</w:t>
            </w:r>
          </w:p>
        </w:tc>
      </w:tr>
      <w:tr>
        <w:tc>
          <w:tcPr>
            <w:tcW w:type="dxa" w:w="355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Reporte ejecutivo final ante Comando PNP</w:t>
            </w:r>
          </w:p>
        </w:tc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23</w:t>
            </w:r>
          </w:p>
        </w:tc>
        <w:tc>
          <w:tcPr>
            <w:tcW w:type="dxa" w:w="48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Presentación de resultados frente a metas originales del proyecto</w:t>
            </w:r>
          </w:p>
        </w:tc>
      </w:tr>
      <w:tr>
        <w:tc>
          <w:tcPr>
            <w:tcW w:type="dxa" w:w="3557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Decisión de continuidad o escalamiento nacional</w:t>
            </w:r>
          </w:p>
        </w:tc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24</w:t>
            </w:r>
          </w:p>
        </w:tc>
        <w:tc>
          <w:tcPr>
            <w:tcW w:type="dxa" w:w="4867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Resolución formal sobre el futuro del sistema</w:t>
            </w:r>
          </w:p>
        </w:tc>
      </w:tr>
    </w:tbl>
    <w:p>
      <w:pPr>
        <w:pBdr>
          <w:top w:val="single" w:color="B36B00" w:sz="6" w:space="4"/>
          <w:bottom w:val="single" w:color="B36B00" w:sz="6" w:space="4"/>
          <w:left w:val="single" w:color="B36B00" w:sz="6" w:space="4"/>
          <w:right w:val="single" w:color="B36B00" w:sz="6" w:space="4"/>
        </w:pBdr>
        <w:shd w:fill="FFF3CD" w:val="clear"/>
        <w:spacing w:after="250" w:before="150"/>
      </w:pPr>
      <w:r>
        <w:rPr>
          <w:b/>
          <w:bCs/>
          <w:color w:val="B36B00"/>
          <w:sz w:val="20"/>
          <w:szCs w:val="20"/>
        </w:rPr>
        <w:t xml:space="preserve">PUNTO DE CONTROL (GATE): </w:t>
      </w:r>
      <w:r>
        <w:rPr>
          <w:color w:val="5A4400"/>
          <w:sz w:val="20"/>
          <w:szCs w:val="20"/>
        </w:rPr>
        <w:t xml:space="preserve">Cierre de proyecto o transición a operación regular, según la decisión de escalamiento nacional adoptada por el Comando PNP.</w:t>
      </w:r>
    </w:p>
    <w:p>
      <w:pPr>
        <w:pStyle w:val="Heading1"/>
        <w:spacing w:after="200" w:before="400"/>
      </w:pPr>
      <w:r>
        <w:rPr>
          <w:b/>
          <w:bCs/>
          <w:color w:val="1F3A5F"/>
        </w:rPr>
        <w:t xml:space="preserve">4. Dependencias entre Fases (TOGAF ADM)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El ciclo TOGAF ADM es iterativo, no paralelizable a ciegas. La siguiente tabla resume qué fase debe estar en versión estable antes de que otra pueda darse por cerrada.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46"/>
        <w:gridCol w:w="2808"/>
        <w:gridCol w:w="4306"/>
      </w:tblGrid>
      <w:tr>
        <w:trPr>
          <w:tblHeader/>
        </w:trPr>
        <w:tc>
          <w:tcPr>
            <w:tcW w:type="dxa" w:w="2246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808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4306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Regla práctica</w:t>
            </w:r>
          </w:p>
        </w:tc>
      </w:tr>
      <w:tr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B (Negocio)</w:t>
            </w:r>
          </w:p>
        </w:tc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A (Visión)</w:t>
            </w:r>
          </w:p>
        </w:tc>
        <w:tc>
          <w:tcPr>
            <w:tcW w:type="dxa" w:w="43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se definen procesos de negocio sin visión y alcance aprobados</w:t>
            </w:r>
          </w:p>
        </w:tc>
      </w:tr>
      <w:tr>
        <w:tc>
          <w:tcPr>
            <w:tcW w:type="dxa" w:w="224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C – Datos</w:t>
            </w:r>
          </w:p>
        </w:tc>
        <w:tc>
          <w:tcPr>
            <w:tcW w:type="dxa" w:w="2808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B (Negocio)</w:t>
            </w:r>
          </w:p>
        </w:tc>
        <w:tc>
          <w:tcPr>
            <w:tcW w:type="dxa" w:w="430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El modelo de datos debe reflejar los procesos y actores ya validados</w:t>
            </w:r>
          </w:p>
        </w:tc>
      </w:tr>
      <w:tr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C – Aplicaciones</w:t>
            </w:r>
          </w:p>
        </w:tc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B (Negocio)</w:t>
            </w:r>
          </w:p>
        </w:tc>
        <w:tc>
          <w:tcPr>
            <w:tcW w:type="dxa" w:w="43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Los permisos CRUD (J.4) dependen de los procesos definidos en H</w:t>
            </w:r>
          </w:p>
        </w:tc>
      </w:tr>
      <w:tr>
        <w:tc>
          <w:tcPr>
            <w:tcW w:type="dxa" w:w="224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D (Tecnología)</w:t>
            </w:r>
          </w:p>
        </w:tc>
        <w:tc>
          <w:tcPr>
            <w:tcW w:type="dxa" w:w="2808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C – Datos y Fase C – Aplicaciones</w:t>
            </w:r>
          </w:p>
        </w:tc>
        <w:tc>
          <w:tcPr>
            <w:tcW w:type="dxa" w:w="430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Nadie cierra Fase D sin que Datos y Aplicaciones estén en versión estable</w:t>
            </w:r>
          </w:p>
        </w:tc>
      </w:tr>
      <w:tr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Fases E/F (Plan)</w:t>
            </w:r>
          </w:p>
        </w:tc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A (Visión)</w:t>
            </w:r>
          </w:p>
        </w:tc>
        <w:tc>
          <w:tcPr>
            <w:tcW w:type="dxa" w:w="43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El plan de implementación puede iniciar en paralelo con Fase A, sin esperar a Fase D</w:t>
            </w:r>
          </w:p>
        </w:tc>
      </w:tr>
      <w:tr>
        <w:tc>
          <w:tcPr>
            <w:tcW w:type="dxa" w:w="224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G (Gobernanza)</w:t>
            </w:r>
          </w:p>
        </w:tc>
        <w:tc>
          <w:tcPr>
            <w:tcW w:type="dxa" w:w="2808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Fases E/F (Plan)</w:t>
            </w:r>
          </w:p>
        </w:tc>
        <w:tc>
          <w:tcPr>
            <w:tcW w:type="dxa" w:w="430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 matriz de gobernanza se construye sobre el plan ya esbozado</w:t>
            </w:r>
          </w:p>
        </w:tc>
      </w:tr>
      <w:tr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H (Gestión del Cambio)</w:t>
            </w:r>
          </w:p>
        </w:tc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G (Gobernanza)</w:t>
            </w:r>
          </w:p>
        </w:tc>
        <w:tc>
          <w:tcPr>
            <w:tcW w:type="dxa" w:w="43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 gestión del cambio se apoya en las reglas de gobernanza ya definidas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A5F"/>
        </w:rPr>
        <w:t xml:space="preserve">5. Asignación de Equipo (7 personas)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"/>
        <w:gridCol w:w="3931"/>
        <w:gridCol w:w="2246"/>
        <w:gridCol w:w="2246"/>
      </w:tblGrid>
      <w:tr>
        <w:trPr>
          <w:tblHeader/>
        </w:trPr>
        <w:tc>
          <w:tcPr>
            <w:tcW w:type="dxa" w:w="936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931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Fase(s) asignada(s)</w:t>
            </w:r>
          </w:p>
        </w:tc>
        <w:tc>
          <w:tcPr>
            <w:tcW w:type="dxa" w:w="2246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Carga relativa</w:t>
            </w:r>
          </w:p>
        </w:tc>
        <w:tc>
          <w:tcPr>
            <w:tcW w:type="dxa" w:w="2246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93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Preliminar + Fase A (Visión, antecedentes)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 (arranca primero)</w:t>
            </w:r>
          </w:p>
        </w:tc>
      </w:tr>
      <w:tr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931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B (Negocio: actores + procesos)</w:t>
            </w:r>
          </w:p>
        </w:tc>
        <w:tc>
          <w:tcPr>
            <w:tcW w:type="dxa" w:w="224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224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Persona 1</w:t>
            </w:r>
          </w:p>
        </w:tc>
      </w:tr>
      <w:tr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93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C – Datos (modelo E + scoring F)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Persona 2</w:t>
            </w:r>
          </w:p>
        </w:tc>
      </w:tr>
      <w:tr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931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C – Aplicaciones (microservicios J.4 + App N)</w:t>
            </w:r>
          </w:p>
        </w:tc>
        <w:tc>
          <w:tcPr>
            <w:tcW w:type="dxa" w:w="224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224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Persona 3</w:t>
            </w:r>
          </w:p>
        </w:tc>
      </w:tr>
      <w:tr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93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D (Tecnología: infraestructura J + integraciones K)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Alta (la más pesada)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Persona 4</w:t>
            </w:r>
          </w:p>
        </w:tc>
      </w:tr>
      <w:tr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931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Fases E/F (Plan) + Riesgos (M)</w:t>
            </w:r>
          </w:p>
        </w:tc>
        <w:tc>
          <w:tcPr>
            <w:tcW w:type="dxa" w:w="224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224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Persona 5 (parcial; puede iniciar en paralelo con datos de Fase A)</w:t>
            </w:r>
          </w:p>
        </w:tc>
      </w:tr>
      <w:tr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393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G (Gobernanza) + Fase H (Cambio) + Integrador/revisor final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Media + revisión transversal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Todos (revisa al cierre)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A5F"/>
        </w:rPr>
        <w:t xml:space="preserve">6. Gestión de Riesgos del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98"/>
        <w:gridCol w:w="2995"/>
        <w:gridCol w:w="936"/>
        <w:gridCol w:w="1123"/>
        <w:gridCol w:w="2808"/>
      </w:tblGrid>
      <w:tr>
        <w:trPr>
          <w:tblHeader/>
        </w:trPr>
        <w:tc>
          <w:tcPr>
            <w:tcW w:type="dxa" w:w="1498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95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936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1123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808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Mitigación / Fase de seguimiento</w:t>
            </w:r>
          </w:p>
        </w:tc>
      </w:tr>
      <w:t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RIE-ANT-01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Alertas generadas no se traducen en despacho real</w:t>
            </w:r>
          </w:p>
        </w:tc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Alto</w:t>
            </w:r>
          </w:p>
        </w:tc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Medir TRI real desde Fase 1; escalar a Comandante si no mejora tras 2 meses</w:t>
            </w:r>
          </w:p>
        </w:tc>
      </w:tr>
      <w:tr>
        <w:tc>
          <w:tcPr>
            <w:tcW w:type="dxa" w:w="1498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RIE-ANT-02</w:t>
            </w:r>
          </w:p>
        </w:tc>
        <w:tc>
          <w:tcPr>
            <w:tcW w:type="dxa" w:w="2995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Efecto de retroalimentación tipo predictive policing</w:t>
            </w:r>
          </w:p>
        </w:tc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123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Medio</w:t>
            </w:r>
          </w:p>
        </w:tc>
        <w:tc>
          <w:tcPr>
            <w:tcW w:type="dxa" w:w="2808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Revisar Clústeres Resueltos vs. emergentes cada cierre de fase; no usar solo persistencia como señal de prioridad</w:t>
            </w:r>
          </w:p>
        </w:tc>
      </w:tr>
      <w:t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RIE-04 (heredado)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Imprecisión GPS en reportes ciudadanos</w:t>
            </w:r>
          </w:p>
        </w:tc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Medio</w:t>
            </w:r>
          </w:p>
        </w:tc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Flag baja_confianza_gps; revisión humana obligatoria antes de emitir Alerta</w:t>
            </w:r>
          </w:p>
        </w:tc>
      </w:tr>
      <w:tr>
        <w:tc>
          <w:tcPr>
            <w:tcW w:type="dxa" w:w="1498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Riesgo de cronograma</w:t>
            </w:r>
          </w:p>
        </w:tc>
        <w:tc>
          <w:tcPr>
            <w:tcW w:type="dxa" w:w="2995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Decisiones INT-07/INT-08 no resueltas a tiempo</w:t>
            </w:r>
          </w:p>
        </w:tc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123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Alto</w:t>
            </w:r>
          </w:p>
        </w:tc>
        <w:tc>
          <w:tcPr>
            <w:tcW w:type="dxa" w:w="2808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Gate de Fase 0 bloquea el avance a Fase 1 hasta documentar la decisión</w:t>
            </w:r>
          </w:p>
        </w:tc>
      </w:tr>
      <w:t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Riesgo de adopción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Baja adopción por ausencia de incentivo económico (a diferencia de Lima Digital)</w:t>
            </w:r>
          </w:p>
        </w:tc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Medio</w:t>
            </w:r>
          </w:p>
        </w:tc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Monitorear OBJ-09 (adopción por canal) desde la semana 4 del piloto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A5F"/>
        </w:rPr>
        <w:t xml:space="preserve">7. Decisiones Pendientes Críticas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Estas decisiones deben quedar documentadas antes de cerrar la fase indicada — no pueden resolverse implícitamente durante la ejecución.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8"/>
        <w:gridCol w:w="4867"/>
        <w:gridCol w:w="1685"/>
      </w:tblGrid>
      <w:tr>
        <w:trPr>
          <w:tblHeader/>
        </w:trPr>
        <w:tc>
          <w:tcPr>
            <w:tcW w:type="dxa" w:w="2808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4867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 requerida</w:t>
            </w:r>
          </w:p>
        </w:tc>
        <w:tc>
          <w:tcPr>
            <w:tcW w:type="dxa" w:w="1685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 límite</w:t>
            </w:r>
          </w:p>
        </w:tc>
      </w:tr>
      <w:tr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INT-07 — Observatorio del Crimen PNP (Ley 32490)</w:t>
            </w:r>
          </w:p>
        </w:tc>
        <w:tc>
          <w:tcPr>
            <w:tcW w:type="dxa" w:w="48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¿CTOS-EXT-TRANSP es herramienta técnica del Observatorio, se integra con él, o es desarrollo paralelo?</w:t>
            </w:r>
          </w:p>
        </w:tc>
        <w:tc>
          <w:tcPr>
            <w:tcW w:type="dxa" w:w="168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0</w:t>
            </w:r>
          </w:p>
        </w:tc>
      </w:tr>
      <w:tr>
        <w:tc>
          <w:tcPr>
            <w:tcW w:type="dxa" w:w="2808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INT-08 — Programa Asyste (ATU / Ministerio Público)</w:t>
            </w:r>
          </w:p>
        </w:tc>
        <w:tc>
          <w:tcPr>
            <w:tcW w:type="dxa" w:w="4867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¿Existe puente informativo agregado hacia Asyste, o son canales paralelos independientes por diseño?</w:t>
            </w:r>
          </w:p>
        </w:tc>
        <w:tc>
          <w:tcPr>
            <w:tcW w:type="dxa" w:w="1685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0</w:t>
            </w:r>
          </w:p>
        </w:tc>
      </w:tr>
      <w:tr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Botón de pánico / sistema C5i</w:t>
            </w:r>
          </w:p>
        </w:tc>
        <w:tc>
          <w:tcPr>
            <w:tcW w:type="dxa" w:w="48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¿Es fuente adicional de Reporte Ciudadano con su propio scoring, o un sistema totalmente distinto?</w:t>
            </w:r>
          </w:p>
        </w:tc>
        <w:tc>
          <w:tcPr>
            <w:tcW w:type="dxa" w:w="168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0</w:t>
            </w:r>
          </w:p>
        </w:tc>
      </w:tr>
      <w:tr>
        <w:tc>
          <w:tcPr>
            <w:tcW w:type="dxa" w:w="2808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Ausencia de incentivo económico</w:t>
            </w:r>
          </w:p>
        </w:tc>
        <w:tc>
          <w:tcPr>
            <w:tcW w:type="dxa" w:w="4867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¿Se mantiene la decisión de no incluir recompensas, pese al precedente de Lima Digital?</w:t>
            </w:r>
          </w:p>
        </w:tc>
        <w:tc>
          <w:tcPr>
            <w:tcW w:type="dxa" w:w="1685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Fase 1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A5F"/>
        </w:rPr>
        <w:t xml:space="preserve">8. KPIs y Metas por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"/>
        <w:gridCol w:w="2434"/>
        <w:gridCol w:w="3744"/>
        <w:gridCol w:w="2246"/>
      </w:tblGrid>
      <w:tr>
        <w:trPr>
          <w:tblHeader/>
        </w:trPr>
        <w:tc>
          <w:tcPr>
            <w:tcW w:type="dxa" w:w="936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34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3744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246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Meta piloto</w:t>
            </w:r>
          </w:p>
        </w:tc>
      </w:tr>
      <w:tr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OBJ-01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Cobertura de inteligencia</w:t>
            </w:r>
          </w:p>
        </w:tc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Reportes con score ≥30 por mes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≥300/mes</w:t>
            </w:r>
          </w:p>
        </w:tc>
      </w:tr>
      <w:tr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OBJ-02</w:t>
            </w:r>
          </w:p>
        </w:tc>
        <w:tc>
          <w:tcPr>
            <w:tcW w:type="dxa" w:w="2434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Reducir TRI en corredores</w:t>
            </w:r>
          </w:p>
        </w:tc>
        <w:tc>
          <w:tcPr>
            <w:tcW w:type="dxa" w:w="3744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Minutos promedio (solo con despacho confirmado)</w:t>
            </w:r>
          </w:p>
        </w:tc>
        <w:tc>
          <w:tcPr>
            <w:tcW w:type="dxa" w:w="224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≤10 min general; ≤5 min Troncales</w:t>
            </w:r>
          </w:p>
        </w:tc>
      </w:tr>
      <w:tr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OBJ-03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Filtrar baja calidad</w:t>
            </w:r>
          </w:p>
        </w:tc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% de reportes &lt;30 archivados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≥80%</w:t>
            </w:r>
          </w:p>
        </w:tc>
      </w:tr>
      <w:tr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OBJ-04</w:t>
            </w:r>
          </w:p>
        </w:tc>
        <w:tc>
          <w:tcPr>
            <w:tcW w:type="dxa" w:w="2434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Clústeres activos</w:t>
            </w:r>
          </w:p>
        </w:tc>
        <w:tc>
          <w:tcPr>
            <w:tcW w:type="dxa" w:w="3744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Clústeres detectados por semana</w:t>
            </w:r>
          </w:p>
        </w:tc>
        <w:tc>
          <w:tcPr>
            <w:tcW w:type="dxa" w:w="224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≥5/semana</w:t>
            </w:r>
          </w:p>
        </w:tc>
      </w:tr>
      <w:tr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OBJ-05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Anonimato</w:t>
            </w:r>
          </w:p>
        </w:tc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Incidentes de identificación involuntaria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OBJ-06</w:t>
            </w:r>
          </w:p>
        </w:tc>
        <w:tc>
          <w:tcPr>
            <w:tcW w:type="dxa" w:w="2434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Calidad con evidencia</w:t>
            </w:r>
          </w:p>
        </w:tc>
        <w:tc>
          <w:tcPr>
            <w:tcW w:type="dxa" w:w="3744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% de reportes con foto y score ≥60</w:t>
            </w:r>
          </w:p>
        </w:tc>
        <w:tc>
          <w:tcPr>
            <w:tcW w:type="dxa" w:w="224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≥40%</w:t>
            </w:r>
          </w:p>
        </w:tc>
      </w:tr>
      <w:tr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OBJ-07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Modalidades por corredor</w:t>
            </w:r>
          </w:p>
        </w:tc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Modalidades activas por corredor y mes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≥2</w:t>
            </w:r>
          </w:p>
        </w:tc>
      </w:tr>
      <w:tr>
        <w:tc>
          <w:tcPr>
            <w:tcW w:type="dxa" w:w="93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OBJ-08</w:t>
            </w:r>
          </w:p>
        </w:tc>
        <w:tc>
          <w:tcPr>
            <w:tcW w:type="dxa" w:w="2434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Patrones de cobro</w:t>
            </w:r>
          </w:p>
        </w:tc>
        <w:tc>
          <w:tcPr>
            <w:tcW w:type="dxa" w:w="3744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Patrones activos por corredor y mes</w:t>
            </w:r>
          </w:p>
        </w:tc>
        <w:tc>
          <w:tcPr>
            <w:tcW w:type="dxa" w:w="2246"/>
            <w:shd w:fill="F2F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≥2</w:t>
            </w:r>
          </w:p>
        </w:tc>
      </w:tr>
      <w:tr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OBJ-09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Adopción por canal</w:t>
            </w:r>
          </w:p>
        </w:tc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Reportes por canal y semana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≥1/canal en 4 semanas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A5F"/>
        </w:rPr>
        <w:t xml:space="preserve">9. Puntos de Control (Gates) del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Gate 1 (fin de Fase 0): decisiones INT-07, INT-08 y botón de pánico C5i documentadas antes de aprobar el piloto.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Gate 2 (fin de Fase 1): metas mínimas de TRI y filtrado de baja calidad alcanzadas antes de aprobar la expansión regional.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Gate 3 (fin de Fase 2): cero incidentes de identificación involuntaria en la auditoría de privacidad antes de aprobar la evaluación nacional.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Gate 4 (fin de Fase 3): resolución formal del Comando PNP sobre continuidad u escalamiento nacional.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50"/>
      </w:pPr>
      <w:r>
        <w:rPr>
          <w:b w:val="false"/>
          <w:bCs w:val="false"/>
          <w:i/>
          <w:iCs/>
          <w:sz w:val="21"/>
          <w:szCs w:val="21"/>
        </w:rPr>
        <w:t xml:space="preserve">En cada gate, la Persona 7 (rol de integrador/revisor final) verifica la consistencia del artefacto de cierre de fase antes de someterlo al Comité de Arquitectura, siguiendo las reglas de consistencia crítica vigentes para esa fase.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2026-07-03T22:56:56.666Z</dcterms:created>
  <dcterms:modified xsi:type="dcterms:W3CDTF">2026-07-03T22:56:56.667Z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