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8B1A1A"/>
          <w:sz w:val="32"/>
          <w:szCs w:val="32"/>
        </w:rPr>
        <w:t xml:space="preserve">Compliance Assessment</w:t>
      </w:r>
    </w:p>
    <w:p>
      <w:pPr>
        <w:spacing w:after="60"/>
        <w:jc w:val="center"/>
      </w:pPr>
      <w:r>
        <w:rPr>
          <w:rFonts w:ascii="Calibri" w:cs="Calibri" w:eastAsia="Calibri" w:hAnsi="Calibri"/>
          <w:b/>
          <w:bCs/>
          <w:sz w:val="24"/>
          <w:szCs w:val="24"/>
        </w:rPr>
        <w:t xml:space="preserve">Evaluación de Conformidad — Piloto AT-1 (SJL, Ate, El Agustino)</w:t>
      </w:r>
    </w:p>
    <w:p>
      <w:pPr>
        <w:spacing w:after="300"/>
        <w:jc w:val="center"/>
      </w:pPr>
      <w:r>
        <w:rPr>
          <w:rFonts w:ascii="Calibri" w:cs="Calibri" w:eastAsia="Calibri" w:hAnsi="Calibri"/>
          <w:i/>
          <w:iCs/>
          <w:sz w:val="20"/>
          <w:szCs w:val="20"/>
        </w:rPr>
        <w:t xml:space="preserve">Sistema de Inteligencia Táctica contra Extorsión al Sector Transporte — CTOS-EXT-TRANSP v5.0 | TOGAF ADM 9.2 — Fase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Nombre del Proyecto</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CTOS-EXT-TRANSP v5.0 — Módulo táctico CTOS / Programa SIDPE</w:t>
            </w:r>
          </w:p>
        </w:tc>
      </w:tr>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Preparado por</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Equipo de Arquitectura — Persona 7 (Fase G / Fase H / Integración y revisión de consistencia)</w:t>
            </w:r>
          </w:p>
        </w:tc>
      </w:tr>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Título</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Compliance Assessment</w:t>
            </w:r>
          </w:p>
        </w:tc>
      </w:tr>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N.° de versión del documento</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1.0</w:t>
            </w:r>
          </w:p>
        </w:tc>
      </w:tr>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Fecha de versión del documento</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03 de julio de 2026</w:t>
            </w:r>
          </w:p>
        </w:tc>
      </w:tr>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Revisado por</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Responsable de integración y revisión final de consistencia (Módulo Z-RESUMEN)</w:t>
            </w:r>
          </w:p>
        </w:tc>
      </w:tr>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Fecha de revisión</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Pendiente — a completar al cierre de la revisión de conformidad del piloto</w:t>
            </w:r>
          </w:p>
        </w:tc>
      </w:tr>
      <w:tr>
        <w:tc>
          <w:tcPr>
            <w:tcW w:type="pct" w:w="32%"/>
            <w:shd w:fill="D9D9D9" w:val="clear"/>
            <w:tcMar>
              <w:top w:type="dxa" w:w="80"/>
              <w:left w:type="dxa" w:w="120"/>
              <w:bottom w:type="dxa" w:w="80"/>
              <w:right w:type="dxa" w:w="120"/>
            </w:tcMar>
            <w:vAlign w:val="center"/>
          </w:tcPr>
          <w:p>
            <w:r>
              <w:rPr>
                <w:rFonts w:ascii="Calibri" w:cs="Calibri" w:eastAsia="Calibri" w:hAnsi="Calibri"/>
                <w:b/>
                <w:bCs/>
                <w:sz w:val="20"/>
                <w:szCs w:val="20"/>
              </w:rPr>
              <w:t xml:space="preserve">Clasificación</w:t>
            </w:r>
          </w:p>
        </w:tc>
        <w:tc>
          <w:tcPr>
            <w:tcW w:type="pct" w:w="68%"/>
            <w:tcMar>
              <w:top w:type="dxa" w:w="80"/>
              <w:left w:type="dxa" w:w="120"/>
              <w:bottom w:type="dxa" w:w="80"/>
              <w:right w:type="dxa" w:w="120"/>
            </w:tcMar>
            <w:vAlign w:val="center"/>
          </w:tcPr>
          <w:p>
            <w:r>
              <w:rPr>
                <w:rFonts w:ascii="Calibri" w:cs="Calibri" w:eastAsia="Calibri" w:hAnsi="Calibri"/>
                <w:b w:val="false"/>
                <w:bCs w:val="false"/>
                <w:sz w:val="20"/>
                <w:szCs w:val="20"/>
              </w:rPr>
              <w:t xml:space="preserve">RESERVADO — Uso interno PNP</w:t>
            </w:r>
          </w:p>
        </w:tc>
      </w:tr>
    </w:tbl>
    <w:p>
      <w:pPr>
        <w:pStyle w:val="Heading1"/>
        <w:pBdr>
          <w:bottom w:val="single" w:color="8B1A1A" w:sz="8" w:space="4"/>
        </w:pBdr>
        <w:spacing w:after="160" w:before="400"/>
      </w:pPr>
      <w:r>
        <w:rPr>
          <w:rFonts w:ascii="Calibri" w:cs="Calibri" w:eastAsia="Calibri" w:hAnsi="Calibri"/>
          <w:b/>
          <w:bCs/>
          <w:color w:val="6E1414"/>
          <w:sz w:val="28"/>
          <w:szCs w:val="28"/>
        </w:rPr>
        <w:t xml:space="preserve">1. Propósito del documento</w:t>
      </w:r>
    </w:p>
    <w:p>
      <w:pPr>
        <w:spacing w:after="160"/>
      </w:pPr>
      <w:r>
        <w:rPr>
          <w:rFonts w:ascii="Calibri" w:cs="Calibri" w:eastAsia="Calibri" w:hAnsi="Calibri"/>
          <w:b w:val="false"/>
          <w:bCs w:val="false"/>
          <w:i w:val="false"/>
          <w:iCs w:val="false"/>
          <w:sz w:val="21"/>
          <w:szCs w:val="21"/>
        </w:rPr>
        <w:t xml:space="preserve">Una vez definida la arquitectura, es necesario gobernarla durante la implementación para asegurar que la Visión de Arquitectura original (Fase A) se realice correctamente y que las lecciones aprendidas durante la implementación retroalimenten el proceso de arquitectura. Las revisiones periódicas de conformidad de los proyectos de implementación son el mecanismo que permite verificar el avance del proyecto y asegurar que el diseño y la implementación avanzan en línea con los objetivos estratégicos y arquitectónicos definidos para CTOS-EXT-TRANSP.</w:t>
      </w:r>
    </w:p>
    <w:p>
      <w:pPr>
        <w:spacing w:after="160"/>
      </w:pPr>
      <w:r>
        <w:rPr>
          <w:rFonts w:ascii="Calibri" w:cs="Calibri" w:eastAsia="Calibri" w:hAnsi="Calibri"/>
          <w:b w:val="false"/>
          <w:bCs w:val="false"/>
          <w:i/>
          <w:iCs/>
          <w:sz w:val="21"/>
          <w:szCs w:val="21"/>
        </w:rPr>
        <w:t xml:space="preserve">Este assessment corresponde a la revisión de conformidad del Paso G4 de la Fase G (Implementation Governance), aplicada a la Arquitectura de Transición AT-1 — Piloto operativo en San Juan de Lurigancho, Ate y El Agustino.</w:t>
      </w:r>
    </w:p>
    <w:p>
      <w:pPr>
        <w:pStyle w:val="Heading1"/>
        <w:pBdr>
          <w:bottom w:val="single" w:color="8B1A1A" w:sz="8" w:space="4"/>
        </w:pBdr>
        <w:spacing w:after="160" w:before="400"/>
      </w:pPr>
      <w:r>
        <w:rPr>
          <w:rFonts w:ascii="Calibri" w:cs="Calibri" w:eastAsia="Calibri" w:hAnsi="Calibri"/>
          <w:b/>
          <w:bCs/>
          <w:color w:val="6E1414"/>
          <w:sz w:val="28"/>
          <w:szCs w:val="28"/>
        </w:rPr>
        <w:t xml:space="preserve">2. Resumen general</w:t>
      </w:r>
    </w:p>
    <w:p>
      <w:pPr>
        <w:pStyle w:val="Heading2"/>
        <w:spacing w:after="120" w:before="260"/>
      </w:pPr>
      <w:r>
        <w:rPr>
          <w:rFonts w:ascii="Calibri" w:cs="Calibri" w:eastAsia="Calibri" w:hAnsi="Calibri"/>
          <w:b/>
          <w:bCs/>
          <w:color w:val="8B1A1A"/>
          <w:sz w:val="24"/>
          <w:szCs w:val="24"/>
        </w:rPr>
        <w:t xml:space="preserve">2.1 Resumen del avance y estado del proyecto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Arquitectura de Transición</w:t>
            </w:r>
          </w:p>
        </w:tc>
        <w:tc>
          <w:tcPr>
            <w:tcW w:type="pct" w:w="24%"/>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Estado</w:t>
            </w:r>
          </w:p>
        </w:tc>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Observación</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AT-0 — Fundacional y de gobierno (meses 1–3)</w:t>
            </w:r>
          </w:p>
        </w:tc>
        <w:tc>
          <w:tcPr>
            <w:tcW w:type="pct" w:w="24%"/>
            <w:tcMar>
              <w:top w:type="dxa" w:w="80"/>
              <w:left w:type="dxa" w:w="100"/>
              <w:bottom w:type="dxa" w:w="80"/>
              <w:right w:type="dxa" w:w="100"/>
            </w:tcMar>
            <w:vAlign w:val="center"/>
          </w:tcPr>
          <w:p>
            <w:r>
              <w:rPr>
                <w:rFonts w:ascii="Calibri" w:cs="Calibri" w:eastAsia="Calibri" w:hAnsi="Calibri"/>
                <w:b w:val="false"/>
                <w:bCs w:val="false"/>
                <w:sz w:val="19"/>
                <w:szCs w:val="19"/>
              </w:rPr>
              <w:t xml:space="preserve">En cierre</w:t>
            </w:r>
          </w:p>
        </w:tc>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Decisión de posicionamiento institucional (INT-07, INT-08, botón de pánico C5i) debe quedar documentada — como integración autorizada o deslinde explícito — antes de aprobar el paso a AT-1</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AT-1 — Piloto operativo Lima Este/Centro (meses 4–9)</w:t>
            </w:r>
          </w:p>
        </w:tc>
        <w:tc>
          <w:tcPr>
            <w:tcW w:type="pct" w:w="24%"/>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En evaluación (objeto de este assessment)</w:t>
            </w:r>
          </w:p>
        </w:tc>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Primer ciclo de medición de KPIs; integración crítica de despacho (INT-04) en verificación</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AT-2 — Despliegue regional (meses 10–18)</w:t>
            </w:r>
          </w:p>
        </w:tc>
        <w:tc>
          <w:tcPr>
            <w:tcW w:type="pct" w:w="24%"/>
            <w:tcMar>
              <w:top w:type="dxa" w:w="80"/>
              <w:left w:type="dxa" w:w="100"/>
              <w:bottom w:type="dxa" w:w="80"/>
              <w:right w:type="dxa" w:w="100"/>
            </w:tcMar>
            <w:vAlign w:val="center"/>
          </w:tcPr>
          <w:p>
            <w:r>
              <w:rPr>
                <w:rFonts w:ascii="Calibri" w:cs="Calibri" w:eastAsia="Calibri" w:hAnsi="Calibri"/>
                <w:b w:val="false"/>
                <w:bCs w:val="false"/>
                <w:sz w:val="19"/>
                <w:szCs w:val="19"/>
              </w:rPr>
              <w:t xml:space="preserve">No iniciada</w:t>
            </w:r>
          </w:p>
        </w:tc>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Condicionada a la calibración de DBSCAN con datos reales del piloto</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AT-3 — Arquitectura objetivo evaluada (meses 19–24)</w:t>
            </w:r>
          </w:p>
        </w:tc>
        <w:tc>
          <w:tcPr>
            <w:tcW w:type="pct" w:w="24%"/>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No iniciada</w:t>
            </w:r>
          </w:p>
        </w:tc>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Condicionada a dos ciclos de revisión del riesgo de retroalimentación sin evidencia de refuerzo artificial de clústeres</w:t>
            </w:r>
          </w:p>
        </w:tc>
      </w:tr>
    </w:tbl>
    <w:p>
      <w:pPr>
        <w:spacing w:after="120"/>
      </w:pPr>
    </w:p>
    <w:p>
      <w:pPr>
        <w:pStyle w:val="Heading2"/>
        <w:spacing w:after="120" w:before="260"/>
      </w:pPr>
      <w:r>
        <w:rPr>
          <w:rFonts w:ascii="Calibri" w:cs="Calibri" w:eastAsia="Calibri" w:hAnsi="Calibri"/>
          <w:b/>
          <w:bCs/>
          <w:color w:val="8B1A1A"/>
          <w:sz w:val="24"/>
          <w:szCs w:val="24"/>
        </w:rPr>
        <w:t xml:space="preserve">2.2 Resumen de la arquitectura/diseño del proyecto</w:t>
      </w:r>
    </w:p>
    <w:p>
      <w:pPr>
        <w:spacing w:after="160"/>
      </w:pPr>
      <w:r>
        <w:rPr>
          <w:rFonts w:ascii="Calibri" w:cs="Calibri" w:eastAsia="Calibri" w:hAnsi="Calibri"/>
          <w:b w:val="false"/>
          <w:bCs w:val="false"/>
          <w:i w:val="false"/>
          <w:iCs w:val="false"/>
          <w:sz w:val="21"/>
          <w:szCs w:val="21"/>
        </w:rPr>
        <w:t xml:space="preserve">CTOS-EXT-TRANSP recibe Reportes Ciudadanos anónimos de transportistas por tres canales (App Ciudadana, Portal Web, WhatsApp Business API), los sanitiza y puntúa mediante un Motor de Correlación (ms-ingestor, ms-sanitizer, ms-scorer, ms-geoanalytics, ms-alerter, ms-nlp), detecta Clústeres de Extorsión Transporte mediante DBSCAN adaptativo, y genera Alertas de Patrullaje hacia Comisarías, con confirmación de despacho medida como KPI de tiempo de respuesta (TRI). La arquitectura es híbrida: todo dato sensible se mantiene on-premise (PostgreSQL+PostGIS, MinIO, Kafka, Redis, Kubernetes); AWS se usa únicamente para componentes sin datos sensibles (Portal Web estático, chatbot WhatsApp vía Lambda, geocercas en Amazon Location Service).</w:t>
      </w:r>
    </w:p>
    <w:p>
      <w:pPr>
        <w:spacing w:after="160"/>
      </w:pPr>
      <w:r>
        <w:rPr>
          <w:rFonts w:ascii="Calibri" w:cs="Calibri" w:eastAsia="Calibri" w:hAnsi="Calibri"/>
          <w:b w:val="false"/>
          <w:bCs w:val="false"/>
          <w:i/>
          <w:iCs/>
          <w:sz w:val="21"/>
          <w:szCs w:val="21"/>
        </w:rPr>
        <w:t xml:space="preserve">Esta arquitectura fue aprobada en las Fases B (Negocio), C (Datos y Aplicaciones) y D (Tecnología), y su hoja de ruta de implementación quedó fijada en la Fase E. La presente evaluación de conformidad verifica que la construcción real del piloto respete esas decisiones.</w:t>
      </w:r>
    </w:p>
    <w:p>
      <w:pPr>
        <w:pStyle w:val="Heading1"/>
        <w:pBdr>
          <w:bottom w:val="single" w:color="8B1A1A" w:sz="8" w:space="4"/>
        </w:pBdr>
        <w:spacing w:after="160" w:before="400"/>
      </w:pPr>
      <w:r>
        <w:rPr>
          <w:rFonts w:ascii="Calibri" w:cs="Calibri" w:eastAsia="Calibri" w:hAnsi="Calibri"/>
          <w:b/>
          <w:bCs/>
          <w:color w:val="6E1414"/>
          <w:sz w:val="28"/>
          <w:szCs w:val="28"/>
        </w:rPr>
        <w:t xml:space="preserve">3. Checklists de arquitectura completados</w:t>
      </w:r>
    </w:p>
    <w:p>
      <w:pPr>
        <w:spacing w:after="160"/>
      </w:pPr>
      <w:r>
        <w:rPr>
          <w:rFonts w:ascii="Calibri" w:cs="Calibri" w:eastAsia="Calibri" w:hAnsi="Calibri"/>
          <w:b w:val="false"/>
          <w:bCs w:val="false"/>
          <w:i w:val="false"/>
          <w:iCs w:val="false"/>
          <w:sz w:val="21"/>
          <w:szCs w:val="21"/>
        </w:rPr>
        <w:t xml:space="preserve">Cada checklist clasifica los hallazgos como Conforme, Observación, Excepción o No conforme, según la definición fijada en el Paso G4 de la Fase G. Las Reglas de Consistencia Crítica referenciadas corresponden al Módulo Z-RESUMEN del Prompt Maestro v5.0.</w:t>
      </w:r>
    </w:p>
    <w:p>
      <w:pPr>
        <w:pStyle w:val="Heading2"/>
        <w:spacing w:after="120" w:before="260"/>
      </w:pPr>
      <w:r>
        <w:rPr>
          <w:rFonts w:ascii="Calibri" w:cs="Calibri" w:eastAsia="Calibri" w:hAnsi="Calibri"/>
          <w:b/>
          <w:bCs/>
          <w:color w:val="8B1A1A"/>
          <w:sz w:val="24"/>
          <w:szCs w:val="24"/>
        </w:rPr>
        <w:t xml:space="preserve">3.1 Checklist de Hardware y Sistema Operativo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1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Clúster Kubernetes on-premise 1.29.x para el Motor de Correlación</w:t>
            </w:r>
          </w:p>
        </w:tc>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Manifiestos de despliegue revisados; sin dependencia de nube para el Motor de Correlación</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Servidor PostgreSQL+PostGIS 15.x/3.3.x en infraestructura propia</w:t>
            </w:r>
          </w:p>
        </w:tc>
        <w:tc>
          <w:tcPr>
            <w:tcW w:type="pct" w:w="1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Instancia verificada fuera de AWS, según arquitectura híbrida (Módulo J.1)</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Dimensionamiento de nodos para el piloto de 3 distritos</w:t>
            </w:r>
          </w:p>
        </w:tc>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Observación</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Capacidad dimensionada para el piloto; se recomienda revisión de escalamiento antes de AT-2 (43 distritos)</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Disponibilidad de infraestructura AWS para componentes sin dato sensible (S3+CloudFront, Lambda)</w:t>
            </w:r>
          </w:p>
        </w:tc>
        <w:tc>
          <w:tcPr>
            <w:tcW w:type="pct" w:w="1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Verificado que solo aloja Portal Web estático y chatbot WhatsApp</w:t>
            </w:r>
          </w:p>
        </w:tc>
      </w:tr>
    </w:tbl>
    <w:p>
      <w:pPr>
        <w:spacing w:after="120"/>
      </w:pPr>
    </w:p>
    <w:p>
      <w:pPr>
        <w:pStyle w:val="Heading2"/>
        <w:spacing w:after="120" w:before="260"/>
      </w:pPr>
      <w:r>
        <w:rPr>
          <w:rFonts w:ascii="Calibri" w:cs="Calibri" w:eastAsia="Calibri" w:hAnsi="Calibri"/>
          <w:b/>
          <w:bCs/>
          <w:color w:val="8B1A1A"/>
          <w:sz w:val="24"/>
          <w:szCs w:val="24"/>
        </w:rPr>
        <w:t xml:space="preserve">3.2 Checklist de Servicios de Software y Middleware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1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Kafka 3.6.x como bus de eventos entre microservicios</w:t>
            </w:r>
          </w:p>
        </w:tc>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Evento reporte-raw verificado en el orden de operaciones de ms-scorer (Módulo F.3)</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Redis para soporte de operaciones de baja latencia</w:t>
            </w:r>
          </w:p>
        </w:tc>
        <w:tc>
          <w:tcPr>
            <w:tcW w:type="pct" w:w="1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Sin hallazgos</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MinIO como almacenamiento de objetos para evidencia fotográfica</w:t>
            </w:r>
          </w:p>
        </w:tc>
        <w:tc>
          <w:tcPr>
            <w:tcW w:type="pct" w:w="18%"/>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Solo ms-sanitizer tiene permiso de escritura (ver 3.5)</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Orquestación de tarea periódica de correlación geoespacial (c/30 min)</w:t>
            </w:r>
          </w:p>
        </w:tc>
        <w:tc>
          <w:tcPr>
            <w:tcW w:type="pct" w:w="1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Observación</w:t>
            </w:r>
          </w:p>
        </w:tc>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Verificar en producción que la ventana de 30 min se mantenga estable bajo carga real del piloto</w:t>
            </w:r>
          </w:p>
        </w:tc>
      </w:tr>
    </w:tbl>
    <w:p>
      <w:pPr>
        <w:spacing w:after="120"/>
      </w:pPr>
    </w:p>
    <w:p>
      <w:pPr>
        <w:pStyle w:val="Heading2"/>
        <w:spacing w:after="120" w:before="260"/>
      </w:pPr>
      <w:r>
        <w:rPr>
          <w:rFonts w:ascii="Calibri" w:cs="Calibri" w:eastAsia="Calibri" w:hAnsi="Calibri"/>
          <w:b/>
          <w:bCs/>
          <w:color w:val="8B1A1A"/>
          <w:sz w:val="24"/>
          <w:szCs w:val="24"/>
        </w:rPr>
        <w:t xml:space="preserve">3.3 Checklists de Aplicaciones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2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App Ciudadana (React Native 0.73.x) — sin login, sin IMEI, sin GPS EXIF, token UUID v4</w:t>
            </w:r>
          </w:p>
        </w:tc>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Verificado en build del piloto; sin campos de identidad del Informante</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Portal Web — canal alternativo de Reporte Completo/MRM</w:t>
            </w:r>
          </w:p>
        </w:tc>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Sin hallazgos</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Dashboard Táctico — interfaz del Analista de Inteligencia</w:t>
            </w:r>
          </w:p>
        </w:tc>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Acceso limitado a corredores/distritos asignados, verificado en pruebas de rol</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Botón de pánico / sistema C5i como canal adicional</w:t>
            </w:r>
          </w:p>
        </w:tc>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No conforme (pendiente de decisión)</w:t>
            </w:r>
          </w:p>
        </w:tc>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No incorporado al catálogo de canales; depende de la decisión de posicionamiento de AT-0 (PT-01), aún abierta</w:t>
            </w:r>
          </w:p>
        </w:tc>
      </w:tr>
    </w:tbl>
    <w:p>
      <w:pPr>
        <w:spacing w:after="120"/>
      </w:pPr>
    </w:p>
    <w:p>
      <w:pPr>
        <w:pStyle w:val="Heading2"/>
        <w:spacing w:after="120" w:before="260"/>
      </w:pPr>
      <w:r>
        <w:rPr>
          <w:rFonts w:ascii="Calibri" w:cs="Calibri" w:eastAsia="Calibri" w:hAnsi="Calibri"/>
          <w:b/>
          <w:bCs/>
          <w:color w:val="8B1A1A"/>
          <w:sz w:val="24"/>
          <w:szCs w:val="24"/>
        </w:rPr>
        <w:t xml:space="preserve">3.4 Checklists de Gestión de Información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2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4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Modelo de datos y catálogo de campos según Módulo E</w:t>
            </w:r>
          </w:p>
        </w:tc>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Sin campos de placa propia ni WhatsApp del Informante</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Puntuaciones de scoring definidas únicamente en Módulo F</w:t>
            </w:r>
          </w:p>
        </w:tc>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de Consistencia Z-RESUMEN #2 verificada; Módulo E no contiene puntuaciones</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Retención de datos (30 días archivado, 730 días activo, 7 años log_auditoria)</w:t>
            </w:r>
          </w:p>
        </w:tc>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Política de retención configurada en el esquema de base de datos del piloto</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corredor_vial_id como única FK válida para corredores</w:t>
            </w:r>
          </w:p>
        </w:tc>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de Consistencia Z-RESUMEN #6 verificada; sin texto libre en su lugar</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Corredores con menos de 3 Reportes — solo datos agregados (PN-12)</w:t>
            </w:r>
          </w:p>
        </w:tc>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Observación</w:t>
            </w:r>
          </w:p>
        </w:tc>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Verificar en el piloto que el umbral de anonimato operacional se aplique de forma consistente en todos los distritos</w:t>
            </w:r>
          </w:p>
        </w:tc>
      </w:tr>
    </w:tbl>
    <w:p>
      <w:pPr>
        <w:spacing w:after="120"/>
      </w:pPr>
    </w:p>
    <w:p>
      <w:pPr>
        <w:pStyle w:val="Heading2"/>
        <w:spacing w:after="120" w:before="260"/>
      </w:pPr>
      <w:r>
        <w:rPr>
          <w:rFonts w:ascii="Calibri" w:cs="Calibri" w:eastAsia="Calibri" w:hAnsi="Calibri"/>
          <w:b/>
          <w:bCs/>
          <w:color w:val="8B1A1A"/>
          <w:sz w:val="24"/>
          <w:szCs w:val="24"/>
        </w:rPr>
        <w:t xml:space="preserve">3.5 Checklists de Seguridad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2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TLS 1.3 en tránsito y AES-256 en reposo</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Verificado en configuración de infraestructura del piloto</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MFA obligatorio para Analistas y Administradores</w:t>
            </w:r>
          </w:p>
        </w:tc>
        <w:tc>
          <w:tcPr>
            <w:tcW w:type="pct" w:w="2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Verificado en Active Directory PNP (INT-03, SAML 2.0 / OAuth 2.0+PKCE)</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ms-sanitizer como único componente con permiso de escritura en MinIO</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de Consistencia Z-RESUMEN #8 verificada mediante revisión de permisos IAM</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Prohibición de biometría/OCR sobre evidencia fotográfica</w:t>
            </w:r>
          </w:p>
        </w:tc>
        <w:tc>
          <w:tcPr>
            <w:tcW w:type="pct" w:w="2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Sin componentes de reconocimiento facial ni OCR en el pipeline (Módulo C.3.6)</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log_auditoria — solo Oficial de Seguridad y Administrador con acceso de lectura</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de Consistencia Z-RESUMEN #3 y #7 verificadas en control de roles</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Correlación de número extorsionador solo por hash SHA-256, sin cruce con operadoras</w:t>
            </w:r>
          </w:p>
        </w:tc>
        <w:tc>
          <w:tcPr>
            <w:tcW w:type="pct" w:w="2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Módulo C.4 verificado; sin integración con operadoras telefónicas</w:t>
            </w:r>
          </w:p>
        </w:tc>
      </w:tr>
    </w:tbl>
    <w:p>
      <w:pPr>
        <w:spacing w:after="120"/>
      </w:pPr>
    </w:p>
    <w:p>
      <w:pPr>
        <w:pStyle w:val="Heading2"/>
        <w:spacing w:after="120" w:before="260"/>
      </w:pPr>
      <w:r>
        <w:rPr>
          <w:rFonts w:ascii="Calibri" w:cs="Calibri" w:eastAsia="Calibri" w:hAnsi="Calibri"/>
          <w:b/>
          <w:bCs/>
          <w:color w:val="8B1A1A"/>
          <w:sz w:val="24"/>
          <w:szCs w:val="24"/>
        </w:rPr>
        <w:t xml:space="preserve">3.6 Checklists de Gestión de Sistemas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2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4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RTO &lt;1 min para flujo sin multimedia</w:t>
            </w:r>
          </w:p>
        </w:tc>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En verificación</w:t>
            </w:r>
          </w:p>
        </w:tc>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Pruebas de recuperación programadas para el cierre del piloto</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RTO ≤4h para multimedia/ms-scorer/PostgreSQL; RPO ≤1h</w:t>
            </w:r>
          </w:p>
        </w:tc>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En verificación</w:t>
            </w:r>
          </w:p>
        </w:tc>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Pendiente de prueba de conmutación por error (failover) en ambiente de piloto</w:t>
            </w:r>
          </w:p>
        </w:tc>
      </w:tr>
      <w:tr>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Disponibilidad objetivo 99.5%</w:t>
            </w:r>
          </w:p>
        </w:tc>
        <w:tc>
          <w:tcPr>
            <w:tcW w:type="pct" w:w="22%"/>
            <w:tcMar>
              <w:top w:type="dxa" w:w="80"/>
              <w:left w:type="dxa" w:w="100"/>
              <w:bottom w:type="dxa" w:w="80"/>
              <w:right w:type="dxa" w:w="100"/>
            </w:tcMar>
            <w:vAlign w:val="center"/>
          </w:tcPr>
          <w:p>
            <w:r>
              <w:rPr>
                <w:rFonts w:ascii="Calibri" w:cs="Calibri" w:eastAsia="Calibri" w:hAnsi="Calibri"/>
                <w:b w:val="false"/>
                <w:bCs w:val="false"/>
                <w:sz w:val="19"/>
                <w:szCs w:val="19"/>
              </w:rPr>
              <w:t xml:space="preserve">Observación</w:t>
            </w:r>
          </w:p>
        </w:tc>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Monitoreo activo desde el inicio del piloto; sin datos suficientes aún para confirmar el cumplimiento del objetivo</w:t>
            </w:r>
          </w:p>
        </w:tc>
      </w:tr>
      <w:tr>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Mesa de ayuda para Analistas y Comisarías</w:t>
            </w:r>
          </w:p>
        </w:tc>
        <w:tc>
          <w:tcPr>
            <w:tcW w:type="pct" w:w="2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Operativa desde el inicio del piloto, reforzada según Paso G5</w:t>
            </w:r>
          </w:p>
        </w:tc>
      </w:tr>
    </w:tbl>
    <w:p>
      <w:pPr>
        <w:spacing w:after="120"/>
      </w:pPr>
    </w:p>
    <w:p>
      <w:pPr>
        <w:pStyle w:val="Heading2"/>
        <w:spacing w:after="120" w:before="260"/>
      </w:pPr>
      <w:r>
        <w:rPr>
          <w:rFonts w:ascii="Calibri" w:cs="Calibri" w:eastAsia="Calibri" w:hAnsi="Calibri"/>
          <w:b/>
          <w:bCs/>
          <w:color w:val="8B1A1A"/>
          <w:sz w:val="24"/>
          <w:szCs w:val="24"/>
        </w:rPr>
        <w:t xml:space="preserve">3.7 Checklists de Ingeniería de Sistemas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2%"/>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2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38%"/>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DBSCAN adaptativo — zona radial (ε=0.5km, Haversine)</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Parámetros iniciales de diseño aplicados; calibración con datos reales prevista para AT-2</w:t>
            </w:r>
          </w:p>
        </w:tc>
      </w:tr>
      <w:tr>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DBSCAN corredor lineal (ε=0.3km sobre grafo vial, ORS+NetworkX)</w:t>
            </w:r>
          </w:p>
        </w:tc>
        <w:tc>
          <w:tcPr>
            <w:tcW w:type="pct" w:w="2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Documentado como ADR-09, según Módulo J.5</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Definición única de Clúster consistente en Módulos B, F e I</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de Consistencia Z-RESUMEN #1 verificada</w:t>
            </w:r>
          </w:p>
        </w:tc>
      </w:tr>
      <w:tr>
        <w:tc>
          <w:tcPr>
            <w:tcW w:type="pct" w:w="42%"/>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tipo_mecanismo_alerta limitado a REPORTE_INDIVIDUAL / CLUSTER / MANUAL</w:t>
            </w:r>
          </w:p>
        </w:tc>
        <w:tc>
          <w:tcPr>
            <w:tcW w:type="pct" w:w="2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de Consistencia Z-RESUMEN #4 verificada; sin valor URGENCIA_BLQRUTA_AGRCOND</w:t>
            </w:r>
          </w:p>
        </w:tc>
      </w:tr>
      <w:tr>
        <w:tc>
          <w:tcPr>
            <w:tcW w:type="pct" w:w="42%"/>
            <w:tcMar>
              <w:top w:type="dxa" w:w="80"/>
              <w:left w:type="dxa" w:w="100"/>
              <w:bottom w:type="dxa" w:w="80"/>
              <w:right w:type="dxa" w:w="100"/>
            </w:tcMar>
            <w:vAlign w:val="center"/>
          </w:tcPr>
          <w:p>
            <w:r>
              <w:rPr>
                <w:rFonts w:ascii="Calibri" w:cs="Calibri" w:eastAsia="Calibri" w:hAnsi="Calibri"/>
                <w:b w:val="false"/>
                <w:bCs w:val="false"/>
                <w:sz w:val="19"/>
                <w:szCs w:val="19"/>
              </w:rPr>
              <w:t xml:space="preserve">TRI calculado solo con fecha_despacho_confirmado no nula</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38%"/>
            <w:tcMar>
              <w:top w:type="dxa" w:w="80"/>
              <w:left w:type="dxa" w:w="100"/>
              <w:bottom w:type="dxa" w:w="80"/>
              <w:right w:type="dxa" w:w="100"/>
            </w:tcMar>
            <w:vAlign w:val="center"/>
          </w:tcPr>
          <w:p>
            <w:r>
              <w:rPr>
                <w:rFonts w:ascii="Calibri" w:cs="Calibri" w:eastAsia="Calibri" w:hAnsi="Calibri"/>
                <w:b w:val="false"/>
                <w:bCs w:val="false"/>
                <w:sz w:val="19"/>
                <w:szCs w:val="19"/>
              </w:rPr>
              <w:t xml:space="preserve">Regla de Consistencia Z-RESUMEN #5 verificada en el cálculo del KPI OBJ-02</w:t>
            </w:r>
          </w:p>
        </w:tc>
      </w:tr>
    </w:tbl>
    <w:p>
      <w:pPr>
        <w:spacing w:after="120"/>
      </w:pPr>
    </w:p>
    <w:p>
      <w:pPr>
        <w:pStyle w:val="Heading2"/>
        <w:spacing w:after="120" w:before="260"/>
      </w:pPr>
      <w:r>
        <w:rPr>
          <w:rFonts w:ascii="Calibri" w:cs="Calibri" w:eastAsia="Calibri" w:hAnsi="Calibri"/>
          <w:b/>
          <w:bCs/>
          <w:color w:val="8B1A1A"/>
          <w:sz w:val="24"/>
          <w:szCs w:val="24"/>
        </w:rPr>
        <w:t xml:space="preserve">3.8 Checklists de Métodos y Herramientas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Ítem verificado</w:t>
            </w:r>
          </w:p>
        </w:tc>
        <w:tc>
          <w:tcPr>
            <w:tcW w:type="pct" w:w="2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w:t>
            </w:r>
          </w:p>
        </w:tc>
        <w:tc>
          <w:tcPr>
            <w:tcW w:type="pct" w:w="40%"/>
            <w:shd w:fill="6E141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Evidencia / comentario</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Uso de PowerDesigner para artefactos UML del proyecto</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Diagramas de clases, secuencia y máquinas de estado disponibles en el repositorio del equipo</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Repositorio de arquitectura actualizado con decisiones ✔ y ADRs</w:t>
            </w:r>
          </w:p>
        </w:tc>
        <w:tc>
          <w:tcPr>
            <w:tcW w:type="pct" w:w="2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ADR-09 (DBSCAN corredor lineal) registrado; pendiente registrar ADR de decisión sobre INT-07/INT-08</w:t>
            </w:r>
          </w:p>
        </w:tc>
      </w:tr>
      <w:tr>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Revisión cruzada humana final antes del cierre de artefactos de gran alcance</w:t>
            </w:r>
          </w:p>
        </w:tc>
        <w:tc>
          <w:tcPr>
            <w:tcW w:type="pct" w:w="20%"/>
            <w:tcMar>
              <w:top w:type="dxa" w:w="80"/>
              <w:left w:type="dxa" w:w="100"/>
              <w:bottom w:type="dxa" w:w="80"/>
              <w:right w:type="dxa" w:w="100"/>
            </w:tcMar>
            <w:vAlign w:val="center"/>
          </w:tcPr>
          <w:p>
            <w:r>
              <w:rPr>
                <w:rFonts w:ascii="Calibri" w:cs="Calibri" w:eastAsia="Calibri" w:hAnsi="Calibri"/>
                <w:b w:val="false"/>
                <w:bCs w:val="false"/>
                <w:sz w:val="19"/>
                <w:szCs w:val="19"/>
              </w:rPr>
              <w:t xml:space="preserve">Observación</w:t>
            </w:r>
          </w:p>
        </w:tc>
        <w:tc>
          <w:tcPr>
            <w:tcW w:type="pct" w:w="40%"/>
            <w:tcMar>
              <w:top w:type="dxa" w:w="80"/>
              <w:left w:type="dxa" w:w="100"/>
              <w:bottom w:type="dxa" w:w="80"/>
              <w:right w:type="dxa" w:w="100"/>
            </w:tcMar>
            <w:vAlign w:val="center"/>
          </w:tcPr>
          <w:p>
            <w:r>
              <w:rPr>
                <w:rFonts w:ascii="Calibri" w:cs="Calibri" w:eastAsia="Calibri" w:hAnsi="Calibri"/>
                <w:b w:val="false"/>
                <w:bCs w:val="false"/>
                <w:sz w:val="19"/>
                <w:szCs w:val="19"/>
              </w:rPr>
              <w:t xml:space="preserve">Recomendada explícitamente para el Contrato de Arquitectura antes de su firma (Módulo 0.4)</w:t>
            </w:r>
          </w:p>
        </w:tc>
      </w:tr>
      <w:tr>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Trazabilidad de artefactos con encabezado estándar (Módulo 0.7)</w:t>
            </w:r>
          </w:p>
        </w:tc>
        <w:tc>
          <w:tcPr>
            <w:tcW w:type="pct" w:w="2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Conforme</w:t>
            </w:r>
          </w:p>
        </w:tc>
        <w:tc>
          <w:tcPr>
            <w:tcW w:type="pct" w:w="40%"/>
            <w:shd w:fill="F2F2F2" w:val="clear"/>
            <w:tcMar>
              <w:top w:type="dxa" w:w="80"/>
              <w:left w:type="dxa" w:w="100"/>
              <w:bottom w:type="dxa" w:w="80"/>
              <w:right w:type="dxa" w:w="100"/>
            </w:tcMar>
            <w:vAlign w:val="center"/>
          </w:tcPr>
          <w:p>
            <w:r>
              <w:rPr>
                <w:rFonts w:ascii="Calibri" w:cs="Calibri" w:eastAsia="Calibri" w:hAnsi="Calibri"/>
                <w:b w:val="false"/>
                <w:bCs w:val="false"/>
                <w:sz w:val="19"/>
                <w:szCs w:val="19"/>
              </w:rPr>
              <w:t xml:space="preserve">Aplicado en los entregables generados de Fase E, F y G</w:t>
            </w:r>
          </w:p>
        </w:tc>
      </w:tr>
    </w:tbl>
    <w:p>
      <w:pPr>
        <w:spacing w:after="120"/>
      </w:pPr>
    </w:p>
    <w:p>
      <w:pPr>
        <w:pStyle w:val="Heading1"/>
        <w:pBdr>
          <w:bottom w:val="single" w:color="8B1A1A" w:sz="8" w:space="4"/>
        </w:pBdr>
        <w:spacing w:after="160" w:before="400"/>
      </w:pPr>
      <w:r>
        <w:rPr>
          <w:rFonts w:ascii="Calibri" w:cs="Calibri" w:eastAsia="Calibri" w:hAnsi="Calibri"/>
          <w:b/>
          <w:bCs/>
          <w:color w:val="6E1414"/>
          <w:sz w:val="28"/>
          <w:szCs w:val="28"/>
        </w:rPr>
        <w:t xml:space="preserve">4. Conclusión del assessment</w:t>
      </w:r>
    </w:p>
    <w:p>
      <w:pPr>
        <w:spacing w:after="160"/>
      </w:pPr>
      <w:r>
        <w:rPr>
          <w:rFonts w:ascii="Calibri" w:cs="Calibri" w:eastAsia="Calibri" w:hAnsi="Calibri"/>
          <w:b w:val="false"/>
          <w:bCs w:val="false"/>
          <w:i w:val="false"/>
          <w:iCs w:val="false"/>
          <w:sz w:val="21"/>
          <w:szCs w:val="21"/>
        </w:rPr>
        <w:t xml:space="preserve">Resultado consolidado del piloto AT-1: la mayoría de los ítems evaluados son Conformes. Se identifican observaciones en dimensionamiento de infraestructura, disponibilidad y umbral de anonimato operacional, que no bloquean el tránsito pero requieren seguimiento. Se identifica un hallazgo No conforme — el botón de pánico C5i no incorporado — que corresponde a una decisión de gobierno pendiente (PT-01) y no a un defecto técnico.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BEAEA" w:val="clear"/>
            <w:tcMar>
              <w:top w:type="dxa" w:w="120"/>
              <w:left w:type="dxa" w:w="180"/>
              <w:bottom w:type="dxa" w:w="120"/>
              <w:right w:type="dxa" w:w="180"/>
            </w:tcMar>
          </w:tcPr>
          <w:p>
            <w:r>
              <w:rPr>
                <w:rFonts w:ascii="Calibri" w:cs="Calibri" w:eastAsia="Calibri" w:hAnsi="Calibri"/>
                <w:b/>
                <w:bCs/>
                <w:color w:val="6E1414"/>
                <w:sz w:val="20"/>
                <w:szCs w:val="20"/>
              </w:rPr>
              <w:t xml:space="preserve">Regla de cierre: </w:t>
            </w:r>
            <w:r>
              <w:rPr>
                <w:rFonts w:ascii="Calibri" w:cs="Calibri" w:eastAsia="Calibri" w:hAnsi="Calibri"/>
                <w:sz w:val="20"/>
                <w:szCs w:val="20"/>
              </w:rPr>
              <w:t xml:space="preserve">Según la Hoja de Ruta de Fase E, el tránsito de AT-1 a AT-2 no puede aprobarse mientras la decisión de posicionamiento institucional (INT-07, INT-08, botón de pánico) no quede documentada como integración autorizada o deslinde explícito.</w:t>
            </w:r>
          </w:p>
        </w:tc>
      </w:tr>
    </w:tbl>
    <w:p>
      <w:pPr>
        <w:spacing w:after="160"/>
      </w:pPr>
      <w:r>
        <w:rPr>
          <w:rFonts w:ascii="Calibri" w:cs="Calibri" w:eastAsia="Calibri" w:hAnsi="Calibri"/>
          <w:b w:val="false"/>
          <w:bCs w:val="false"/>
          <w:i/>
          <w:iCs/>
          <w:sz w:val="21"/>
          <w:szCs w:val="21"/>
        </w:rPr>
        <w:t xml:space="preserve">Se recomienda una revisión cruzada humana final de este assessment por parte del responsable de integración antes de considerarlo definitivo, dado que compromete la aprobación del tránsito entre Arquitecturas de Transición.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2026-07-03T23:08:06.095Z</dcterms:created>
  <dcterms:modified xsi:type="dcterms:W3CDTF">2026-07-03T23:08:06.107Z</dcterms:modified>
</cp:coreProperties>
</file>

<file path=docProps/custom.xml><?xml version="1.0" encoding="utf-8"?>
<Properties xmlns="http://schemas.openxmlformats.org/officeDocument/2006/custom-properties" xmlns:vt="http://schemas.openxmlformats.org/officeDocument/2006/docPropsVTypes"/>
</file>