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8B1A1A"/>
          <w:sz w:val="32"/>
          <w:szCs w:val="32"/>
        </w:rPr>
        <w:t xml:space="preserve">TOGAF ADM — FASE G</w:t>
      </w:r>
    </w:p>
    <w:p>
      <w:pPr>
        <w:spacing w:after="60"/>
        <w:jc w:val="center"/>
      </w:pPr>
      <w:r>
        <w:rPr>
          <w:rFonts w:ascii="Calibri" w:cs="Calibri" w:eastAsia="Calibri" w:hAnsi="Calibri"/>
          <w:b/>
          <w:bCs/>
          <w:sz w:val="26"/>
          <w:szCs w:val="26"/>
        </w:rPr>
        <w:t xml:space="preserve">Implementation Governance (Gobernanza de la Implementación)</w:t>
      </w:r>
    </w:p>
    <w:p>
      <w:pPr>
        <w:spacing w:after="300"/>
        <w:jc w:val="center"/>
      </w:pPr>
      <w:r>
        <w:rPr>
          <w:rFonts w:ascii="Calibri" w:cs="Calibri" w:eastAsia="Calibri" w:hAnsi="Calibri"/>
          <w:i/>
          <w:iCs/>
          <w:sz w:val="22"/>
          <w:szCs w:val="22"/>
        </w:rPr>
        <w:t xml:space="preserve">Sistema de Inteligencia Táctica contra Extorsión al Sector Transporte — CTOS-EXT-TRANSP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D9D9D9" w:val="clear"/>
            <w:tcMar>
              <w:top w:type="dxa" w:w="80"/>
              <w:left w:type="dxa" w:w="120"/>
              <w:bottom w:type="dxa" w:w="80"/>
              <w:right w:type="dxa" w:w="120"/>
            </w:tcMar>
            <w:vAlign w:val="center"/>
          </w:tcPr>
          <w:p>
            <w:r>
              <w:rPr>
                <w:rFonts w:ascii="Calibri" w:cs="Calibri" w:eastAsia="Calibri" w:hAnsi="Calibri"/>
                <w:b/>
                <w:bCs/>
                <w:sz w:val="20"/>
                <w:szCs w:val="20"/>
              </w:rPr>
              <w:t xml:space="preserve">Artefacto</w:t>
            </w:r>
          </w:p>
        </w:tc>
        <w:tc>
          <w:tcPr>
            <w:tcW w:type="pct" w:w="72%"/>
            <w:tcMar>
              <w:top w:type="dxa" w:w="80"/>
              <w:left w:type="dxa" w:w="120"/>
              <w:bottom w:type="dxa" w:w="80"/>
              <w:right w:type="dxa" w:w="120"/>
            </w:tcMar>
            <w:vAlign w:val="center"/>
          </w:tcPr>
          <w:p>
            <w:r>
              <w:rPr>
                <w:rFonts w:ascii="Calibri" w:cs="Calibri" w:eastAsia="Calibri" w:hAnsi="Calibri"/>
                <w:b w:val="false"/>
                <w:bCs w:val="false"/>
                <w:sz w:val="20"/>
                <w:szCs w:val="20"/>
              </w:rPr>
              <w:t xml:space="preserve">TOGAF Fase G — Implementation Governance (Gobernanza de la Implementación)</w:t>
            </w:r>
          </w:p>
        </w:tc>
      </w:tr>
      <w:tr>
        <w:tc>
          <w:tcPr>
            <w:tcW w:type="pct" w:w="28%"/>
            <w:shd w:fill="D9D9D9" w:val="clear"/>
            <w:tcMar>
              <w:top w:type="dxa" w:w="80"/>
              <w:left w:type="dxa" w:w="120"/>
              <w:bottom w:type="dxa" w:w="80"/>
              <w:right w:type="dxa" w:w="120"/>
            </w:tcMar>
            <w:vAlign w:val="center"/>
          </w:tcPr>
          <w:p>
            <w:r>
              <w:rPr>
                <w:rFonts w:ascii="Calibri" w:cs="Calibri" w:eastAsia="Calibri" w:hAnsi="Calibri"/>
                <w:b/>
                <w:bCs/>
                <w:sz w:val="20"/>
                <w:szCs w:val="20"/>
              </w:rPr>
              <w:t xml:space="preserve">Sistema</w:t>
            </w:r>
          </w:p>
        </w:tc>
        <w:tc>
          <w:tcPr>
            <w:tcW w:type="pct" w:w="72%"/>
            <w:tcMar>
              <w:top w:type="dxa" w:w="80"/>
              <w:left w:type="dxa" w:w="120"/>
              <w:bottom w:type="dxa" w:w="80"/>
              <w:right w:type="dxa" w:w="120"/>
            </w:tcMar>
            <w:vAlign w:val="center"/>
          </w:tcPr>
          <w:p>
            <w:r>
              <w:rPr>
                <w:rFonts w:ascii="Calibri" w:cs="Calibri" w:eastAsia="Calibri" w:hAnsi="Calibri"/>
                <w:b w:val="false"/>
                <w:bCs w:val="false"/>
                <w:sz w:val="20"/>
                <w:szCs w:val="20"/>
              </w:rPr>
              <w:t xml:space="preserve">CTOS-EXT-TRANSP v5.0</w:t>
            </w:r>
          </w:p>
        </w:tc>
      </w:tr>
      <w:tr>
        <w:tc>
          <w:tcPr>
            <w:tcW w:type="pct" w:w="28%"/>
            <w:shd w:fill="D9D9D9" w:val="clear"/>
            <w:tcMar>
              <w:top w:type="dxa" w:w="80"/>
              <w:left w:type="dxa" w:w="120"/>
              <w:bottom w:type="dxa" w:w="80"/>
              <w:right w:type="dxa" w:w="120"/>
            </w:tcMar>
            <w:vAlign w:val="center"/>
          </w:tcPr>
          <w:p>
            <w:r>
              <w:rPr>
                <w:rFonts w:ascii="Calibri" w:cs="Calibri" w:eastAsia="Calibri" w:hAnsi="Calibri"/>
                <w:b/>
                <w:bCs/>
                <w:sz w:val="20"/>
                <w:szCs w:val="20"/>
              </w:rPr>
              <w:t xml:space="preserve">Fuentes</w:t>
            </w:r>
          </w:p>
        </w:tc>
        <w:tc>
          <w:tcPr>
            <w:tcW w:type="pct" w:w="72%"/>
            <w:tcMar>
              <w:top w:type="dxa" w:w="80"/>
              <w:left w:type="dxa" w:w="120"/>
              <w:bottom w:type="dxa" w:w="80"/>
              <w:right w:type="dxa" w:w="120"/>
            </w:tcMar>
            <w:vAlign w:val="center"/>
          </w:tcPr>
          <w:p>
            <w:r>
              <w:rPr>
                <w:rFonts w:ascii="Calibri" w:cs="Calibri" w:eastAsia="Calibri" w:hAnsi="Calibri"/>
                <w:b w:val="false"/>
                <w:bCs w:val="false"/>
                <w:sz w:val="20"/>
                <w:szCs w:val="20"/>
              </w:rPr>
              <w:t xml:space="preserve">Módulo 0, Módulo G (Actores y Roles), Módulo I (Reglas de Negocio), Módulo M (Gestión de Riesgos)</w:t>
            </w:r>
          </w:p>
        </w:tc>
      </w:tr>
      <w:tr>
        <w:tc>
          <w:tcPr>
            <w:tcW w:type="pct" w:w="28%"/>
            <w:shd w:fill="D9D9D9" w:val="clear"/>
            <w:tcMar>
              <w:top w:type="dxa" w:w="80"/>
              <w:left w:type="dxa" w:w="120"/>
              <w:bottom w:type="dxa" w:w="80"/>
              <w:right w:type="dxa" w:w="120"/>
            </w:tcMar>
            <w:vAlign w:val="center"/>
          </w:tcPr>
          <w:p>
            <w:r>
              <w:rPr>
                <w:rFonts w:ascii="Calibri" w:cs="Calibri" w:eastAsia="Calibri" w:hAnsi="Calibri"/>
                <w:b/>
                <w:bCs/>
                <w:sz w:val="20"/>
                <w:szCs w:val="20"/>
              </w:rPr>
              <w:t xml:space="preserve">Clasificación</w:t>
            </w:r>
          </w:p>
        </w:tc>
        <w:tc>
          <w:tcPr>
            <w:tcW w:type="pct" w:w="72%"/>
            <w:tcMar>
              <w:top w:type="dxa" w:w="80"/>
              <w:left w:type="dxa" w:w="120"/>
              <w:bottom w:type="dxa" w:w="80"/>
              <w:right w:type="dxa" w:w="120"/>
            </w:tcMar>
            <w:vAlign w:val="center"/>
          </w:tcPr>
          <w:p>
            <w:r>
              <w:rPr>
                <w:rFonts w:ascii="Calibri" w:cs="Calibri" w:eastAsia="Calibri" w:hAnsi="Calibri"/>
                <w:b w:val="false"/>
                <w:bCs w:val="false"/>
                <w:sz w:val="20"/>
                <w:szCs w:val="20"/>
              </w:rPr>
              <w:t xml:space="preserve">RESERVADO — Uso interno PNP</w:t>
            </w:r>
          </w:p>
        </w:tc>
      </w:tr>
      <w:tr>
        <w:tc>
          <w:tcPr>
            <w:tcW w:type="pct" w:w="28%"/>
            <w:shd w:fill="D9D9D9" w:val="clear"/>
            <w:tcMar>
              <w:top w:type="dxa" w:w="80"/>
              <w:left w:type="dxa" w:w="120"/>
              <w:bottom w:type="dxa" w:w="80"/>
              <w:right w:type="dxa" w:w="120"/>
            </w:tcMar>
            <w:vAlign w:val="center"/>
          </w:tcPr>
          <w:p>
            <w:r>
              <w:rPr>
                <w:rFonts w:ascii="Calibri" w:cs="Calibri" w:eastAsia="Calibri" w:hAnsi="Calibri"/>
                <w:b/>
                <w:bCs/>
                <w:sz w:val="20"/>
                <w:szCs w:val="20"/>
              </w:rPr>
              <w:t xml:space="preserve">Fecha de generación</w:t>
            </w:r>
          </w:p>
        </w:tc>
        <w:tc>
          <w:tcPr>
            <w:tcW w:type="pct" w:w="72%"/>
            <w:tcMar>
              <w:top w:type="dxa" w:w="80"/>
              <w:left w:type="dxa" w:w="120"/>
              <w:bottom w:type="dxa" w:w="80"/>
              <w:right w:type="dxa" w:w="120"/>
            </w:tcMar>
            <w:vAlign w:val="center"/>
          </w:tcPr>
          <w:p>
            <w:r>
              <w:rPr>
                <w:rFonts w:ascii="Calibri" w:cs="Calibri" w:eastAsia="Calibri" w:hAnsi="Calibri"/>
                <w:b w:val="false"/>
                <w:bCs w:val="false"/>
                <w:sz w:val="20"/>
                <w:szCs w:val="20"/>
              </w:rPr>
              <w:t xml:space="preserve">03 de julio de 2026</w:t>
            </w:r>
          </w:p>
        </w:tc>
      </w:tr>
      <w:tr>
        <w:tc>
          <w:tcPr>
            <w:tcW w:type="pct" w:w="28%"/>
            <w:shd w:fill="D9D9D9" w:val="clear"/>
            <w:tcMar>
              <w:top w:type="dxa" w:w="80"/>
              <w:left w:type="dxa" w:w="120"/>
              <w:bottom w:type="dxa" w:w="80"/>
              <w:right w:type="dxa" w:w="120"/>
            </w:tcMar>
            <w:vAlign w:val="center"/>
          </w:tcPr>
          <w:p>
            <w:r>
              <w:rPr>
                <w:rFonts w:ascii="Calibri" w:cs="Calibri" w:eastAsia="Calibri" w:hAnsi="Calibri"/>
                <w:b/>
                <w:bCs/>
                <w:sz w:val="20"/>
                <w:szCs w:val="20"/>
              </w:rPr>
              <w:t xml:space="preserve">Marco metodológico</w:t>
            </w:r>
          </w:p>
        </w:tc>
        <w:tc>
          <w:tcPr>
            <w:tcW w:type="pct" w:w="72%"/>
            <w:tcMar>
              <w:top w:type="dxa" w:w="80"/>
              <w:left w:type="dxa" w:w="120"/>
              <w:bottom w:type="dxa" w:w="80"/>
              <w:right w:type="dxa" w:w="120"/>
            </w:tcMar>
            <w:vAlign w:val="center"/>
          </w:tcPr>
          <w:p>
            <w:r>
              <w:rPr>
                <w:rFonts w:ascii="Calibri" w:cs="Calibri" w:eastAsia="Calibri" w:hAnsi="Calibri"/>
                <w:b w:val="false"/>
                <w:bCs w:val="false"/>
                <w:sz w:val="20"/>
                <w:szCs w:val="20"/>
              </w:rPr>
              <w:t xml:space="preserve">TOGAF 9.2 (ADM)</w:t>
            </w:r>
          </w:p>
        </w:tc>
      </w:tr>
      <w:tr>
        <w:tc>
          <w:tcPr>
            <w:tcW w:type="pct" w:w="28%"/>
            <w:shd w:fill="D9D9D9" w:val="clear"/>
            <w:tcMar>
              <w:top w:type="dxa" w:w="80"/>
              <w:left w:type="dxa" w:w="120"/>
              <w:bottom w:type="dxa" w:w="80"/>
              <w:right w:type="dxa" w:w="120"/>
            </w:tcMar>
            <w:vAlign w:val="center"/>
          </w:tcPr>
          <w:p>
            <w:r>
              <w:rPr>
                <w:rFonts w:ascii="Calibri" w:cs="Calibri" w:eastAsia="Calibri" w:hAnsi="Calibri"/>
                <w:b/>
                <w:bCs/>
                <w:sz w:val="20"/>
                <w:szCs w:val="20"/>
              </w:rPr>
              <w:t xml:space="preserve">Supuestos asumidos</w:t>
            </w:r>
          </w:p>
        </w:tc>
        <w:tc>
          <w:tcPr>
            <w:tcW w:type="pct" w:w="72%"/>
            <w:tcMar>
              <w:top w:type="dxa" w:w="80"/>
              <w:left w:type="dxa" w:w="120"/>
              <w:bottom w:type="dxa" w:w="80"/>
              <w:right w:type="dxa" w:w="120"/>
            </w:tcMar>
            <w:vAlign w:val="center"/>
          </w:tcPr>
          <w:p>
            <w:r>
              <w:rPr>
                <w:rFonts w:ascii="Calibri" w:cs="Calibri" w:eastAsia="Calibri" w:hAnsi="Calibri"/>
                <w:b w:val="false"/>
                <w:bCs w:val="false"/>
                <w:sz w:val="20"/>
                <w:szCs w:val="20"/>
              </w:rPr>
              <w:t xml:space="preserve">Ver sección 0.2 — decisiones de posicionamiento institucional (INT-07, INT-08, botón de pánico C5i) tratadas como brecha de gobierno abierta, heredada de Fases E/F</w:t>
            </w:r>
          </w:p>
        </w:tc>
      </w:tr>
    </w:tbl>
    <w:p>
      <w:pPr>
        <w:pStyle w:val="Heading1"/>
        <w:pBdr>
          <w:bottom w:val="single" w:color="8B1A1A" w:sz="8" w:space="4"/>
        </w:pBdr>
        <w:spacing w:after="160" w:before="400"/>
      </w:pPr>
      <w:r>
        <w:rPr>
          <w:rFonts w:ascii="Calibri" w:cs="Calibri" w:eastAsia="Calibri" w:hAnsi="Calibri"/>
          <w:b/>
          <w:bCs/>
          <w:color w:val="6E1414"/>
          <w:sz w:val="28"/>
          <w:szCs w:val="28"/>
        </w:rPr>
        <w:t xml:space="preserve">0. Encuadre del capítulo</w:t>
      </w:r>
    </w:p>
    <w:p>
      <w:pPr>
        <w:spacing w:after="160"/>
      </w:pPr>
      <w:r>
        <w:rPr>
          <w:rFonts w:ascii="Calibri" w:cs="Calibri" w:eastAsia="Calibri" w:hAnsi="Calibri"/>
          <w:b w:val="false"/>
          <w:bCs w:val="false"/>
          <w:i w:val="false"/>
          <w:iCs w:val="false"/>
          <w:sz w:val="21"/>
          <w:szCs w:val="21"/>
        </w:rPr>
        <w:t xml:space="preserve">Este documento desarrolla, paso por paso, la Fase G del Método de Desarrollo de la Arquitectura (ADM) para el proyecto CTOS-EXT-TRANSP, formalizando el gobierno de la implementación mediante el Contrato de Arquitectura, las revisiones de conformidad y el cierre de cada Arquitectura de Transición ya definida en la Hoja de Ruta (Fases E/F).</w:t>
      </w:r>
    </w:p>
    <w:p>
      <w:pPr>
        <w:spacing w:after="160"/>
      </w:pPr>
      <w:r>
        <w:rPr>
          <w:rFonts w:ascii="Calibri" w:cs="Calibri" w:eastAsia="Calibri" w:hAnsi="Calibri"/>
          <w:b w:val="false"/>
          <w:bCs w:val="false"/>
          <w:i w:val="false"/>
          <w:iCs w:val="false"/>
          <w:sz w:val="21"/>
          <w:szCs w:val="21"/>
        </w:rPr>
        <w:t xml:space="preserve">Objetivos de la fase:</w:t>
      </w:r>
    </w:p>
    <w:p>
      <w:pPr>
        <w:pStyle w:val="ListParagraph"/>
        <w:numPr>
          <w:ilvl w:val="0"/>
          <w:numId w:val="1"/>
        </w:numPr>
        <w:spacing w:after="80"/>
      </w:pPr>
      <w:r>
        <w:rPr>
          <w:rFonts w:ascii="Calibri" w:cs="Calibri" w:eastAsia="Calibri" w:hAnsi="Calibri"/>
          <w:sz w:val="21"/>
          <w:szCs w:val="21"/>
        </w:rPr>
        <w:t xml:space="preserve">Asegurar que la solución construida sea conforme con la Arquitectura Objetivo aprobada.</w:t>
      </w:r>
    </w:p>
    <w:p>
      <w:pPr>
        <w:pStyle w:val="ListParagraph"/>
        <w:numPr>
          <w:ilvl w:val="0"/>
          <w:numId w:val="1"/>
        </w:numPr>
        <w:spacing w:after="80"/>
      </w:pPr>
      <w:r>
        <w:rPr>
          <w:rFonts w:ascii="Calibri" w:cs="Calibri" w:eastAsia="Calibri" w:hAnsi="Calibri"/>
          <w:sz w:val="21"/>
          <w:szCs w:val="21"/>
        </w:rPr>
        <w:t xml:space="preserve">Ejecutar la gobernanza de las soluciones y cambios que surgen durante el desarrollo y despliegue.</w:t>
      </w:r>
    </w:p>
    <w:p>
      <w:pPr>
        <w:pStyle w:val="ListParagraph"/>
        <w:numPr>
          <w:ilvl w:val="0"/>
          <w:numId w:val="1"/>
        </w:numPr>
        <w:spacing w:after="80"/>
      </w:pPr>
      <w:r>
        <w:rPr>
          <w:rFonts w:ascii="Calibri" w:cs="Calibri" w:eastAsia="Calibri" w:hAnsi="Calibri"/>
          <w:sz w:val="21"/>
          <w:szCs w:val="21"/>
        </w:rPr>
        <w:t xml:space="preserve">Trabajar en paralelo al desarrollo y despliegue, sin sustituir al equipo de gestión de proyecto (PMO).</w:t>
      </w:r>
    </w:p>
    <w:p>
      <w:pPr>
        <w:pStyle w:val="ListParagraph"/>
        <w:numPr>
          <w:ilvl w:val="0"/>
          <w:numId w:val="1"/>
        </w:numPr>
        <w:spacing w:after="80"/>
      </w:pPr>
      <w:r>
        <w:rPr>
          <w:rFonts w:ascii="Calibri" w:cs="Calibri" w:eastAsia="Calibri" w:hAnsi="Calibri"/>
          <w:sz w:val="21"/>
          <w:szCs w:val="21"/>
        </w:rPr>
        <w:t xml:space="preserve">Usar el Contrato de Arquitectura y las revisiones de conformidad (compliance reviews) como mecanismos formales de control.</w:t>
      </w:r>
    </w:p>
    <w:p>
      <w:pPr>
        <w:spacing w:after="160"/>
      </w:pPr>
      <w:r>
        <w:rPr>
          <w:rFonts w:ascii="Calibri" w:cs="Calibri" w:eastAsia="Calibri" w:hAnsi="Calibri"/>
          <w:b w:val="false"/>
          <w:bCs w:val="false"/>
          <w:i/>
          <w:iCs/>
          <w:sz w:val="21"/>
          <w:szCs w:val="21"/>
        </w:rPr>
        <w:t xml:space="preserve">Fuentes de esta fase (según el Prompt Maestro v5.0): Módulo G (Actores y Roles), Módulo I (Reglas de Negocio) y Módulo M (Gestión de Riesgos). Se hereda además el contexto de brechas de gobierno abiertas documentado en las Fases E/F: la relación con la División del Observatorio del Crimen (Ley N.° 32490), el Programa Asyste y el botón de pánico del sistema C5i.</w:t>
      </w:r>
    </w:p>
    <w:p>
      <w:pPr>
        <w:spacing w:after="160"/>
      </w:pPr>
      <w:r>
        <w:rPr>
          <w:rFonts w:ascii="Calibri" w:cs="Calibri" w:eastAsia="Calibri" w:hAnsi="Calibri"/>
          <w:b w:val="false"/>
          <w:bCs w:val="false"/>
          <w:i/>
          <w:iCs/>
          <w:sz w:val="21"/>
          <w:szCs w:val="21"/>
        </w:rPr>
        <w:t xml:space="preserve">Regla de entrada a esta fase: ninguna Arquitectura de Transición puede iniciar su gobierno de implementación si deja abierta, sin al menos un deslinde documentado, una decisión de posicionamiento institucional pendiente (ver AT-0 en la Hoja de Ruta de Fase E).</w:t>
      </w:r>
    </w:p>
    <w:p>
      <w:pPr>
        <w:pStyle w:val="Heading1"/>
        <w:pBdr>
          <w:bottom w:val="single" w:color="8B1A1A" w:sz="8" w:space="4"/>
        </w:pBdr>
        <w:spacing w:after="160" w:before="400"/>
      </w:pPr>
      <w:r>
        <w:rPr>
          <w:rFonts w:ascii="Calibri" w:cs="Calibri" w:eastAsia="Calibri" w:hAnsi="Calibri"/>
          <w:b/>
          <w:bCs/>
          <w:color w:val="6E1414"/>
          <w:sz w:val="28"/>
          <w:szCs w:val="28"/>
        </w:rPr>
        <w:t xml:space="preserve">Paso G1 — Confirmar el alcance del despliegue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80"/>
            </w:pPr>
            <w:r>
              <w:rPr>
                <w:rFonts w:ascii="Calibri" w:cs="Calibri" w:eastAsia="Calibri" w:hAnsi="Calibri"/>
                <w:b/>
                <w:bCs/>
                <w:color w:val="6E1414"/>
                <w:sz w:val="21"/>
                <w:szCs w:val="21"/>
              </w:rPr>
              <w:t xml:space="preserve">Pregunta guía</w:t>
            </w:r>
          </w:p>
          <w:p>
            <w:pPr>
              <w:spacing w:after="100"/>
            </w:pPr>
            <w:r>
              <w:rPr>
                <w:rFonts w:ascii="Calibri" w:cs="Calibri" w:eastAsia="Calibri" w:hAnsi="Calibri"/>
                <w:i/>
                <w:iCs/>
                <w:sz w:val="21"/>
                <w:szCs w:val="21"/>
              </w:rPr>
              <w:t xml:space="preserve">¿Qué se implementará realmente en esta iteración de gobierno?</w:t>
            </w:r>
          </w:p>
          <w:p>
            <w:pPr>
              <w:spacing w:after="40"/>
            </w:pPr>
            <w:r>
              <w:rPr>
                <w:rFonts w:ascii="Calibri" w:cs="Calibri" w:eastAsia="Calibri" w:hAnsi="Calibri"/>
                <w:sz w:val="20"/>
                <w:szCs w:val="20"/>
              </w:rPr>
              <w:t xml:space="preserve">Revisar el alcance frente a la Hoja de Ruta y las Arquitecturas de Transición.</w:t>
            </w:r>
          </w:p>
          <w:p>
            <w:pPr>
              <w:spacing w:after="40"/>
            </w:pPr>
            <w:r>
              <w:rPr>
                <w:rFonts w:ascii="Calibri" w:cs="Calibri" w:eastAsia="Calibri" w:hAnsi="Calibri"/>
                <w:sz w:val="20"/>
                <w:szCs w:val="20"/>
              </w:rPr>
              <w:t xml:space="preserve">Confirmar capacidades, procesos y unidades PNP involucradas.</w:t>
            </w:r>
          </w:p>
          <w:p>
            <w:pPr>
              <w:spacing w:after="40"/>
            </w:pPr>
            <w:r>
              <w:rPr>
                <w:rFonts w:ascii="Calibri" w:cs="Calibri" w:eastAsia="Calibri" w:hAnsi="Calibri"/>
                <w:sz w:val="20"/>
                <w:szCs w:val="20"/>
              </w:rPr>
              <w:t xml:space="preserve">Separar lo obligatorio (contrato) de las mejoras opcionales.</w:t>
            </w:r>
          </w:p>
          <w:p>
            <w:pPr>
              <w:spacing w:after="40"/>
            </w:pPr>
            <w:r>
              <w:rPr>
                <w:rFonts w:ascii="Calibri" w:cs="Calibri" w:eastAsia="Calibri" w:hAnsi="Calibri"/>
                <w:sz w:val="20"/>
                <w:szCs w:val="20"/>
              </w:rPr>
              <w:t xml:space="preserve">Alinear con la continuidad operativa de los canales de reporte ya vigentes.</w:t>
            </w:r>
          </w:p>
        </w:tc>
      </w:tr>
    </w:tbl>
    <w:p>
      <w:pPr>
        <w:spacing w:after="160"/>
      </w:pPr>
      <w:r>
        <w:rPr>
          <w:rFonts w:ascii="Calibri" w:cs="Calibri" w:eastAsia="Calibri" w:hAnsi="Calibri"/>
          <w:b w:val="false"/>
          <w:bCs w:val="false"/>
          <w:i w:val="false"/>
          <w:iCs w:val="false"/>
          <w:sz w:val="21"/>
          <w:szCs w:val="21"/>
        </w:rPr>
        <w:t xml:space="preserve">Aplicado a CTOS-EXT-TRANSP, el alcance de despliegue gobernado en cada Arquitectura de Transición es el siguiente: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Dimensión</w:t>
            </w:r>
          </w:p>
        </w:tc>
        <w:tc>
          <w:tcPr>
            <w:tcW w:type="pct" w:w="46%"/>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Alcance obligatorio (contrato)</w:t>
            </w:r>
          </w:p>
        </w:tc>
        <w:tc>
          <w:tcPr>
            <w:tcW w:type="pct" w:w="36%"/>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Fuera de alcance / opcional</w:t>
            </w:r>
          </w:p>
        </w:tc>
      </w:tr>
      <w:tr>
        <w:tc>
          <w:tcPr>
            <w:tcW w:type="pct" w:w="18%"/>
            <w:tcMar>
              <w:top w:type="dxa" w:w="80"/>
              <w:left w:type="dxa" w:w="100"/>
              <w:bottom w:type="dxa" w:w="80"/>
              <w:right w:type="dxa" w:w="100"/>
            </w:tcMar>
            <w:vAlign w:val="center"/>
          </w:tcPr>
          <w:p>
            <w:r>
              <w:rPr>
                <w:rFonts w:ascii="Calibri" w:cs="Calibri" w:eastAsia="Calibri" w:hAnsi="Calibri"/>
                <w:b w:val="false"/>
                <w:bCs w:val="false"/>
                <w:sz w:val="19"/>
                <w:szCs w:val="19"/>
              </w:rPr>
              <w:t xml:space="preserve">Capacidades</w:t>
            </w:r>
          </w:p>
        </w:tc>
        <w:tc>
          <w:tcPr>
            <w:tcW w:type="pct" w:w="46%"/>
            <w:tcMar>
              <w:top w:type="dxa" w:w="80"/>
              <w:left w:type="dxa" w:w="100"/>
              <w:bottom w:type="dxa" w:w="80"/>
              <w:right w:type="dxa" w:w="100"/>
            </w:tcMar>
            <w:vAlign w:val="center"/>
          </w:tcPr>
          <w:p>
            <w:r>
              <w:rPr>
                <w:rFonts w:ascii="Calibri" w:cs="Calibri" w:eastAsia="Calibri" w:hAnsi="Calibri"/>
                <w:b w:val="false"/>
                <w:bCs w:val="false"/>
                <w:sz w:val="19"/>
                <w:szCs w:val="19"/>
              </w:rPr>
              <w:t xml:space="preserve">Recepción multicanal, scoring de confianza, correlación geoespacial (DBSCAN), generación de Alertas de Patrullaje</w:t>
            </w:r>
          </w:p>
        </w:tc>
        <w:tc>
          <w:tcPr>
            <w:tcW w:type="pct" w:w="36%"/>
            <w:tcMar>
              <w:top w:type="dxa" w:w="80"/>
              <w:left w:type="dxa" w:w="100"/>
              <w:bottom w:type="dxa" w:w="80"/>
              <w:right w:type="dxa" w:w="100"/>
            </w:tcMar>
            <w:vAlign w:val="center"/>
          </w:tcPr>
          <w:p>
            <w:r>
              <w:rPr>
                <w:rFonts w:ascii="Calibri" w:cs="Calibri" w:eastAsia="Calibri" w:hAnsi="Calibri"/>
                <w:b w:val="false"/>
                <w:bCs w:val="false"/>
                <w:sz w:val="19"/>
                <w:szCs w:val="19"/>
              </w:rPr>
              <w:t xml:space="preserve">Fondo de reparación a víctimas y protección legal formal (brecha aceptada, BR-08 de Fase E)</w:t>
            </w:r>
          </w:p>
        </w:tc>
      </w:tr>
      <w:tr>
        <w:tc>
          <w:tcPr>
            <w:tcW w:type="pct" w:w="18%"/>
            <w:tcMar>
              <w:top w:type="dxa" w:w="80"/>
              <w:left w:type="dxa" w:w="100"/>
              <w:bottom w:type="dxa" w:w="80"/>
              <w:right w:type="dxa" w:w="100"/>
            </w:tcMar>
            <w:vAlign w:val="center"/>
          </w:tcPr>
          <w:p>
            <w:r>
              <w:rPr>
                <w:rFonts w:ascii="Calibri" w:cs="Calibri" w:eastAsia="Calibri" w:hAnsi="Calibri"/>
                <w:b w:val="false"/>
                <w:bCs w:val="false"/>
                <w:sz w:val="19"/>
                <w:szCs w:val="19"/>
              </w:rPr>
              <w:t xml:space="preserve">Unidades PNP</w:t>
            </w:r>
          </w:p>
        </w:tc>
        <w:tc>
          <w:tcPr>
            <w:tcW w:type="pct" w:w="46%"/>
            <w:tcMar>
              <w:top w:type="dxa" w:w="80"/>
              <w:left w:type="dxa" w:w="100"/>
              <w:bottom w:type="dxa" w:w="80"/>
              <w:right w:type="dxa" w:w="100"/>
            </w:tcMar>
            <w:vAlign w:val="center"/>
          </w:tcPr>
          <w:p>
            <w:r>
              <w:rPr>
                <w:rFonts w:ascii="Calibri" w:cs="Calibri" w:eastAsia="Calibri" w:hAnsi="Calibri"/>
                <w:b w:val="false"/>
                <w:bCs w:val="false"/>
                <w:sz w:val="19"/>
                <w:szCs w:val="19"/>
              </w:rPr>
              <w:t xml:space="preserve">DIRIN/DIRINCRI (Analista), Comisarías de jurisdicción, Comandancia, Administrador TIC, Oficial de Seguridad</w:t>
            </w:r>
          </w:p>
        </w:tc>
        <w:tc>
          <w:tcPr>
            <w:tcW w:type="pct" w:w="36%"/>
            <w:tcMar>
              <w:top w:type="dxa" w:w="80"/>
              <w:left w:type="dxa" w:w="100"/>
              <w:bottom w:type="dxa" w:w="80"/>
              <w:right w:type="dxa" w:w="100"/>
            </w:tcMar>
            <w:vAlign w:val="center"/>
          </w:tcPr>
          <w:p>
            <w:r>
              <w:rPr>
                <w:rFonts w:ascii="Calibri" w:cs="Calibri" w:eastAsia="Calibri" w:hAnsi="Calibri"/>
                <w:b w:val="false"/>
                <w:bCs w:val="false"/>
                <w:sz w:val="19"/>
                <w:szCs w:val="19"/>
              </w:rPr>
              <w:t xml:space="preserve">Fiscalía / Ministerio Público, salvo el puente agregado a evaluar con Asyste</w:t>
            </w:r>
          </w:p>
        </w:tc>
      </w:tr>
      <w:tr>
        <w:tc>
          <w:tcPr>
            <w:tcW w:type="pct" w:w="18%"/>
            <w:tcMar>
              <w:top w:type="dxa" w:w="80"/>
              <w:left w:type="dxa" w:w="100"/>
              <w:bottom w:type="dxa" w:w="80"/>
              <w:right w:type="dxa" w:w="100"/>
            </w:tcMar>
            <w:vAlign w:val="center"/>
          </w:tcPr>
          <w:p>
            <w:r>
              <w:rPr>
                <w:rFonts w:ascii="Calibri" w:cs="Calibri" w:eastAsia="Calibri" w:hAnsi="Calibri"/>
                <w:b w:val="false"/>
                <w:bCs w:val="false"/>
                <w:sz w:val="19"/>
                <w:szCs w:val="19"/>
              </w:rPr>
              <w:t xml:space="preserve">Datos</w:t>
            </w:r>
          </w:p>
        </w:tc>
        <w:tc>
          <w:tcPr>
            <w:tcW w:type="pct" w:w="46%"/>
            <w:tcMar>
              <w:top w:type="dxa" w:w="80"/>
              <w:left w:type="dxa" w:w="100"/>
              <w:bottom w:type="dxa" w:w="80"/>
              <w:right w:type="dxa" w:w="100"/>
            </w:tcMar>
            <w:vAlign w:val="center"/>
          </w:tcPr>
          <w:p>
            <w:r>
              <w:rPr>
                <w:rFonts w:ascii="Calibri" w:cs="Calibri" w:eastAsia="Calibri" w:hAnsi="Calibri"/>
                <w:b w:val="false"/>
                <w:bCs w:val="false"/>
                <w:sz w:val="19"/>
                <w:szCs w:val="19"/>
              </w:rPr>
              <w:t xml:space="preserve">Modelo de datos y scoring de MÓDULO F/E como fuente única de verdad</w:t>
            </w:r>
          </w:p>
        </w:tc>
        <w:tc>
          <w:tcPr>
            <w:tcW w:type="pct" w:w="36%"/>
            <w:tcMar>
              <w:top w:type="dxa" w:w="80"/>
              <w:left w:type="dxa" w:w="100"/>
              <w:bottom w:type="dxa" w:w="80"/>
              <w:right w:type="dxa" w:w="100"/>
            </w:tcMar>
            <w:vAlign w:val="center"/>
          </w:tcPr>
          <w:p>
            <w:r>
              <w:rPr>
                <w:rFonts w:ascii="Calibri" w:cs="Calibri" w:eastAsia="Calibri" w:hAnsi="Calibri"/>
                <w:b w:val="false"/>
                <w:bCs w:val="false"/>
                <w:sz w:val="19"/>
                <w:szCs w:val="19"/>
              </w:rPr>
              <w:t xml:space="preserve">Cruce con RENIEC, SUNAT, operadoras — integraciones prohibidas (MÓDULO C.5)</w:t>
            </w:r>
          </w:p>
        </w:tc>
      </w:tr>
      <w:tr>
        <w:tc>
          <w:tcPr>
            <w:tcW w:type="pct" w:w="18%"/>
            <w:tcMar>
              <w:top w:type="dxa" w:w="80"/>
              <w:left w:type="dxa" w:w="100"/>
              <w:bottom w:type="dxa" w:w="80"/>
              <w:right w:type="dxa" w:w="100"/>
            </w:tcMar>
            <w:vAlign w:val="center"/>
          </w:tcPr>
          <w:p>
            <w:r>
              <w:rPr>
                <w:rFonts w:ascii="Calibri" w:cs="Calibri" w:eastAsia="Calibri" w:hAnsi="Calibri"/>
                <w:b w:val="false"/>
                <w:bCs w:val="false"/>
                <w:sz w:val="19"/>
                <w:szCs w:val="19"/>
              </w:rPr>
              <w:t xml:space="preserve">Canales</w:t>
            </w:r>
          </w:p>
        </w:tc>
        <w:tc>
          <w:tcPr>
            <w:tcW w:type="pct" w:w="46%"/>
            <w:tcMar>
              <w:top w:type="dxa" w:w="80"/>
              <w:left w:type="dxa" w:w="100"/>
              <w:bottom w:type="dxa" w:w="80"/>
              <w:right w:type="dxa" w:w="100"/>
            </w:tcMar>
            <w:vAlign w:val="center"/>
          </w:tcPr>
          <w:p>
            <w:r>
              <w:rPr>
                <w:rFonts w:ascii="Calibri" w:cs="Calibri" w:eastAsia="Calibri" w:hAnsi="Calibri"/>
                <w:b w:val="false"/>
                <w:bCs w:val="false"/>
                <w:sz w:val="19"/>
                <w:szCs w:val="19"/>
              </w:rPr>
              <w:t xml:space="preserve">App Ciudadana, Portal Web, WhatsApp Business API (Fase 1 AWS)</w:t>
            </w:r>
          </w:p>
        </w:tc>
        <w:tc>
          <w:tcPr>
            <w:tcW w:type="pct" w:w="36%"/>
            <w:tcMar>
              <w:top w:type="dxa" w:w="80"/>
              <w:left w:type="dxa" w:w="100"/>
              <w:bottom w:type="dxa" w:w="80"/>
              <w:right w:type="dxa" w:w="100"/>
            </w:tcMar>
            <w:vAlign w:val="center"/>
          </w:tcPr>
          <w:p>
            <w:r>
              <w:rPr>
                <w:rFonts w:ascii="Calibri" w:cs="Calibri" w:eastAsia="Calibri" w:hAnsi="Calibri"/>
                <w:b w:val="false"/>
                <w:bCs w:val="false"/>
                <w:sz w:val="19"/>
                <w:szCs w:val="19"/>
              </w:rPr>
              <w:t xml:space="preserve">Botón de pánico / sistema C5i — incorporación condicional a PT-01 (pendiente de decisión)</w:t>
            </w:r>
          </w:p>
        </w:tc>
      </w:tr>
      <w:tr>
        <w:tc>
          <w:tcPr>
            <w:tcW w:type="pct" w:w="18%"/>
            <w:tcMar>
              <w:top w:type="dxa" w:w="80"/>
              <w:left w:type="dxa" w:w="100"/>
              <w:bottom w:type="dxa" w:w="80"/>
              <w:right w:type="dxa" w:w="100"/>
            </w:tcMar>
            <w:vAlign w:val="center"/>
          </w:tcPr>
          <w:p>
            <w:r>
              <w:rPr>
                <w:rFonts w:ascii="Calibri" w:cs="Calibri" w:eastAsia="Calibri" w:hAnsi="Calibri"/>
                <w:b w:val="false"/>
                <w:bCs w:val="false"/>
                <w:sz w:val="19"/>
                <w:szCs w:val="19"/>
              </w:rPr>
              <w:t xml:space="preserve">Tecnología</w:t>
            </w:r>
          </w:p>
        </w:tc>
        <w:tc>
          <w:tcPr>
            <w:tcW w:type="pct" w:w="46%"/>
            <w:tcMar>
              <w:top w:type="dxa" w:w="80"/>
              <w:left w:type="dxa" w:w="100"/>
              <w:bottom w:type="dxa" w:w="80"/>
              <w:right w:type="dxa" w:w="100"/>
            </w:tcMar>
            <w:vAlign w:val="center"/>
          </w:tcPr>
          <w:p>
            <w:r>
              <w:rPr>
                <w:rFonts w:ascii="Calibri" w:cs="Calibri" w:eastAsia="Calibri" w:hAnsi="Calibri"/>
                <w:b w:val="false"/>
                <w:bCs w:val="false"/>
                <w:sz w:val="19"/>
                <w:szCs w:val="19"/>
              </w:rPr>
              <w:t xml:space="preserve">Arquitectura híbrida on-premise para dato sensible; AWS solo para componentes sin dato sensible</w:t>
            </w:r>
          </w:p>
        </w:tc>
        <w:tc>
          <w:tcPr>
            <w:tcW w:type="pct" w:w="36%"/>
            <w:tcMar>
              <w:top w:type="dxa" w:w="80"/>
              <w:left w:type="dxa" w:w="100"/>
              <w:bottom w:type="dxa" w:w="80"/>
              <w:right w:type="dxa" w:w="100"/>
            </w:tcMar>
            <w:vAlign w:val="center"/>
          </w:tcPr>
          <w:p>
            <w:r>
              <w:rPr>
                <w:rFonts w:ascii="Calibri" w:cs="Calibri" w:eastAsia="Calibri" w:hAnsi="Calibri"/>
                <w:b w:val="false"/>
                <w:bCs w:val="false"/>
                <w:sz w:val="19"/>
                <w:szCs w:val="19"/>
              </w:rPr>
              <w:t xml:space="preserve">SageMaker/Bedrock sobre contenido de Reportes reales — prohibido por diseño (C.3.6)</w:t>
            </w:r>
          </w:p>
        </w:tc>
      </w:tr>
    </w:tbl>
    <w:p>
      <w:pPr>
        <w:spacing w:after="16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BEAEA" w:val="clear"/>
            <w:tcMar>
              <w:top w:type="dxa" w:w="120"/>
              <w:left w:type="dxa" w:w="180"/>
              <w:bottom w:type="dxa" w:w="120"/>
              <w:right w:type="dxa" w:w="180"/>
            </w:tcMar>
          </w:tcPr>
          <w:p>
            <w:r>
              <w:rPr>
                <w:rFonts w:ascii="Calibri" w:cs="Calibri" w:eastAsia="Calibri" w:hAnsi="Calibri"/>
                <w:b/>
                <w:bCs/>
                <w:color w:val="6E1414"/>
                <w:sz w:val="20"/>
                <w:szCs w:val="20"/>
              </w:rPr>
              <w:t xml:space="preserve">Ejemplo CTOS-EXT-TRANSP: </w:t>
            </w:r>
            <w:r>
              <w:rPr>
                <w:rFonts w:ascii="Calibri" w:cs="Calibri" w:eastAsia="Calibri" w:hAnsi="Calibri"/>
                <w:sz w:val="20"/>
                <w:szCs w:val="20"/>
              </w:rPr>
              <w:t xml:space="preserve">El piloto de AT-1 (San Juan de Lurigancho, Ate, El Agustino) se gobierna primero; la extensión a los 43 distritos de AT-2 no inicia su propio contrato de arquitectura hasta que AT-1 haya cerrado su revisión de conformidad (Paso G4).</w:t>
            </w:r>
          </w:p>
        </w:tc>
      </w:tr>
    </w:tbl>
    <w:p>
      <w:pPr>
        <w:pStyle w:val="Heading1"/>
        <w:pBdr>
          <w:bottom w:val="single" w:color="8B1A1A" w:sz="8" w:space="4"/>
        </w:pBdr>
        <w:spacing w:after="160" w:before="400"/>
      </w:pPr>
      <w:r>
        <w:rPr>
          <w:rFonts w:ascii="Calibri" w:cs="Calibri" w:eastAsia="Calibri" w:hAnsi="Calibri"/>
          <w:b/>
          <w:bCs/>
          <w:color w:val="6E1414"/>
          <w:sz w:val="28"/>
          <w:szCs w:val="28"/>
        </w:rPr>
        <w:t xml:space="preserve">Paso G2 — Identificar recursos y habilidades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80"/>
            </w:pPr>
            <w:r>
              <w:rPr>
                <w:rFonts w:ascii="Calibri" w:cs="Calibri" w:eastAsia="Calibri" w:hAnsi="Calibri"/>
                <w:b/>
                <w:bCs/>
                <w:color w:val="6E1414"/>
                <w:sz w:val="21"/>
                <w:szCs w:val="21"/>
              </w:rPr>
              <w:t xml:space="preserve">Pregunta guía</w:t>
            </w:r>
          </w:p>
          <w:p>
            <w:pPr>
              <w:spacing w:after="100"/>
            </w:pPr>
            <w:r>
              <w:rPr>
                <w:rFonts w:ascii="Calibri" w:cs="Calibri" w:eastAsia="Calibri" w:hAnsi="Calibri"/>
                <w:i/>
                <w:iCs/>
                <w:sz w:val="21"/>
                <w:szCs w:val="21"/>
              </w:rPr>
              <w:t xml:space="preserve">¿Quién implementa y quién opera el sistema una vez desplegado?</w:t>
            </w:r>
          </w:p>
          <w:p>
            <w:pPr>
              <w:spacing w:after="40"/>
            </w:pPr>
            <w:r>
              <w:rPr>
                <w:rFonts w:ascii="Calibri" w:cs="Calibri" w:eastAsia="Calibri" w:hAnsi="Calibri"/>
                <w:sz w:val="20"/>
                <w:szCs w:val="20"/>
              </w:rPr>
              <w:t xml:space="preserve">Identificar arquitectos, desarrollo, seguridad, calidad (QA) y operación.</w:t>
            </w:r>
          </w:p>
          <w:p>
            <w:pPr>
              <w:spacing w:after="40"/>
            </w:pPr>
            <w:r>
              <w:rPr>
                <w:rFonts w:ascii="Calibri" w:cs="Calibri" w:eastAsia="Calibri" w:hAnsi="Calibri"/>
                <w:sz w:val="20"/>
                <w:szCs w:val="20"/>
              </w:rPr>
              <w:t xml:space="preserve">Determinar habilidades faltantes y necesidad de proveedor externo.</w:t>
            </w:r>
          </w:p>
          <w:p>
            <w:pPr>
              <w:spacing w:after="40"/>
            </w:pPr>
            <w:r>
              <w:rPr>
                <w:rFonts w:ascii="Calibri" w:cs="Calibri" w:eastAsia="Calibri" w:hAnsi="Calibri"/>
                <w:sz w:val="20"/>
                <w:szCs w:val="20"/>
              </w:rPr>
              <w:t xml:space="preserve">Asegurar la existencia de usuarios clave (key users) y dueños de datos.</w:t>
            </w:r>
          </w:p>
          <w:p>
            <w:pPr>
              <w:spacing w:after="40"/>
            </w:pPr>
            <w:r>
              <w:rPr>
                <w:rFonts w:ascii="Calibri" w:cs="Calibri" w:eastAsia="Calibri" w:hAnsi="Calibri"/>
                <w:sz w:val="20"/>
                <w:szCs w:val="20"/>
              </w:rPr>
              <w:t xml:space="preserve">Confirmar el soporte posterior al despliegue.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Rol</w:t>
            </w:r>
          </w:p>
        </w:tc>
        <w:tc>
          <w:tcPr>
            <w:tcW w:type="pct" w:w="42%"/>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Responsabilidad en el gobierno de Fase G</w:t>
            </w:r>
          </w:p>
        </w:tc>
        <w:tc>
          <w:tcPr>
            <w:tcW w:type="pct" w:w="28%"/>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Riesgo si el rol falta</w:t>
            </w:r>
          </w:p>
        </w:tc>
      </w:tr>
      <w:tr>
        <w:tc>
          <w:tcPr>
            <w:tcW w:type="pct" w:w="30%"/>
            <w:tcMar>
              <w:top w:type="dxa" w:w="80"/>
              <w:left w:type="dxa" w:w="100"/>
              <w:bottom w:type="dxa" w:w="80"/>
              <w:right w:type="dxa" w:w="100"/>
            </w:tcMar>
            <w:vAlign w:val="center"/>
          </w:tcPr>
          <w:p>
            <w:r>
              <w:rPr>
                <w:rFonts w:ascii="Calibri" w:cs="Calibri" w:eastAsia="Calibri" w:hAnsi="Calibri"/>
                <w:b w:val="false"/>
                <w:bCs w:val="false"/>
                <w:sz w:val="19"/>
                <w:szCs w:val="19"/>
              </w:rPr>
              <w:t xml:space="preserve">Responsable de integración y revisión final de consistencia (Persona 7, ADM.3)</w:t>
            </w:r>
          </w:p>
        </w:tc>
        <w:tc>
          <w:tcPr>
            <w:tcW w:type="pct" w:w="42%"/>
            <w:tcMar>
              <w:top w:type="dxa" w:w="80"/>
              <w:left w:type="dxa" w:w="100"/>
              <w:bottom w:type="dxa" w:w="80"/>
              <w:right w:type="dxa" w:w="100"/>
            </w:tcMar>
            <w:vAlign w:val="center"/>
          </w:tcPr>
          <w:p>
            <w:r>
              <w:rPr>
                <w:rFonts w:ascii="Calibri" w:cs="Calibri" w:eastAsia="Calibri" w:hAnsi="Calibri"/>
                <w:b w:val="false"/>
                <w:bCs w:val="false"/>
                <w:sz w:val="19"/>
                <w:szCs w:val="19"/>
              </w:rPr>
              <w:t xml:space="preserve">Preside las revisiones de conformidad; valida las 8 Reglas de Consistencia Crítica (Módulo Z-RESUMEN) antes de aprobar cada tránsito de fase</w:t>
            </w:r>
          </w:p>
        </w:tc>
        <w:tc>
          <w:tcPr>
            <w:tcW w:type="pct" w:w="28%"/>
            <w:tcMar>
              <w:top w:type="dxa" w:w="80"/>
              <w:left w:type="dxa" w:w="100"/>
              <w:bottom w:type="dxa" w:w="80"/>
              <w:right w:type="dxa" w:w="100"/>
            </w:tcMar>
            <w:vAlign w:val="center"/>
          </w:tcPr>
          <w:p>
            <w:r>
              <w:rPr>
                <w:rFonts w:ascii="Calibri" w:cs="Calibri" w:eastAsia="Calibri" w:hAnsi="Calibri"/>
                <w:b w:val="false"/>
                <w:bCs w:val="false"/>
                <w:sz w:val="19"/>
                <w:szCs w:val="19"/>
              </w:rPr>
              <w:t xml:space="preserve">Desvío silencioso entre lo diseñado en Fases C/D y lo realmente construido</w:t>
            </w:r>
          </w:p>
        </w:tc>
      </w:tr>
      <w:tr>
        <w:tc>
          <w:tcPr>
            <w:tcW w:type="pct" w:w="30%"/>
            <w:tcMar>
              <w:top w:type="dxa" w:w="80"/>
              <w:left w:type="dxa" w:w="100"/>
              <w:bottom w:type="dxa" w:w="80"/>
              <w:right w:type="dxa" w:w="100"/>
            </w:tcMar>
            <w:vAlign w:val="center"/>
          </w:tcPr>
          <w:p>
            <w:r>
              <w:rPr>
                <w:rFonts w:ascii="Calibri" w:cs="Calibri" w:eastAsia="Calibri" w:hAnsi="Calibri"/>
                <w:b w:val="false"/>
                <w:bCs w:val="false"/>
                <w:sz w:val="19"/>
                <w:szCs w:val="19"/>
              </w:rPr>
              <w:t xml:space="preserve">Oficial de Seguridad (DIRIN)</w:t>
            </w:r>
          </w:p>
        </w:tc>
        <w:tc>
          <w:tcPr>
            <w:tcW w:type="pct" w:w="42%"/>
            <w:tcMar>
              <w:top w:type="dxa" w:w="80"/>
              <w:left w:type="dxa" w:w="100"/>
              <w:bottom w:type="dxa" w:w="80"/>
              <w:right w:type="dxa" w:w="100"/>
            </w:tcMar>
            <w:vAlign w:val="center"/>
          </w:tcPr>
          <w:p>
            <w:r>
              <w:rPr>
                <w:rFonts w:ascii="Calibri" w:cs="Calibri" w:eastAsia="Calibri" w:hAnsi="Calibri"/>
                <w:b w:val="false"/>
                <w:bCs w:val="false"/>
                <w:sz w:val="19"/>
                <w:szCs w:val="19"/>
              </w:rPr>
              <w:t xml:space="preserve">Controla que ms-sanitizer sea el único componente con permiso de escritura en MinIO; audita accesos al log_auditoria</w:t>
            </w:r>
          </w:p>
        </w:tc>
        <w:tc>
          <w:tcPr>
            <w:tcW w:type="pct" w:w="28%"/>
            <w:tcMar>
              <w:top w:type="dxa" w:w="80"/>
              <w:left w:type="dxa" w:w="100"/>
              <w:bottom w:type="dxa" w:w="80"/>
              <w:right w:type="dxa" w:w="100"/>
            </w:tcMar>
            <w:vAlign w:val="center"/>
          </w:tcPr>
          <w:p>
            <w:r>
              <w:rPr>
                <w:rFonts w:ascii="Calibri" w:cs="Calibri" w:eastAsia="Calibri" w:hAnsi="Calibri"/>
                <w:b w:val="false"/>
                <w:bCs w:val="false"/>
                <w:sz w:val="19"/>
                <w:szCs w:val="19"/>
              </w:rPr>
              <w:t xml:space="preserve">Vulnerabilidad de privacidad no detectada antes de producción</w:t>
            </w:r>
          </w:p>
        </w:tc>
      </w:tr>
      <w:tr>
        <w:tc>
          <w:tcPr>
            <w:tcW w:type="pct" w:w="30%"/>
            <w:tcMar>
              <w:top w:type="dxa" w:w="80"/>
              <w:left w:type="dxa" w:w="100"/>
              <w:bottom w:type="dxa" w:w="80"/>
              <w:right w:type="dxa" w:w="100"/>
            </w:tcMar>
            <w:vAlign w:val="center"/>
          </w:tcPr>
          <w:p>
            <w:r>
              <w:rPr>
                <w:rFonts w:ascii="Calibri" w:cs="Calibri" w:eastAsia="Calibri" w:hAnsi="Calibri"/>
                <w:b w:val="false"/>
                <w:bCs w:val="false"/>
                <w:sz w:val="19"/>
                <w:szCs w:val="19"/>
              </w:rPr>
              <w:t xml:space="preserve">Analista de Inteligencia (usuario clave)</w:t>
            </w:r>
          </w:p>
        </w:tc>
        <w:tc>
          <w:tcPr>
            <w:tcW w:type="pct" w:w="42%"/>
            <w:tcMar>
              <w:top w:type="dxa" w:w="80"/>
              <w:left w:type="dxa" w:w="100"/>
              <w:bottom w:type="dxa" w:w="80"/>
              <w:right w:type="dxa" w:w="100"/>
            </w:tcMar>
            <w:vAlign w:val="center"/>
          </w:tcPr>
          <w:p>
            <w:r>
              <w:rPr>
                <w:rFonts w:ascii="Calibri" w:cs="Calibri" w:eastAsia="Calibri" w:hAnsi="Calibri"/>
                <w:b w:val="false"/>
                <w:bCs w:val="false"/>
                <w:sz w:val="19"/>
                <w:szCs w:val="19"/>
              </w:rPr>
              <w:t xml:space="preserve">Valida en el piloto que el Dashboard Táctico y los estados de Reporte correspondan a las Reglas de Negocio (MÓDULO I)</w:t>
            </w:r>
          </w:p>
        </w:tc>
        <w:tc>
          <w:tcPr>
            <w:tcW w:type="pct" w:w="28%"/>
            <w:tcMar>
              <w:top w:type="dxa" w:w="80"/>
              <w:left w:type="dxa" w:w="100"/>
              <w:bottom w:type="dxa" w:w="80"/>
              <w:right w:type="dxa" w:w="100"/>
            </w:tcMar>
            <w:vAlign w:val="center"/>
          </w:tcPr>
          <w:p>
            <w:r>
              <w:rPr>
                <w:rFonts w:ascii="Calibri" w:cs="Calibri" w:eastAsia="Calibri" w:hAnsi="Calibri"/>
                <w:b w:val="false"/>
                <w:bCs w:val="false"/>
                <w:sz w:val="19"/>
                <w:szCs w:val="19"/>
              </w:rPr>
              <w:t xml:space="preserve">Reportes mal clasificados sin que nadie los detecte en campo</w:t>
            </w:r>
          </w:p>
        </w:tc>
      </w:tr>
      <w:tr>
        <w:tc>
          <w:tcPr>
            <w:tcW w:type="pct" w:w="30%"/>
            <w:tcMar>
              <w:top w:type="dxa" w:w="80"/>
              <w:left w:type="dxa" w:w="100"/>
              <w:bottom w:type="dxa" w:w="80"/>
              <w:right w:type="dxa" w:w="100"/>
            </w:tcMar>
            <w:vAlign w:val="center"/>
          </w:tcPr>
          <w:p>
            <w:r>
              <w:rPr>
                <w:rFonts w:ascii="Calibri" w:cs="Calibri" w:eastAsia="Calibri" w:hAnsi="Calibri"/>
                <w:b w:val="false"/>
                <w:bCs w:val="false"/>
                <w:sz w:val="19"/>
                <w:szCs w:val="19"/>
              </w:rPr>
              <w:t xml:space="preserve">Administrador del Sistema</w:t>
            </w:r>
          </w:p>
        </w:tc>
        <w:tc>
          <w:tcPr>
            <w:tcW w:type="pct" w:w="42%"/>
            <w:tcMar>
              <w:top w:type="dxa" w:w="80"/>
              <w:left w:type="dxa" w:w="100"/>
              <w:bottom w:type="dxa" w:w="80"/>
              <w:right w:type="dxa" w:w="100"/>
            </w:tcMar>
            <w:vAlign w:val="center"/>
          </w:tcPr>
          <w:p>
            <w:r>
              <w:rPr>
                <w:rFonts w:ascii="Calibri" w:cs="Calibri" w:eastAsia="Calibri" w:hAnsi="Calibri"/>
                <w:b w:val="false"/>
                <w:bCs w:val="false"/>
                <w:sz w:val="19"/>
                <w:szCs w:val="19"/>
              </w:rPr>
              <w:t xml:space="preserve">Gestiona catálogos, usuarios y lee el log_auditoria con propósito de gestión técnica (distinto al Oficial de Seguridad)</w:t>
            </w:r>
          </w:p>
        </w:tc>
        <w:tc>
          <w:tcPr>
            <w:tcW w:type="pct" w:w="28%"/>
            <w:tcMar>
              <w:top w:type="dxa" w:w="80"/>
              <w:left w:type="dxa" w:w="100"/>
              <w:bottom w:type="dxa" w:w="80"/>
              <w:right w:type="dxa" w:w="100"/>
            </w:tcMar>
            <w:vAlign w:val="center"/>
          </w:tcPr>
          <w:p>
            <w:r>
              <w:rPr>
                <w:rFonts w:ascii="Calibri" w:cs="Calibri" w:eastAsia="Calibri" w:hAnsi="Calibri"/>
                <w:b w:val="false"/>
                <w:bCs w:val="false"/>
                <w:sz w:val="19"/>
                <w:szCs w:val="19"/>
              </w:rPr>
              <w:t xml:space="preserve">Falta de soporte técnico post-despliegue; caídas del ambiente híbrido</w:t>
            </w:r>
          </w:p>
        </w:tc>
      </w:tr>
      <w:tr>
        <w:tc>
          <w:tcPr>
            <w:tcW w:type="pct" w:w="30%"/>
            <w:tcMar>
              <w:top w:type="dxa" w:w="80"/>
              <w:left w:type="dxa" w:w="100"/>
              <w:bottom w:type="dxa" w:w="80"/>
              <w:right w:type="dxa" w:w="100"/>
            </w:tcMar>
            <w:vAlign w:val="center"/>
          </w:tcPr>
          <w:p>
            <w:r>
              <w:rPr>
                <w:rFonts w:ascii="Calibri" w:cs="Calibri" w:eastAsia="Calibri" w:hAnsi="Calibri"/>
                <w:b w:val="false"/>
                <w:bCs w:val="false"/>
                <w:sz w:val="19"/>
                <w:szCs w:val="19"/>
              </w:rPr>
              <w:t xml:space="preserve">Comandante / Jefe de Operaciones</w:t>
            </w:r>
          </w:p>
        </w:tc>
        <w:tc>
          <w:tcPr>
            <w:tcW w:type="pct" w:w="42%"/>
            <w:tcMar>
              <w:top w:type="dxa" w:w="80"/>
              <w:left w:type="dxa" w:w="100"/>
              <w:bottom w:type="dxa" w:w="80"/>
              <w:right w:type="dxa" w:w="100"/>
            </w:tcMar>
            <w:vAlign w:val="center"/>
          </w:tcPr>
          <w:p>
            <w:r>
              <w:rPr>
                <w:rFonts w:ascii="Calibri" w:cs="Calibri" w:eastAsia="Calibri" w:hAnsi="Calibri"/>
                <w:b w:val="false"/>
                <w:bCs w:val="false"/>
                <w:sz w:val="19"/>
                <w:szCs w:val="19"/>
              </w:rPr>
              <w:t xml:space="preserve">Actualiza la lista de Corredores Troncales con datos frescos en cada cierre de fase (mitigación de RIE-ANT-02)</w:t>
            </w:r>
          </w:p>
        </w:tc>
        <w:tc>
          <w:tcPr>
            <w:tcW w:type="pct" w:w="28%"/>
            <w:tcMar>
              <w:top w:type="dxa" w:w="80"/>
              <w:left w:type="dxa" w:w="100"/>
              <w:bottom w:type="dxa" w:w="80"/>
              <w:right w:type="dxa" w:w="100"/>
            </w:tcMar>
            <w:vAlign w:val="center"/>
          </w:tcPr>
          <w:p>
            <w:r>
              <w:rPr>
                <w:rFonts w:ascii="Calibri" w:cs="Calibri" w:eastAsia="Calibri" w:hAnsi="Calibri"/>
                <w:b w:val="false"/>
                <w:bCs w:val="false"/>
                <w:sz w:val="19"/>
                <w:szCs w:val="19"/>
              </w:rPr>
              <w:t xml:space="preserve">Refuerzo artificial de clústeres por inercia histórica (efecto predictive policing)</w:t>
            </w:r>
          </w:p>
        </w:tc>
      </w:tr>
      <w:tr>
        <w:tc>
          <w:tcPr>
            <w:tcW w:type="pct" w:w="30%"/>
            <w:tcMar>
              <w:top w:type="dxa" w:w="80"/>
              <w:left w:type="dxa" w:w="100"/>
              <w:bottom w:type="dxa" w:w="80"/>
              <w:right w:type="dxa" w:w="100"/>
            </w:tcMar>
            <w:vAlign w:val="center"/>
          </w:tcPr>
          <w:p>
            <w:r>
              <w:rPr>
                <w:rFonts w:ascii="Calibri" w:cs="Calibri" w:eastAsia="Calibri" w:hAnsi="Calibri"/>
                <w:b w:val="false"/>
                <w:bCs w:val="false"/>
                <w:sz w:val="19"/>
                <w:szCs w:val="19"/>
              </w:rPr>
              <w:t xml:space="preserve">Equipo técnico de Motor de Correlación (ms-scorer, ms-geoanalytics, ms-alerter)</w:t>
            </w:r>
          </w:p>
        </w:tc>
        <w:tc>
          <w:tcPr>
            <w:tcW w:type="pct" w:w="42%"/>
            <w:tcMar>
              <w:top w:type="dxa" w:w="80"/>
              <w:left w:type="dxa" w:w="100"/>
              <w:bottom w:type="dxa" w:w="80"/>
              <w:right w:type="dxa" w:w="100"/>
            </w:tcMar>
            <w:vAlign w:val="center"/>
          </w:tcPr>
          <w:p>
            <w:r>
              <w:rPr>
                <w:rFonts w:ascii="Calibri" w:cs="Calibri" w:eastAsia="Calibri" w:hAnsi="Calibri"/>
                <w:b w:val="false"/>
                <w:bCs w:val="false"/>
                <w:sz w:val="19"/>
                <w:szCs w:val="19"/>
              </w:rPr>
              <w:t xml:space="preserve">Provee evidencia técnica (logs, métricas DBSCAN, tiempos de cómputo) para las revisiones de conformidad</w:t>
            </w:r>
          </w:p>
        </w:tc>
        <w:tc>
          <w:tcPr>
            <w:tcW w:type="pct" w:w="28%"/>
            <w:tcMar>
              <w:top w:type="dxa" w:w="80"/>
              <w:left w:type="dxa" w:w="100"/>
              <w:bottom w:type="dxa" w:w="80"/>
              <w:right w:type="dxa" w:w="100"/>
            </w:tcMar>
            <w:vAlign w:val="center"/>
          </w:tcPr>
          <w:p>
            <w:r>
              <w:rPr>
                <w:rFonts w:ascii="Calibri" w:cs="Calibri" w:eastAsia="Calibri" w:hAnsi="Calibri"/>
                <w:b w:val="false"/>
                <w:bCs w:val="false"/>
                <w:sz w:val="19"/>
                <w:szCs w:val="19"/>
              </w:rPr>
              <w:t xml:space="preserve">Compliance review sin evidencia verificable, solo declarativa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BEAEA" w:val="clear"/>
            <w:tcMar>
              <w:top w:type="dxa" w:w="120"/>
              <w:left w:type="dxa" w:w="180"/>
              <w:bottom w:type="dxa" w:w="120"/>
              <w:right w:type="dxa" w:w="180"/>
            </w:tcMar>
          </w:tcPr>
          <w:p>
            <w:r>
              <w:rPr>
                <w:rFonts w:ascii="Calibri" w:cs="Calibri" w:eastAsia="Calibri" w:hAnsi="Calibri"/>
                <w:b/>
                <w:bCs/>
                <w:color w:val="6E1414"/>
                <w:sz w:val="20"/>
                <w:szCs w:val="20"/>
              </w:rPr>
              <w:t xml:space="preserve">Ejemplo CTOS-EXT-TRANSP: </w:t>
            </w:r>
            <w:r>
              <w:rPr>
                <w:rFonts w:ascii="Calibri" w:cs="Calibri" w:eastAsia="Calibri" w:hAnsi="Calibri"/>
                <w:sz w:val="20"/>
                <w:szCs w:val="20"/>
              </w:rPr>
              <w:t xml:space="preserve">El frente de infraestructura e integraciones ya fue identificado en Fase E (7.1) como posible cuello de botella de capacidad; en Fase G esto se traduce en priorizar la disponibilidad del equipo técnico del Motor de Correlación durante las ventanas de compliance review del piloto.</w:t>
            </w:r>
          </w:p>
        </w:tc>
      </w:tr>
    </w:tbl>
    <w:p>
      <w:pPr>
        <w:pStyle w:val="Heading1"/>
        <w:pBdr>
          <w:bottom w:val="single" w:color="8B1A1A" w:sz="8" w:space="4"/>
        </w:pBdr>
        <w:spacing w:after="160" w:before="400"/>
      </w:pPr>
      <w:r>
        <w:rPr>
          <w:rFonts w:ascii="Calibri" w:cs="Calibri" w:eastAsia="Calibri" w:hAnsi="Calibri"/>
          <w:b/>
          <w:bCs/>
          <w:color w:val="6E1414"/>
          <w:sz w:val="28"/>
          <w:szCs w:val="28"/>
        </w:rPr>
        <w:t xml:space="preserve">Paso G3 — Guiar el desarrollo sin bloquearlo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80"/>
            </w:pPr>
            <w:r>
              <w:rPr>
                <w:rFonts w:ascii="Calibri" w:cs="Calibri" w:eastAsia="Calibri" w:hAnsi="Calibri"/>
                <w:b/>
                <w:bCs/>
                <w:color w:val="6E1414"/>
                <w:sz w:val="21"/>
                <w:szCs w:val="21"/>
              </w:rPr>
              <w:t xml:space="preserve">Pregunta guía</w:t>
            </w:r>
          </w:p>
          <w:p>
            <w:pPr>
              <w:spacing w:after="100"/>
            </w:pPr>
            <w:r>
              <w:rPr>
                <w:rFonts w:ascii="Calibri" w:cs="Calibri" w:eastAsia="Calibri" w:hAnsi="Calibri"/>
                <w:i/>
                <w:iCs/>
                <w:sz w:val="21"/>
                <w:szCs w:val="21"/>
              </w:rPr>
              <w:t xml:space="preserve">¿Cómo participa arquitectura en el desarrollo sin sustituir a la PMO?</w:t>
            </w:r>
          </w:p>
          <w:p>
            <w:pPr>
              <w:spacing w:after="40"/>
            </w:pPr>
            <w:r>
              <w:rPr>
                <w:rFonts w:ascii="Calibri" w:cs="Calibri" w:eastAsia="Calibri" w:hAnsi="Calibri"/>
                <w:sz w:val="20"/>
                <w:szCs w:val="20"/>
              </w:rPr>
              <w:t xml:space="preserve">Acompañar decisiones de diseño críticas (Diseño → Construcción → Pruebas → Piloto → Producción).</w:t>
            </w:r>
          </w:p>
          <w:p>
            <w:pPr>
              <w:spacing w:after="40"/>
            </w:pPr>
            <w:r>
              <w:rPr>
                <w:rFonts w:ascii="Calibri" w:cs="Calibri" w:eastAsia="Calibri" w:hAnsi="Calibri"/>
                <w:sz w:val="20"/>
                <w:szCs w:val="20"/>
              </w:rPr>
              <w:t xml:space="preserve">Revisar estándares, interfaces y seguridad de forma temprana.</w:t>
            </w:r>
          </w:p>
          <w:p>
            <w:pPr>
              <w:spacing w:after="40"/>
            </w:pPr>
            <w:r>
              <w:rPr>
                <w:rFonts w:ascii="Calibri" w:cs="Calibri" w:eastAsia="Calibri" w:hAnsi="Calibri"/>
                <w:sz w:val="20"/>
                <w:szCs w:val="20"/>
              </w:rPr>
              <w:t xml:space="preserve">Resolver la interpretación de principios y requisitos ante dudas del equipo de desarrollo.</w:t>
            </w:r>
          </w:p>
          <w:p>
            <w:pPr>
              <w:spacing w:after="40"/>
            </w:pPr>
            <w:r>
              <w:rPr>
                <w:rFonts w:ascii="Calibri" w:cs="Calibri" w:eastAsia="Calibri" w:hAnsi="Calibri"/>
                <w:sz w:val="20"/>
                <w:szCs w:val="20"/>
              </w:rPr>
              <w:t xml:space="preserve">Escalar excepciones o cambios de arquitectura cuando corresponda (ver Paso G7 más adelante).</w:t>
            </w:r>
          </w:p>
        </w:tc>
      </w:tr>
    </w:tbl>
    <w:p>
      <w:pPr>
        <w:spacing w:after="160"/>
      </w:pPr>
      <w:r>
        <w:rPr>
          <w:rFonts w:ascii="Calibri" w:cs="Calibri" w:eastAsia="Calibri" w:hAnsi="Calibri"/>
          <w:b w:val="false"/>
          <w:bCs w:val="false"/>
          <w:i w:val="false"/>
          <w:iCs w:val="false"/>
          <w:sz w:val="21"/>
          <w:szCs w:val="21"/>
        </w:rPr>
        <w:t xml:space="preserve">Puntos de arquitectura que deben revisarse antes de que cada componente pase a la siguiente etapa del ciclo Diseño → Construcción → Pruebas → Piloto →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5%"/>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Etapa</w:t>
            </w:r>
          </w:p>
        </w:tc>
        <w:tc>
          <w:tcPr>
            <w:tcW w:type="pct" w:w="55%"/>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Punto de control de arquitectura</w:t>
            </w:r>
          </w:p>
        </w:tc>
        <w:tc>
          <w:tcPr>
            <w:tcW w:type="pct" w:w="30%"/>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Regla de consistencia aplicable</w:t>
            </w:r>
          </w:p>
        </w:tc>
      </w:tr>
      <w:tr>
        <w:tc>
          <w:tcPr>
            <w:tcW w:type="pct" w:w="15%"/>
            <w:tcMar>
              <w:top w:type="dxa" w:w="80"/>
              <w:left w:type="dxa" w:w="100"/>
              <w:bottom w:type="dxa" w:w="80"/>
              <w:right w:type="dxa" w:w="100"/>
            </w:tcMar>
            <w:vAlign w:val="center"/>
          </w:tcPr>
          <w:p>
            <w:r>
              <w:rPr>
                <w:rFonts w:ascii="Calibri" w:cs="Calibri" w:eastAsia="Calibri" w:hAnsi="Calibri"/>
                <w:b w:val="false"/>
                <w:bCs w:val="false"/>
                <w:sz w:val="19"/>
                <w:szCs w:val="19"/>
              </w:rPr>
              <w:t xml:space="preserve">Diseño</w:t>
            </w:r>
          </w:p>
        </w:tc>
        <w:tc>
          <w:tcPr>
            <w:tcW w:type="pct" w:w="55%"/>
            <w:tcMar>
              <w:top w:type="dxa" w:w="80"/>
              <w:left w:type="dxa" w:w="100"/>
              <w:bottom w:type="dxa" w:w="80"/>
              <w:right w:type="dxa" w:w="100"/>
            </w:tcMar>
            <w:vAlign w:val="center"/>
          </w:tcPr>
          <w:p>
            <w:r>
              <w:rPr>
                <w:rFonts w:ascii="Calibri" w:cs="Calibri" w:eastAsia="Calibri" w:hAnsi="Calibri"/>
                <w:b w:val="false"/>
                <w:bCs w:val="false"/>
                <w:sz w:val="19"/>
                <w:szCs w:val="19"/>
              </w:rPr>
              <w:t xml:space="preserve">Confirmar que el ENUM de tipo_mecanismo_alerta se limite a REPORTE_INDIVIDUAL / CLUSTER / MANUAL</w:t>
            </w:r>
          </w:p>
        </w:tc>
        <w:tc>
          <w:tcPr>
            <w:tcW w:type="pct" w:w="30%"/>
            <w:tcMar>
              <w:top w:type="dxa" w:w="80"/>
              <w:left w:type="dxa" w:w="100"/>
              <w:bottom w:type="dxa" w:w="80"/>
              <w:right w:type="dxa" w:w="100"/>
            </w:tcMar>
            <w:vAlign w:val="center"/>
          </w:tcPr>
          <w:p>
            <w:r>
              <w:rPr>
                <w:rFonts w:ascii="Calibri" w:cs="Calibri" w:eastAsia="Calibri" w:hAnsi="Calibri"/>
                <w:b w:val="false"/>
                <w:bCs w:val="false"/>
                <w:sz w:val="19"/>
                <w:szCs w:val="19"/>
              </w:rPr>
              <w:t xml:space="preserve">Regla Z-RESUMEN #4 — URGENCIA_BLQRUTA_AGRCOND no existe</w:t>
            </w:r>
          </w:p>
        </w:tc>
      </w:tr>
      <w:tr>
        <w:tc>
          <w:tcPr>
            <w:tcW w:type="pct" w:w="15%"/>
            <w:tcMar>
              <w:top w:type="dxa" w:w="80"/>
              <w:left w:type="dxa" w:w="100"/>
              <w:bottom w:type="dxa" w:w="80"/>
              <w:right w:type="dxa" w:w="100"/>
            </w:tcMar>
            <w:vAlign w:val="center"/>
          </w:tcPr>
          <w:p>
            <w:r>
              <w:rPr>
                <w:rFonts w:ascii="Calibri" w:cs="Calibri" w:eastAsia="Calibri" w:hAnsi="Calibri"/>
                <w:b w:val="false"/>
                <w:bCs w:val="false"/>
                <w:sz w:val="19"/>
                <w:szCs w:val="19"/>
              </w:rPr>
              <w:t xml:space="preserve">Construcción</w:t>
            </w:r>
          </w:p>
        </w:tc>
        <w:tc>
          <w:tcPr>
            <w:tcW w:type="pct" w:w="55%"/>
            <w:tcMar>
              <w:top w:type="dxa" w:w="80"/>
              <w:left w:type="dxa" w:w="100"/>
              <w:bottom w:type="dxa" w:w="80"/>
              <w:right w:type="dxa" w:w="100"/>
            </w:tcMar>
            <w:vAlign w:val="center"/>
          </w:tcPr>
          <w:p>
            <w:r>
              <w:rPr>
                <w:rFonts w:ascii="Calibri" w:cs="Calibri" w:eastAsia="Calibri" w:hAnsi="Calibri"/>
                <w:b w:val="false"/>
                <w:bCs w:val="false"/>
                <w:sz w:val="19"/>
                <w:szCs w:val="19"/>
              </w:rPr>
              <w:t xml:space="preserve">Verificar que ms-ingestor no tenga permisos de escritura en base de datos ni en MinIO</w:t>
            </w:r>
          </w:p>
        </w:tc>
        <w:tc>
          <w:tcPr>
            <w:tcW w:type="pct" w:w="30%"/>
            <w:tcMar>
              <w:top w:type="dxa" w:w="80"/>
              <w:left w:type="dxa" w:w="100"/>
              <w:bottom w:type="dxa" w:w="80"/>
              <w:right w:type="dxa" w:w="100"/>
            </w:tcMar>
            <w:vAlign w:val="center"/>
          </w:tcPr>
          <w:p>
            <w:r>
              <w:rPr>
                <w:rFonts w:ascii="Calibri" w:cs="Calibri" w:eastAsia="Calibri" w:hAnsi="Calibri"/>
                <w:b w:val="false"/>
                <w:bCs w:val="false"/>
                <w:sz w:val="19"/>
                <w:szCs w:val="19"/>
              </w:rPr>
              <w:t xml:space="preserve">Módulo H — PN-01; Módulo J.4</w:t>
            </w:r>
          </w:p>
        </w:tc>
      </w:tr>
      <w:tr>
        <w:tc>
          <w:tcPr>
            <w:tcW w:type="pct" w:w="15%"/>
            <w:tcMar>
              <w:top w:type="dxa" w:w="80"/>
              <w:left w:type="dxa" w:w="100"/>
              <w:bottom w:type="dxa" w:w="80"/>
              <w:right w:type="dxa" w:w="100"/>
            </w:tcMar>
            <w:vAlign w:val="center"/>
          </w:tcPr>
          <w:p>
            <w:r>
              <w:rPr>
                <w:rFonts w:ascii="Calibri" w:cs="Calibri" w:eastAsia="Calibri" w:hAnsi="Calibri"/>
                <w:b w:val="false"/>
                <w:bCs w:val="false"/>
                <w:sz w:val="19"/>
                <w:szCs w:val="19"/>
              </w:rPr>
              <w:t xml:space="preserve">Construcción</w:t>
            </w:r>
          </w:p>
        </w:tc>
        <w:tc>
          <w:tcPr>
            <w:tcW w:type="pct" w:w="55%"/>
            <w:tcMar>
              <w:top w:type="dxa" w:w="80"/>
              <w:left w:type="dxa" w:w="100"/>
              <w:bottom w:type="dxa" w:w="80"/>
              <w:right w:type="dxa" w:w="100"/>
            </w:tcMar>
            <w:vAlign w:val="center"/>
          </w:tcPr>
          <w:p>
            <w:r>
              <w:rPr>
                <w:rFonts w:ascii="Calibri" w:cs="Calibri" w:eastAsia="Calibri" w:hAnsi="Calibri"/>
                <w:b w:val="false"/>
                <w:bCs w:val="false"/>
                <w:sz w:val="19"/>
                <w:szCs w:val="19"/>
              </w:rPr>
              <w:t xml:space="preserve">Verificar que ms-sanitizer sea el único microservicio con permiso de escritura (C) en MinIO</w:t>
            </w:r>
          </w:p>
        </w:tc>
        <w:tc>
          <w:tcPr>
            <w:tcW w:type="pct" w:w="30%"/>
            <w:tcMar>
              <w:top w:type="dxa" w:w="80"/>
              <w:left w:type="dxa" w:w="100"/>
              <w:bottom w:type="dxa" w:w="80"/>
              <w:right w:type="dxa" w:w="100"/>
            </w:tcMar>
            <w:vAlign w:val="center"/>
          </w:tcPr>
          <w:p>
            <w:r>
              <w:rPr>
                <w:rFonts w:ascii="Calibri" w:cs="Calibri" w:eastAsia="Calibri" w:hAnsi="Calibri"/>
                <w:b w:val="false"/>
                <w:bCs w:val="false"/>
                <w:sz w:val="19"/>
                <w:szCs w:val="19"/>
              </w:rPr>
              <w:t xml:space="preserve">Regla Z-RESUMEN #8</w:t>
            </w:r>
          </w:p>
        </w:tc>
      </w:tr>
      <w:tr>
        <w:tc>
          <w:tcPr>
            <w:tcW w:type="pct" w:w="15%"/>
            <w:tcMar>
              <w:top w:type="dxa" w:w="80"/>
              <w:left w:type="dxa" w:w="100"/>
              <w:bottom w:type="dxa" w:w="80"/>
              <w:right w:type="dxa" w:w="100"/>
            </w:tcMar>
            <w:vAlign w:val="center"/>
          </w:tcPr>
          <w:p>
            <w:r>
              <w:rPr>
                <w:rFonts w:ascii="Calibri" w:cs="Calibri" w:eastAsia="Calibri" w:hAnsi="Calibri"/>
                <w:b w:val="false"/>
                <w:bCs w:val="false"/>
                <w:sz w:val="19"/>
                <w:szCs w:val="19"/>
              </w:rPr>
              <w:t xml:space="preserve">Pruebas</w:t>
            </w:r>
          </w:p>
        </w:tc>
        <w:tc>
          <w:tcPr>
            <w:tcW w:type="pct" w:w="55%"/>
            <w:tcMar>
              <w:top w:type="dxa" w:w="80"/>
              <w:left w:type="dxa" w:w="100"/>
              <w:bottom w:type="dxa" w:w="80"/>
              <w:right w:type="dxa" w:w="100"/>
            </w:tcMar>
            <w:vAlign w:val="center"/>
          </w:tcPr>
          <w:p>
            <w:r>
              <w:rPr>
                <w:rFonts w:ascii="Calibri" w:cs="Calibri" w:eastAsia="Calibri" w:hAnsi="Calibri"/>
                <w:b w:val="false"/>
                <w:bCs w:val="false"/>
                <w:sz w:val="19"/>
                <w:szCs w:val="19"/>
              </w:rPr>
              <w:t xml:space="preserve">Confirmar que el TRI (tiempo de respuesta) solo se calcule con fecha_despacho_confirmado no nula</w:t>
            </w:r>
          </w:p>
        </w:tc>
        <w:tc>
          <w:tcPr>
            <w:tcW w:type="pct" w:w="30%"/>
            <w:tcMar>
              <w:top w:type="dxa" w:w="80"/>
              <w:left w:type="dxa" w:w="100"/>
              <w:bottom w:type="dxa" w:w="80"/>
              <w:right w:type="dxa" w:w="100"/>
            </w:tcMar>
            <w:vAlign w:val="center"/>
          </w:tcPr>
          <w:p>
            <w:r>
              <w:rPr>
                <w:rFonts w:ascii="Calibri" w:cs="Calibri" w:eastAsia="Calibri" w:hAnsi="Calibri"/>
                <w:b w:val="false"/>
                <w:bCs w:val="false"/>
                <w:sz w:val="19"/>
                <w:szCs w:val="19"/>
              </w:rPr>
              <w:t xml:space="preserve">Regla Z-RESUMEN #5</w:t>
            </w:r>
          </w:p>
        </w:tc>
      </w:tr>
      <w:tr>
        <w:tc>
          <w:tcPr>
            <w:tcW w:type="pct" w:w="15%"/>
            <w:tcMar>
              <w:top w:type="dxa" w:w="80"/>
              <w:left w:type="dxa" w:w="100"/>
              <w:bottom w:type="dxa" w:w="80"/>
              <w:right w:type="dxa" w:w="100"/>
            </w:tcMar>
            <w:vAlign w:val="center"/>
          </w:tcPr>
          <w:p>
            <w:r>
              <w:rPr>
                <w:rFonts w:ascii="Calibri" w:cs="Calibri" w:eastAsia="Calibri" w:hAnsi="Calibri"/>
                <w:b w:val="false"/>
                <w:bCs w:val="false"/>
                <w:sz w:val="19"/>
                <w:szCs w:val="19"/>
              </w:rPr>
              <w:t xml:space="preserve">Pruebas</w:t>
            </w:r>
          </w:p>
        </w:tc>
        <w:tc>
          <w:tcPr>
            <w:tcW w:type="pct" w:w="55%"/>
            <w:tcMar>
              <w:top w:type="dxa" w:w="80"/>
              <w:left w:type="dxa" w:w="100"/>
              <w:bottom w:type="dxa" w:w="80"/>
              <w:right w:type="dxa" w:w="100"/>
            </w:tcMar>
            <w:vAlign w:val="center"/>
          </w:tcPr>
          <w:p>
            <w:r>
              <w:rPr>
                <w:rFonts w:ascii="Calibri" w:cs="Calibri" w:eastAsia="Calibri" w:hAnsi="Calibri"/>
                <w:b w:val="false"/>
                <w:bCs w:val="false"/>
                <w:sz w:val="19"/>
                <w:szCs w:val="19"/>
              </w:rPr>
              <w:t xml:space="preserve">Confirmar que el log_auditoria solo sea legible por Oficial de Seguridad y Administrador</w:t>
            </w:r>
          </w:p>
        </w:tc>
        <w:tc>
          <w:tcPr>
            <w:tcW w:type="pct" w:w="30%"/>
            <w:tcMar>
              <w:top w:type="dxa" w:w="80"/>
              <w:left w:type="dxa" w:w="100"/>
              <w:bottom w:type="dxa" w:w="80"/>
              <w:right w:type="dxa" w:w="100"/>
            </w:tcMar>
            <w:vAlign w:val="center"/>
          </w:tcPr>
          <w:p>
            <w:r>
              <w:rPr>
                <w:rFonts w:ascii="Calibri" w:cs="Calibri" w:eastAsia="Calibri" w:hAnsi="Calibri"/>
                <w:b w:val="false"/>
                <w:bCs w:val="false"/>
                <w:sz w:val="19"/>
                <w:szCs w:val="19"/>
              </w:rPr>
              <w:t xml:space="preserve">Regla Z-RESUMEN #3 y #7</w:t>
            </w:r>
          </w:p>
        </w:tc>
      </w:tr>
      <w:tr>
        <w:tc>
          <w:tcPr>
            <w:tcW w:type="pct" w:w="15%"/>
            <w:tcMar>
              <w:top w:type="dxa" w:w="80"/>
              <w:left w:type="dxa" w:w="100"/>
              <w:bottom w:type="dxa" w:w="80"/>
              <w:right w:type="dxa" w:w="100"/>
            </w:tcMar>
            <w:vAlign w:val="center"/>
          </w:tcPr>
          <w:p>
            <w:r>
              <w:rPr>
                <w:rFonts w:ascii="Calibri" w:cs="Calibri" w:eastAsia="Calibri" w:hAnsi="Calibri"/>
                <w:b w:val="false"/>
                <w:bCs w:val="false"/>
                <w:sz w:val="19"/>
                <w:szCs w:val="19"/>
              </w:rPr>
              <w:t xml:space="preserve">Piloto</w:t>
            </w:r>
          </w:p>
        </w:tc>
        <w:tc>
          <w:tcPr>
            <w:tcW w:type="pct" w:w="55%"/>
            <w:tcMar>
              <w:top w:type="dxa" w:w="80"/>
              <w:left w:type="dxa" w:w="100"/>
              <w:bottom w:type="dxa" w:w="80"/>
              <w:right w:type="dxa" w:w="100"/>
            </w:tcMar>
            <w:vAlign w:val="center"/>
          </w:tcPr>
          <w:p>
            <w:r>
              <w:rPr>
                <w:rFonts w:ascii="Calibri" w:cs="Calibri" w:eastAsia="Calibri" w:hAnsi="Calibri"/>
                <w:b w:val="false"/>
                <w:bCs w:val="false"/>
                <w:sz w:val="19"/>
                <w:szCs w:val="19"/>
              </w:rPr>
              <w:t xml:space="preserve">Verificar en campo que corredores con menos de 3 Reportes solo expongan datos agregados</w:t>
            </w:r>
          </w:p>
        </w:tc>
        <w:tc>
          <w:tcPr>
            <w:tcW w:type="pct" w:w="30%"/>
            <w:tcMar>
              <w:top w:type="dxa" w:w="80"/>
              <w:left w:type="dxa" w:w="100"/>
              <w:bottom w:type="dxa" w:w="80"/>
              <w:right w:type="dxa" w:w="100"/>
            </w:tcMar>
            <w:vAlign w:val="center"/>
          </w:tcPr>
          <w:p>
            <w:r>
              <w:rPr>
                <w:rFonts w:ascii="Calibri" w:cs="Calibri" w:eastAsia="Calibri" w:hAnsi="Calibri"/>
                <w:b w:val="false"/>
                <w:bCs w:val="false"/>
                <w:sz w:val="19"/>
                <w:szCs w:val="19"/>
              </w:rPr>
              <w:t xml:space="preserve">Módulo C.3.7 — PN-12</w:t>
            </w:r>
          </w:p>
        </w:tc>
      </w:tr>
      <w:tr>
        <w:tc>
          <w:tcPr>
            <w:tcW w:type="pct" w:w="15%"/>
            <w:tcMar>
              <w:top w:type="dxa" w:w="80"/>
              <w:left w:type="dxa" w:w="100"/>
              <w:bottom w:type="dxa" w:w="80"/>
              <w:right w:type="dxa" w:w="100"/>
            </w:tcMar>
            <w:vAlign w:val="center"/>
          </w:tcPr>
          <w:p>
            <w:r>
              <w:rPr>
                <w:rFonts w:ascii="Calibri" w:cs="Calibri" w:eastAsia="Calibri" w:hAnsi="Calibri"/>
                <w:b w:val="false"/>
                <w:bCs w:val="false"/>
                <w:sz w:val="19"/>
                <w:szCs w:val="19"/>
              </w:rPr>
              <w:t xml:space="preserve">Producción</w:t>
            </w:r>
          </w:p>
        </w:tc>
        <w:tc>
          <w:tcPr>
            <w:tcW w:type="pct" w:w="55%"/>
            <w:tcMar>
              <w:top w:type="dxa" w:w="80"/>
              <w:left w:type="dxa" w:w="100"/>
              <w:bottom w:type="dxa" w:w="80"/>
              <w:right w:type="dxa" w:w="100"/>
            </w:tcMar>
            <w:vAlign w:val="center"/>
          </w:tcPr>
          <w:p>
            <w:r>
              <w:rPr>
                <w:rFonts w:ascii="Calibri" w:cs="Calibri" w:eastAsia="Calibri" w:hAnsi="Calibri"/>
                <w:b w:val="false"/>
                <w:bCs w:val="false"/>
                <w:sz w:val="19"/>
                <w:szCs w:val="19"/>
              </w:rPr>
              <w:t xml:space="preserve">Confirmar cifrado TLS 1.3 en tránsito y AES-256 en reposo, y MFA obligatorio para Analistas/Administradores</w:t>
            </w:r>
          </w:p>
        </w:tc>
        <w:tc>
          <w:tcPr>
            <w:tcW w:type="pct" w:w="30%"/>
            <w:tcMar>
              <w:top w:type="dxa" w:w="80"/>
              <w:left w:type="dxa" w:w="100"/>
              <w:bottom w:type="dxa" w:w="80"/>
              <w:right w:type="dxa" w:w="100"/>
            </w:tcMar>
            <w:vAlign w:val="center"/>
          </w:tcPr>
          <w:p>
            <w:r>
              <w:rPr>
                <w:rFonts w:ascii="Calibri" w:cs="Calibri" w:eastAsia="Calibri" w:hAnsi="Calibri"/>
                <w:b w:val="false"/>
                <w:bCs w:val="false"/>
                <w:sz w:val="19"/>
                <w:szCs w:val="19"/>
              </w:rPr>
              <w:t xml:space="preserve">Módulo J.7</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BEAEA" w:val="clear"/>
            <w:tcMar>
              <w:top w:type="dxa" w:w="120"/>
              <w:left w:type="dxa" w:w="180"/>
              <w:bottom w:type="dxa" w:w="120"/>
              <w:right w:type="dxa" w:w="180"/>
            </w:tcMar>
          </w:tcPr>
          <w:p>
            <w:r>
              <w:rPr>
                <w:rFonts w:ascii="Calibri" w:cs="Calibri" w:eastAsia="Calibri" w:hAnsi="Calibri"/>
                <w:b/>
                <w:bCs/>
                <w:color w:val="6E1414"/>
                <w:sz w:val="20"/>
                <w:szCs w:val="20"/>
              </w:rPr>
              <w:t xml:space="preserve">Ejemplo CTOS-EXT-TRANSP: </w:t>
            </w:r>
            <w:r>
              <w:rPr>
                <w:rFonts w:ascii="Calibri" w:cs="Calibri" w:eastAsia="Calibri" w:hAnsi="Calibri"/>
                <w:sz w:val="20"/>
                <w:szCs w:val="20"/>
              </w:rPr>
              <w:t xml:space="preserve">Antes de que el proveedor o el equipo interno cierre el diseño de la integración crítica con el sistema de comunicaciones (INT-04), arquitectura revisa que el flujo Alerta → confirmación de despacho → cálculo de TRI esté correctamente instrumentado, dado que es la integración de la que depende el KPI operativo más sensible del sistema (OBJ-02).</w:t>
            </w:r>
          </w:p>
        </w:tc>
      </w:tr>
    </w:tbl>
    <w:p>
      <w:pPr>
        <w:pStyle w:val="Heading1"/>
        <w:pBdr>
          <w:bottom w:val="single" w:color="8B1A1A" w:sz="8" w:space="4"/>
        </w:pBdr>
        <w:spacing w:after="160" w:before="400"/>
      </w:pPr>
      <w:r>
        <w:rPr>
          <w:rFonts w:ascii="Calibri" w:cs="Calibri" w:eastAsia="Calibri" w:hAnsi="Calibri"/>
          <w:b/>
          <w:bCs/>
          <w:color w:val="6E1414"/>
          <w:sz w:val="28"/>
          <w:szCs w:val="28"/>
        </w:rPr>
        <w:t xml:space="preserve">Paso G4 — Ejecutar las revisiones de conformidad (compliance reviews)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80"/>
            </w:pPr>
            <w:r>
              <w:rPr>
                <w:rFonts w:ascii="Calibri" w:cs="Calibri" w:eastAsia="Calibri" w:hAnsi="Calibri"/>
                <w:b/>
                <w:bCs/>
                <w:color w:val="6E1414"/>
                <w:sz w:val="21"/>
                <w:szCs w:val="21"/>
              </w:rPr>
              <w:t xml:space="preserve">Pregunta guía</w:t>
            </w:r>
          </w:p>
          <w:p>
            <w:pPr>
              <w:spacing w:after="100"/>
            </w:pPr>
            <w:r>
              <w:rPr>
                <w:rFonts w:ascii="Calibri" w:cs="Calibri" w:eastAsia="Calibri" w:hAnsi="Calibri"/>
                <w:i/>
                <w:iCs/>
                <w:sz w:val="21"/>
                <w:szCs w:val="21"/>
              </w:rPr>
              <w:t xml:space="preserve">¿Cómo se verifica que lo construido sea conforme con la arquitectura aprobada?</w:t>
            </w:r>
          </w:p>
          <w:p>
            <w:pPr>
              <w:spacing w:after="40"/>
            </w:pPr>
            <w:r>
              <w:rPr>
                <w:rFonts w:ascii="Calibri" w:cs="Calibri" w:eastAsia="Calibri" w:hAnsi="Calibri"/>
                <w:sz w:val="20"/>
                <w:szCs w:val="20"/>
              </w:rPr>
              <w:t xml:space="preserve">Comparar la solución construida contra la arquitectura y los requisitos aprobados.</w:t>
            </w:r>
          </w:p>
          <w:p>
            <w:pPr>
              <w:spacing w:after="40"/>
            </w:pPr>
            <w:r>
              <w:rPr>
                <w:rFonts w:ascii="Calibri" w:cs="Calibri" w:eastAsia="Calibri" w:hAnsi="Calibri"/>
                <w:sz w:val="20"/>
                <w:szCs w:val="20"/>
              </w:rPr>
              <w:t xml:space="preserve">Revisar evidencias de modelos de datos, pruebas y controles de seguridad.</w:t>
            </w:r>
          </w:p>
          <w:p>
            <w:pPr>
              <w:spacing w:after="40"/>
            </w:pPr>
            <w:r>
              <w:rPr>
                <w:rFonts w:ascii="Calibri" w:cs="Calibri" w:eastAsia="Calibri" w:hAnsi="Calibri"/>
                <w:sz w:val="20"/>
                <w:szCs w:val="20"/>
              </w:rPr>
              <w:t xml:space="preserve">Clasificar cada hallazgo como: conforme, observación, excepción o no conforme.</w:t>
            </w:r>
          </w:p>
          <w:p>
            <w:pPr>
              <w:spacing w:after="40"/>
            </w:pPr>
            <w:r>
              <w:rPr>
                <w:rFonts w:ascii="Calibri" w:cs="Calibri" w:eastAsia="Calibri" w:hAnsi="Calibri"/>
                <w:sz w:val="20"/>
                <w:szCs w:val="20"/>
              </w:rPr>
              <w:t xml:space="preserve">Registrar los resultados en el repositorio de arquitectura.</w:t>
            </w:r>
          </w:p>
        </w:tc>
      </w:tr>
    </w:tbl>
    <w:p>
      <w:pPr>
        <w:pStyle w:val="Heading2"/>
        <w:spacing w:after="120" w:before="260"/>
      </w:pPr>
      <w:r>
        <w:rPr>
          <w:rFonts w:ascii="Calibri" w:cs="Calibri" w:eastAsia="Calibri" w:hAnsi="Calibri"/>
          <w:b/>
          <w:bCs/>
          <w:color w:val="8B1A1A"/>
          <w:sz w:val="24"/>
          <w:szCs w:val="24"/>
        </w:rPr>
        <w:t xml:space="preserve">G4.1 Clasificación de hallazgos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Resultado</w:t>
            </w:r>
          </w:p>
        </w:tc>
        <w:tc>
          <w:tcPr>
            <w:tcW w:type="pct" w:w="42%"/>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Significado</w:t>
            </w:r>
          </w:p>
        </w:tc>
        <w:tc>
          <w:tcPr>
            <w:tcW w:type="pct" w:w="36%"/>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Acción</w:t>
            </w:r>
          </w:p>
        </w:tc>
      </w:tr>
      <w:tr>
        <w:tc>
          <w:tcPr>
            <w:tcW w:type="pct" w:w="22%"/>
            <w:tcMar>
              <w:top w:type="dxa" w:w="80"/>
              <w:left w:type="dxa" w:w="100"/>
              <w:bottom w:type="dxa" w:w="80"/>
              <w:right w:type="dxa" w:w="100"/>
            </w:tcMar>
            <w:vAlign w:val="center"/>
          </w:tcPr>
          <w:p>
            <w:r>
              <w:rPr>
                <w:rFonts w:ascii="Calibri" w:cs="Calibri" w:eastAsia="Calibri" w:hAnsi="Calibri"/>
                <w:b w:val="false"/>
                <w:bCs w:val="false"/>
                <w:sz w:val="19"/>
                <w:szCs w:val="19"/>
              </w:rPr>
              <w:t xml:space="preserve">Conforme</w:t>
            </w:r>
          </w:p>
        </w:tc>
        <w:tc>
          <w:tcPr>
            <w:tcW w:type="pct" w:w="42%"/>
            <w:tcMar>
              <w:top w:type="dxa" w:w="80"/>
              <w:left w:type="dxa" w:w="100"/>
              <w:bottom w:type="dxa" w:w="80"/>
              <w:right w:type="dxa" w:w="100"/>
            </w:tcMar>
            <w:vAlign w:val="center"/>
          </w:tcPr>
          <w:p>
            <w:r>
              <w:rPr>
                <w:rFonts w:ascii="Calibri" w:cs="Calibri" w:eastAsia="Calibri" w:hAnsi="Calibri"/>
                <w:b w:val="false"/>
                <w:bCs w:val="false"/>
                <w:sz w:val="19"/>
                <w:szCs w:val="19"/>
              </w:rPr>
              <w:t xml:space="preserve">Cumple íntegramente con la Arquitectura Objetivo y el Contrato de Arquitectura</w:t>
            </w:r>
          </w:p>
        </w:tc>
        <w:tc>
          <w:tcPr>
            <w:tcW w:type="pct" w:w="36%"/>
            <w:tcMar>
              <w:top w:type="dxa" w:w="80"/>
              <w:left w:type="dxa" w:w="100"/>
              <w:bottom w:type="dxa" w:w="80"/>
              <w:right w:type="dxa" w:w="100"/>
            </w:tcMar>
            <w:vAlign w:val="center"/>
          </w:tcPr>
          <w:p>
            <w:r>
              <w:rPr>
                <w:rFonts w:ascii="Calibri" w:cs="Calibri" w:eastAsia="Calibri" w:hAnsi="Calibri"/>
                <w:b w:val="false"/>
                <w:bCs w:val="false"/>
                <w:sz w:val="19"/>
                <w:szCs w:val="19"/>
              </w:rPr>
              <w:t xml:space="preserve">Aprobar</w:t>
            </w:r>
          </w:p>
        </w:tc>
      </w:tr>
      <w:tr>
        <w:tc>
          <w:tcPr>
            <w:tcW w:type="pct" w:w="22%"/>
            <w:tcMar>
              <w:top w:type="dxa" w:w="80"/>
              <w:left w:type="dxa" w:w="100"/>
              <w:bottom w:type="dxa" w:w="80"/>
              <w:right w:type="dxa" w:w="100"/>
            </w:tcMar>
            <w:vAlign w:val="center"/>
          </w:tcPr>
          <w:p>
            <w:r>
              <w:rPr>
                <w:rFonts w:ascii="Calibri" w:cs="Calibri" w:eastAsia="Calibri" w:hAnsi="Calibri"/>
                <w:b w:val="false"/>
                <w:bCs w:val="false"/>
                <w:sz w:val="19"/>
                <w:szCs w:val="19"/>
              </w:rPr>
              <w:t xml:space="preserve">Observación</w:t>
            </w:r>
          </w:p>
        </w:tc>
        <w:tc>
          <w:tcPr>
            <w:tcW w:type="pct" w:w="42%"/>
            <w:tcMar>
              <w:top w:type="dxa" w:w="80"/>
              <w:left w:type="dxa" w:w="100"/>
              <w:bottom w:type="dxa" w:w="80"/>
              <w:right w:type="dxa" w:w="100"/>
            </w:tcMar>
            <w:vAlign w:val="center"/>
          </w:tcPr>
          <w:p>
            <w:r>
              <w:rPr>
                <w:rFonts w:ascii="Calibri" w:cs="Calibri" w:eastAsia="Calibri" w:hAnsi="Calibri"/>
                <w:b w:val="false"/>
                <w:bCs w:val="false"/>
                <w:sz w:val="19"/>
                <w:szCs w:val="19"/>
              </w:rPr>
              <w:t xml:space="preserve">Cumple, pero presenta un riesgo menor identificado</w:t>
            </w:r>
          </w:p>
        </w:tc>
        <w:tc>
          <w:tcPr>
            <w:tcW w:type="pct" w:w="36%"/>
            <w:tcMar>
              <w:top w:type="dxa" w:w="80"/>
              <w:left w:type="dxa" w:w="100"/>
              <w:bottom w:type="dxa" w:w="80"/>
              <w:right w:type="dxa" w:w="100"/>
            </w:tcMar>
            <w:vAlign w:val="center"/>
          </w:tcPr>
          <w:p>
            <w:r>
              <w:rPr>
                <w:rFonts w:ascii="Calibri" w:cs="Calibri" w:eastAsia="Calibri" w:hAnsi="Calibri"/>
                <w:b w:val="false"/>
                <w:bCs w:val="false"/>
                <w:sz w:val="19"/>
                <w:szCs w:val="19"/>
              </w:rPr>
              <w:t xml:space="preserve">Corregir en el siguiente ciclo, sin bloquear el tránsito</w:t>
            </w:r>
          </w:p>
        </w:tc>
      </w:tr>
      <w:tr>
        <w:tc>
          <w:tcPr>
            <w:tcW w:type="pct" w:w="22%"/>
            <w:tcMar>
              <w:top w:type="dxa" w:w="80"/>
              <w:left w:type="dxa" w:w="100"/>
              <w:bottom w:type="dxa" w:w="80"/>
              <w:right w:type="dxa" w:w="100"/>
            </w:tcMar>
            <w:vAlign w:val="center"/>
          </w:tcPr>
          <w:p>
            <w:r>
              <w:rPr>
                <w:rFonts w:ascii="Calibri" w:cs="Calibri" w:eastAsia="Calibri" w:hAnsi="Calibri"/>
                <w:b w:val="false"/>
                <w:bCs w:val="false"/>
                <w:sz w:val="19"/>
                <w:szCs w:val="19"/>
              </w:rPr>
              <w:t xml:space="preserve">Excepción</w:t>
            </w:r>
          </w:p>
        </w:tc>
        <w:tc>
          <w:tcPr>
            <w:tcW w:type="pct" w:w="42%"/>
            <w:tcMar>
              <w:top w:type="dxa" w:w="80"/>
              <w:left w:type="dxa" w:w="100"/>
              <w:bottom w:type="dxa" w:w="80"/>
              <w:right w:type="dxa" w:w="100"/>
            </w:tcMar>
            <w:vAlign w:val="center"/>
          </w:tcPr>
          <w:p>
            <w:r>
              <w:rPr>
                <w:rFonts w:ascii="Calibri" w:cs="Calibri" w:eastAsia="Calibri" w:hAnsi="Calibri"/>
                <w:b w:val="false"/>
                <w:bCs w:val="false"/>
                <w:sz w:val="19"/>
                <w:szCs w:val="19"/>
              </w:rPr>
              <w:t xml:space="preserve">No cumple, pero existe una justificación formal aceptada (ver Paso G6)</w:t>
            </w:r>
          </w:p>
        </w:tc>
        <w:tc>
          <w:tcPr>
            <w:tcW w:type="pct" w:w="36%"/>
            <w:tcMar>
              <w:top w:type="dxa" w:w="80"/>
              <w:left w:type="dxa" w:w="100"/>
              <w:bottom w:type="dxa" w:w="80"/>
              <w:right w:type="dxa" w:w="100"/>
            </w:tcMar>
            <w:vAlign w:val="center"/>
          </w:tcPr>
          <w:p>
            <w:r>
              <w:rPr>
                <w:rFonts w:ascii="Calibri" w:cs="Calibri" w:eastAsia="Calibri" w:hAnsi="Calibri"/>
                <w:b w:val="false"/>
                <w:bCs w:val="false"/>
                <w:sz w:val="19"/>
                <w:szCs w:val="19"/>
              </w:rPr>
              <w:t xml:space="preserve">Dispensar con condición y fecha de remediación</w:t>
            </w:r>
          </w:p>
        </w:tc>
      </w:tr>
      <w:tr>
        <w:tc>
          <w:tcPr>
            <w:tcW w:type="pct" w:w="22%"/>
            <w:tcMar>
              <w:top w:type="dxa" w:w="80"/>
              <w:left w:type="dxa" w:w="100"/>
              <w:bottom w:type="dxa" w:w="80"/>
              <w:right w:type="dxa" w:w="100"/>
            </w:tcMar>
            <w:vAlign w:val="center"/>
          </w:tcPr>
          <w:p>
            <w:r>
              <w:rPr>
                <w:rFonts w:ascii="Calibri" w:cs="Calibri" w:eastAsia="Calibri" w:hAnsi="Calibri"/>
                <w:b w:val="false"/>
                <w:bCs w:val="false"/>
                <w:sz w:val="19"/>
                <w:szCs w:val="19"/>
              </w:rPr>
              <w:t xml:space="preserve">No conforme</w:t>
            </w:r>
          </w:p>
        </w:tc>
        <w:tc>
          <w:tcPr>
            <w:tcW w:type="pct" w:w="42%"/>
            <w:tcMar>
              <w:top w:type="dxa" w:w="80"/>
              <w:left w:type="dxa" w:w="100"/>
              <w:bottom w:type="dxa" w:w="80"/>
              <w:right w:type="dxa" w:w="100"/>
            </w:tcMar>
            <w:vAlign w:val="center"/>
          </w:tcPr>
          <w:p>
            <w:r>
              <w:rPr>
                <w:rFonts w:ascii="Calibri" w:cs="Calibri" w:eastAsia="Calibri" w:hAnsi="Calibri"/>
                <w:b w:val="false"/>
                <w:bCs w:val="false"/>
                <w:sz w:val="19"/>
                <w:szCs w:val="19"/>
              </w:rPr>
              <w:t xml:space="preserve">Representa un riesgo alto o vulnera una decisión de arquitectura crítica</w:t>
            </w:r>
          </w:p>
        </w:tc>
        <w:tc>
          <w:tcPr>
            <w:tcW w:type="pct" w:w="36%"/>
            <w:tcMar>
              <w:top w:type="dxa" w:w="80"/>
              <w:left w:type="dxa" w:w="100"/>
              <w:bottom w:type="dxa" w:w="80"/>
              <w:right w:type="dxa" w:w="100"/>
            </w:tcMar>
            <w:vAlign w:val="center"/>
          </w:tcPr>
          <w:p>
            <w:r>
              <w:rPr>
                <w:rFonts w:ascii="Calibri" w:cs="Calibri" w:eastAsia="Calibri" w:hAnsi="Calibri"/>
                <w:b w:val="false"/>
                <w:bCs w:val="false"/>
                <w:sz w:val="19"/>
                <w:szCs w:val="19"/>
              </w:rPr>
              <w:t xml:space="preserve">Ajustar antes de continuar; bloquea el tránsito de fase</w:t>
            </w:r>
          </w:p>
        </w:tc>
      </w:tr>
    </w:tbl>
    <w:p>
      <w:pPr>
        <w:pStyle w:val="Heading2"/>
        <w:spacing w:after="120" w:before="260"/>
      </w:pPr>
      <w:r>
        <w:rPr>
          <w:rFonts w:ascii="Calibri" w:cs="Calibri" w:eastAsia="Calibri" w:hAnsi="Calibri"/>
          <w:b/>
          <w:bCs/>
          <w:color w:val="8B1A1A"/>
          <w:sz w:val="24"/>
          <w:szCs w:val="24"/>
        </w:rPr>
        <w:t xml:space="preserve">G4.2 Checklist de conformidad — caso CTOS-EXT-TRANSP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Dimensión</w:t>
            </w:r>
          </w:p>
        </w:tc>
        <w:tc>
          <w:tcPr>
            <w:tcW w:type="pct" w:w="72%"/>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Qué se revisa</w:t>
            </w:r>
          </w:p>
        </w:tc>
      </w:tr>
      <w:tr>
        <w:tc>
          <w:tcPr>
            <w:tcW w:type="pct" w:w="28%"/>
            <w:tcMar>
              <w:top w:type="dxa" w:w="80"/>
              <w:left w:type="dxa" w:w="100"/>
              <w:bottom w:type="dxa" w:w="80"/>
              <w:right w:type="dxa" w:w="100"/>
            </w:tcMar>
            <w:vAlign w:val="center"/>
          </w:tcPr>
          <w:p>
            <w:r>
              <w:rPr>
                <w:rFonts w:ascii="Calibri" w:cs="Calibri" w:eastAsia="Calibri" w:hAnsi="Calibri"/>
                <w:b w:val="false"/>
                <w:bCs w:val="false"/>
                <w:sz w:val="19"/>
                <w:szCs w:val="19"/>
              </w:rPr>
              <w:t xml:space="preserve">Datos</w:t>
            </w:r>
          </w:p>
        </w:tc>
        <w:tc>
          <w:tcPr>
            <w:tcW w:type="pct" w:w="72%"/>
            <w:tcMar>
              <w:top w:type="dxa" w:w="80"/>
              <w:left w:type="dxa" w:w="100"/>
              <w:bottom w:type="dxa" w:w="80"/>
              <w:right w:type="dxa" w:w="100"/>
            </w:tcMar>
            <w:vAlign w:val="center"/>
          </w:tcPr>
          <w:p>
            <w:r>
              <w:rPr>
                <w:rFonts w:ascii="Calibri" w:cs="Calibri" w:eastAsia="Calibri" w:hAnsi="Calibri"/>
                <w:b w:val="false"/>
                <w:bCs w:val="false"/>
                <w:sz w:val="19"/>
                <w:szCs w:val="19"/>
              </w:rPr>
              <w:t xml:space="preserve">Fuentes oficiales (esquema del MÓDULO E) y calidad; puntuaciones de scoring existen solo en MÓDULO F, nunca en MÓDULO E</w:t>
            </w:r>
          </w:p>
        </w:tc>
      </w:tr>
      <w:tr>
        <w:tc>
          <w:tcPr>
            <w:tcW w:type="pct" w:w="28%"/>
            <w:tcMar>
              <w:top w:type="dxa" w:w="80"/>
              <w:left w:type="dxa" w:w="100"/>
              <w:bottom w:type="dxa" w:w="80"/>
              <w:right w:type="dxa" w:w="100"/>
            </w:tcMar>
            <w:vAlign w:val="center"/>
          </w:tcPr>
          <w:p>
            <w:r>
              <w:rPr>
                <w:rFonts w:ascii="Calibri" w:cs="Calibri" w:eastAsia="Calibri" w:hAnsi="Calibri"/>
                <w:b w:val="false"/>
                <w:bCs w:val="false"/>
                <w:sz w:val="19"/>
                <w:szCs w:val="19"/>
              </w:rPr>
              <w:t xml:space="preserve">Aplicación</w:t>
            </w:r>
          </w:p>
        </w:tc>
        <w:tc>
          <w:tcPr>
            <w:tcW w:type="pct" w:w="72%"/>
            <w:tcMar>
              <w:top w:type="dxa" w:w="80"/>
              <w:left w:type="dxa" w:w="100"/>
              <w:bottom w:type="dxa" w:w="80"/>
              <w:right w:type="dxa" w:w="100"/>
            </w:tcMar>
            <w:vAlign w:val="center"/>
          </w:tcPr>
          <w:p>
            <w:r>
              <w:rPr>
                <w:rFonts w:ascii="Calibri" w:cs="Calibri" w:eastAsia="Calibri" w:hAnsi="Calibri"/>
                <w:b w:val="false"/>
                <w:bCs w:val="false"/>
                <w:sz w:val="19"/>
                <w:szCs w:val="19"/>
              </w:rPr>
              <w:t xml:space="preserve">Servicios aprobados, permisos CRUD de microservicios (MÓDULO J.4) e interfaces documentadas</w:t>
            </w:r>
          </w:p>
        </w:tc>
      </w:tr>
      <w:tr>
        <w:tc>
          <w:tcPr>
            <w:tcW w:type="pct" w:w="28%"/>
            <w:tcMar>
              <w:top w:type="dxa" w:w="80"/>
              <w:left w:type="dxa" w:w="100"/>
              <w:bottom w:type="dxa" w:w="80"/>
              <w:right w:type="dxa" w:w="100"/>
            </w:tcMar>
            <w:vAlign w:val="center"/>
          </w:tcPr>
          <w:p>
            <w:r>
              <w:rPr>
                <w:rFonts w:ascii="Calibri" w:cs="Calibri" w:eastAsia="Calibri" w:hAnsi="Calibri"/>
                <w:b w:val="false"/>
                <w:bCs w:val="false"/>
                <w:sz w:val="19"/>
                <w:szCs w:val="19"/>
              </w:rPr>
              <w:t xml:space="preserve">Seguridad</w:t>
            </w:r>
          </w:p>
        </w:tc>
        <w:tc>
          <w:tcPr>
            <w:tcW w:type="pct" w:w="72%"/>
            <w:tcMar>
              <w:top w:type="dxa" w:w="80"/>
              <w:left w:type="dxa" w:w="100"/>
              <w:bottom w:type="dxa" w:w="80"/>
              <w:right w:type="dxa" w:w="100"/>
            </w:tcMar>
            <w:vAlign w:val="center"/>
          </w:tcPr>
          <w:p>
            <w:r>
              <w:rPr>
                <w:rFonts w:ascii="Calibri" w:cs="Calibri" w:eastAsia="Calibri" w:hAnsi="Calibri"/>
                <w:b w:val="false"/>
                <w:bCs w:val="false"/>
                <w:sz w:val="19"/>
                <w:szCs w:val="19"/>
              </w:rPr>
              <w:t xml:space="preserve">TLS 1.3, AES-256, MFA obligatorio, minimización de datos, sin metadatos identificatorios (IP, MAC, IMEI, EXIF)</w:t>
            </w:r>
          </w:p>
        </w:tc>
      </w:tr>
      <w:tr>
        <w:tc>
          <w:tcPr>
            <w:tcW w:type="pct" w:w="28%"/>
            <w:tcMar>
              <w:top w:type="dxa" w:w="80"/>
              <w:left w:type="dxa" w:w="100"/>
              <w:bottom w:type="dxa" w:w="80"/>
              <w:right w:type="dxa" w:w="100"/>
            </w:tcMar>
            <w:vAlign w:val="center"/>
          </w:tcPr>
          <w:p>
            <w:r>
              <w:rPr>
                <w:rFonts w:ascii="Calibri" w:cs="Calibri" w:eastAsia="Calibri" w:hAnsi="Calibri"/>
                <w:b w:val="false"/>
                <w:bCs w:val="false"/>
                <w:sz w:val="19"/>
                <w:szCs w:val="19"/>
              </w:rPr>
              <w:t xml:space="preserve">Auditoría</w:t>
            </w:r>
          </w:p>
        </w:tc>
        <w:tc>
          <w:tcPr>
            <w:tcW w:type="pct" w:w="72%"/>
            <w:tcMar>
              <w:top w:type="dxa" w:w="80"/>
              <w:left w:type="dxa" w:w="100"/>
              <w:bottom w:type="dxa" w:w="80"/>
              <w:right w:type="dxa" w:w="100"/>
            </w:tcMar>
            <w:vAlign w:val="center"/>
          </w:tcPr>
          <w:p>
            <w:r>
              <w:rPr>
                <w:rFonts w:ascii="Calibri" w:cs="Calibri" w:eastAsia="Calibri" w:hAnsi="Calibri"/>
                <w:b w:val="false"/>
                <w:bCs w:val="false"/>
                <w:sz w:val="19"/>
                <w:szCs w:val="19"/>
              </w:rPr>
              <w:t xml:space="preserve">log_auditoria append-only, retención de 7 años, solo tipos de evento definidos en E.10, acceso restringido</w:t>
            </w:r>
          </w:p>
        </w:tc>
      </w:tr>
      <w:tr>
        <w:tc>
          <w:tcPr>
            <w:tcW w:type="pct" w:w="28%"/>
            <w:tcMar>
              <w:top w:type="dxa" w:w="80"/>
              <w:left w:type="dxa" w:w="100"/>
              <w:bottom w:type="dxa" w:w="80"/>
              <w:right w:type="dxa" w:w="100"/>
            </w:tcMar>
            <w:vAlign w:val="center"/>
          </w:tcPr>
          <w:p>
            <w:r>
              <w:rPr>
                <w:rFonts w:ascii="Calibri" w:cs="Calibri" w:eastAsia="Calibri" w:hAnsi="Calibri"/>
                <w:b w:val="false"/>
                <w:bCs w:val="false"/>
                <w:sz w:val="19"/>
                <w:szCs w:val="19"/>
              </w:rPr>
              <w:t xml:space="preserve">Negocio / Proceso</w:t>
            </w:r>
          </w:p>
        </w:tc>
        <w:tc>
          <w:tcPr>
            <w:tcW w:type="pct" w:w="72%"/>
            <w:tcMar>
              <w:top w:type="dxa" w:w="80"/>
              <w:left w:type="dxa" w:w="100"/>
              <w:bottom w:type="dxa" w:w="80"/>
              <w:right w:type="dxa" w:w="100"/>
            </w:tcMar>
            <w:vAlign w:val="center"/>
          </w:tcPr>
          <w:p>
            <w:r>
              <w:rPr>
                <w:rFonts w:ascii="Calibri" w:cs="Calibri" w:eastAsia="Calibri" w:hAnsi="Calibri"/>
                <w:b w:val="false"/>
                <w:bCs w:val="false"/>
                <w:sz w:val="19"/>
                <w:szCs w:val="19"/>
              </w:rPr>
              <w:t xml:space="preserve">Definición única de Clúster (coincide en B, F e I); KPI de TRI medido solo con despacho confirmado</w:t>
            </w:r>
          </w:p>
        </w:tc>
      </w:tr>
      <w:tr>
        <w:tc>
          <w:tcPr>
            <w:tcW w:type="pct" w:w="28%"/>
            <w:tcMar>
              <w:top w:type="dxa" w:w="80"/>
              <w:left w:type="dxa" w:w="100"/>
              <w:bottom w:type="dxa" w:w="80"/>
              <w:right w:type="dxa" w:w="100"/>
            </w:tcMar>
            <w:vAlign w:val="center"/>
          </w:tcPr>
          <w:p>
            <w:r>
              <w:rPr>
                <w:rFonts w:ascii="Calibri" w:cs="Calibri" w:eastAsia="Calibri" w:hAnsi="Calibri"/>
                <w:b w:val="false"/>
                <w:bCs w:val="false"/>
                <w:sz w:val="19"/>
                <w:szCs w:val="19"/>
              </w:rPr>
              <w:t xml:space="preserve">Gobierno institucional</w:t>
            </w:r>
          </w:p>
        </w:tc>
        <w:tc>
          <w:tcPr>
            <w:tcW w:type="pct" w:w="72%"/>
            <w:tcMar>
              <w:top w:type="dxa" w:w="80"/>
              <w:left w:type="dxa" w:w="100"/>
              <w:bottom w:type="dxa" w:w="80"/>
              <w:right w:type="dxa" w:w="100"/>
            </w:tcMar>
            <w:vAlign w:val="center"/>
          </w:tcPr>
          <w:p>
            <w:r>
              <w:rPr>
                <w:rFonts w:ascii="Calibri" w:cs="Calibri" w:eastAsia="Calibri" w:hAnsi="Calibri"/>
                <w:b w:val="false"/>
                <w:bCs w:val="false"/>
                <w:sz w:val="19"/>
                <w:szCs w:val="19"/>
              </w:rPr>
              <w:t xml:space="preserve">Decisión documentada sobre INT-07 (Observatorio del Crimen), INT-08 (Asyste) y el botón de pánico C5i — integración, complemento o deslinde explícito</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BEAEA" w:val="clear"/>
            <w:tcMar>
              <w:top w:type="dxa" w:w="120"/>
              <w:left w:type="dxa" w:w="180"/>
              <w:bottom w:type="dxa" w:w="120"/>
              <w:right w:type="dxa" w:w="180"/>
            </w:tcMar>
          </w:tcPr>
          <w:p>
            <w:r>
              <w:rPr>
                <w:rFonts w:ascii="Calibri" w:cs="Calibri" w:eastAsia="Calibri" w:hAnsi="Calibri"/>
                <w:b/>
                <w:bCs/>
                <w:color w:val="6E1414"/>
                <w:sz w:val="20"/>
                <w:szCs w:val="20"/>
              </w:rPr>
              <w:t xml:space="preserve">Ejemplo CTOS-EXT-TRANSP: </w:t>
            </w:r>
            <w:r>
              <w:rPr>
                <w:rFonts w:ascii="Calibri" w:cs="Calibri" w:eastAsia="Calibri" w:hAnsi="Calibri"/>
                <w:sz w:val="20"/>
                <w:szCs w:val="20"/>
              </w:rPr>
              <w:t xml:space="preserve">Una consulta directa de un componente a la base de datos del sistema de comunicaciones (INT-04), sin pasar por el contrato de integración definido, constituye un hallazgo de tipo No conforme, incluso si el dato consultado es correcto, porque vulnera el control de acceso definido en el Contrato de Arquitectura.</w:t>
            </w:r>
          </w:p>
        </w:tc>
      </w:tr>
    </w:tbl>
    <w:p>
      <w:pPr>
        <w:pStyle w:val="Heading1"/>
        <w:pBdr>
          <w:bottom w:val="single" w:color="8B1A1A" w:sz="8" w:space="4"/>
        </w:pBdr>
        <w:spacing w:after="160" w:before="400"/>
      </w:pPr>
      <w:r>
        <w:rPr>
          <w:rFonts w:ascii="Calibri" w:cs="Calibri" w:eastAsia="Calibri" w:hAnsi="Calibri"/>
          <w:b/>
          <w:bCs/>
          <w:color w:val="6E1414"/>
          <w:sz w:val="28"/>
          <w:szCs w:val="28"/>
        </w:rPr>
        <w:t xml:space="preserve">Architecture Contract — Contrato de Arquitectura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80"/>
            </w:pPr>
            <w:r>
              <w:rPr>
                <w:rFonts w:ascii="Calibri" w:cs="Calibri" w:eastAsia="Calibri" w:hAnsi="Calibri"/>
                <w:b/>
                <w:bCs/>
                <w:color w:val="6E1414"/>
                <w:sz w:val="21"/>
                <w:szCs w:val="21"/>
              </w:rPr>
              <w:t xml:space="preserve">Pregunta guía</w:t>
            </w:r>
          </w:p>
          <w:p>
            <w:pPr>
              <w:spacing w:after="100"/>
            </w:pPr>
            <w:r>
              <w:rPr>
                <w:rFonts w:ascii="Calibri" w:cs="Calibri" w:eastAsia="Calibri" w:hAnsi="Calibri"/>
                <w:i/>
                <w:iCs/>
                <w:sz w:val="21"/>
                <w:szCs w:val="21"/>
              </w:rPr>
              <w:t xml:space="preserve">¿Cómo se formaliza la obligación arquitectónica frente al equipo de desarrollo y proveedores?</w:t>
            </w:r>
          </w:p>
          <w:p>
            <w:pPr>
              <w:spacing w:after="40"/>
            </w:pPr>
            <w:r>
              <w:rPr>
                <w:rFonts w:ascii="Calibri" w:cs="Calibri" w:eastAsia="Calibri" w:hAnsi="Calibri"/>
                <w:sz w:val="20"/>
                <w:szCs w:val="20"/>
              </w:rPr>
              <w:t xml:space="preserve">Vincula la implementación con la arquitectura aprobada en las Fases B, C y D.</w:t>
            </w:r>
          </w:p>
          <w:p>
            <w:pPr>
              <w:spacing w:after="40"/>
            </w:pPr>
            <w:r>
              <w:rPr>
                <w:rFonts w:ascii="Calibri" w:cs="Calibri" w:eastAsia="Calibri" w:hAnsi="Calibri"/>
                <w:sz w:val="20"/>
                <w:szCs w:val="20"/>
              </w:rPr>
              <w:t xml:space="preserve">Define estándares, criterios de aceptación y responsabilidades por componente.</w:t>
            </w:r>
          </w:p>
          <w:p>
            <w:pPr>
              <w:spacing w:after="40"/>
            </w:pPr>
            <w:r>
              <w:rPr>
                <w:rFonts w:ascii="Calibri" w:cs="Calibri" w:eastAsia="Calibri" w:hAnsi="Calibri"/>
                <w:sz w:val="20"/>
                <w:szCs w:val="20"/>
              </w:rPr>
              <w:t xml:space="preserve">Puede incluir excepciones aprobadas, con responsable, vigencia y remediación.</w:t>
            </w:r>
          </w:p>
          <w:p>
            <w:pPr>
              <w:spacing w:after="40"/>
            </w:pPr>
            <w:r>
              <w:rPr>
                <w:rFonts w:ascii="Calibri" w:cs="Calibri" w:eastAsia="Calibri" w:hAnsi="Calibri"/>
                <w:sz w:val="20"/>
                <w:szCs w:val="20"/>
              </w:rPr>
              <w:t xml:space="preserve">Controla al proveedor externo, al equipo interno de desarrollo y a la unidad usuaria (PNP).</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Elemento</w:t>
            </w:r>
          </w:p>
        </w:tc>
        <w:tc>
          <w:tcPr>
            <w:tcW w:type="pct" w:w="52%"/>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Estándar / criterio aplicable a CTOS-EXT-TRANSP</w:t>
            </w:r>
          </w:p>
        </w:tc>
        <w:tc>
          <w:tcPr>
            <w:tcW w:type="pct" w:w="30%"/>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Mecanismo de control</w:t>
            </w:r>
          </w:p>
        </w:tc>
      </w:tr>
      <w:tr>
        <w:tc>
          <w:tcPr>
            <w:tcW w:type="pct" w:w="18%"/>
            <w:tcMar>
              <w:top w:type="dxa" w:w="80"/>
              <w:left w:type="dxa" w:w="100"/>
              <w:bottom w:type="dxa" w:w="80"/>
              <w:right w:type="dxa" w:w="100"/>
            </w:tcMar>
            <w:vAlign w:val="center"/>
          </w:tcPr>
          <w:p>
            <w:r>
              <w:rPr>
                <w:rFonts w:ascii="Calibri" w:cs="Calibri" w:eastAsia="Calibri" w:hAnsi="Calibri"/>
                <w:b w:val="false"/>
                <w:bCs w:val="false"/>
                <w:sz w:val="19"/>
                <w:szCs w:val="19"/>
              </w:rPr>
              <w:t xml:space="preserve">Interfaces (API)</w:t>
            </w:r>
          </w:p>
        </w:tc>
        <w:tc>
          <w:tcPr>
            <w:tcW w:type="pct" w:w="52%"/>
            <w:tcMar>
              <w:top w:type="dxa" w:w="80"/>
              <w:left w:type="dxa" w:w="100"/>
              <w:bottom w:type="dxa" w:w="80"/>
              <w:right w:type="dxa" w:w="100"/>
            </w:tcMar>
            <w:vAlign w:val="center"/>
          </w:tcPr>
          <w:p>
            <w:r>
              <w:rPr>
                <w:rFonts w:ascii="Calibri" w:cs="Calibri" w:eastAsia="Calibri" w:hAnsi="Calibri"/>
                <w:b w:val="false"/>
                <w:bCs w:val="false"/>
                <w:sz w:val="19"/>
                <w:szCs w:val="19"/>
              </w:rPr>
              <w:t xml:space="preserve">Comunicación entre microservicios vía eventos Kafka y REST; ms-ingestor sin escritura directa</w:t>
            </w:r>
          </w:p>
        </w:tc>
        <w:tc>
          <w:tcPr>
            <w:tcW w:type="pct" w:w="30%"/>
            <w:tcMar>
              <w:top w:type="dxa" w:w="80"/>
              <w:left w:type="dxa" w:w="100"/>
              <w:bottom w:type="dxa" w:w="80"/>
              <w:right w:type="dxa" w:w="100"/>
            </w:tcMar>
            <w:vAlign w:val="center"/>
          </w:tcPr>
          <w:p>
            <w:r>
              <w:rPr>
                <w:rFonts w:ascii="Calibri" w:cs="Calibri" w:eastAsia="Calibri" w:hAnsi="Calibri"/>
                <w:b w:val="false"/>
                <w:bCs w:val="false"/>
                <w:sz w:val="19"/>
                <w:szCs w:val="19"/>
              </w:rPr>
              <w:t xml:space="preserve">Revisión de diseño (Paso G3)</w:t>
            </w:r>
          </w:p>
        </w:tc>
      </w:tr>
      <w:tr>
        <w:tc>
          <w:tcPr>
            <w:tcW w:type="pct" w:w="18%"/>
            <w:tcMar>
              <w:top w:type="dxa" w:w="80"/>
              <w:left w:type="dxa" w:w="100"/>
              <w:bottom w:type="dxa" w:w="80"/>
              <w:right w:type="dxa" w:w="100"/>
            </w:tcMar>
            <w:vAlign w:val="center"/>
          </w:tcPr>
          <w:p>
            <w:r>
              <w:rPr>
                <w:rFonts w:ascii="Calibri" w:cs="Calibri" w:eastAsia="Calibri" w:hAnsi="Calibri"/>
                <w:b w:val="false"/>
                <w:bCs w:val="false"/>
                <w:sz w:val="19"/>
                <w:szCs w:val="19"/>
              </w:rPr>
              <w:t xml:space="preserve">Datos</w:t>
            </w:r>
          </w:p>
        </w:tc>
        <w:tc>
          <w:tcPr>
            <w:tcW w:type="pct" w:w="52%"/>
            <w:tcMar>
              <w:top w:type="dxa" w:w="80"/>
              <w:left w:type="dxa" w:w="100"/>
              <w:bottom w:type="dxa" w:w="80"/>
              <w:right w:type="dxa" w:w="100"/>
            </w:tcMar>
            <w:vAlign w:val="center"/>
          </w:tcPr>
          <w:p>
            <w:r>
              <w:rPr>
                <w:rFonts w:ascii="Calibri" w:cs="Calibri" w:eastAsia="Calibri" w:hAnsi="Calibri"/>
                <w:b w:val="false"/>
                <w:bCs w:val="false"/>
                <w:sz w:val="19"/>
                <w:szCs w:val="19"/>
              </w:rPr>
              <w:t xml:space="preserve">Modelo de datos y scoring del MÓDULO E/F como fuente única de verdad; corredor_vial_id como única FK válida para corredores</w:t>
            </w:r>
          </w:p>
        </w:tc>
        <w:tc>
          <w:tcPr>
            <w:tcW w:type="pct" w:w="30%"/>
            <w:tcMar>
              <w:top w:type="dxa" w:w="80"/>
              <w:left w:type="dxa" w:w="100"/>
              <w:bottom w:type="dxa" w:w="80"/>
              <w:right w:type="dxa" w:w="100"/>
            </w:tcMar>
            <w:vAlign w:val="center"/>
          </w:tcPr>
          <w:p>
            <w:r>
              <w:rPr>
                <w:rFonts w:ascii="Calibri" w:cs="Calibri" w:eastAsia="Calibri" w:hAnsi="Calibri"/>
                <w:b w:val="false"/>
                <w:bCs w:val="false"/>
                <w:sz w:val="19"/>
                <w:szCs w:val="19"/>
              </w:rPr>
              <w:t xml:space="preserve">Revisión de calidad de datos</w:t>
            </w:r>
          </w:p>
        </w:tc>
      </w:tr>
      <w:tr>
        <w:tc>
          <w:tcPr>
            <w:tcW w:type="pct" w:w="18%"/>
            <w:tcMar>
              <w:top w:type="dxa" w:w="80"/>
              <w:left w:type="dxa" w:w="100"/>
              <w:bottom w:type="dxa" w:w="80"/>
              <w:right w:type="dxa" w:w="100"/>
            </w:tcMar>
            <w:vAlign w:val="center"/>
          </w:tcPr>
          <w:p>
            <w:r>
              <w:rPr>
                <w:rFonts w:ascii="Calibri" w:cs="Calibri" w:eastAsia="Calibri" w:hAnsi="Calibri"/>
                <w:b w:val="false"/>
                <w:bCs w:val="false"/>
                <w:sz w:val="19"/>
                <w:szCs w:val="19"/>
              </w:rPr>
              <w:t xml:space="preserve">Seguridad</w:t>
            </w:r>
          </w:p>
        </w:tc>
        <w:tc>
          <w:tcPr>
            <w:tcW w:type="pct" w:w="52%"/>
            <w:tcMar>
              <w:top w:type="dxa" w:w="80"/>
              <w:left w:type="dxa" w:w="100"/>
              <w:bottom w:type="dxa" w:w="80"/>
              <w:right w:type="dxa" w:w="100"/>
            </w:tcMar>
            <w:vAlign w:val="center"/>
          </w:tcPr>
          <w:p>
            <w:r>
              <w:rPr>
                <w:rFonts w:ascii="Calibri" w:cs="Calibri" w:eastAsia="Calibri" w:hAnsi="Calibri"/>
                <w:b w:val="false"/>
                <w:bCs w:val="false"/>
                <w:sz w:val="19"/>
                <w:szCs w:val="19"/>
              </w:rPr>
              <w:t xml:space="preserve">MFA para Analistas/Administradores; TLS 1.3; AES-256; sin biometría ni OCR sobre evidencia fotográfica (C.3.6)</w:t>
            </w:r>
          </w:p>
        </w:tc>
        <w:tc>
          <w:tcPr>
            <w:tcW w:type="pct" w:w="30%"/>
            <w:tcMar>
              <w:top w:type="dxa" w:w="80"/>
              <w:left w:type="dxa" w:w="100"/>
              <w:bottom w:type="dxa" w:w="80"/>
              <w:right w:type="dxa" w:w="100"/>
            </w:tcMar>
            <w:vAlign w:val="center"/>
          </w:tcPr>
          <w:p>
            <w:r>
              <w:rPr>
                <w:rFonts w:ascii="Calibri" w:cs="Calibri" w:eastAsia="Calibri" w:hAnsi="Calibri"/>
                <w:b w:val="false"/>
                <w:bCs w:val="false"/>
                <w:sz w:val="19"/>
                <w:szCs w:val="19"/>
              </w:rPr>
              <w:t xml:space="preserve">Pruebas de seguridad</w:t>
            </w:r>
          </w:p>
        </w:tc>
      </w:tr>
      <w:tr>
        <w:tc>
          <w:tcPr>
            <w:tcW w:type="pct" w:w="18%"/>
            <w:tcMar>
              <w:top w:type="dxa" w:w="80"/>
              <w:left w:type="dxa" w:w="100"/>
              <w:bottom w:type="dxa" w:w="80"/>
              <w:right w:type="dxa" w:w="100"/>
            </w:tcMar>
            <w:vAlign w:val="center"/>
          </w:tcPr>
          <w:p>
            <w:r>
              <w:rPr>
                <w:rFonts w:ascii="Calibri" w:cs="Calibri" w:eastAsia="Calibri" w:hAnsi="Calibri"/>
                <w:b w:val="false"/>
                <w:bCs w:val="false"/>
                <w:sz w:val="19"/>
                <w:szCs w:val="19"/>
              </w:rPr>
              <w:t xml:space="preserve">Operación</w:t>
            </w:r>
          </w:p>
        </w:tc>
        <w:tc>
          <w:tcPr>
            <w:tcW w:type="pct" w:w="52%"/>
            <w:tcMar>
              <w:top w:type="dxa" w:w="80"/>
              <w:left w:type="dxa" w:w="100"/>
              <w:bottom w:type="dxa" w:w="80"/>
              <w:right w:type="dxa" w:w="100"/>
            </w:tcMar>
            <w:vAlign w:val="center"/>
          </w:tcPr>
          <w:p>
            <w:r>
              <w:rPr>
                <w:rFonts w:ascii="Calibri" w:cs="Calibri" w:eastAsia="Calibri" w:hAnsi="Calibri"/>
                <w:b w:val="false"/>
                <w:bCs w:val="false"/>
                <w:sz w:val="19"/>
                <w:szCs w:val="19"/>
              </w:rPr>
              <w:t xml:space="preserve">RTO &lt;1 min (flujo sin multimedia), RTO ≤4h (multimedia/ms-scorer/PostgreSQL), RPO ≤1h, disponibilidad 99.5%</w:t>
            </w:r>
          </w:p>
        </w:tc>
        <w:tc>
          <w:tcPr>
            <w:tcW w:type="pct" w:w="30%"/>
            <w:tcMar>
              <w:top w:type="dxa" w:w="80"/>
              <w:left w:type="dxa" w:w="100"/>
              <w:bottom w:type="dxa" w:w="80"/>
              <w:right w:type="dxa" w:w="100"/>
            </w:tcMar>
            <w:vAlign w:val="center"/>
          </w:tcPr>
          <w:p>
            <w:r>
              <w:rPr>
                <w:rFonts w:ascii="Calibri" w:cs="Calibri" w:eastAsia="Calibri" w:hAnsi="Calibri"/>
                <w:b w:val="false"/>
                <w:bCs w:val="false"/>
                <w:sz w:val="19"/>
                <w:szCs w:val="19"/>
              </w:rPr>
              <w:t xml:space="preserve">SLA monitoreado (Paso G5)</w:t>
            </w:r>
          </w:p>
        </w:tc>
      </w:tr>
      <w:tr>
        <w:tc>
          <w:tcPr>
            <w:tcW w:type="pct" w:w="18%"/>
            <w:tcMar>
              <w:top w:type="dxa" w:w="80"/>
              <w:left w:type="dxa" w:w="100"/>
              <w:bottom w:type="dxa" w:w="80"/>
              <w:right w:type="dxa" w:w="100"/>
            </w:tcMar>
            <w:vAlign w:val="center"/>
          </w:tcPr>
          <w:p>
            <w:r>
              <w:rPr>
                <w:rFonts w:ascii="Calibri" w:cs="Calibri" w:eastAsia="Calibri" w:hAnsi="Calibri"/>
                <w:b w:val="false"/>
                <w:bCs w:val="false"/>
                <w:sz w:val="19"/>
                <w:szCs w:val="19"/>
              </w:rPr>
              <w:t xml:space="preserve">Privacidad</w:t>
            </w:r>
          </w:p>
        </w:tc>
        <w:tc>
          <w:tcPr>
            <w:tcW w:type="pct" w:w="52%"/>
            <w:tcMar>
              <w:top w:type="dxa" w:w="80"/>
              <w:left w:type="dxa" w:w="100"/>
              <w:bottom w:type="dxa" w:w="80"/>
              <w:right w:type="dxa" w:w="100"/>
            </w:tcMar>
            <w:vAlign w:val="center"/>
          </w:tcPr>
          <w:p>
            <w:r>
              <w:rPr>
                <w:rFonts w:ascii="Calibri" w:cs="Calibri" w:eastAsia="Calibri" w:hAnsi="Calibri"/>
                <w:b w:val="false"/>
                <w:bCs w:val="false"/>
                <w:sz w:val="19"/>
                <w:szCs w:val="19"/>
              </w:rPr>
              <w:t xml:space="preserve">Anonimato estructural en los tres canales; minimización de campos; sin cruce con RENIEC/SUNAT/operadoras</w:t>
            </w:r>
          </w:p>
        </w:tc>
        <w:tc>
          <w:tcPr>
            <w:tcW w:type="pct" w:w="30%"/>
            <w:tcMar>
              <w:top w:type="dxa" w:w="80"/>
              <w:left w:type="dxa" w:w="100"/>
              <w:bottom w:type="dxa" w:w="80"/>
              <w:right w:type="dxa" w:w="100"/>
            </w:tcMar>
            <w:vAlign w:val="center"/>
          </w:tcPr>
          <w:p>
            <w:r>
              <w:rPr>
                <w:rFonts w:ascii="Calibri" w:cs="Calibri" w:eastAsia="Calibri" w:hAnsi="Calibri"/>
                <w:b w:val="false"/>
                <w:bCs w:val="false"/>
                <w:sz w:val="19"/>
                <w:szCs w:val="19"/>
              </w:rPr>
              <w:t xml:space="preserve">Revisión legal / Oficial de Seguridad</w:t>
            </w:r>
          </w:p>
        </w:tc>
      </w:tr>
      <w:tr>
        <w:tc>
          <w:tcPr>
            <w:tcW w:type="pct" w:w="18%"/>
            <w:tcMar>
              <w:top w:type="dxa" w:w="80"/>
              <w:left w:type="dxa" w:w="100"/>
              <w:bottom w:type="dxa" w:w="80"/>
              <w:right w:type="dxa" w:w="100"/>
            </w:tcMar>
            <w:vAlign w:val="center"/>
          </w:tcPr>
          <w:p>
            <w:r>
              <w:rPr>
                <w:rFonts w:ascii="Calibri" w:cs="Calibri" w:eastAsia="Calibri" w:hAnsi="Calibri"/>
                <w:b w:val="false"/>
                <w:bCs w:val="false"/>
                <w:sz w:val="19"/>
                <w:szCs w:val="19"/>
              </w:rPr>
              <w:t xml:space="preserve">Integraciones</w:t>
            </w:r>
          </w:p>
        </w:tc>
        <w:tc>
          <w:tcPr>
            <w:tcW w:type="pct" w:w="52%"/>
            <w:tcMar>
              <w:top w:type="dxa" w:w="80"/>
              <w:left w:type="dxa" w:w="100"/>
              <w:bottom w:type="dxa" w:w="80"/>
              <w:right w:type="dxa" w:w="100"/>
            </w:tcMar>
            <w:vAlign w:val="center"/>
          </w:tcPr>
          <w:p>
            <w:r>
              <w:rPr>
                <w:rFonts w:ascii="Calibri" w:cs="Calibri" w:eastAsia="Calibri" w:hAnsi="Calibri"/>
                <w:b w:val="false"/>
                <w:bCs w:val="false"/>
                <w:sz w:val="19"/>
                <w:szCs w:val="19"/>
              </w:rPr>
              <w:t xml:space="preserve">Solo INT-01 a INT-06 autorizadas; INT-07 e INT-08 requieren decisión documentada antes de construirse</w:t>
            </w:r>
          </w:p>
        </w:tc>
        <w:tc>
          <w:tcPr>
            <w:tcW w:type="pct" w:w="30%"/>
            <w:tcMar>
              <w:top w:type="dxa" w:w="80"/>
              <w:left w:type="dxa" w:w="100"/>
              <w:bottom w:type="dxa" w:w="80"/>
              <w:right w:type="dxa" w:w="100"/>
            </w:tcMar>
            <w:vAlign w:val="center"/>
          </w:tcPr>
          <w:p>
            <w:r>
              <w:rPr>
                <w:rFonts w:ascii="Calibri" w:cs="Calibri" w:eastAsia="Calibri" w:hAnsi="Calibri"/>
                <w:b w:val="false"/>
                <w:bCs w:val="false"/>
                <w:sz w:val="19"/>
                <w:szCs w:val="19"/>
              </w:rPr>
              <w:t xml:space="preserve">Gobierno — Paso G1 / G4</w:t>
            </w:r>
          </w:p>
        </w:tc>
      </w:tr>
    </w:tbl>
    <w:p>
      <w:pPr>
        <w:spacing w:after="160"/>
      </w:pPr>
      <w:r>
        <w:rPr>
          <w:rFonts w:ascii="Calibri" w:cs="Calibri" w:eastAsia="Calibri" w:hAnsi="Calibri"/>
          <w:b w:val="false"/>
          <w:bCs w:val="false"/>
          <w:i/>
          <w:iCs/>
          <w:sz w:val="21"/>
          <w:szCs w:val="21"/>
        </w:rPr>
        <w:t xml:space="preserve">Sin Contrato de Arquitectura firmado por el responsable de integración, ningún paquete de trabajo (PT-01 a PT-10, definidos en la Hoja de Ruta de Fase E) puede pasar de la etapa de diseño a construcción, aun cuando el equipo de desarrollo considere que la funcionalidad está lista.</w:t>
      </w:r>
    </w:p>
    <w:p>
      <w:pPr>
        <w:pStyle w:val="Heading1"/>
        <w:pBdr>
          <w:bottom w:val="single" w:color="8B1A1A" w:sz="8" w:space="4"/>
        </w:pBdr>
        <w:spacing w:after="160" w:before="400"/>
      </w:pPr>
      <w:r>
        <w:rPr>
          <w:rFonts w:ascii="Calibri" w:cs="Calibri" w:eastAsia="Calibri" w:hAnsi="Calibri"/>
          <w:b/>
          <w:bCs/>
          <w:color w:val="6E1414"/>
          <w:sz w:val="28"/>
          <w:szCs w:val="28"/>
        </w:rPr>
        <w:t xml:space="preserve">Paso G5 — Implementar y sostener la operación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80"/>
            </w:pPr>
            <w:r>
              <w:rPr>
                <w:rFonts w:ascii="Calibri" w:cs="Calibri" w:eastAsia="Calibri" w:hAnsi="Calibri"/>
                <w:b/>
                <w:bCs/>
                <w:color w:val="6E1414"/>
                <w:sz w:val="21"/>
                <w:szCs w:val="21"/>
              </w:rPr>
              <w:t xml:space="preserve">Pregunta guía</w:t>
            </w:r>
          </w:p>
          <w:p>
            <w:pPr>
              <w:spacing w:after="100"/>
            </w:pPr>
            <w:r>
              <w:rPr>
                <w:rFonts w:ascii="Calibri" w:cs="Calibri" w:eastAsia="Calibri" w:hAnsi="Calibri"/>
                <w:i/>
                <w:iCs/>
                <w:sz w:val="21"/>
                <w:szCs w:val="21"/>
              </w:rPr>
              <w:t xml:space="preserve">¿Por qué la operación es parte de la gobernanza de arquitectura y no solo de la PMO?</w:t>
            </w:r>
          </w:p>
          <w:p>
            <w:pPr>
              <w:spacing w:after="40"/>
            </w:pPr>
            <w:r>
              <w:rPr>
                <w:rFonts w:ascii="Calibri" w:cs="Calibri" w:eastAsia="Calibri" w:hAnsi="Calibri"/>
                <w:sz w:val="20"/>
                <w:szCs w:val="20"/>
              </w:rPr>
              <w:t xml:space="preserve">La solución debe ser sostenible más allá del despliegue inicial.</w:t>
            </w:r>
          </w:p>
          <w:p>
            <w:pPr>
              <w:spacing w:after="40"/>
            </w:pPr>
            <w:r>
              <w:rPr>
                <w:rFonts w:ascii="Calibri" w:cs="Calibri" w:eastAsia="Calibri" w:hAnsi="Calibri"/>
                <w:sz w:val="20"/>
                <w:szCs w:val="20"/>
              </w:rPr>
              <w:t xml:space="preserve">Definir mesa de ayuda, monitoreo e incidentes desde el diseño.</w:t>
            </w:r>
          </w:p>
          <w:p>
            <w:pPr>
              <w:spacing w:after="40"/>
            </w:pPr>
            <w:r>
              <w:rPr>
                <w:rFonts w:ascii="Calibri" w:cs="Calibri" w:eastAsia="Calibri" w:hAnsi="Calibri"/>
                <w:sz w:val="20"/>
                <w:szCs w:val="20"/>
              </w:rPr>
              <w:t xml:space="preserve">Actualizar la documentación y el repositorio de activos de arquitectura.</w:t>
            </w:r>
          </w:p>
          <w:p>
            <w:pPr>
              <w:spacing w:after="40"/>
            </w:pPr>
            <w:r>
              <w:rPr>
                <w:rFonts w:ascii="Calibri" w:cs="Calibri" w:eastAsia="Calibri" w:hAnsi="Calibri"/>
                <w:sz w:val="20"/>
                <w:szCs w:val="20"/>
              </w:rPr>
              <w:t xml:space="preserve">Transferir conocimiento al equipo de soporte y a los usuarios finales (Analistas, Comisarías).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Componente operativo</w:t>
            </w:r>
          </w:p>
        </w:tc>
        <w:tc>
          <w:tcPr>
            <w:tcW w:type="pct" w:w="70%"/>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Definición para CTOS-EXT-TRANSP</w:t>
            </w:r>
          </w:p>
        </w:tc>
      </w:tr>
      <w:tr>
        <w:tc>
          <w:tcPr>
            <w:tcW w:type="pct" w:w="30%"/>
            <w:tcMar>
              <w:top w:type="dxa" w:w="80"/>
              <w:left w:type="dxa" w:w="100"/>
              <w:bottom w:type="dxa" w:w="80"/>
              <w:right w:type="dxa" w:w="100"/>
            </w:tcMar>
            <w:vAlign w:val="center"/>
          </w:tcPr>
          <w:p>
            <w:r>
              <w:rPr>
                <w:rFonts w:ascii="Calibri" w:cs="Calibri" w:eastAsia="Calibri" w:hAnsi="Calibri"/>
                <w:b w:val="false"/>
                <w:bCs w:val="false"/>
                <w:sz w:val="19"/>
                <w:szCs w:val="19"/>
              </w:rPr>
              <w:t xml:space="preserve">Servicio en producción</w:t>
            </w:r>
          </w:p>
        </w:tc>
        <w:tc>
          <w:tcPr>
            <w:tcW w:type="pct" w:w="70%"/>
            <w:tcMar>
              <w:top w:type="dxa" w:w="80"/>
              <w:left w:type="dxa" w:w="100"/>
              <w:bottom w:type="dxa" w:w="80"/>
              <w:right w:type="dxa" w:w="100"/>
            </w:tcMar>
            <w:vAlign w:val="center"/>
          </w:tcPr>
          <w:p>
            <w:r>
              <w:rPr>
                <w:rFonts w:ascii="Calibri" w:cs="Calibri" w:eastAsia="Calibri" w:hAnsi="Calibri"/>
                <w:b w:val="false"/>
                <w:bCs w:val="false"/>
                <w:sz w:val="19"/>
                <w:szCs w:val="19"/>
              </w:rPr>
              <w:t xml:space="preserve">Dashboard Táctico, App Ciudadana, Portal Web y canal WhatsApp operando bajo el SLA del Contrato de Arquitectura</w:t>
            </w:r>
          </w:p>
        </w:tc>
      </w:tr>
      <w:tr>
        <w:tc>
          <w:tcPr>
            <w:tcW w:type="pct" w:w="30%"/>
            <w:tcMar>
              <w:top w:type="dxa" w:w="80"/>
              <w:left w:type="dxa" w:w="100"/>
              <w:bottom w:type="dxa" w:w="80"/>
              <w:right w:type="dxa" w:w="100"/>
            </w:tcMar>
            <w:vAlign w:val="center"/>
          </w:tcPr>
          <w:p>
            <w:r>
              <w:rPr>
                <w:rFonts w:ascii="Calibri" w:cs="Calibri" w:eastAsia="Calibri" w:hAnsi="Calibri"/>
                <w:b w:val="false"/>
                <w:bCs w:val="false"/>
                <w:sz w:val="19"/>
                <w:szCs w:val="19"/>
              </w:rPr>
              <w:t xml:space="preserve">Monitoreo</w:t>
            </w:r>
          </w:p>
        </w:tc>
        <w:tc>
          <w:tcPr>
            <w:tcW w:type="pct" w:w="70%"/>
            <w:tcMar>
              <w:top w:type="dxa" w:w="80"/>
              <w:left w:type="dxa" w:w="100"/>
              <w:bottom w:type="dxa" w:w="80"/>
              <w:right w:type="dxa" w:w="100"/>
            </w:tcMar>
            <w:vAlign w:val="center"/>
          </w:tcPr>
          <w:p>
            <w:r>
              <w:rPr>
                <w:rFonts w:ascii="Calibri" w:cs="Calibri" w:eastAsia="Calibri" w:hAnsi="Calibri"/>
                <w:b w:val="false"/>
                <w:bCs w:val="false"/>
                <w:sz w:val="19"/>
                <w:szCs w:val="19"/>
              </w:rPr>
              <w:t xml:space="preserve">Disponibilidad 99.5%, métricas de RTO/RPO por componente, tiempo de respuesta real medido desde INT-04</w:t>
            </w:r>
          </w:p>
        </w:tc>
      </w:tr>
      <w:tr>
        <w:tc>
          <w:tcPr>
            <w:tcW w:type="pct" w:w="30%"/>
            <w:tcMar>
              <w:top w:type="dxa" w:w="80"/>
              <w:left w:type="dxa" w:w="100"/>
              <w:bottom w:type="dxa" w:w="80"/>
              <w:right w:type="dxa" w:w="100"/>
            </w:tcMar>
            <w:vAlign w:val="center"/>
          </w:tcPr>
          <w:p>
            <w:r>
              <w:rPr>
                <w:rFonts w:ascii="Calibri" w:cs="Calibri" w:eastAsia="Calibri" w:hAnsi="Calibri"/>
                <w:b w:val="false"/>
                <w:bCs w:val="false"/>
                <w:sz w:val="19"/>
                <w:szCs w:val="19"/>
              </w:rPr>
              <w:t xml:space="preserve">Mesa de ayuda</w:t>
            </w:r>
          </w:p>
        </w:tc>
        <w:tc>
          <w:tcPr>
            <w:tcW w:type="pct" w:w="70%"/>
            <w:tcMar>
              <w:top w:type="dxa" w:w="80"/>
              <w:left w:type="dxa" w:w="100"/>
              <w:bottom w:type="dxa" w:w="80"/>
              <w:right w:type="dxa" w:w="100"/>
            </w:tcMar>
            <w:vAlign w:val="center"/>
          </w:tcPr>
          <w:p>
            <w:r>
              <w:rPr>
                <w:rFonts w:ascii="Calibri" w:cs="Calibri" w:eastAsia="Calibri" w:hAnsi="Calibri"/>
                <w:b w:val="false"/>
                <w:bCs w:val="false"/>
                <w:sz w:val="19"/>
                <w:szCs w:val="19"/>
              </w:rPr>
              <w:t xml:space="preserve">Soporte al Analista de Inteligencia y a las Comisarías de jurisdicción, con foco reforzado durante picos de reportes</w:t>
            </w:r>
          </w:p>
        </w:tc>
      </w:tr>
      <w:tr>
        <w:tc>
          <w:tcPr>
            <w:tcW w:type="pct" w:w="30%"/>
            <w:tcMar>
              <w:top w:type="dxa" w:w="80"/>
              <w:left w:type="dxa" w:w="100"/>
              <w:bottom w:type="dxa" w:w="80"/>
              <w:right w:type="dxa" w:w="100"/>
            </w:tcMar>
            <w:vAlign w:val="center"/>
          </w:tcPr>
          <w:p>
            <w:r>
              <w:rPr>
                <w:rFonts w:ascii="Calibri" w:cs="Calibri" w:eastAsia="Calibri" w:hAnsi="Calibri"/>
                <w:b w:val="false"/>
                <w:bCs w:val="false"/>
                <w:sz w:val="19"/>
                <w:szCs w:val="19"/>
              </w:rPr>
              <w:t xml:space="preserve">Gestión de cambios</w:t>
            </w:r>
          </w:p>
        </w:tc>
        <w:tc>
          <w:tcPr>
            <w:tcW w:type="pct" w:w="70%"/>
            <w:tcMar>
              <w:top w:type="dxa" w:w="80"/>
              <w:left w:type="dxa" w:w="100"/>
              <w:bottom w:type="dxa" w:w="80"/>
              <w:right w:type="dxa" w:w="100"/>
            </w:tcMar>
            <w:vAlign w:val="center"/>
          </w:tcPr>
          <w:p>
            <w:r>
              <w:rPr>
                <w:rFonts w:ascii="Calibri" w:cs="Calibri" w:eastAsia="Calibri" w:hAnsi="Calibri"/>
                <w:b w:val="false"/>
                <w:bCs w:val="false"/>
                <w:sz w:val="19"/>
                <w:szCs w:val="19"/>
              </w:rPr>
              <w:t xml:space="preserve">Toda modificación posterior sigue el flujo de Change Request descrito en el siguiente paso, no un canal informal</w:t>
            </w:r>
          </w:p>
        </w:tc>
      </w:tr>
      <w:tr>
        <w:tc>
          <w:tcPr>
            <w:tcW w:type="pct" w:w="30%"/>
            <w:tcMar>
              <w:top w:type="dxa" w:w="80"/>
              <w:left w:type="dxa" w:w="100"/>
              <w:bottom w:type="dxa" w:w="80"/>
              <w:right w:type="dxa" w:w="100"/>
            </w:tcMar>
            <w:vAlign w:val="center"/>
          </w:tcPr>
          <w:p>
            <w:r>
              <w:rPr>
                <w:rFonts w:ascii="Calibri" w:cs="Calibri" w:eastAsia="Calibri" w:hAnsi="Calibri"/>
                <w:b w:val="false"/>
                <w:bCs w:val="false"/>
                <w:sz w:val="19"/>
                <w:szCs w:val="19"/>
              </w:rPr>
              <w:t xml:space="preserve">Mejora continua</w:t>
            </w:r>
          </w:p>
        </w:tc>
        <w:tc>
          <w:tcPr>
            <w:tcW w:type="pct" w:w="70%"/>
            <w:tcMar>
              <w:top w:type="dxa" w:w="80"/>
              <w:left w:type="dxa" w:w="100"/>
              <w:bottom w:type="dxa" w:w="80"/>
              <w:right w:type="dxa" w:w="100"/>
            </w:tcMar>
            <w:vAlign w:val="center"/>
          </w:tcPr>
          <w:p>
            <w:r>
              <w:rPr>
                <w:rFonts w:ascii="Calibri" w:cs="Calibri" w:eastAsia="Calibri" w:hAnsi="Calibri"/>
                <w:b w:val="false"/>
                <w:bCs w:val="false"/>
                <w:sz w:val="19"/>
                <w:szCs w:val="19"/>
              </w:rPr>
              <w:t xml:space="preserve">Insumo directo para el Paso G6 (post-implementation review) y para la calibración del algoritmo de clustering en AT-2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BEAEA" w:val="clear"/>
            <w:tcMar>
              <w:top w:type="dxa" w:w="120"/>
              <w:left w:type="dxa" w:w="180"/>
              <w:bottom w:type="dxa" w:w="120"/>
              <w:right w:type="dxa" w:w="180"/>
            </w:tcMar>
          </w:tcPr>
          <w:p>
            <w:r>
              <w:rPr>
                <w:rFonts w:ascii="Calibri" w:cs="Calibri" w:eastAsia="Calibri" w:hAnsi="Calibri"/>
                <w:b/>
                <w:bCs/>
                <w:color w:val="6E1414"/>
                <w:sz w:val="20"/>
                <w:szCs w:val="20"/>
              </w:rPr>
              <w:t xml:space="preserve">Ejemplo CTOS-EXT-TRANSP: </w:t>
            </w:r>
            <w:r>
              <w:rPr>
                <w:rFonts w:ascii="Calibri" w:cs="Calibri" w:eastAsia="Calibri" w:hAnsi="Calibri"/>
                <w:sz w:val="20"/>
                <w:szCs w:val="20"/>
              </w:rPr>
              <w:t xml:space="preserve">El piloto en San Juan de Lurigancho, Ate y El Agustino requiere reforzar la mesa de ayuda durante los primeros ciclos de operación, dado que es la primera vez que Analistas y Oficiales de Comisaría usan el Dashboard Táctico en condiciones reales, no solo en pruebas.</w:t>
            </w:r>
          </w:p>
        </w:tc>
      </w:tr>
    </w:tbl>
    <w:p>
      <w:pPr>
        <w:pStyle w:val="Heading1"/>
        <w:pBdr>
          <w:bottom w:val="single" w:color="8B1A1A" w:sz="8" w:space="4"/>
        </w:pBdr>
        <w:spacing w:after="160" w:before="400"/>
      </w:pPr>
      <w:r>
        <w:rPr>
          <w:rFonts w:ascii="Calibri" w:cs="Calibri" w:eastAsia="Calibri" w:hAnsi="Calibri"/>
          <w:b/>
          <w:bCs/>
          <w:color w:val="6E1414"/>
          <w:sz w:val="28"/>
          <w:szCs w:val="28"/>
        </w:rPr>
        <w:t xml:space="preserve">Paso G6 — Post-Implementation Review (revisión posterior a la implementación)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80"/>
            </w:pPr>
            <w:r>
              <w:rPr>
                <w:rFonts w:ascii="Calibri" w:cs="Calibri" w:eastAsia="Calibri" w:hAnsi="Calibri"/>
                <w:b/>
                <w:bCs/>
                <w:color w:val="6E1414"/>
                <w:sz w:val="21"/>
                <w:szCs w:val="21"/>
              </w:rPr>
              <w:t xml:space="preserve">Pregunta guía</w:t>
            </w:r>
          </w:p>
          <w:p>
            <w:pPr>
              <w:spacing w:after="100"/>
            </w:pPr>
            <w:r>
              <w:rPr>
                <w:rFonts w:ascii="Calibri" w:cs="Calibri" w:eastAsia="Calibri" w:hAnsi="Calibri"/>
                <w:i/>
                <w:iCs/>
                <w:sz w:val="21"/>
                <w:szCs w:val="21"/>
              </w:rPr>
              <w:t xml:space="preserve">¿Qué se evalúa al cerrar una Arquitectura de Transición?</w:t>
            </w:r>
          </w:p>
          <w:p>
            <w:pPr>
              <w:spacing w:after="40"/>
            </w:pPr>
            <w:r>
              <w:rPr>
                <w:rFonts w:ascii="Calibri" w:cs="Calibri" w:eastAsia="Calibri" w:hAnsi="Calibri"/>
                <w:sz w:val="20"/>
                <w:szCs w:val="20"/>
              </w:rPr>
              <w:t xml:space="preserve">Verificar el cumplimiento de objetivos, KPIs y requisitos frente a lo planificado en Fase E.</w:t>
            </w:r>
          </w:p>
          <w:p>
            <w:pPr>
              <w:spacing w:after="40"/>
            </w:pPr>
            <w:r>
              <w:rPr>
                <w:rFonts w:ascii="Calibri" w:cs="Calibri" w:eastAsia="Calibri" w:hAnsi="Calibri"/>
                <w:sz w:val="20"/>
                <w:szCs w:val="20"/>
              </w:rPr>
              <w:t xml:space="preserve">Registrar desviaciones e incidentes ocurridos durante el despliegue.</w:t>
            </w:r>
          </w:p>
          <w:p>
            <w:pPr>
              <w:spacing w:after="40"/>
            </w:pPr>
            <w:r>
              <w:rPr>
                <w:rFonts w:ascii="Calibri" w:cs="Calibri" w:eastAsia="Calibri" w:hAnsi="Calibri"/>
                <w:sz w:val="20"/>
                <w:szCs w:val="20"/>
              </w:rPr>
              <w:t xml:space="preserve">Generar Change Requests si quedan brechas residuales.</w:t>
            </w:r>
          </w:p>
          <w:p>
            <w:pPr>
              <w:spacing w:after="40"/>
            </w:pPr>
            <w:r>
              <w:rPr>
                <w:rFonts w:ascii="Calibri" w:cs="Calibri" w:eastAsia="Calibri" w:hAnsi="Calibri"/>
                <w:sz w:val="20"/>
                <w:szCs w:val="20"/>
              </w:rPr>
              <w:t xml:space="preserve">Actualizar el repositorio de arquitectura y la Hoja de Ruta.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2%"/>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KPI / condición de cierre (heredada de Fase E)</w:t>
            </w:r>
          </w:p>
        </w:tc>
        <w:tc>
          <w:tcPr>
            <w:tcW w:type="pct" w:w="58%"/>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Qué verifica la revisión post-implementación</w:t>
            </w:r>
          </w:p>
        </w:tc>
      </w:tr>
      <w:tr>
        <w:tc>
          <w:tcPr>
            <w:tcW w:type="pct" w:w="42%"/>
            <w:tcMar>
              <w:top w:type="dxa" w:w="80"/>
              <w:left w:type="dxa" w:w="100"/>
              <w:bottom w:type="dxa" w:w="80"/>
              <w:right w:type="dxa" w:w="100"/>
            </w:tcMar>
            <w:vAlign w:val="center"/>
          </w:tcPr>
          <w:p>
            <w:r>
              <w:rPr>
                <w:rFonts w:ascii="Calibri" w:cs="Calibri" w:eastAsia="Calibri" w:hAnsi="Calibri"/>
                <w:b w:val="false"/>
                <w:bCs w:val="false"/>
                <w:sz w:val="19"/>
                <w:szCs w:val="19"/>
              </w:rPr>
              <w:t xml:space="preserve">Condición de entrada a AT-1</w:t>
            </w:r>
          </w:p>
        </w:tc>
        <w:tc>
          <w:tcPr>
            <w:tcW w:type="pct" w:w="58%"/>
            <w:tcMar>
              <w:top w:type="dxa" w:w="80"/>
              <w:left w:type="dxa" w:w="100"/>
              <w:bottom w:type="dxa" w:w="80"/>
              <w:right w:type="dxa" w:w="100"/>
            </w:tcMar>
            <w:vAlign w:val="center"/>
          </w:tcPr>
          <w:p>
            <w:r>
              <w:rPr>
                <w:rFonts w:ascii="Calibri" w:cs="Calibri" w:eastAsia="Calibri" w:hAnsi="Calibri"/>
                <w:b w:val="false"/>
                <w:bCs w:val="false"/>
                <w:sz w:val="19"/>
                <w:szCs w:val="19"/>
              </w:rPr>
              <w:t xml:space="preserve">¿Las decisiones de posicionamiento institucional (INT-07, INT-08, botón de pánico) quedaron documentadas — como integración autorizada o deslinde explícito?</w:t>
            </w:r>
          </w:p>
        </w:tc>
      </w:tr>
      <w:tr>
        <w:tc>
          <w:tcPr>
            <w:tcW w:type="pct" w:w="42%"/>
            <w:tcMar>
              <w:top w:type="dxa" w:w="80"/>
              <w:left w:type="dxa" w:w="100"/>
              <w:bottom w:type="dxa" w:w="80"/>
              <w:right w:type="dxa" w:w="100"/>
            </w:tcMar>
            <w:vAlign w:val="center"/>
          </w:tcPr>
          <w:p>
            <w:r>
              <w:rPr>
                <w:rFonts w:ascii="Calibri" w:cs="Calibri" w:eastAsia="Calibri" w:hAnsi="Calibri"/>
                <w:b w:val="false"/>
                <w:bCs w:val="false"/>
                <w:sz w:val="19"/>
                <w:szCs w:val="19"/>
              </w:rPr>
              <w:t xml:space="preserve">Condición de entrada a AT-2</w:t>
            </w:r>
          </w:p>
        </w:tc>
        <w:tc>
          <w:tcPr>
            <w:tcW w:type="pct" w:w="58%"/>
            <w:tcMar>
              <w:top w:type="dxa" w:w="80"/>
              <w:left w:type="dxa" w:w="100"/>
              <w:bottom w:type="dxa" w:w="80"/>
              <w:right w:type="dxa" w:w="100"/>
            </w:tcMar>
            <w:vAlign w:val="center"/>
          </w:tcPr>
          <w:p>
            <w:r>
              <w:rPr>
                <w:rFonts w:ascii="Calibri" w:cs="Calibri" w:eastAsia="Calibri" w:hAnsi="Calibri"/>
                <w:b w:val="false"/>
                <w:bCs w:val="false"/>
                <w:sz w:val="19"/>
                <w:szCs w:val="19"/>
              </w:rPr>
              <w:t xml:space="preserve">¿Los parámetros del algoritmo de clustering (DBSCAN) fueron calibrados con datos reales del piloto y no solo con valores teóricos?</w:t>
            </w:r>
          </w:p>
        </w:tc>
      </w:tr>
      <w:tr>
        <w:tc>
          <w:tcPr>
            <w:tcW w:type="pct" w:w="42%"/>
            <w:tcMar>
              <w:top w:type="dxa" w:w="80"/>
              <w:left w:type="dxa" w:w="100"/>
              <w:bottom w:type="dxa" w:w="80"/>
              <w:right w:type="dxa" w:w="100"/>
            </w:tcMar>
            <w:vAlign w:val="center"/>
          </w:tcPr>
          <w:p>
            <w:r>
              <w:rPr>
                <w:rFonts w:ascii="Calibri" w:cs="Calibri" w:eastAsia="Calibri" w:hAnsi="Calibri"/>
                <w:b w:val="false"/>
                <w:bCs w:val="false"/>
                <w:sz w:val="19"/>
                <w:szCs w:val="19"/>
              </w:rPr>
              <w:t xml:space="preserve">Condición de entrada a AT-3</w:t>
            </w:r>
          </w:p>
        </w:tc>
        <w:tc>
          <w:tcPr>
            <w:tcW w:type="pct" w:w="58%"/>
            <w:tcMar>
              <w:top w:type="dxa" w:w="80"/>
              <w:left w:type="dxa" w:w="100"/>
              <w:bottom w:type="dxa" w:w="80"/>
              <w:right w:type="dxa" w:w="100"/>
            </w:tcMar>
            <w:vAlign w:val="center"/>
          </w:tcPr>
          <w:p>
            <w:r>
              <w:rPr>
                <w:rFonts w:ascii="Calibri" w:cs="Calibri" w:eastAsia="Calibri" w:hAnsi="Calibri"/>
                <w:b w:val="false"/>
                <w:bCs w:val="false"/>
                <w:sz w:val="19"/>
                <w:szCs w:val="19"/>
              </w:rPr>
              <w:t xml:space="preserve">¿Se completaron al menos dos ciclos de revisión del riesgo de retroalimentación (RIE-ANT-02) sin evidencia de refuerzo artificial de clústeres?</w:t>
            </w:r>
          </w:p>
        </w:tc>
      </w:tr>
      <w:tr>
        <w:tc>
          <w:tcPr>
            <w:tcW w:type="pct" w:w="42%"/>
            <w:tcMar>
              <w:top w:type="dxa" w:w="80"/>
              <w:left w:type="dxa" w:w="100"/>
              <w:bottom w:type="dxa" w:w="80"/>
              <w:right w:type="dxa" w:w="100"/>
            </w:tcMar>
            <w:vAlign w:val="center"/>
          </w:tcPr>
          <w:p>
            <w:r>
              <w:rPr>
                <w:rFonts w:ascii="Calibri" w:cs="Calibri" w:eastAsia="Calibri" w:hAnsi="Calibri"/>
                <w:b w:val="false"/>
                <w:bCs w:val="false"/>
                <w:sz w:val="19"/>
                <w:szCs w:val="19"/>
              </w:rPr>
              <w:t xml:space="preserve">KPI de tiempo de respuesta (OBJ-02)</w:t>
            </w:r>
          </w:p>
        </w:tc>
        <w:tc>
          <w:tcPr>
            <w:tcW w:type="pct" w:w="58%"/>
            <w:tcMar>
              <w:top w:type="dxa" w:w="80"/>
              <w:left w:type="dxa" w:w="100"/>
              <w:bottom w:type="dxa" w:w="80"/>
              <w:right w:type="dxa" w:w="100"/>
            </w:tcMar>
            <w:vAlign w:val="center"/>
          </w:tcPr>
          <w:p>
            <w:r>
              <w:rPr>
                <w:rFonts w:ascii="Calibri" w:cs="Calibri" w:eastAsia="Calibri" w:hAnsi="Calibri"/>
                <w:b w:val="false"/>
                <w:bCs w:val="false"/>
                <w:sz w:val="19"/>
                <w:szCs w:val="19"/>
              </w:rPr>
              <w:t xml:space="preserve">¿El TRI real medido desde despacho confirmado mejoró frente a la línea base, o debe escalarse a la Comandancia (RIE-ANT-01)?</w:t>
            </w:r>
          </w:p>
        </w:tc>
      </w:tr>
      <w:tr>
        <w:tc>
          <w:tcPr>
            <w:tcW w:type="pct" w:w="42%"/>
            <w:tcMar>
              <w:top w:type="dxa" w:w="80"/>
              <w:left w:type="dxa" w:w="100"/>
              <w:bottom w:type="dxa" w:w="80"/>
              <w:right w:type="dxa" w:w="100"/>
            </w:tcMar>
            <w:vAlign w:val="center"/>
          </w:tcPr>
          <w:p>
            <w:r>
              <w:rPr>
                <w:rFonts w:ascii="Calibri" w:cs="Calibri" w:eastAsia="Calibri" w:hAnsi="Calibri"/>
                <w:b w:val="false"/>
                <w:bCs w:val="false"/>
                <w:sz w:val="19"/>
                <w:szCs w:val="19"/>
              </w:rPr>
              <w:t xml:space="preserve">Brecha BR-08 (fondo de reparación a víctimas)</w:t>
            </w:r>
          </w:p>
        </w:tc>
        <w:tc>
          <w:tcPr>
            <w:tcW w:type="pct" w:w="58%"/>
            <w:tcMar>
              <w:top w:type="dxa" w:w="80"/>
              <w:left w:type="dxa" w:w="100"/>
              <w:bottom w:type="dxa" w:w="80"/>
              <w:right w:type="dxa" w:w="100"/>
            </w:tcMar>
            <w:vAlign w:val="center"/>
          </w:tcPr>
          <w:p>
            <w:r>
              <w:rPr>
                <w:rFonts w:ascii="Calibri" w:cs="Calibri" w:eastAsia="Calibri" w:hAnsi="Calibri"/>
                <w:b w:val="false"/>
                <w:bCs w:val="false"/>
                <w:sz w:val="19"/>
                <w:szCs w:val="19"/>
              </w:rPr>
              <w:t xml:space="preserve">Confirmar que se mantiene como brecha aceptada y trazada, no como omisión no documentada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BEAEA" w:val="clear"/>
            <w:tcMar>
              <w:top w:type="dxa" w:w="120"/>
              <w:left w:type="dxa" w:w="180"/>
              <w:bottom w:type="dxa" w:w="120"/>
              <w:right w:type="dxa" w:w="180"/>
            </w:tcMar>
          </w:tcPr>
          <w:p>
            <w:r>
              <w:rPr>
                <w:rFonts w:ascii="Calibri" w:cs="Calibri" w:eastAsia="Calibri" w:hAnsi="Calibri"/>
                <w:b/>
                <w:bCs/>
                <w:color w:val="6E1414"/>
                <w:sz w:val="20"/>
                <w:szCs w:val="20"/>
              </w:rPr>
              <w:t xml:space="preserve">Ejemplo CTOS-EXT-TRANSP: </w:t>
            </w:r>
            <w:r>
              <w:rPr>
                <w:rFonts w:ascii="Calibri" w:cs="Calibri" w:eastAsia="Calibri" w:hAnsi="Calibri"/>
                <w:sz w:val="20"/>
                <w:szCs w:val="20"/>
              </w:rPr>
              <w:t xml:space="preserve">Si el trámite de despacho bajó de 8 a 2 días como meta del piloto pero la medición real solo llegó a 4 días, se registra una brecha residual y se genera un Change Request hacia el responsable del PT-07 (puente crítico de despacho), sin considerar la Arquitectura de Transición como fallida en su totalidad.</w:t>
            </w:r>
          </w:p>
        </w:tc>
      </w:tr>
    </w:tbl>
    <w:p>
      <w:pPr>
        <w:pStyle w:val="Heading1"/>
        <w:pBdr>
          <w:bottom w:val="single" w:color="8B1A1A" w:sz="8" w:space="4"/>
        </w:pBdr>
        <w:spacing w:after="160" w:before="400"/>
      </w:pPr>
      <w:r>
        <w:rPr>
          <w:rFonts w:ascii="Calibri" w:cs="Calibri" w:eastAsia="Calibri" w:hAnsi="Calibri"/>
          <w:b/>
          <w:bCs/>
          <w:color w:val="6E1414"/>
          <w:sz w:val="28"/>
          <w:szCs w:val="28"/>
        </w:rPr>
        <w:t xml:space="preserve">Gestión de excepciones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80"/>
            </w:pPr>
            <w:r>
              <w:rPr>
                <w:rFonts w:ascii="Calibri" w:cs="Calibri" w:eastAsia="Calibri" w:hAnsi="Calibri"/>
                <w:b/>
                <w:bCs/>
                <w:color w:val="6E1414"/>
                <w:sz w:val="21"/>
                <w:szCs w:val="21"/>
              </w:rPr>
              <w:t xml:space="preserve">Pregunta guía</w:t>
            </w:r>
          </w:p>
          <w:p>
            <w:pPr>
              <w:spacing w:after="100"/>
            </w:pPr>
            <w:r>
              <w:rPr>
                <w:rFonts w:ascii="Calibri" w:cs="Calibri" w:eastAsia="Calibri" w:hAnsi="Calibri"/>
                <w:i/>
                <w:iCs/>
                <w:sz w:val="21"/>
                <w:szCs w:val="21"/>
              </w:rPr>
              <w:t xml:space="preserve">¿Cuándo se permite una desviación frente al Contrato de Arquitectura?</w:t>
            </w:r>
          </w:p>
          <w:p>
            <w:pPr>
              <w:spacing w:after="40"/>
            </w:pPr>
            <w:r>
              <w:rPr>
                <w:rFonts w:ascii="Calibri" w:cs="Calibri" w:eastAsia="Calibri" w:hAnsi="Calibri"/>
                <w:sz w:val="20"/>
                <w:szCs w:val="20"/>
              </w:rPr>
              <w:t xml:space="preserve">Solo con justificación formal documentada.</w:t>
            </w:r>
          </w:p>
          <w:p>
            <w:pPr>
              <w:spacing w:after="40"/>
            </w:pPr>
            <w:r>
              <w:rPr>
                <w:rFonts w:ascii="Calibri" w:cs="Calibri" w:eastAsia="Calibri" w:hAnsi="Calibri"/>
                <w:sz w:val="20"/>
                <w:szCs w:val="20"/>
              </w:rPr>
              <w:t xml:space="preserve">Debe tener responsable, vigencia definida y plan de remediación.</w:t>
            </w:r>
          </w:p>
          <w:p>
            <w:pPr>
              <w:spacing w:after="40"/>
            </w:pPr>
            <w:r>
              <w:rPr>
                <w:rFonts w:ascii="Calibri" w:cs="Calibri" w:eastAsia="Calibri" w:hAnsi="Calibri"/>
                <w:sz w:val="20"/>
                <w:szCs w:val="20"/>
              </w:rPr>
              <w:t xml:space="preserve">No puede romper principios críticos (privacidad, anonimato estructural) sin aprobación explícita del nivel correspondiente.</w:t>
            </w:r>
          </w:p>
          <w:p>
            <w:pPr>
              <w:spacing w:after="40"/>
            </w:pPr>
            <w:r>
              <w:rPr>
                <w:rFonts w:ascii="Calibri" w:cs="Calibri" w:eastAsia="Calibri" w:hAnsi="Calibri"/>
                <w:sz w:val="20"/>
                <w:szCs w:val="20"/>
              </w:rPr>
              <w:t xml:space="preserve">Se documenta siempre para fines de auditoría.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8%"/>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Excepción</w:t>
            </w:r>
          </w:p>
        </w:tc>
        <w:tc>
          <w:tcPr>
            <w:tcW w:type="pct" w:w="20%"/>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Riesgo</w:t>
            </w:r>
          </w:p>
        </w:tc>
        <w:tc>
          <w:tcPr>
            <w:tcW w:type="pct" w:w="42%"/>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Condición de aceptación</w:t>
            </w:r>
          </w:p>
        </w:tc>
      </w:tr>
      <w:tr>
        <w:tc>
          <w:tcPr>
            <w:tcW w:type="pct" w:w="38%"/>
            <w:tcMar>
              <w:top w:type="dxa" w:w="80"/>
              <w:left w:type="dxa" w:w="100"/>
              <w:bottom w:type="dxa" w:w="80"/>
              <w:right w:type="dxa" w:w="100"/>
            </w:tcMar>
            <w:vAlign w:val="center"/>
          </w:tcPr>
          <w:p>
            <w:r>
              <w:rPr>
                <w:rFonts w:ascii="Calibri" w:cs="Calibri" w:eastAsia="Calibri" w:hAnsi="Calibri"/>
                <w:b w:val="false"/>
                <w:bCs w:val="false"/>
                <w:sz w:val="19"/>
                <w:szCs w:val="19"/>
              </w:rPr>
              <w:t xml:space="preserve">Carga temporal de datos vía archivo plano mientras se completa una interfaz REST</w:t>
            </w:r>
          </w:p>
        </w:tc>
        <w:tc>
          <w:tcPr>
            <w:tcW w:type="pct" w:w="20%"/>
            <w:tcMar>
              <w:top w:type="dxa" w:w="80"/>
              <w:left w:type="dxa" w:w="100"/>
              <w:bottom w:type="dxa" w:w="80"/>
              <w:right w:type="dxa" w:w="100"/>
            </w:tcMar>
            <w:vAlign w:val="center"/>
          </w:tcPr>
          <w:p>
            <w:r>
              <w:rPr>
                <w:rFonts w:ascii="Calibri" w:cs="Calibri" w:eastAsia="Calibri" w:hAnsi="Calibri"/>
                <w:b w:val="false"/>
                <w:bCs w:val="false"/>
                <w:sz w:val="19"/>
                <w:szCs w:val="19"/>
              </w:rPr>
              <w:t xml:space="preserve">Medio</w:t>
            </w:r>
          </w:p>
        </w:tc>
        <w:tc>
          <w:tcPr>
            <w:tcW w:type="pct" w:w="42%"/>
            <w:tcMar>
              <w:top w:type="dxa" w:w="80"/>
              <w:left w:type="dxa" w:w="100"/>
              <w:bottom w:type="dxa" w:w="80"/>
              <w:right w:type="dxa" w:w="100"/>
            </w:tcMar>
            <w:vAlign w:val="center"/>
          </w:tcPr>
          <w:p>
            <w:r>
              <w:rPr>
                <w:rFonts w:ascii="Calibri" w:cs="Calibri" w:eastAsia="Calibri" w:hAnsi="Calibri"/>
                <w:b w:val="false"/>
                <w:bCs w:val="false"/>
                <w:sz w:val="19"/>
                <w:szCs w:val="19"/>
              </w:rPr>
              <w:t xml:space="preserve">Vigencia máxima de 3 meses, con fecha comprometida de reemplazo por API</w:t>
            </w:r>
          </w:p>
        </w:tc>
      </w:tr>
      <w:tr>
        <w:tc>
          <w:tcPr>
            <w:tcW w:type="pct" w:w="38%"/>
            <w:tcMar>
              <w:top w:type="dxa" w:w="80"/>
              <w:left w:type="dxa" w:w="100"/>
              <w:bottom w:type="dxa" w:w="80"/>
              <w:right w:type="dxa" w:w="100"/>
            </w:tcMar>
            <w:vAlign w:val="center"/>
          </w:tcPr>
          <w:p>
            <w:r>
              <w:rPr>
                <w:rFonts w:ascii="Calibri" w:cs="Calibri" w:eastAsia="Calibri" w:hAnsi="Calibri"/>
                <w:b w:val="false"/>
                <w:bCs w:val="false"/>
                <w:sz w:val="19"/>
                <w:szCs w:val="19"/>
              </w:rPr>
              <w:t xml:space="preserve">Piloto sin MFA habilitado en un ambiente de prueba aislado</w:t>
            </w:r>
          </w:p>
        </w:tc>
        <w:tc>
          <w:tcPr>
            <w:tcW w:type="pct" w:w="20%"/>
            <w:tcMar>
              <w:top w:type="dxa" w:w="80"/>
              <w:left w:type="dxa" w:w="100"/>
              <w:bottom w:type="dxa" w:w="80"/>
              <w:right w:type="dxa" w:w="100"/>
            </w:tcMar>
            <w:vAlign w:val="center"/>
          </w:tcPr>
          <w:p>
            <w:r>
              <w:rPr>
                <w:rFonts w:ascii="Calibri" w:cs="Calibri" w:eastAsia="Calibri" w:hAnsi="Calibri"/>
                <w:b w:val="false"/>
                <w:bCs w:val="false"/>
                <w:sz w:val="19"/>
                <w:szCs w:val="19"/>
              </w:rPr>
              <w:t xml:space="preserve">Alto</w:t>
            </w:r>
          </w:p>
        </w:tc>
        <w:tc>
          <w:tcPr>
            <w:tcW w:type="pct" w:w="42%"/>
            <w:tcMar>
              <w:top w:type="dxa" w:w="80"/>
              <w:left w:type="dxa" w:w="100"/>
              <w:bottom w:type="dxa" w:w="80"/>
              <w:right w:type="dxa" w:w="100"/>
            </w:tcMar>
            <w:vAlign w:val="center"/>
          </w:tcPr>
          <w:p>
            <w:r>
              <w:rPr>
                <w:rFonts w:ascii="Calibri" w:cs="Calibri" w:eastAsia="Calibri" w:hAnsi="Calibri"/>
                <w:b w:val="false"/>
                <w:bCs w:val="false"/>
                <w:sz w:val="19"/>
                <w:szCs w:val="19"/>
              </w:rPr>
              <w:t xml:space="preserve">Nunca autorizado en producción; no aplica en AT-1 en adelante</w:t>
            </w:r>
          </w:p>
        </w:tc>
      </w:tr>
      <w:tr>
        <w:tc>
          <w:tcPr>
            <w:tcW w:type="pct" w:w="38%"/>
            <w:tcMar>
              <w:top w:type="dxa" w:w="80"/>
              <w:left w:type="dxa" w:w="100"/>
              <w:bottom w:type="dxa" w:w="80"/>
              <w:right w:type="dxa" w:w="100"/>
            </w:tcMar>
            <w:vAlign w:val="center"/>
          </w:tcPr>
          <w:p>
            <w:r>
              <w:rPr>
                <w:rFonts w:ascii="Calibri" w:cs="Calibri" w:eastAsia="Calibri" w:hAnsi="Calibri"/>
                <w:b w:val="false"/>
                <w:bCs w:val="false"/>
                <w:sz w:val="19"/>
                <w:szCs w:val="19"/>
              </w:rPr>
              <w:t xml:space="preserve">Proveedor externo con acceso temporal a un subconjunto de datos para calibración de DBSCAN</w:t>
            </w:r>
          </w:p>
        </w:tc>
        <w:tc>
          <w:tcPr>
            <w:tcW w:type="pct" w:w="20%"/>
            <w:tcMar>
              <w:top w:type="dxa" w:w="80"/>
              <w:left w:type="dxa" w:w="100"/>
              <w:bottom w:type="dxa" w:w="80"/>
              <w:right w:type="dxa" w:w="100"/>
            </w:tcMar>
            <w:vAlign w:val="center"/>
          </w:tcPr>
          <w:p>
            <w:r>
              <w:rPr>
                <w:rFonts w:ascii="Calibri" w:cs="Calibri" w:eastAsia="Calibri" w:hAnsi="Calibri"/>
                <w:b w:val="false"/>
                <w:bCs w:val="false"/>
                <w:sz w:val="19"/>
                <w:szCs w:val="19"/>
              </w:rPr>
              <w:t xml:space="preserve">Medio</w:t>
            </w:r>
          </w:p>
        </w:tc>
        <w:tc>
          <w:tcPr>
            <w:tcW w:type="pct" w:w="42%"/>
            <w:tcMar>
              <w:top w:type="dxa" w:w="80"/>
              <w:left w:type="dxa" w:w="100"/>
              <w:bottom w:type="dxa" w:w="80"/>
              <w:right w:type="dxa" w:w="100"/>
            </w:tcMar>
            <w:vAlign w:val="center"/>
          </w:tcPr>
          <w:p>
            <w:r>
              <w:rPr>
                <w:rFonts w:ascii="Calibri" w:cs="Calibri" w:eastAsia="Calibri" w:hAnsi="Calibri"/>
                <w:b w:val="false"/>
                <w:bCs w:val="false"/>
                <w:sz w:val="19"/>
                <w:szCs w:val="19"/>
              </w:rPr>
              <w:t xml:space="preserve">Contrato de datos vigente y alcance limitado a coordenadas anonimizadas</w:t>
            </w:r>
          </w:p>
        </w:tc>
      </w:tr>
      <w:tr>
        <w:tc>
          <w:tcPr>
            <w:tcW w:type="pct" w:w="38%"/>
            <w:tcMar>
              <w:top w:type="dxa" w:w="80"/>
              <w:left w:type="dxa" w:w="100"/>
              <w:bottom w:type="dxa" w:w="80"/>
              <w:right w:type="dxa" w:w="100"/>
            </w:tcMar>
            <w:vAlign w:val="center"/>
          </w:tcPr>
          <w:p>
            <w:r>
              <w:rPr>
                <w:rFonts w:ascii="Calibri" w:cs="Calibri" w:eastAsia="Calibri" w:hAnsi="Calibri"/>
                <w:b w:val="false"/>
                <w:bCs w:val="false"/>
                <w:sz w:val="19"/>
                <w:szCs w:val="19"/>
              </w:rPr>
              <w:t xml:space="preserve">Retraso en la decisión sobre INT-07 (Observatorio del Crimen) más allá del cierre de AT-0</w:t>
            </w:r>
          </w:p>
        </w:tc>
        <w:tc>
          <w:tcPr>
            <w:tcW w:type="pct" w:w="20%"/>
            <w:tcMar>
              <w:top w:type="dxa" w:w="80"/>
              <w:left w:type="dxa" w:w="100"/>
              <w:bottom w:type="dxa" w:w="80"/>
              <w:right w:type="dxa" w:w="100"/>
            </w:tcMar>
            <w:vAlign w:val="center"/>
          </w:tcPr>
          <w:p>
            <w:r>
              <w:rPr>
                <w:rFonts w:ascii="Calibri" w:cs="Calibri" w:eastAsia="Calibri" w:hAnsi="Calibri"/>
                <w:b w:val="false"/>
                <w:bCs w:val="false"/>
                <w:sz w:val="19"/>
                <w:szCs w:val="19"/>
              </w:rPr>
              <w:t xml:space="preserve">Alto</w:t>
            </w:r>
          </w:p>
        </w:tc>
        <w:tc>
          <w:tcPr>
            <w:tcW w:type="pct" w:w="42%"/>
            <w:tcMar>
              <w:top w:type="dxa" w:w="80"/>
              <w:left w:type="dxa" w:w="100"/>
              <w:bottom w:type="dxa" w:w="80"/>
              <w:right w:type="dxa" w:w="100"/>
            </w:tcMar>
            <w:vAlign w:val="center"/>
          </w:tcPr>
          <w:p>
            <w:r>
              <w:rPr>
                <w:rFonts w:ascii="Calibri" w:cs="Calibri" w:eastAsia="Calibri" w:hAnsi="Calibri"/>
                <w:b w:val="false"/>
                <w:bCs w:val="false"/>
                <w:sz w:val="19"/>
                <w:szCs w:val="19"/>
              </w:rPr>
              <w:t xml:space="preserve">No es una excepción aceptable: bloquea el tránsito, según la regla de Fase E (Paso 10)</w:t>
            </w:r>
          </w:p>
        </w:tc>
      </w:tr>
    </w:tbl>
    <w:p>
      <w:pPr>
        <w:pStyle w:val="Heading1"/>
        <w:pBdr>
          <w:bottom w:val="single" w:color="8B1A1A" w:sz="8" w:space="4"/>
        </w:pBdr>
        <w:spacing w:after="160" w:before="400"/>
      </w:pPr>
      <w:r>
        <w:rPr>
          <w:rFonts w:ascii="Calibri" w:cs="Calibri" w:eastAsia="Calibri" w:hAnsi="Calibri"/>
          <w:b/>
          <w:bCs/>
          <w:color w:val="6E1414"/>
          <w:sz w:val="28"/>
          <w:szCs w:val="28"/>
        </w:rPr>
        <w:t xml:space="preserve">Change Requests desde la implementación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80"/>
            </w:pPr>
            <w:r>
              <w:rPr>
                <w:rFonts w:ascii="Calibri" w:cs="Calibri" w:eastAsia="Calibri" w:hAnsi="Calibri"/>
                <w:b/>
                <w:bCs/>
                <w:color w:val="6E1414"/>
                <w:sz w:val="21"/>
                <w:szCs w:val="21"/>
              </w:rPr>
              <w:t xml:space="preserve">Pregunta guía</w:t>
            </w:r>
          </w:p>
          <w:p>
            <w:pPr>
              <w:spacing w:after="100"/>
            </w:pPr>
            <w:r>
              <w:rPr>
                <w:rFonts w:ascii="Calibri" w:cs="Calibri" w:eastAsia="Calibri" w:hAnsi="Calibri"/>
                <w:i/>
                <w:iCs/>
                <w:sz w:val="21"/>
                <w:szCs w:val="21"/>
              </w:rPr>
              <w:t xml:space="preserve">¿Qué ocurre si aparece una necesidad nueva durante el despliegue?</w:t>
            </w:r>
          </w:p>
          <w:p>
            <w:pPr>
              <w:spacing w:after="40"/>
            </w:pPr>
            <w:r>
              <w:rPr>
                <w:rFonts w:ascii="Calibri" w:cs="Calibri" w:eastAsia="Calibri" w:hAnsi="Calibri"/>
                <w:sz w:val="20"/>
                <w:szCs w:val="20"/>
              </w:rPr>
              <w:t xml:space="preserve">Analizar el impacto en la arquitectura y en la Hoja de Ruta.</w:t>
            </w:r>
          </w:p>
          <w:p>
            <w:pPr>
              <w:spacing w:after="40"/>
            </w:pPr>
            <w:r>
              <w:rPr>
                <w:rFonts w:ascii="Calibri" w:cs="Calibri" w:eastAsia="Calibri" w:hAnsi="Calibri"/>
                <w:sz w:val="20"/>
                <w:szCs w:val="20"/>
              </w:rPr>
              <w:t xml:space="preserve">Determinar si es un cambio menor, una excepción, o si amerita una nueva iteración del ADM.</w:t>
            </w:r>
          </w:p>
          <w:p>
            <w:pPr>
              <w:spacing w:after="40"/>
            </w:pPr>
            <w:r>
              <w:rPr>
                <w:rFonts w:ascii="Calibri" w:cs="Calibri" w:eastAsia="Calibri" w:hAnsi="Calibri"/>
                <w:sz w:val="20"/>
                <w:szCs w:val="20"/>
              </w:rPr>
              <w:t xml:space="preserve">Registrar un Requirements Impact Statement.</w:t>
            </w:r>
          </w:p>
          <w:p>
            <w:pPr>
              <w:spacing w:after="40"/>
            </w:pPr>
            <w:r>
              <w:rPr>
                <w:rFonts w:ascii="Calibri" w:cs="Calibri" w:eastAsia="Calibri" w:hAnsi="Calibri"/>
                <w:sz w:val="20"/>
                <w:szCs w:val="20"/>
              </w:rPr>
              <w:t xml:space="preserve">Coordinar con la gestión de requisitos y con la Fase H (Gestión del Cambio).</w:t>
            </w:r>
          </w:p>
        </w:tc>
      </w:tr>
    </w:tbl>
    <w:p>
      <w:pPr>
        <w:spacing w:after="160"/>
      </w:pPr>
      <w:r>
        <w:rPr>
          <w:rFonts w:ascii="Calibri" w:cs="Calibri" w:eastAsia="Calibri" w:hAnsi="Calibri"/>
          <w:b w:val="false"/>
          <w:bCs w:val="false"/>
          <w:i/>
          <w:iCs/>
          <w:sz w:val="21"/>
          <w:szCs w:val="21"/>
        </w:rPr>
        <w:t xml:space="preserve">Ejemplo aplicado: si durante el piloto la Comandancia exige un nuevo reporte ejecutivo con desagregación por tipo de unidad de transporte, el hallazgo se registra como solicitud, se evalúa su impacto sobre el modelo de datos (MÓDULO E) y sobre PN-11 (Reporte ejecutivo), y se decide si se resuelve como cambio menor dentro de la misma Arquitectura de Transición o si se traslada como paquete de trabajo a la siguiente.</w:t>
      </w:r>
    </w:p>
    <w:p>
      <w:pPr>
        <w:pStyle w:val="Heading1"/>
        <w:pBdr>
          <w:bottom w:val="single" w:color="8B1A1A" w:sz="8" w:space="4"/>
        </w:pBdr>
        <w:spacing w:after="160" w:before="400"/>
      </w:pPr>
      <w:r>
        <w:rPr>
          <w:rFonts w:ascii="Calibri" w:cs="Calibri" w:eastAsia="Calibri" w:hAnsi="Calibri"/>
          <w:b/>
          <w:bCs/>
          <w:color w:val="6E1414"/>
          <w:sz w:val="28"/>
          <w:szCs w:val="28"/>
        </w:rPr>
        <w:t xml:space="preserve">Salida de la Fase 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80"/>
            </w:pPr>
            <w:r>
              <w:rPr>
                <w:rFonts w:ascii="Calibri" w:cs="Calibri" w:eastAsia="Calibri" w:hAnsi="Calibri"/>
                <w:b/>
                <w:bCs/>
                <w:color w:val="6E1414"/>
                <w:sz w:val="21"/>
                <w:szCs w:val="21"/>
              </w:rPr>
              <w:t xml:space="preserve">Pregunta guía</w:t>
            </w:r>
          </w:p>
          <w:p>
            <w:pPr>
              <w:spacing w:after="100"/>
            </w:pPr>
            <w:r>
              <w:rPr>
                <w:rFonts w:ascii="Calibri" w:cs="Calibri" w:eastAsia="Calibri" w:hAnsi="Calibri"/>
                <w:i/>
                <w:iCs/>
                <w:sz w:val="21"/>
                <w:szCs w:val="21"/>
              </w:rPr>
              <w:t xml:space="preserve">¿Qué queda disponible al cerrar el gobierno de una Arquitectura de Transición?</w:t>
            </w:r>
          </w:p>
          <w:p>
            <w:pPr>
              <w:spacing w:after="40"/>
            </w:pPr>
            <w:r>
              <w:rPr>
                <w:rFonts w:ascii="Calibri" w:cs="Calibri" w:eastAsia="Calibri" w:hAnsi="Calibri"/>
                <w:sz w:val="20"/>
                <w:szCs w:val="20"/>
              </w:rPr>
              <w:t xml:space="preserve">Solución implementada, conforme o con excepciones formalmente aceptadas.</w:t>
            </w:r>
          </w:p>
          <w:p>
            <w:pPr>
              <w:spacing w:after="40"/>
            </w:pPr>
            <w:r>
              <w:rPr>
                <w:rFonts w:ascii="Calibri" w:cs="Calibri" w:eastAsia="Calibri" w:hAnsi="Calibri"/>
                <w:sz w:val="20"/>
                <w:szCs w:val="20"/>
              </w:rPr>
              <w:t xml:space="preserve">Compliance assessments (revisiones de conformidad) y lecciones aprendidas registradas.</w:t>
            </w:r>
          </w:p>
          <w:p>
            <w:pPr>
              <w:spacing w:after="40"/>
            </w:pPr>
            <w:r>
              <w:rPr>
                <w:rFonts w:ascii="Calibri" w:cs="Calibri" w:eastAsia="Calibri" w:hAnsi="Calibri"/>
                <w:sz w:val="20"/>
                <w:szCs w:val="20"/>
              </w:rPr>
              <w:t xml:space="preserve">Requisitos y solicitudes de cambio actualizados en el repositorio.</w:t>
            </w:r>
          </w:p>
          <w:p>
            <w:pPr>
              <w:spacing w:after="40"/>
            </w:pPr>
            <w:r>
              <w:rPr>
                <w:rFonts w:ascii="Calibri" w:cs="Calibri" w:eastAsia="Calibri" w:hAnsi="Calibri"/>
                <w:sz w:val="20"/>
                <w:szCs w:val="20"/>
              </w:rPr>
              <w:t xml:space="preserve">Base documentada para el monitoreo permanente en Fase H (Gestión del Cambio).</w:t>
            </w:r>
          </w:p>
        </w:tc>
      </w:tr>
    </w:tbl>
    <w:p>
      <w:pPr>
        <w:spacing w:after="160"/>
      </w:pPr>
      <w:r>
        <w:rPr>
          <w:rFonts w:ascii="Calibri" w:cs="Calibri" w:eastAsia="Calibri" w:hAnsi="Calibri"/>
          <w:b w:val="false"/>
          <w:bCs w:val="false"/>
          <w:i/>
          <w:iCs/>
          <w:sz w:val="21"/>
          <w:szCs w:val="21"/>
        </w:rPr>
        <w:t xml:space="preserve">La Fase G no cierra con la entrega de un sistema en producción, sino con la entrega de una capacidad operativa gobernada: un piloto o una expansión regional que puede sostenerse, auditarse y evolucionar sin perder la trazabilidad frente a la Arquitectura Objetivo aprobada en las Fases B, C y D.</w:t>
      </w:r>
    </w:p>
    <w:p>
      <w:pPr>
        <w:pStyle w:val="Heading1"/>
        <w:pBdr>
          <w:bottom w:val="single" w:color="8B1A1A" w:sz="8" w:space="4"/>
        </w:pBdr>
        <w:spacing w:after="160" w:before="400"/>
      </w:pPr>
      <w:r>
        <w:rPr>
          <w:rFonts w:ascii="Calibri" w:cs="Calibri" w:eastAsia="Calibri" w:hAnsi="Calibri"/>
          <w:b/>
          <w:bCs/>
          <w:color w:val="6E1414"/>
          <w:sz w:val="28"/>
          <w:szCs w:val="28"/>
        </w:rPr>
        <w:t xml:space="preserve">Advertencia de alcance</w:t>
      </w:r>
    </w:p>
    <w:p>
      <w:pPr>
        <w:spacing w:after="160"/>
      </w:pPr>
      <w:r>
        <w:rPr>
          <w:rFonts w:ascii="Calibri" w:cs="Calibri" w:eastAsia="Calibri" w:hAnsi="Calibri"/>
          <w:b w:val="false"/>
          <w:bCs w:val="false"/>
          <w:i w:val="false"/>
          <w:iCs w:val="false"/>
          <w:sz w:val="21"/>
          <w:szCs w:val="21"/>
        </w:rPr>
        <w:t xml:space="preserve">Este documento desarrolla la Fase G (Implementation Governance) con base en el Módulo G (Actores y Roles), el Módulo I (Reglas de Negocio) y el Módulo M (Gestión de Riesgos) del Prompt Maestro v5.0, y en la Hoja de Ruta y las Arquitecturas de Transición ya definidas en la Fase E. Para el cierre formal se recomienda: (1) mantener actualizado el registro de riesgos del proyecto (Módulo M y RIE-ANT-01/02) antes de considerar cerrada cualquier revisión de conformidad, y (2) realizar una revisión cruzada humana final del Contrato de Arquitectura antes de su firma, dado que compromete a proveedores y equipos internos.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2026-07-03T22:53:47.879Z</dcterms:created>
  <dcterms:modified xsi:type="dcterms:W3CDTF">2026-07-03T22:53:47.893Z</dcterms:modified>
</cp:coreProperties>
</file>

<file path=docProps/custom.xml><?xml version="1.0" encoding="utf-8"?>
<Properties xmlns="http://schemas.openxmlformats.org/officeDocument/2006/custom-properties" xmlns:vt="http://schemas.openxmlformats.org/officeDocument/2006/docPropsVTypes"/>
</file>