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8B1A1A"/>
          <w:sz w:val="32"/>
          <w:szCs w:val="32"/>
        </w:rPr>
        <w:t xml:space="preserve">Solution Building Blocks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Bloques de Construcción de la Solución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Sistema de Inteligencia Táctica contra Extorsión al Sector Transporte — CTOS-EXT-TRANSP v5.0 | TOGAF ADM 9.2 — Fase 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Nombre del Proyecto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CTOS-EXT-TRANSP v5.0 — Módulo táctico CTOS / Programa SIDPE</w:t>
            </w:r>
          </w:p>
        </w:tc>
      </w:tr>
      <w:tr>
        <w:tc>
          <w:tcPr>
            <w:tcW w:type="pct" w:w="32%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Preparado por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Equipo de Arquitectura — Persona 7 (Fase G / Fase H / Integración y revisión de consistencia)</w:t>
            </w:r>
          </w:p>
        </w:tc>
      </w:tr>
      <w:tr>
        <w:tc>
          <w:tcPr>
            <w:tcW w:type="pct" w:w="32%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Solution Building Blocks</w:t>
            </w:r>
          </w:p>
        </w:tc>
      </w:tr>
      <w:tr>
        <w:tc>
          <w:tcPr>
            <w:tcW w:type="pct" w:w="32%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N.° de versión del documento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2%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Fecha de versión del documento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03 de julio de 2026</w:t>
            </w:r>
          </w:p>
        </w:tc>
      </w:tr>
      <w:tr>
        <w:tc>
          <w:tcPr>
            <w:tcW w:type="pct" w:w="32%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Revisado por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Responsable de integración y revisión final de consistencia (Módulo Z-RESUMEN)</w:t>
            </w:r>
          </w:p>
        </w:tc>
      </w:tr>
      <w:tr>
        <w:tc>
          <w:tcPr>
            <w:tcW w:type="pct" w:w="32%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Fecha de revisión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Pendiente — a completar al cierre de la revisión de conformidad del piloto</w:t>
            </w:r>
          </w:p>
        </w:tc>
      </w:tr>
      <w:tr>
        <w:tc>
          <w:tcPr>
            <w:tcW w:type="pct" w:w="32%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Clasificación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RESERVADO — Uso interno PNP</w:t>
            </w:r>
          </w:p>
        </w:tc>
      </w:tr>
    </w:tbl>
    <w:p>
      <w:pPr>
        <w:pStyle w:val="Heading1"/>
        <w:pBdr>
          <w:bottom w:val="single" w:color="8B1A1A" w:sz="8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6E1414"/>
          <w:sz w:val="28"/>
          <w:szCs w:val="28"/>
        </w:rPr>
        <w:t xml:space="preserve">1. Propósito del documento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Los Solution Building Blocks (SBB) se relacionan con el Continuo de Soluciones y pueden ser adquiridos o desarrollados. Definen qué productos y componentes implementan la funcionalidad, definen la implementación concreta, cumplen los requisitos de negocio, y son conscientes del producto o proveedor específico utilizado.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Este documento describe los SBB de CTOS-EXT-TRANSP que materializan los Architecture Building Blocks (ABB) definidos en las Fases C (Datos y Aplicaciones) y D (Tecnología), y que son objeto de gobierno en la Fase G a través del Contrato de Arquitectura.</w:t>
      </w:r>
    </w:p>
    <w:p>
      <w:pPr>
        <w:pStyle w:val="Heading1"/>
        <w:pBdr>
          <w:bottom w:val="single" w:color="8B1A1A" w:sz="8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6E1414"/>
          <w:sz w:val="28"/>
          <w:szCs w:val="28"/>
        </w:rPr>
        <w:t xml:space="preserve">2. Bloques de Construcción (Building Blocks)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8B1A1A"/>
          <w:sz w:val="24"/>
          <w:szCs w:val="24"/>
        </w:rPr>
        <w:t xml:space="preserve">2.1 Funcionalidad específica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6E14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SBB</w:t>
            </w:r>
          </w:p>
        </w:tc>
        <w:tc>
          <w:tcPr>
            <w:tcW w:type="pct" w:w="30%"/>
            <w:shd w:fill="6E14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Producto / tecnología</w:t>
            </w:r>
          </w:p>
        </w:tc>
        <w:tc>
          <w:tcPr>
            <w:tcW w:type="pct" w:w="54%"/>
            <w:shd w:fill="6E14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Funcionalidad específica</w:t>
            </w:r>
          </w:p>
        </w:tc>
      </w:tr>
      <w:tr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ms-ingestor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FastAPI / Python 3.11.x</w:t>
            </w:r>
          </w:p>
        </w:tc>
        <w:tc>
          <w:tcPr>
            <w:tcW w:type="pct" w:w="5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Recepción multicanal (App, Portal, WhatsApp); no escribe en BD ni en MinIO (PN-01)</w:t>
            </w:r>
          </w:p>
        </w:tc>
      </w:tr>
      <w:tr>
        <w:tc>
          <w:tcPr>
            <w:tcW w:type="pct" w:w="16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ms-sanitizer</w:t>
            </w:r>
          </w:p>
        </w:tc>
        <w:tc>
          <w:tcPr>
            <w:tcW w:type="pct" w:w="3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FastAPI / Python 3.11.x</w:t>
            </w:r>
          </w:p>
        </w:tc>
        <w:tc>
          <w:tcPr>
            <w:tcW w:type="pct" w:w="54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Único microservicio con permiso de escritura en MinIO; elimina metadatos EXIF antes de almacenar (PN-02)</w:t>
            </w:r>
          </w:p>
        </w:tc>
      </w:tr>
      <w:tr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ms-scorer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FastAPI / Python 3.11.x + scikit-learn 1.4.x</w:t>
            </w:r>
          </w:p>
        </w:tc>
        <w:tc>
          <w:tcPr>
            <w:tcW w:type="pct" w:w="5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Calcula el Scoring de Confianza (MÓDULO F); aplica bonos, penalizaciones y trunca a 45 en modo MRM</w:t>
            </w:r>
          </w:p>
        </w:tc>
      </w:tr>
      <w:tr>
        <w:tc>
          <w:tcPr>
            <w:tcW w:type="pct" w:w="16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ms-geoanalytics</w:t>
            </w:r>
          </w:p>
        </w:tc>
        <w:tc>
          <w:tcPr>
            <w:tcW w:type="pct" w:w="3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Python 3.11.x + scikit-learn (DBSCAN) + NetworkX + ORS</w:t>
            </w:r>
          </w:p>
        </w:tc>
        <w:tc>
          <w:tcPr>
            <w:tcW w:type="pct" w:w="54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Correlación geoespacial adaptativa (zona radial, corredor lineal, zona mixta) y detección de Clúster de Extorsión Transporte</w:t>
            </w:r>
          </w:p>
        </w:tc>
      </w:tr>
      <w:tr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ms-alerter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FastAPI / Python 3.11.x</w:t>
            </w:r>
          </w:p>
        </w:tc>
        <w:tc>
          <w:tcPr>
            <w:tcW w:type="pct" w:w="5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Genera la Alerta de Patrullaje (Mecanismo 1, 2 o MANUAL) según umbrales de score y estado de Clúster</w:t>
            </w:r>
          </w:p>
        </w:tc>
      </w:tr>
      <w:tr>
        <w:tc>
          <w:tcPr>
            <w:tcW w:type="pct" w:w="16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ms-comms-bridge</w:t>
            </w:r>
          </w:p>
        </w:tc>
        <w:tc>
          <w:tcPr>
            <w:tcW w:type="pct" w:w="3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HTTPS REST (SMTP solo secundario)</w:t>
            </w:r>
          </w:p>
        </w:tc>
        <w:tc>
          <w:tcPr>
            <w:tcW w:type="pct" w:w="54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Puente crítico con el sistema de comunicaciones PNP; confirma despacho y habilita el cálculo del TRI (INT-04)</w:t>
            </w:r>
          </w:p>
        </w:tc>
      </w:tr>
      <w:tr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ms-nlp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spaCy 3.7.x</w:t>
            </w:r>
          </w:p>
        </w:tc>
        <w:tc>
          <w:tcPr>
            <w:tcW w:type="pct" w:w="5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Procesamiento de lenguaje natural sobre la descripción del Reporte, sin OCR ni biometría</w:t>
            </w:r>
          </w:p>
        </w:tc>
      </w:tr>
      <w:tr>
        <w:tc>
          <w:tcPr>
            <w:tcW w:type="pct" w:w="16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ms-routeoptimizer</w:t>
            </w:r>
          </w:p>
        </w:tc>
        <w:tc>
          <w:tcPr>
            <w:tcW w:type="pct" w:w="3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OpenRouteService self-hosted</w:t>
            </w:r>
          </w:p>
        </w:tc>
        <w:tc>
          <w:tcPr>
            <w:tcW w:type="pct" w:w="54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Cálculo de trayectos y distancias sobre el grafo vial, sin salida a internet (INT-01)</w:t>
            </w:r>
          </w:p>
        </w:tc>
      </w:tr>
      <w:tr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ms-media-server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MinIO</w:t>
            </w:r>
          </w:p>
        </w:tc>
        <w:tc>
          <w:tcPr>
            <w:tcW w:type="pct" w:w="5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Almacenamiento de objetos para evidencia fotográfica sanitizada</w:t>
            </w:r>
          </w:p>
        </w:tc>
      </w:tr>
      <w:tr>
        <w:tc>
          <w:tcPr>
            <w:tcW w:type="pct" w:w="16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App Ciudadana</w:t>
            </w:r>
          </w:p>
        </w:tc>
        <w:tc>
          <w:tcPr>
            <w:tcW w:type="pct" w:w="3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React Native 0.73.x</w:t>
            </w:r>
          </w:p>
        </w:tc>
        <w:tc>
          <w:tcPr>
            <w:tcW w:type="pct" w:w="54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Reporte Completo y MRM; sin login, sin IMEI, sin GPS EXIF, token de sesión anónima UUID v4</w:t>
            </w:r>
          </w:p>
        </w:tc>
      </w:tr>
      <w:tr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Dashboard Táctico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Aplicación web interna</w:t>
            </w:r>
          </w:p>
        </w:tc>
        <w:tc>
          <w:tcPr>
            <w:tcW w:type="pct" w:w="5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Interfaz de mando del Analista de Inteligencia y del Comandante</w:t>
            </w:r>
          </w:p>
        </w:tc>
      </w:tr>
      <w:tr>
        <w:tc>
          <w:tcPr>
            <w:tcW w:type="pct" w:w="16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Portal Web</w:t>
            </w:r>
          </w:p>
        </w:tc>
        <w:tc>
          <w:tcPr>
            <w:tcW w:type="pct" w:w="3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Sitio estático S3+CloudFront</w:t>
            </w:r>
          </w:p>
        </w:tc>
        <w:tc>
          <w:tcPr>
            <w:tcW w:type="pct" w:w="54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Canal alternativo de reporte, sin dato sensible almacenado en AWS</w:t>
            </w:r>
          </w:p>
        </w:tc>
      </w:tr>
      <w:tr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Chatbot WhatsApp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WhatsApp Business API vía Lambda (sin CloudWatch Logs)</w:t>
            </w:r>
          </w:p>
        </w:tc>
        <w:tc>
          <w:tcPr>
            <w:tcW w:type="pct" w:w="5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Canal de reporte por mensajería instantánea; número eliminado antes del reenvío al backend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8B1A1A"/>
          <w:sz w:val="24"/>
          <w:szCs w:val="24"/>
        </w:rPr>
        <w:t xml:space="preserve">2.2 Atributos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Atributos compartidos por todo el entorno de SBBs (no confundir con la funcionalidad específica de cada uno):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6%"/>
            <w:shd w:fill="6E14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pct" w:w="74%"/>
            <w:shd w:fill="6E14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Especificación aplicable a todos los SBB de CTOS-EXT-TRANSP</w:t>
            </w:r>
          </w:p>
        </w:tc>
      </w:tr>
      <w:tr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Seguridad</w:t>
            </w:r>
          </w:p>
        </w:tc>
        <w:tc>
          <w:tcPr>
            <w:tcW w:type="pct" w:w="7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TLS 1.3 en tránsito, AES-256 en reposo, MFA obligatorio para roles internos, minimización de datos por diseño</w:t>
            </w:r>
          </w:p>
        </w:tc>
      </w:tr>
      <w:tr>
        <w:tc>
          <w:tcPr>
            <w:tcW w:type="pct" w:w="26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Gestionabilidad (manageability)</w:t>
            </w:r>
          </w:p>
        </w:tc>
        <w:tc>
          <w:tcPr>
            <w:tcW w:type="pct" w:w="74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Despliegue en Kubernetes 1.29.x; observabilidad mediante métricas de RTO/RPO por componente</w:t>
            </w:r>
          </w:p>
        </w:tc>
      </w:tr>
      <w:tr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Localización (localizability)</w:t>
            </w:r>
          </w:p>
        </w:tc>
        <w:tc>
          <w:tcPr>
            <w:tcW w:type="pct" w:w="7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Lenguaje ciudadano en App Ciudadana y materiales de difusión ('cupo', 'parada', 'conductor'); terminología oficial en artefactos internos</w:t>
            </w:r>
          </w:p>
        </w:tc>
      </w:tr>
      <w:tr>
        <w:tc>
          <w:tcPr>
            <w:tcW w:type="pct" w:w="26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Escalabilidad</w:t>
            </w:r>
          </w:p>
        </w:tc>
        <w:tc>
          <w:tcPr>
            <w:tcW w:type="pct" w:w="74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Arquitectura de microservicios desacoplada vía Kafka; escalamiento horizontal previsto entre AT-1 (3 distritos) y AT-2 (43 distritos)</w:t>
            </w:r>
          </w:p>
        </w:tc>
      </w:tr>
      <w:tr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Anonimato estructural</w:t>
            </w:r>
          </w:p>
        </w:tc>
        <w:tc>
          <w:tcPr>
            <w:tcW w:type="pct" w:w="7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Ningún SBB de recepción o almacenamiento correlaciona el Reporte con la identidad del Informante (C.3.2)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8B1A1A"/>
          <w:sz w:val="24"/>
          <w:szCs w:val="24"/>
        </w:rPr>
        <w:t xml:space="preserve">2.3 Rendimiento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fill="6E14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SBB / grupo de SBB</w:t>
            </w:r>
          </w:p>
        </w:tc>
        <w:tc>
          <w:tcPr>
            <w:tcW w:type="pct" w:w="60%"/>
            <w:shd w:fill="6E14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Objetivo de rendimiento</w:t>
            </w:r>
          </w:p>
        </w:tc>
      </w:tr>
      <w:tr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Flujo sin multimedia (ms-ingestor → ms-scorer → ms-alerter)</w:t>
            </w:r>
          </w:p>
        </w:tc>
        <w:tc>
          <w:tcPr>
            <w:tcW w:type="pct" w:w="6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RTO &lt; 1 minuto</w:t>
            </w:r>
          </w:p>
        </w:tc>
      </w:tr>
      <w:tr>
        <w:tc>
          <w:tcPr>
            <w:tcW w:type="pct" w:w="4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Flujo con multimedia (ms-sanitizer, ms-scorer, PostgreSQL)</w:t>
            </w:r>
          </w:p>
        </w:tc>
        <w:tc>
          <w:tcPr>
            <w:tcW w:type="pct" w:w="6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RTO ≤ 4 horas; RPO ≤ 1 hora</w:t>
            </w:r>
          </w:p>
        </w:tc>
      </w:tr>
      <w:tr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ms-geoanalytics (DBSCAN)</w:t>
            </w:r>
          </w:p>
        </w:tc>
        <w:tc>
          <w:tcPr>
            <w:tcW w:type="pct" w:w="6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Ejecución de correlación geoespacial cada 30 minutos como tarea periódica, además de la ejecución por evento Kafka</w:t>
            </w:r>
          </w:p>
        </w:tc>
      </w:tr>
      <w:tr>
        <w:tc>
          <w:tcPr>
            <w:tcW w:type="pct" w:w="4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Disponibilidad del conjunto de SBB en producción</w:t>
            </w:r>
          </w:p>
        </w:tc>
        <w:tc>
          <w:tcPr>
            <w:tcW w:type="pct" w:w="6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99.5%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8B1A1A"/>
          <w:sz w:val="24"/>
          <w:szCs w:val="24"/>
        </w:rPr>
        <w:t xml:space="preserve">2.4 Configurabilidad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shd w:fill="6E14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SBB</w:t>
            </w:r>
          </w:p>
        </w:tc>
        <w:tc>
          <w:tcPr>
            <w:tcW w:type="pct" w:w="78%"/>
            <w:shd w:fill="6E14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Parámetros configurables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ms-geoanalytics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Radio épsilon por tipo de zona (0.5km radial, 0.3km corredor lineal, 0.4km mixta), ventana temporal de 72h para definición de Clúster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ms-scorer</w:t>
            </w:r>
          </w:p>
        </w:tc>
        <w:tc>
          <w:tcPr>
            <w:tcW w:type="pct" w:w="7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Techos de bono/penalización por componente de score (MÓDULO F.2); truncamiento a 45 en modo MRM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ms-alerter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Umbrales de score por estado (30/60/80) y condición BLQRUTA/AGRCOND (RN-I-08)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App Ciudadana / Portal</w:t>
            </w:r>
          </w:p>
        </w:tc>
        <w:tc>
          <w:tcPr>
            <w:tcW w:type="pct" w:w="7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Alternancia entre modo Reporte Completo (≥10 campos) y MRM (3 campos + foto opcional)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8B1A1A"/>
          <w:sz w:val="24"/>
          <w:szCs w:val="24"/>
        </w:rPr>
        <w:t xml:space="preserve">2.5 Impulsores y restricciones de diseño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4%"/>
            <w:shd w:fill="6E14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Impulsor / restricción</w:t>
            </w:r>
          </w:p>
        </w:tc>
        <w:tc>
          <w:tcPr>
            <w:tcW w:type="pct" w:w="66%"/>
            <w:shd w:fill="6E14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Efecto sobre los SBB</w:t>
            </w:r>
          </w:p>
        </w:tc>
      </w:tr>
      <w:tr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Ley N.° 32490 y su reglamento (DS 009-2026-PCM)</w:t>
            </w:r>
          </w:p>
        </w:tc>
        <w:tc>
          <w:tcPr>
            <w:tcW w:type="pct" w:w="6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Impulsa la eventual incorporación de ms-alerter con el sistema C5i y el Observatorio del Crimen (INT-07), aún pendiente de decisión</w:t>
            </w:r>
          </w:p>
        </w:tc>
      </w:tr>
      <w:tr>
        <w:tc>
          <w:tcPr>
            <w:tcW w:type="pct" w:w="34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Ley N.° 29733 (Datos Personales) y C.3 (privacidad by design)</w:t>
            </w:r>
          </w:p>
        </w:tc>
        <w:tc>
          <w:tcPr>
            <w:tcW w:type="pct" w:w="66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Restringe todo SBB de recepción a minimización de campos y ausencia de metadatos identificatorios</w:t>
            </w:r>
          </w:p>
        </w:tc>
      </w:tr>
      <w:tr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Arquitectura híbrida obligatoria (Módulo J.1)</w:t>
            </w:r>
          </w:p>
        </w:tc>
        <w:tc>
          <w:tcPr>
            <w:tcW w:type="pct" w:w="6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Restringe qué SBB pueden desplegarse en AWS (solo Portal Web, chatbot WhatsApp, Amazon Location Service) frente a los que deben permanecer on-premise</w:t>
            </w:r>
          </w:p>
        </w:tc>
      </w:tr>
      <w:tr>
        <w:tc>
          <w:tcPr>
            <w:tcW w:type="pct" w:w="34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Prohibición de biometría/OCR (C.3.6)</w:t>
            </w:r>
          </w:p>
        </w:tc>
        <w:tc>
          <w:tcPr>
            <w:tcW w:type="pct" w:w="66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Restringe el diseño de ms-nlp y del pipeline de evidencia fotográfica; descarta el uso de Rekognition/Textract</w:t>
            </w:r>
          </w:p>
        </w:tc>
      </w:tr>
      <w:tr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Restricción presupuestaria y de capacidad del equipo (Fase E, 7.1)</w:t>
            </w:r>
          </w:p>
        </w:tc>
        <w:tc>
          <w:tcPr>
            <w:tcW w:type="pct" w:w="6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Prioriza los SBB del puente crítico de despacho (ms-comms-bridge) sobre mejoras opcionales durante AT-1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8B1A1A" w:sz="8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6E1414"/>
          <w:sz w:val="28"/>
          <w:szCs w:val="28"/>
        </w:rPr>
        <w:t xml:space="preserve">3. Interfaces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8B1A1A"/>
          <w:sz w:val="24"/>
          <w:szCs w:val="24"/>
        </w:rPr>
        <w:t xml:space="preserve">3.1 Resumen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Los SBB de CTOS-EXT-TRANSP se comunican mediante un conjunto acotado de interfaces: eventos Kafka entre microservicios del Motor de Correlación, HTTPS REST hacia sistemas externos autorizados, y SAML 2.0 / OAuth 2.0 con PKCE para autenticación interna. No existen interfaces hacia sistemas no listados en el Módulo K (Integraciones Autorizadas) del Prompt Maestro v5.0.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8B1A1A"/>
          <w:sz w:val="24"/>
          <w:szCs w:val="24"/>
        </w:rPr>
        <w:t xml:space="preserve">3.2 Interoperabilidad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fill="6E14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Interfaz</w:t>
            </w:r>
          </w:p>
        </w:tc>
        <w:tc>
          <w:tcPr>
            <w:tcW w:type="pct" w:w="40%"/>
            <w:shd w:fill="6E14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SBB relacionados</w:t>
            </w:r>
          </w:p>
        </w:tc>
        <w:tc>
          <w:tcPr>
            <w:tcW w:type="pct" w:w="32%"/>
            <w:shd w:fill="6E14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Protocolo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Evento reporte-raw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ms-ingestor → ms-scorer</w:t>
            </w:r>
          </w:p>
        </w:tc>
        <w:tc>
          <w:tcPr>
            <w:tcW w:type="pct" w:w="3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Kafka 3.6.x</w:t>
            </w:r>
          </w:p>
        </w:tc>
      </w:tr>
      <w:tr>
        <w:tc>
          <w:tcPr>
            <w:tcW w:type="pct" w:w="2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Evento de correlación geoespacial</w:t>
            </w:r>
          </w:p>
        </w:tc>
        <w:tc>
          <w:tcPr>
            <w:tcW w:type="pct" w:w="4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ms-scorer → ms-geoanalytics</w:t>
            </w:r>
          </w:p>
        </w:tc>
        <w:tc>
          <w:tcPr>
            <w:tcW w:type="pct" w:w="3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Kafka 3.6.x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Confirmación de despacho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ms-alerter → ms-comms-bridge → Sistema de Comunicaciones PNP</w:t>
            </w:r>
          </w:p>
        </w:tc>
        <w:tc>
          <w:tcPr>
            <w:tcW w:type="pct" w:w="3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HTTPS REST (SMTP secundario)</w:t>
            </w:r>
          </w:p>
        </w:tc>
      </w:tr>
      <w:tr>
        <w:tc>
          <w:tcPr>
            <w:tcW w:type="pct" w:w="2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Autenticación de Analistas/Administradores</w:t>
            </w:r>
          </w:p>
        </w:tc>
        <w:tc>
          <w:tcPr>
            <w:tcW w:type="pct" w:w="4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Dashboard Táctico → Active Directory PNP</w:t>
            </w:r>
          </w:p>
        </w:tc>
        <w:tc>
          <w:tcPr>
            <w:tcW w:type="pct" w:w="3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SAML 2.0 / OAuth 2.0 + PKCE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Cálculo de trayectos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ms-geoanalytics ↔ ms-routeoptimizer (ORS)</w:t>
            </w:r>
          </w:p>
        </w:tc>
        <w:tc>
          <w:tcPr>
            <w:tcW w:type="pct" w:w="3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HTTPS REST, sin salida a internet</w:t>
            </w:r>
          </w:p>
        </w:tc>
      </w:tr>
      <w:tr>
        <w:tc>
          <w:tcPr>
            <w:tcW w:type="pct" w:w="2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Geocercas de Troncales</w:t>
            </w:r>
          </w:p>
        </w:tc>
        <w:tc>
          <w:tcPr>
            <w:tcW w:type="pct" w:w="4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App Ciudadana → Amazon Location Service</w:t>
            </w:r>
          </w:p>
        </w:tc>
        <w:tc>
          <w:tcPr>
            <w:tcW w:type="pct" w:w="3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HTTPS REST — solo coordenadas y UUID de alerta, sin score ni descripción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8B1A1A"/>
          <w:sz w:val="24"/>
          <w:szCs w:val="24"/>
        </w:rPr>
        <w:t xml:space="preserve">3.3 Bloques de construcción dependientes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6E14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SBB dependiente</w:t>
            </w:r>
          </w:p>
        </w:tc>
        <w:tc>
          <w:tcPr>
            <w:tcW w:type="pct" w:w="48%"/>
            <w:shd w:fill="6E14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Funcionalidad requerida de otro SBB</w:t>
            </w:r>
          </w:p>
        </w:tc>
        <w:tc>
          <w:tcPr>
            <w:tcW w:type="pct" w:w="28%"/>
            <w:shd w:fill="6E14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Interfaz nombrada</w:t>
            </w:r>
          </w:p>
        </w:tc>
      </w:tr>
      <w:tr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ms-scorer</w:t>
            </w:r>
          </w:p>
        </w:tc>
        <w:tc>
          <w:tcPr>
            <w:tcW w:type="pct" w:w="4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Requiere que ms-ingestor haya normalizado el Reporte antes de calcular el score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Evento Kafka reporte-raw</w:t>
            </w:r>
          </w:p>
        </w:tc>
      </w:tr>
      <w:tr>
        <w:tc>
          <w:tcPr>
            <w:tcW w:type="pct" w:w="24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ms-alerter</w:t>
            </w:r>
          </w:p>
        </w:tc>
        <w:tc>
          <w:tcPr>
            <w:tcW w:type="pct" w:w="4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Requiere el resultado de ms-scorer (estado y score final) y, si aplica, el resultado de ms-geoanalytics (Clúster activo)</w:t>
            </w:r>
          </w:p>
        </w:tc>
        <w:tc>
          <w:tcPr>
            <w:tcW w:type="pct" w:w="2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Evento Kafka score-final / cluster-activo</w:t>
            </w:r>
          </w:p>
        </w:tc>
      </w:tr>
      <w:tr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Dashboard Táctico</w:t>
            </w:r>
          </w:p>
        </w:tc>
        <w:tc>
          <w:tcPr>
            <w:tcW w:type="pct" w:w="4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Requiere autenticación previa validada por Active Directory PNP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SAML 2.0 / OAuth 2.0+PKCE (INT-03)</w:t>
            </w:r>
          </w:p>
        </w:tc>
      </w:tr>
      <w:tr>
        <w:tc>
          <w:tcPr>
            <w:tcW w:type="pct" w:w="24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ms-geoanalytics</w:t>
            </w:r>
          </w:p>
        </w:tc>
        <w:tc>
          <w:tcPr>
            <w:tcW w:type="pct" w:w="4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Requiere el hash de recurrencia calculado por ms-scorer antes de aplicar el bono de correlación</w:t>
            </w:r>
          </w:p>
        </w:tc>
        <w:tc>
          <w:tcPr>
            <w:tcW w:type="pct" w:w="2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Evento Kafka reporte-scored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8B1A1A"/>
          <w:sz w:val="24"/>
          <w:szCs w:val="24"/>
        </w:rPr>
        <w:t xml:space="preserve">3.4 Bloques de construcción de solución requeridos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shd w:fill="6E14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SBB requerido</w:t>
            </w:r>
          </w:p>
        </w:tc>
        <w:tc>
          <w:tcPr>
            <w:tcW w:type="pct" w:w="46%"/>
            <w:shd w:fill="6E14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Funcionalidad que provee</w:t>
            </w:r>
          </w:p>
        </w:tc>
        <w:tc>
          <w:tcPr>
            <w:tcW w:type="pct" w:w="28%"/>
            <w:shd w:fill="6E14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Interfaz utilizada</w:t>
            </w:r>
          </w:p>
        </w:tc>
      </w:tr>
      <w:tr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PostgreSQL + PostGIS 15.x/3.3.x</w:t>
            </w:r>
          </w:p>
        </w:tc>
        <w:tc>
          <w:tcPr>
            <w:tcW w:type="pct" w:w="4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Persistencia del modelo de datos (MÓDULO E) y consultas geoespaciales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Conexión interna (driver PostgreSQL, red on-premise)</w:t>
            </w:r>
          </w:p>
        </w:tc>
      </w:tr>
      <w:tr>
        <w:tc>
          <w:tcPr>
            <w:tcW w:type="pct" w:w="26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MinIO</w:t>
            </w:r>
          </w:p>
        </w:tc>
        <w:tc>
          <w:tcPr>
            <w:tcW w:type="pct" w:w="46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Almacenamiento de objetos para evidencia fotográfica sanitizada</w:t>
            </w:r>
          </w:p>
        </w:tc>
        <w:tc>
          <w:tcPr>
            <w:tcW w:type="pct" w:w="2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API S3-compatible, solo accesible por ms-sanitizer para escritura</w:t>
            </w:r>
          </w:p>
        </w:tc>
      </w:tr>
      <w:tr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Kafka 3.6.x</w:t>
            </w:r>
          </w:p>
        </w:tc>
        <w:tc>
          <w:tcPr>
            <w:tcW w:type="pct" w:w="4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Bus de eventos entre todos los microservicios del Motor de Correlación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Protocolo Kafka nativo</w:t>
            </w:r>
          </w:p>
        </w:tc>
      </w:tr>
      <w:tr>
        <w:tc>
          <w:tcPr>
            <w:tcW w:type="pct" w:w="26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Redis</w:t>
            </w:r>
          </w:p>
        </w:tc>
        <w:tc>
          <w:tcPr>
            <w:tcW w:type="pct" w:w="46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Soporte de operaciones de baja latencia (p. ej. sesiones anónimas UUID v4)</w:t>
            </w:r>
          </w:p>
        </w:tc>
        <w:tc>
          <w:tcPr>
            <w:tcW w:type="pct" w:w="2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Protocolo Redis nativo</w:t>
            </w:r>
          </w:p>
        </w:tc>
      </w:tr>
      <w:tr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Kubernetes 1.29.x</w:t>
            </w:r>
          </w:p>
        </w:tc>
        <w:tc>
          <w:tcPr>
            <w:tcW w:type="pct" w:w="4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Orquestación y despliegue de todos los microservicios on-premise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API de Kubernetes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8B1A1A" w:sz="8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6E1414"/>
          <w:sz w:val="28"/>
          <w:szCs w:val="28"/>
        </w:rPr>
        <w:t xml:space="preserve">4. Mapeo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8B1A1A"/>
          <w:sz w:val="24"/>
          <w:szCs w:val="24"/>
        </w:rPr>
        <w:t xml:space="preserve">4.1 Mapeo de SBB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Mapeo de los SBB hacia la topología de TI y las políticas operacionales de CTOS-EXT-TRANSP: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6E14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SBB</w:t>
            </w:r>
          </w:p>
        </w:tc>
        <w:tc>
          <w:tcPr>
            <w:tcW w:type="pct" w:w="34%"/>
            <w:shd w:fill="6E14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Ubicación en la topología de TI</w:t>
            </w:r>
          </w:p>
        </w:tc>
        <w:tc>
          <w:tcPr>
            <w:tcW w:type="pct" w:w="36%"/>
            <w:shd w:fill="6E14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Política operacional aplicable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ms-ingestor, ms-sanitizer, ms-scorer, ms-geoanalytics, ms-alerter, ms-nlp, ms-comms-bridge, ms-routeoptimizer, ms-media-server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Clúster Kubernetes on-premise (Motor de Correlación)</w:t>
            </w:r>
          </w:p>
        </w:tc>
        <w:tc>
          <w:tcPr>
            <w:tcW w:type="pct" w:w="3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Todo dato sensible permanece on-premise (Módulo J.1); MFA y TLS 1.3 obligatorios</w:t>
            </w:r>
          </w:p>
        </w:tc>
      </w:tr>
      <w:tr>
        <w:tc>
          <w:tcPr>
            <w:tcW w:type="pct" w:w="3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Dashboard Táctico</w:t>
            </w:r>
          </w:p>
        </w:tc>
        <w:tc>
          <w:tcPr>
            <w:tcW w:type="pct" w:w="34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Aplicación web on-premise, acceso restringido a Analistas/Comandancia/Administradores</w:t>
            </w:r>
          </w:p>
        </w:tc>
        <w:tc>
          <w:tcPr>
            <w:tcW w:type="pct" w:w="36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Acceso por roles (Módulo G); log_auditoria solo para Oficial de Seguridad y Administrador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App Ciudadana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Distribución móvil pública (tiendas de aplicaciones)</w:t>
            </w:r>
          </w:p>
        </w:tc>
        <w:tc>
          <w:tcPr>
            <w:tcW w:type="pct" w:w="3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Sin login, sin recolección de metadatos identificatorios (Módulo N)</w:t>
            </w:r>
          </w:p>
        </w:tc>
      </w:tr>
      <w:tr>
        <w:tc>
          <w:tcPr>
            <w:tcW w:type="pct" w:w="3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Portal Web, chatbot WhatsApp, Amazon Location Service</w:t>
            </w:r>
          </w:p>
        </w:tc>
        <w:tc>
          <w:tcPr>
            <w:tcW w:type="pct" w:w="34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AWS — S3+CloudFront, Lambda, Amazon Location Service</w:t>
            </w:r>
          </w:p>
        </w:tc>
        <w:tc>
          <w:tcPr>
            <w:tcW w:type="pct" w:w="36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Uso exclusivo para componentes sin datos sensibles (Módulo J.1)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8B1A1A"/>
          <w:sz w:val="24"/>
          <w:szCs w:val="24"/>
        </w:rPr>
        <w:t xml:space="preserve">4.2 Relaciones entre SBB y ABB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Relaciones entre los Solution Building Blocks descritos en este documento y los Architecture Building Blocks (ABB) definidos en las Fases B, C y 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shd w:fill="6E14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ABB (arquitectura objetivo)</w:t>
            </w:r>
          </w:p>
        </w:tc>
        <w:tc>
          <w:tcPr>
            <w:tcW w:type="pct" w:w="38%"/>
            <w:shd w:fill="6E14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SBB que lo materializa</w:t>
            </w:r>
          </w:p>
        </w:tc>
        <w:tc>
          <w:tcPr>
            <w:tcW w:type="pct" w:w="30%"/>
            <w:shd w:fill="6E14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Fase de origen del ABB</w:t>
            </w:r>
          </w:p>
        </w:tc>
      </w:tr>
      <w:tr>
        <w:tc>
          <w:tcPr>
            <w:tcW w:type="pct" w:w="3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Motor de Correlación (actor lógico)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ms-ingestor + ms-sanitizer + ms-scorer + ms-geoanalytics + ms-alerter + ms-nlp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Fase C — Aplicaciones (Módulo J.4)</w:t>
            </w:r>
          </w:p>
        </w:tc>
      </w:tr>
      <w:tr>
        <w:tc>
          <w:tcPr>
            <w:tcW w:type="pct" w:w="3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Modelo de datos y Scoring de Confianza</w:t>
            </w:r>
          </w:p>
        </w:tc>
        <w:tc>
          <w:tcPr>
            <w:tcW w:type="pct" w:w="3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PostgreSQL+PostGIS + lógica de ms-scorer (Módulo F)</w:t>
            </w:r>
          </w:p>
        </w:tc>
        <w:tc>
          <w:tcPr>
            <w:tcW w:type="pct" w:w="3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Fase C — Datos (Módulo E/F)</w:t>
            </w:r>
          </w:p>
        </w:tc>
      </w:tr>
      <w:tr>
        <w:tc>
          <w:tcPr>
            <w:tcW w:type="pct" w:w="3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Clúster de Extorsión Transporte (definición única B/F/I)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ms-geoanalytics (DBSCAN adaptativo)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Fase C — Datos / Fase D — Tecnología (Módulo J.5)</w:t>
            </w:r>
          </w:p>
        </w:tc>
      </w:tr>
      <w:tr>
        <w:tc>
          <w:tcPr>
            <w:tcW w:type="pct" w:w="3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Canal de reporte anónimo multicanal</w:t>
            </w:r>
          </w:p>
        </w:tc>
        <w:tc>
          <w:tcPr>
            <w:tcW w:type="pct" w:w="3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App Ciudadana + Portal Web + Chatbot WhatsApp</w:t>
            </w:r>
          </w:p>
        </w:tc>
        <w:tc>
          <w:tcPr>
            <w:tcW w:type="pct" w:w="3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Fase C — Aplicaciones (Módulo N)</w:t>
            </w:r>
          </w:p>
        </w:tc>
      </w:tr>
      <w:tr>
        <w:tc>
          <w:tcPr>
            <w:tcW w:type="pct" w:w="3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Integración crítica de despacho (KPI de tiempo de respuesta)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ms-comms-bridge (INT-04)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Fase D — Tecnología (Módulo K)</w:t>
            </w:r>
          </w:p>
        </w:tc>
      </w:tr>
      <w:tr>
        <w:tc>
          <w:tcPr>
            <w:tcW w:type="pct" w:w="3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Arquitectura híbrida on-premise/nube</w:t>
            </w:r>
          </w:p>
        </w:tc>
        <w:tc>
          <w:tcPr>
            <w:tcW w:type="pct" w:w="3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Kubernetes on-premise + AWS (S3+CloudFront, Lambda, Amazon Location Service)</w:t>
            </w:r>
          </w:p>
        </w:tc>
        <w:tc>
          <w:tcPr>
            <w:tcW w:type="pct" w:w="3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Fase D — Tecnología (Módulo J.1)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EA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414"/>
                <w:sz w:val="20"/>
                <w:szCs w:val="20"/>
              </w:rPr>
              <w:t xml:space="preserve">Nota de gobierno: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Los ABB correspondientes a INT-07 (Observatorio del Crimen) e INT-08 (Programa Asyste) no tienen todavía un SBB asociado, porque su integración está pendiente de decisión (ver Módulo ANT.1 y Paso G1 de Fase G). No debe interpretarse como omisión: es una brecha de gobierno trazada conscientemente.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2026-07-03T23:08:06.149Z</dcterms:created>
  <dcterms:modified xsi:type="dcterms:W3CDTF">2026-07-03T23:08:06.149Z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