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DED3" w14:textId="3A798004" w:rsidR="007443AF" w:rsidRPr="00243781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315" w:line="300" w:lineRule="auto"/>
        <w:rPr>
          <w:b/>
          <w:bCs/>
          <w:color w:val="1A73E8"/>
        </w:rPr>
      </w:pPr>
      <w:r w:rsidRPr="00243781">
        <w:rPr>
          <w:b/>
          <w:bCs/>
          <w:color w:val="1A73E8"/>
          <w:sz w:val="36"/>
          <w:szCs w:val="36"/>
        </w:rPr>
        <w:t>DOCUMENTO DE ARQUITECTURA: FASE A - VISIÓN DE LA ARQUITECTURA</w:t>
      </w:r>
    </w:p>
    <w:p w14:paraId="040119B3" w14:textId="0A059412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pict w14:anchorId="7E2F6C13">
          <v:rect id="_x0000_i1025" style="width:0;height:1.5pt" o:hralign="center" o:hrstd="t" o:hr="t" fillcolor="#a0a0a0" stroked="f"/>
        </w:pict>
      </w:r>
      <w:r>
        <w:rPr>
          <w:b/>
          <w:bCs/>
          <w:color w:val="000000"/>
        </w:rPr>
        <w:t>Proyecto:</w:t>
      </w:r>
      <w:r>
        <w:rPr>
          <w:color w:val="000000"/>
        </w:rPr>
        <w:t xml:space="preserve"> Criminal Threat </w:t>
      </w:r>
      <w:proofErr w:type="spellStart"/>
      <w:r>
        <w:rPr>
          <w:color w:val="000000"/>
        </w:rPr>
        <w:t>Operation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</w:p>
    <w:p w14:paraId="3943A1B9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Organización Patrocinadora:</w:t>
      </w:r>
      <w:r>
        <w:rPr>
          <w:color w:val="000000"/>
        </w:rPr>
        <w:t xml:space="preserve"> Policía Nacional del Perú (PNP) [cite: 1470]</w:t>
      </w:r>
    </w:p>
    <w:p w14:paraId="72A00ACC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  <w:r>
        <w:rPr>
          <w:b/>
          <w:bCs/>
          <w:color w:val="000000"/>
        </w:rPr>
        <w:t>Marco de Referencia:</w:t>
      </w:r>
      <w:r>
        <w:rPr>
          <w:color w:val="000000"/>
        </w:rPr>
        <w:t xml:space="preserve"> TOGAF 9.2 [cite: 1472]</w:t>
      </w:r>
    </w:p>
    <w:p w14:paraId="00CB3717" w14:textId="77777777" w:rsidR="007443AF" w:rsidRDefault="00000000">
      <w:pPr>
        <w:pStyle w:val="Ttulo2"/>
        <w:spacing w:before="0" w:line="300" w:lineRule="auto"/>
        <w:rPr>
          <w:color w:val="202124"/>
        </w:rPr>
      </w:pPr>
      <w:r>
        <w:rPr>
          <w:color w:val="202124"/>
        </w:rPr>
        <w:t>Paso 1: Establecer el Proyecto de Arquitectura</w:t>
      </w:r>
    </w:p>
    <w:p w14:paraId="0F0D0DF4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Se formaliza el inicio de la Fase A para el ecosistema táctico-preventivo de extorsión al transporte en Lima [cite: 1475].</w:t>
      </w:r>
    </w:p>
    <w:tbl>
      <w:tblPr>
        <w:tblStyle w:val="a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443AF" w14:paraId="484663F0" w14:textId="77777777">
        <w:trPr>
          <w:tblHeader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DCFDA5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FB642A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Entidad Responsable</w:t>
            </w:r>
          </w:p>
          <w:p w14:paraId="313E90D1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7443AF" w14:paraId="69FF25F2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74C900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Patrocinador Ejecutivo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4FE488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Alta Dirección de la PNP [cite: 1470]</w:t>
            </w:r>
          </w:p>
        </w:tc>
      </w:tr>
      <w:tr w:rsidR="007443AF" w14:paraId="1851AD46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5FAE5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Dueño Técnico / Responsable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B15D35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DIRIN y DIRINCRI (División de Extorsión y Secuestros) [cite: 1470, 1471]</w:t>
            </w:r>
          </w:p>
        </w:tc>
      </w:tr>
      <w:tr w:rsidR="007443AF" w14:paraId="7DAF8E16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710304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Arquitecto Líder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8D66DA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Equipo de Arquitectura Empresarial CTOS [cite: 1431]</w:t>
            </w:r>
          </w:p>
        </w:tc>
      </w:tr>
    </w:tbl>
    <w:p w14:paraId="52EADA7A" w14:textId="77777777" w:rsidR="007443AF" w:rsidRDefault="007443AF">
      <w:pPr>
        <w:pBdr>
          <w:top w:val="nil"/>
          <w:left w:val="nil"/>
          <w:bottom w:val="nil"/>
          <w:right w:val="nil"/>
          <w:between w:val="nil"/>
        </w:pBdr>
        <w:spacing w:before="300" w:after="225" w:line="300" w:lineRule="auto"/>
        <w:rPr>
          <w:color w:val="000000"/>
        </w:rPr>
      </w:pPr>
    </w:p>
    <w:p w14:paraId="16CC5729" w14:textId="77777777" w:rsidR="007443AF" w:rsidRDefault="00000000">
      <w:pPr>
        <w:pStyle w:val="Ttulo2"/>
        <w:spacing w:line="300" w:lineRule="auto"/>
        <w:rPr>
          <w:color w:val="202124"/>
        </w:rPr>
      </w:pPr>
      <w:r>
        <w:rPr>
          <w:color w:val="202124"/>
        </w:rPr>
        <w:t xml:space="preserve">Paso 2: Identificar </w:t>
      </w:r>
      <w:proofErr w:type="spellStart"/>
      <w:r>
        <w:rPr>
          <w:color w:val="202124"/>
        </w:rPr>
        <w:t>Stakeholders</w:t>
      </w:r>
      <w:proofErr w:type="spellEnd"/>
      <w:r>
        <w:rPr>
          <w:color w:val="202124"/>
        </w:rPr>
        <w:t>, Preocupaciones y Requisitos (</w:t>
      </w:r>
      <w:proofErr w:type="spellStart"/>
      <w:r>
        <w:rPr>
          <w:color w:val="202124"/>
        </w:rPr>
        <w:t>Stakeholder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Map</w:t>
      </w:r>
      <w:proofErr w:type="spellEnd"/>
      <w:r>
        <w:rPr>
          <w:color w:val="202124"/>
        </w:rPr>
        <w:t xml:space="preserve"> Matrix)</w:t>
      </w:r>
    </w:p>
    <w:tbl>
      <w:tblPr>
        <w:tblStyle w:val="a0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443AF" w14:paraId="0AB39695" w14:textId="77777777">
        <w:trPr>
          <w:tblHeader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387565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lastRenderedPageBreak/>
              <w:t>Stakeholder</w:t>
            </w:r>
            <w:proofErr w:type="spellEnd"/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FC71B1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Preocupación Clave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A27083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Gestión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C329EE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Vista/Artefacto</w:t>
            </w:r>
          </w:p>
          <w:p w14:paraId="732C6F37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7443AF" w14:paraId="248D8A27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A48083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Informante Transportista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E2E5C7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Miedo a represalias, anonimato, facilidad de uso [cite: 1601, 1602, 1759, 1764]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95C203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Mantener informado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40A1D7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App Ciudadana (sin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>) [cite: 1602]</w:t>
            </w:r>
          </w:p>
        </w:tc>
      </w:tr>
      <w:tr w:rsidR="007443AF" w14:paraId="2A4E491C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F9B3DC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Analista de Inteligencia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75F9E1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Calidad de datos, falsos positivos, acceso rápido a evidencia [cite: 1602, 1603]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000959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Gestionar de cerca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7388A7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Táctico (Cola de Reportes) [cite: 1603]</w:t>
            </w:r>
          </w:p>
        </w:tc>
      </w:tr>
      <w:tr w:rsidR="007443AF" w14:paraId="12A2A49C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5773DE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Oficial de Comisaría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04C411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Respuesta rápida en corredores, tipo de unidad afectada [cite: 1604, 1637]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E2B7C3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Mantener satisfecho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B089C8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Alertas de Patrullaje [cite: 1604]</w:t>
            </w:r>
          </w:p>
        </w:tc>
      </w:tr>
      <w:tr w:rsidR="007443AF" w14:paraId="3A5D3635" w14:textId="77777777"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91BE2E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Comandante / Jefe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39A574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Toma de decisiones, estadísticas, </w:t>
            </w:r>
            <w:proofErr w:type="spellStart"/>
            <w:r>
              <w:rPr>
                <w:color w:val="000000"/>
              </w:rPr>
              <w:t>hotspots</w:t>
            </w:r>
            <w:proofErr w:type="spellEnd"/>
            <w:r>
              <w:rPr>
                <w:color w:val="000000"/>
              </w:rPr>
              <w:t xml:space="preserve"> [cite: 1605, 1606]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8D3C90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Mantener satisfecho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594FF4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Mapas de calor / Estadísticas [cite: 1606]</w:t>
            </w:r>
          </w:p>
        </w:tc>
      </w:tr>
    </w:tbl>
    <w:p w14:paraId="24F55EAE" w14:textId="77777777" w:rsidR="007443AF" w:rsidRDefault="007443AF">
      <w:pPr>
        <w:pBdr>
          <w:top w:val="nil"/>
          <w:left w:val="nil"/>
          <w:bottom w:val="nil"/>
          <w:right w:val="nil"/>
          <w:between w:val="nil"/>
        </w:pBdr>
        <w:spacing w:before="300" w:after="225" w:line="300" w:lineRule="auto"/>
        <w:rPr>
          <w:color w:val="000000"/>
        </w:rPr>
      </w:pPr>
    </w:p>
    <w:p w14:paraId="743E015D" w14:textId="77777777" w:rsidR="007443AF" w:rsidRDefault="00000000">
      <w:pPr>
        <w:pStyle w:val="Ttulo2"/>
        <w:spacing w:line="300" w:lineRule="auto"/>
        <w:rPr>
          <w:color w:val="202124"/>
        </w:rPr>
      </w:pPr>
      <w:r>
        <w:rPr>
          <w:color w:val="202124"/>
        </w:rPr>
        <w:t>Paso 3: Confirmar Metas, Drivers y Restricciones</w:t>
      </w:r>
    </w:p>
    <w:p w14:paraId="09C749EB" w14:textId="77777777" w:rsidR="00744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Drivers:</w:t>
      </w:r>
      <w:r>
        <w:rPr>
          <w:color w:val="000000"/>
        </w:rPr>
        <w:t xml:space="preserve"> Incremento alarmante de extorsión (cobro de cupos) a transportistas en Lima Metropolitana; vulnerabilidad en corredores viales [cite: 1475, 1476].</w:t>
      </w:r>
    </w:p>
    <w:p w14:paraId="3D6B7D09" w14:textId="77777777" w:rsidR="00744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Metas:</w:t>
      </w:r>
      <w:r>
        <w:rPr>
          <w:rFonts w:ascii="Arial Unicode MS" w:eastAsia="Arial Unicode MS" w:hAnsi="Arial Unicode MS" w:cs="Arial Unicode MS"/>
          <w:color w:val="000000"/>
        </w:rPr>
        <w:t xml:space="preserve"> Generar inteligencia táctica preventiva descubriendo Clústeres de Extorsión Transporte e implementando alertas en ≤ 15 minutos [cite: 1481, 1482, 1484].</w:t>
      </w:r>
    </w:p>
    <w:p w14:paraId="5FA892BE" w14:textId="77777777" w:rsidR="007443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Restricciones Legales:</w:t>
      </w:r>
    </w:p>
    <w:p w14:paraId="61126002" w14:textId="77777777" w:rsidR="007443A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 xml:space="preserve">Ley </w:t>
      </w:r>
      <w:proofErr w:type="spellStart"/>
      <w:r>
        <w:rPr>
          <w:color w:val="000000"/>
        </w:rPr>
        <w:t>N°</w:t>
      </w:r>
      <w:proofErr w:type="spellEnd"/>
      <w:r>
        <w:rPr>
          <w:color w:val="000000"/>
        </w:rPr>
        <w:t xml:space="preserve"> 29733: Prohibición absoluta de recolectar datos personales del Informante (identidad, GPS EXIF, IMEI) [cite: 1502, 1504].</w:t>
      </w:r>
    </w:p>
    <w:p w14:paraId="18FA1687" w14:textId="77777777" w:rsidR="007443A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lastRenderedPageBreak/>
        <w:t>El sistema no reemplaza la investigación criminal (DIRINCRI/Ministerio Público) ni emite capturas [cite: 1477, 1496].</w:t>
      </w:r>
    </w:p>
    <w:p w14:paraId="4D3EFECD" w14:textId="77777777" w:rsidR="007443AF" w:rsidRDefault="00000000">
      <w:pPr>
        <w:pStyle w:val="Ttulo2"/>
        <w:spacing w:line="300" w:lineRule="auto"/>
        <w:rPr>
          <w:color w:val="202124"/>
        </w:rPr>
      </w:pPr>
      <w:r>
        <w:rPr>
          <w:color w:val="202124"/>
        </w:rPr>
        <w:t>Paso 4: Evaluar Capacidades de Negocio</w:t>
      </w:r>
    </w:p>
    <w:p w14:paraId="04C1DC70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La arquitectura habilita las siguientes capacidades tecnológicas (Brecha actual vs target):</w:t>
      </w:r>
    </w:p>
    <w:tbl>
      <w:tblPr>
        <w:tblStyle w:val="a1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443AF" w14:paraId="040456ED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325FA0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Capacidad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8B33AC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Baseline</w:t>
            </w:r>
            <w:proofErr w:type="spellEnd"/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4A3051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Target</w:t>
            </w:r>
          </w:p>
          <w:p w14:paraId="1F2C5D4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7443AF" w14:paraId="24DD61E3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87708E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Recepción de reportes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F5C2BE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Presencial (con riesgo a la víctima) [cite: 1477]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3CAD9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App Ciudadana 100% anónima [cite: 1476, 1493]</w:t>
            </w:r>
          </w:p>
        </w:tc>
      </w:tr>
      <w:tr w:rsidR="007443AF" w14:paraId="3ABAED9E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0112FC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Sanitización de evidencia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423F5D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Inexistente / Manual [cite: 1559]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85A940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Pipeline automático EXIF (ms-</w:t>
            </w:r>
            <w:proofErr w:type="spellStart"/>
            <w:r>
              <w:rPr>
                <w:color w:val="000000"/>
              </w:rPr>
              <w:t>sanitizer</w:t>
            </w:r>
            <w:proofErr w:type="spellEnd"/>
            <w:r>
              <w:rPr>
                <w:color w:val="000000"/>
              </w:rPr>
              <w:t>) [cite: 1493, 1559]</w:t>
            </w:r>
          </w:p>
        </w:tc>
      </w:tr>
      <w:tr w:rsidR="007443AF" w14:paraId="59F4D28B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3A997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Inteligencia Geoespacial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1F6178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Análisis reactivo [cite: 1494]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EB2B9B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Motor de Correlación DBSCAN (Clústeres) [cite: 1675]</w:t>
            </w:r>
          </w:p>
        </w:tc>
      </w:tr>
    </w:tbl>
    <w:p w14:paraId="203DF471" w14:textId="77777777" w:rsidR="007443AF" w:rsidRDefault="007443AF">
      <w:pPr>
        <w:pBdr>
          <w:top w:val="nil"/>
          <w:left w:val="nil"/>
          <w:bottom w:val="nil"/>
          <w:right w:val="nil"/>
          <w:between w:val="nil"/>
        </w:pBdr>
        <w:spacing w:before="300" w:after="225" w:line="300" w:lineRule="auto"/>
        <w:rPr>
          <w:color w:val="000000"/>
        </w:rPr>
      </w:pPr>
    </w:p>
    <w:p w14:paraId="03D753A5" w14:textId="77777777" w:rsidR="007443AF" w:rsidRDefault="00000000">
      <w:pPr>
        <w:pStyle w:val="Ttulo2"/>
        <w:spacing w:line="300" w:lineRule="auto"/>
        <w:rPr>
          <w:color w:val="202124"/>
        </w:rPr>
      </w:pPr>
      <w:r>
        <w:rPr>
          <w:color w:val="202124"/>
        </w:rPr>
        <w:t>Paso 5: Evaluar Preparación para la Transformación (</w:t>
      </w:r>
      <w:proofErr w:type="spellStart"/>
      <w:r>
        <w:rPr>
          <w:color w:val="202124"/>
        </w:rPr>
        <w:t>Readiness</w:t>
      </w:r>
      <w:proofErr w:type="spellEnd"/>
      <w:r>
        <w:rPr>
          <w:color w:val="202124"/>
        </w:rPr>
        <w:t>)</w:t>
      </w:r>
    </w:p>
    <w:p w14:paraId="76B08414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Diagnóstico:</w:t>
      </w:r>
      <w:r>
        <w:rPr>
          <w:color w:val="000000"/>
        </w:rPr>
        <w:t xml:space="preserve"> Riesgo de resistencia cultural (RIE-05) en DIRIN/DIRINCRI debido a las nuevas herramientas analíticas. Además, las integraciones como </w:t>
      </w:r>
      <w:proofErr w:type="spellStart"/>
      <w:r>
        <w:rPr>
          <w:color w:val="000000"/>
        </w:rPr>
        <w:t>OpenRouteService</w:t>
      </w:r>
      <w:proofErr w:type="spellEnd"/>
      <w:r>
        <w:rPr>
          <w:color w:val="000000"/>
        </w:rPr>
        <w:t xml:space="preserve"> pueden requerir validación técnica [cite: 1749, 1791, 1792].</w:t>
      </w:r>
    </w:p>
    <w:p w14:paraId="6CC7FABC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</w:rPr>
      </w:pPr>
      <w:r>
        <w:rPr>
          <w:b/>
          <w:bCs/>
          <w:color w:val="000000"/>
        </w:rPr>
        <w:t>Decisión y Mitigación:</w:t>
      </w:r>
      <w:r>
        <w:rPr>
          <w:color w:val="000000"/>
        </w:rPr>
        <w:t xml:space="preserve"> Se adopta un enfoque incremental. La Fase 1 (Piloto Lima) se limitará a 3 comisarías (SJL, Los Olivos, Villa El Salvador) para asimilar la adopción tecnológica y capacitar a los Analistas antes del despliegue masivo [cite: 1733, 1734, 1787].</w:t>
      </w:r>
    </w:p>
    <w:p w14:paraId="4EEAE7B8" w14:textId="77777777" w:rsidR="007443AF" w:rsidRDefault="00000000">
      <w:pPr>
        <w:pStyle w:val="Ttulo2"/>
        <w:spacing w:before="0" w:line="300" w:lineRule="auto"/>
        <w:rPr>
          <w:color w:val="202124"/>
        </w:rPr>
      </w:pPr>
      <w:r>
        <w:rPr>
          <w:color w:val="202124"/>
        </w:rPr>
        <w:t>Paso 6: Definir Alcance de Arquitectura</w:t>
      </w:r>
    </w:p>
    <w:tbl>
      <w:tblPr>
        <w:tblStyle w:val="a2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443AF" w14:paraId="4EE0253A" w14:textId="77777777">
        <w:trPr>
          <w:tblHeader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C86D90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Dimensión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0007C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Definición en CTOS-EXT-TRANSP</w:t>
            </w:r>
          </w:p>
          <w:p w14:paraId="3EBF605A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7443AF" w14:paraId="7037F56F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00F552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CFF6B3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PNP (DIRIN, DIRINCRI, 3 Comisarías Piloto) [cite: 1470, 1733]</w:t>
            </w:r>
          </w:p>
        </w:tc>
      </w:tr>
      <w:tr w:rsidR="007443AF" w14:paraId="7D7B47F1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CF9D4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Dominios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D2AE74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Negocio, Datos, Aplicaciones y Tecnología [cite: 1435]</w:t>
            </w:r>
          </w:p>
        </w:tc>
      </w:tr>
      <w:tr w:rsidR="007443AF" w14:paraId="364AABB2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83E467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Nivel y Tiempo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DE4D5C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Visión táctica preventiva; Horizonte de 24 meses (Fases 1 a 3) [cite: 1473, 1731]</w:t>
            </w:r>
          </w:p>
        </w:tc>
      </w:tr>
    </w:tbl>
    <w:p w14:paraId="69A9AD5E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b/>
          <w:bCs/>
          <w:color w:val="000000"/>
        </w:rPr>
        <w:t>IN (Dentro):</w:t>
      </w:r>
      <w:r>
        <w:rPr>
          <w:color w:val="000000"/>
        </w:rPr>
        <w:t xml:space="preserve"> App Ciudadana anónima, sanitización EXIF, </w:t>
      </w:r>
      <w:proofErr w:type="spellStart"/>
      <w:r>
        <w:rPr>
          <w:color w:val="000000"/>
        </w:rPr>
        <w:t>clustering</w:t>
      </w:r>
      <w:proofErr w:type="spellEnd"/>
      <w:r>
        <w:rPr>
          <w:color w:val="000000"/>
        </w:rPr>
        <w:t xml:space="preserve"> de corredores viales, alertas de patrullaje [cite: 1493, 1494].</w:t>
      </w:r>
    </w:p>
    <w:p w14:paraId="2D6CE9F5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before="300" w:after="225" w:line="300" w:lineRule="auto"/>
        <w:rPr>
          <w:color w:val="000000"/>
        </w:rPr>
      </w:pPr>
      <w:r>
        <w:rPr>
          <w:b/>
          <w:bCs/>
          <w:color w:val="000000"/>
        </w:rPr>
        <w:t>OUT (Fuera):</w:t>
      </w:r>
      <w:r>
        <w:rPr>
          <w:color w:val="000000"/>
        </w:rPr>
        <w:t xml:space="preserve"> Reconocimiento facial, biometría, identificación del titular telefónico, órdenes de arresto, integraciones con RENIEC/Operadoras [cite: 1496, 1497, 1729].</w:t>
      </w:r>
    </w:p>
    <w:p w14:paraId="46582AAE" w14:textId="77777777" w:rsidR="007443AF" w:rsidRDefault="00000000">
      <w:pPr>
        <w:pStyle w:val="Ttulo2"/>
        <w:spacing w:before="0" w:line="300" w:lineRule="auto"/>
        <w:rPr>
          <w:color w:val="202124"/>
        </w:rPr>
      </w:pPr>
      <w:r>
        <w:rPr>
          <w:color w:val="202124"/>
        </w:rPr>
        <w:t>Paso 7: Confirmar Principios de Arquitectura</w:t>
      </w:r>
    </w:p>
    <w:tbl>
      <w:tblPr>
        <w:tblStyle w:val="a3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43781" w:rsidRPr="00243781" w14:paraId="1764D210" w14:textId="77777777">
        <w:trPr>
          <w:tblHeader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6A2469" w14:textId="1AD88722" w:rsidR="00243781" w:rsidRDefault="00243781" w:rsidP="0024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945A9C" w14:textId="7FC4E523" w:rsidR="00243781" w:rsidRPr="00243781" w:rsidRDefault="00243781" w:rsidP="0024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b/>
                <w:bCs/>
              </w:rPr>
              <w:t>Declaración</w:t>
            </w:r>
          </w:p>
        </w:tc>
      </w:tr>
      <w:tr w:rsidR="00243781" w14:paraId="2BAA9A95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DB7CEB" w14:textId="3F975BFD" w:rsidR="00243781" w:rsidRPr="00243781" w:rsidRDefault="00243781" w:rsidP="0024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  <w:lang w:val="en-US"/>
              </w:rPr>
            </w:pPr>
            <w:proofErr w:type="spellStart"/>
            <w:r w:rsidRPr="00EB7E73">
              <w:rPr>
                <w:lang w:val="en-US"/>
              </w:rPr>
              <w:t>Privacidad</w:t>
            </w:r>
            <w:proofErr w:type="spellEnd"/>
            <w:r w:rsidRPr="00EB7E73">
              <w:rPr>
                <w:lang w:val="en-US"/>
              </w:rPr>
              <w:t xml:space="preserve"> by Design (Privacy by Design) [cite: 563]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53F354" w14:textId="2CB0BE85" w:rsidR="00243781" w:rsidRDefault="00243781" w:rsidP="00243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t>Garantizar el anonimato estructural del Informante Transportista en todas las capas tecnológicas y la minimización estricta de datos [cite: 563, 565].</w:t>
            </w:r>
          </w:p>
        </w:tc>
      </w:tr>
    </w:tbl>
    <w:p w14:paraId="483C2696" w14:textId="77777777" w:rsidR="007443AF" w:rsidRDefault="007443AF">
      <w:pPr>
        <w:pBdr>
          <w:top w:val="nil"/>
          <w:left w:val="nil"/>
          <w:bottom w:val="nil"/>
          <w:right w:val="nil"/>
          <w:between w:val="nil"/>
        </w:pBdr>
        <w:spacing w:before="300" w:after="225" w:line="300" w:lineRule="auto"/>
        <w:rPr>
          <w:color w:val="000000"/>
        </w:rPr>
      </w:pPr>
    </w:p>
    <w:p w14:paraId="46A11871" w14:textId="77777777" w:rsidR="007443AF" w:rsidRDefault="00000000">
      <w:pPr>
        <w:pStyle w:val="Ttulo2"/>
        <w:spacing w:line="300" w:lineRule="auto"/>
        <w:rPr>
          <w:color w:val="202124"/>
        </w:rPr>
      </w:pPr>
      <w:r>
        <w:rPr>
          <w:color w:val="202124"/>
        </w:rPr>
        <w:t>Paso 8: Desarrollar la Visión de la Arquitectura (</w:t>
      </w:r>
      <w:proofErr w:type="spellStart"/>
      <w:r>
        <w:rPr>
          <w:color w:val="202124"/>
        </w:rPr>
        <w:t>Baseline</w:t>
      </w:r>
      <w:proofErr w:type="spellEnd"/>
      <w:r>
        <w:rPr>
          <w:color w:val="202124"/>
        </w:rPr>
        <w:t xml:space="preserve"> vs Target)</w:t>
      </w:r>
    </w:p>
    <w:tbl>
      <w:tblPr>
        <w:tblStyle w:val="a4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443AF" w14:paraId="2BCAAA0C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3379A0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Dominio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CDA90C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Baseline</w:t>
            </w:r>
            <w:proofErr w:type="spellEnd"/>
            <w:r>
              <w:rPr>
                <w:b/>
                <w:bCs/>
                <w:color w:val="000000"/>
              </w:rPr>
              <w:t xml:space="preserve"> Actual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DAF47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Target Propuesto (CTOS-EXT-TRANSP)</w:t>
            </w:r>
          </w:p>
          <w:p w14:paraId="20E27C63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7443AF" w14:paraId="00402181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EA5E29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Negocio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2B0F87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Denuncia presencial disuasoria por miedo [cite: 1477, 1763]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FF9691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Reporte 100% digital y anónimo con evidencia sanitizada [cite: 1476, 1493]</w:t>
            </w:r>
          </w:p>
        </w:tc>
      </w:tr>
      <w:tr w:rsidR="007443AF" w14:paraId="41B301A3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5209D6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Datos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502484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Aislados y con riesgo de fuga de identidad [cite: 1494]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95D902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Datos geoespaciales agregados en Clústeres [cite: 1484, 1494]</w:t>
            </w:r>
          </w:p>
        </w:tc>
      </w:tr>
      <w:tr w:rsidR="007443AF" w14:paraId="322F2C0B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5290E0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Aplicaciones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8C9FDD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Carencia de herramientas analíticas especializadas [cite: 1670]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DDCDDC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Motor de Correlación ML + </w:t>
            </w: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Táctico [cite: 1670, 1681]</w:t>
            </w:r>
          </w:p>
        </w:tc>
      </w:tr>
      <w:tr w:rsidR="007443AF" w14:paraId="044BDF9D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B96189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Tecnología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DF9FC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Fragmentada, manual [cite: 1693]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029646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Microservicios K8s, </w:t>
            </w:r>
            <w:proofErr w:type="spellStart"/>
            <w:r>
              <w:rPr>
                <w:color w:val="000000"/>
              </w:rPr>
              <w:t>MinIO</w:t>
            </w:r>
            <w:proofErr w:type="spellEnd"/>
            <w:r>
              <w:rPr>
                <w:color w:val="000000"/>
              </w:rPr>
              <w:t>, PostgreSQL/</w:t>
            </w:r>
            <w:proofErr w:type="spellStart"/>
            <w:r>
              <w:rPr>
                <w:color w:val="000000"/>
              </w:rPr>
              <w:t>PostGIS</w:t>
            </w:r>
            <w:proofErr w:type="spellEnd"/>
            <w:r>
              <w:rPr>
                <w:color w:val="000000"/>
              </w:rPr>
              <w:t xml:space="preserve"> [cite: 1693, 1700, 1702, 1703]</w:t>
            </w:r>
          </w:p>
        </w:tc>
      </w:tr>
    </w:tbl>
    <w:p w14:paraId="6DCE37E4" w14:textId="77777777" w:rsidR="007443AF" w:rsidRDefault="007443AF">
      <w:pPr>
        <w:pBdr>
          <w:top w:val="nil"/>
          <w:left w:val="nil"/>
          <w:bottom w:val="nil"/>
          <w:right w:val="nil"/>
          <w:between w:val="nil"/>
        </w:pBdr>
        <w:spacing w:before="300" w:after="225" w:line="300" w:lineRule="auto"/>
        <w:rPr>
          <w:color w:val="000000"/>
        </w:rPr>
      </w:pPr>
    </w:p>
    <w:p w14:paraId="1B4305F7" w14:textId="77777777" w:rsidR="007443AF" w:rsidRDefault="00000000">
      <w:pPr>
        <w:pStyle w:val="Ttulo2"/>
        <w:spacing w:line="300" w:lineRule="auto"/>
        <w:rPr>
          <w:color w:val="202124"/>
        </w:rPr>
      </w:pPr>
      <w:r>
        <w:rPr>
          <w:color w:val="202124"/>
        </w:rPr>
        <w:t xml:space="preserve">Paso 9: Propuesta de Valor y </w:t>
      </w:r>
      <w:proofErr w:type="spellStart"/>
      <w:r>
        <w:rPr>
          <w:color w:val="202124"/>
        </w:rPr>
        <w:t>KPIs</w:t>
      </w:r>
      <w:proofErr w:type="spellEnd"/>
    </w:p>
    <w:p w14:paraId="75488A00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La arquitectura se valida mediante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estrictos monitoreados semanalmente en 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[cite: 1478]:</w:t>
      </w:r>
    </w:p>
    <w:tbl>
      <w:tblPr>
        <w:tblStyle w:val="a5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443AF" w14:paraId="7D0729FD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E327D2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KPI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7B8D03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Target (Piloto)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DD9151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Fuente / Dominio</w:t>
            </w:r>
          </w:p>
          <w:p w14:paraId="241CB98D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7443AF" w14:paraId="76EB40C2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E2D1F6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Cobertura de Reportes Válidos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9D985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≥ 300 reportes EXT-TRANSP/mes [cite: 1479, 1480]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EB2B5C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Motor de Correlación</w:t>
            </w:r>
          </w:p>
        </w:tc>
      </w:tr>
      <w:tr w:rsidR="007443AF" w14:paraId="67EA5CCC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205899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Respuesta a Alertas de Patrullaje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F3C4D2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≤ 15 minutos en corredores viales [cite: 1481, 1482]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D25A98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Dashboard</w:t>
            </w:r>
            <w:proofErr w:type="spellEnd"/>
            <w:r>
              <w:rPr>
                <w:color w:val="000000"/>
              </w:rPr>
              <w:t xml:space="preserve"> Táctico</w:t>
            </w:r>
          </w:p>
        </w:tc>
      </w:tr>
      <w:tr w:rsidR="007443AF" w14:paraId="7066D51D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F6E763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Identificación de Clústeres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177C4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</w:rPr>
              <w:t>≥ 5 clústeres activos/semana [cite: 1484, 1485]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08B725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ms-</w:t>
            </w:r>
            <w:proofErr w:type="spellStart"/>
            <w:r>
              <w:rPr>
                <w:color w:val="000000"/>
              </w:rPr>
              <w:t>geoanalytics</w:t>
            </w:r>
            <w:proofErr w:type="spellEnd"/>
          </w:p>
        </w:tc>
      </w:tr>
      <w:tr w:rsidR="007443AF" w14:paraId="48377164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0AAF19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Incidentes de </w:t>
            </w:r>
            <w:proofErr w:type="spellStart"/>
            <w:r>
              <w:rPr>
                <w:color w:val="000000"/>
              </w:rPr>
              <w:t>re-identificación</w:t>
            </w:r>
            <w:proofErr w:type="spellEnd"/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EC2BC6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0 incidentes (Anonimato estricto) [cite: 1486]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580EAA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Auditoría DIRIN</w:t>
            </w:r>
          </w:p>
        </w:tc>
      </w:tr>
    </w:tbl>
    <w:p w14:paraId="1205D6CF" w14:textId="77777777" w:rsidR="007443AF" w:rsidRDefault="007443AF">
      <w:pPr>
        <w:pBdr>
          <w:top w:val="nil"/>
          <w:left w:val="nil"/>
          <w:bottom w:val="nil"/>
          <w:right w:val="nil"/>
          <w:between w:val="nil"/>
        </w:pBdr>
        <w:spacing w:before="300" w:after="225" w:line="300" w:lineRule="auto"/>
        <w:rPr>
          <w:color w:val="000000"/>
        </w:rPr>
      </w:pPr>
    </w:p>
    <w:p w14:paraId="050E6FA3" w14:textId="77777777" w:rsidR="007443AF" w:rsidRDefault="00000000">
      <w:pPr>
        <w:pStyle w:val="Ttulo2"/>
        <w:spacing w:line="300" w:lineRule="auto"/>
        <w:rPr>
          <w:color w:val="202124"/>
        </w:rPr>
      </w:pPr>
      <w:r>
        <w:rPr>
          <w:color w:val="202124"/>
        </w:rPr>
        <w:t>Paso 10: Riesgos de Transformación y Mitigación</w:t>
      </w:r>
    </w:p>
    <w:tbl>
      <w:tblPr>
        <w:tblStyle w:val="a6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443AF" w14:paraId="2BF04E09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DD68AE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Riesgo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0591FB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Prob</w:t>
            </w:r>
            <w:proofErr w:type="spellEnd"/>
            <w:r>
              <w:rPr>
                <w:b/>
                <w:bCs/>
                <w:color w:val="000000"/>
              </w:rPr>
              <w:t>. / Impacto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1F3F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BE41EB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Mitigación Inicial</w:t>
            </w:r>
          </w:p>
          <w:p w14:paraId="07F3B841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</w:tr>
      <w:tr w:rsidR="007443AF" w14:paraId="38BFC1D4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EE807E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RIE-02: </w:t>
            </w:r>
            <w:proofErr w:type="spellStart"/>
            <w:r>
              <w:rPr>
                <w:color w:val="000000"/>
              </w:rPr>
              <w:t>Re-identificación</w:t>
            </w:r>
            <w:proofErr w:type="spellEnd"/>
            <w:r>
              <w:rPr>
                <w:color w:val="000000"/>
              </w:rPr>
              <w:t xml:space="preserve"> del Informante por EXIF [cite: 1743, 1744]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C437B8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Media / Crítico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9A4E6F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Bloqueo estricto vía ms-</w:t>
            </w:r>
            <w:proofErr w:type="spellStart"/>
            <w:r>
              <w:rPr>
                <w:color w:val="000000"/>
              </w:rPr>
              <w:t>sanitizer</w:t>
            </w:r>
            <w:proofErr w:type="spellEnd"/>
            <w:r>
              <w:rPr>
                <w:color w:val="000000"/>
              </w:rPr>
              <w:t xml:space="preserve"> (bandera `</w:t>
            </w:r>
            <w:proofErr w:type="spellStart"/>
            <w:r>
              <w:rPr>
                <w:color w:val="000000"/>
              </w:rPr>
              <w:t>exif_sanitizado</w:t>
            </w:r>
            <w:proofErr w:type="spellEnd"/>
            <w:r>
              <w:rPr>
                <w:color w:val="000000"/>
              </w:rPr>
              <w:t>=TRUE`) [cite: 1744].</w:t>
            </w:r>
          </w:p>
        </w:tc>
      </w:tr>
      <w:tr w:rsidR="007443AF" w14:paraId="47C6628C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7BC320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RIE-TRANSP-04: Baja adopción por temor [cite: 1763]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F965B0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Alta / Alto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BEDA38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>Diseño UX enfocado en anonimato y campañas con gremios de transporte de Lima [cite: 1764].</w:t>
            </w:r>
          </w:p>
        </w:tc>
      </w:tr>
      <w:tr w:rsidR="007443AF" w14:paraId="5F7FB0E9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BF6449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RIE-05: Resistencia cultural </w:t>
            </w:r>
            <w:r>
              <w:rPr>
                <w:color w:val="000000"/>
              </w:rPr>
              <w:lastRenderedPageBreak/>
              <w:t>PNP [cite: 1749]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770CAC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Media / Medio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2E1F9E" w14:textId="77777777" w:rsidR="007443A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000000"/>
              </w:rPr>
            </w:pPr>
            <w:r>
              <w:rPr>
                <w:color w:val="000000"/>
              </w:rPr>
              <w:t xml:space="preserve">Plan de gestión del cambio y capacitación a Analistas </w:t>
            </w:r>
            <w:r>
              <w:rPr>
                <w:color w:val="000000"/>
              </w:rPr>
              <w:lastRenderedPageBreak/>
              <w:t>antes de Fase 1 [cite: 1749].</w:t>
            </w:r>
          </w:p>
        </w:tc>
      </w:tr>
    </w:tbl>
    <w:p w14:paraId="40B2C38B" w14:textId="77777777" w:rsidR="007443AF" w:rsidRDefault="007443AF">
      <w:pPr>
        <w:pBdr>
          <w:top w:val="nil"/>
          <w:left w:val="nil"/>
          <w:bottom w:val="nil"/>
          <w:right w:val="nil"/>
          <w:between w:val="nil"/>
        </w:pBdr>
        <w:spacing w:before="300" w:after="225" w:line="300" w:lineRule="auto"/>
        <w:rPr>
          <w:color w:val="000000"/>
        </w:rPr>
      </w:pPr>
    </w:p>
    <w:p w14:paraId="250490BA" w14:textId="77777777" w:rsidR="007443AF" w:rsidRPr="00243781" w:rsidRDefault="00000000">
      <w:pPr>
        <w:pStyle w:val="Ttulo2"/>
        <w:spacing w:line="300" w:lineRule="auto"/>
        <w:rPr>
          <w:color w:val="202124"/>
          <w:lang w:val="en-US"/>
        </w:rPr>
      </w:pPr>
      <w:r w:rsidRPr="00243781">
        <w:rPr>
          <w:color w:val="202124"/>
          <w:lang w:val="en-US"/>
        </w:rPr>
        <w:t>Paso 11: Statement of Architecture Work (</w:t>
      </w:r>
      <w:proofErr w:type="spellStart"/>
      <w:r w:rsidRPr="00243781">
        <w:rPr>
          <w:color w:val="202124"/>
          <w:lang w:val="en-US"/>
        </w:rPr>
        <w:t>SoAW</w:t>
      </w:r>
      <w:proofErr w:type="spellEnd"/>
      <w:r w:rsidRPr="00243781">
        <w:rPr>
          <w:color w:val="202124"/>
          <w:lang w:val="en-US"/>
        </w:rPr>
        <w:t>)</w:t>
      </w:r>
    </w:p>
    <w:p w14:paraId="3B30F242" w14:textId="77777777" w:rsidR="007443AF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Este documento constituye el mandato formal autorizado por DIRIN y DIRINCRI para avanzar hacia el diseño detallado (Fases B, C, D) [cite: 1470, 1471]. El </w:t>
      </w:r>
      <w:proofErr w:type="spellStart"/>
      <w:r>
        <w:rPr>
          <w:color w:val="000000"/>
        </w:rPr>
        <w:t>SoAW</w:t>
      </w:r>
      <w:proofErr w:type="spellEnd"/>
      <w:r>
        <w:rPr>
          <w:color w:val="000000"/>
        </w:rPr>
        <w:t xml:space="preserve"> aprueba el alcance (Módulo EXT-TRANSP en Lima Metropolitana [cite: 1472]), el plan (Piloto en 3 comisarías [cite: 1733, 1734]), la propuesta de valor basada en inteligencia preventiva, los riesgos gestionados y los </w:t>
      </w:r>
      <w:proofErr w:type="spellStart"/>
      <w:r>
        <w:rPr>
          <w:color w:val="000000"/>
        </w:rPr>
        <w:t>KPIs</w:t>
      </w:r>
      <w:proofErr w:type="spellEnd"/>
      <w:r>
        <w:rPr>
          <w:color w:val="000000"/>
        </w:rPr>
        <w:t xml:space="preserve"> de cumplimiento técnico.</w:t>
      </w:r>
    </w:p>
    <w:sectPr w:rsidR="007443A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6F23327-C187-4592-A036-B6CE43B3A56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EB6EE5-0452-46FC-B8F1-3FE88AC3A2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799C86-823C-414B-924C-E41DC51E6A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534D8"/>
    <w:multiLevelType w:val="multilevel"/>
    <w:tmpl w:val="AA3433C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A8C55F6"/>
    <w:multiLevelType w:val="multilevel"/>
    <w:tmpl w:val="E80229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2063785">
    <w:abstractNumId w:val="0"/>
  </w:num>
  <w:num w:numId="2" w16cid:durableId="629479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3AF"/>
    <w:rsid w:val="001812E4"/>
    <w:rsid w:val="00243781"/>
    <w:rsid w:val="0074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A24779"/>
  <w15:docId w15:val="{B8BBCFA0-4592-41C9-8F55-5F1568AD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966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SAUL QUISPE CHAMBI</cp:lastModifiedBy>
  <cp:revision>2</cp:revision>
  <dcterms:created xsi:type="dcterms:W3CDTF">2026-06-05T22:34:00Z</dcterms:created>
  <dcterms:modified xsi:type="dcterms:W3CDTF">2026-06-05T22:36:00Z</dcterms:modified>
</cp:coreProperties>
</file>