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541E9" w14:textId="77777777" w:rsidR="00BE4873" w:rsidRDefault="00000000">
      <w:pPr>
        <w:spacing w:after="100"/>
        <w:jc w:val="center"/>
      </w:pPr>
      <w:r>
        <w:rPr>
          <w:b/>
          <w:bCs/>
          <w:color w:val="1F3864"/>
          <w:sz w:val="40"/>
          <w:szCs w:val="40"/>
        </w:rPr>
        <w:t>TOGAF ADM — FASE E</w:t>
      </w:r>
    </w:p>
    <w:p w14:paraId="384E6DC6" w14:textId="77777777" w:rsidR="00BE4873" w:rsidRDefault="00000000">
      <w:pPr>
        <w:spacing w:after="60"/>
        <w:jc w:val="center"/>
      </w:pPr>
      <w:r>
        <w:rPr>
          <w:b/>
          <w:bCs/>
          <w:sz w:val="28"/>
          <w:szCs w:val="28"/>
        </w:rPr>
        <w:t>Oportunidades y Soluciones</w:t>
      </w:r>
    </w:p>
    <w:p w14:paraId="33D60E83" w14:textId="77777777" w:rsidR="00BE4873" w:rsidRDefault="00000000">
      <w:pPr>
        <w:spacing w:after="300"/>
        <w:jc w:val="center"/>
      </w:pPr>
      <w:r>
        <w:rPr>
          <w:i/>
          <w:iCs/>
          <w:sz w:val="22"/>
          <w:szCs w:val="22"/>
        </w:rPr>
        <w:t>Sistema de Inteligencia Táctica contra Extorsión al Sector Transporte — CTOS-EXT-TRANSP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E4873" w14:paraId="6E14C172"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35F7794E" w14:textId="77777777" w:rsidR="00BE4873" w:rsidRDefault="00000000">
            <w:r>
              <w:rPr>
                <w:b/>
                <w:bCs/>
                <w:color w:val="FFFFFF"/>
                <w:sz w:val="19"/>
                <w:szCs w:val="19"/>
              </w:rPr>
              <w:t>Campo</w:t>
            </w:r>
          </w:p>
        </w:tc>
        <w:tc>
          <w:tcPr>
            <w:tcW w:w="7160" w:type="dxa"/>
            <w:shd w:val="clear" w:color="auto" w:fill="1F3864"/>
            <w:tcMar>
              <w:top w:w="80" w:type="dxa"/>
              <w:left w:w="100" w:type="dxa"/>
              <w:bottom w:w="80" w:type="dxa"/>
              <w:right w:w="100" w:type="dxa"/>
            </w:tcMar>
            <w:vAlign w:val="center"/>
          </w:tcPr>
          <w:p w14:paraId="71F56446" w14:textId="77777777" w:rsidR="00BE4873" w:rsidRDefault="00000000">
            <w:r>
              <w:rPr>
                <w:b/>
                <w:bCs/>
                <w:color w:val="FFFFFF"/>
                <w:sz w:val="19"/>
                <w:szCs w:val="19"/>
              </w:rPr>
              <w:t>Detalle</w:t>
            </w:r>
          </w:p>
        </w:tc>
      </w:tr>
      <w:tr w:rsidR="00BE4873" w14:paraId="46C781BA" w14:textId="77777777">
        <w:tblPrEx>
          <w:tblCellMar>
            <w:top w:w="0" w:type="dxa"/>
            <w:bottom w:w="0" w:type="dxa"/>
          </w:tblCellMar>
        </w:tblPrEx>
        <w:tc>
          <w:tcPr>
            <w:tcW w:w="2200" w:type="dxa"/>
            <w:tcMar>
              <w:top w:w="80" w:type="dxa"/>
              <w:left w:w="100" w:type="dxa"/>
              <w:bottom w:w="80" w:type="dxa"/>
              <w:right w:w="100" w:type="dxa"/>
            </w:tcMar>
            <w:vAlign w:val="center"/>
          </w:tcPr>
          <w:p w14:paraId="2D4E2189" w14:textId="77777777" w:rsidR="00BE4873" w:rsidRDefault="00000000">
            <w:r>
              <w:rPr>
                <w:sz w:val="19"/>
                <w:szCs w:val="19"/>
              </w:rPr>
              <w:t>Artefacto</w:t>
            </w:r>
          </w:p>
        </w:tc>
        <w:tc>
          <w:tcPr>
            <w:tcW w:w="7160" w:type="dxa"/>
            <w:tcMar>
              <w:top w:w="80" w:type="dxa"/>
              <w:left w:w="100" w:type="dxa"/>
              <w:bottom w:w="80" w:type="dxa"/>
              <w:right w:w="100" w:type="dxa"/>
            </w:tcMar>
            <w:vAlign w:val="center"/>
          </w:tcPr>
          <w:p w14:paraId="296946A2" w14:textId="77777777" w:rsidR="00BE4873" w:rsidRDefault="00000000">
            <w:r>
              <w:rPr>
                <w:sz w:val="19"/>
                <w:szCs w:val="19"/>
              </w:rPr>
              <w:t>TOGAF Fase E — Oportunidades y Soluciones (Hoja de Ruta de la Arquitectura)</w:t>
            </w:r>
          </w:p>
        </w:tc>
      </w:tr>
      <w:tr w:rsidR="00BE4873" w14:paraId="4CDE19FA"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6EC8A458" w14:textId="77777777" w:rsidR="00BE4873" w:rsidRDefault="00000000">
            <w:r>
              <w:rPr>
                <w:sz w:val="19"/>
                <w:szCs w:val="19"/>
              </w:rPr>
              <w:t>Sistema</w:t>
            </w:r>
          </w:p>
        </w:tc>
        <w:tc>
          <w:tcPr>
            <w:tcW w:w="7160" w:type="dxa"/>
            <w:shd w:val="clear" w:color="auto" w:fill="F2F2F2"/>
            <w:tcMar>
              <w:top w:w="80" w:type="dxa"/>
              <w:left w:w="100" w:type="dxa"/>
              <w:bottom w:w="80" w:type="dxa"/>
              <w:right w:w="100" w:type="dxa"/>
            </w:tcMar>
            <w:vAlign w:val="center"/>
          </w:tcPr>
          <w:p w14:paraId="2255B3C4" w14:textId="58CC7648" w:rsidR="00BE4873" w:rsidRDefault="00000000">
            <w:r>
              <w:rPr>
                <w:sz w:val="19"/>
                <w:szCs w:val="19"/>
              </w:rPr>
              <w:t>CTOS-EXT-TRANSP</w:t>
            </w:r>
          </w:p>
        </w:tc>
      </w:tr>
      <w:tr w:rsidR="00BE4873" w14:paraId="3A2EECE3" w14:textId="77777777">
        <w:tblPrEx>
          <w:tblCellMar>
            <w:top w:w="0" w:type="dxa"/>
            <w:bottom w:w="0" w:type="dxa"/>
          </w:tblCellMar>
        </w:tblPrEx>
        <w:tc>
          <w:tcPr>
            <w:tcW w:w="2200" w:type="dxa"/>
            <w:tcMar>
              <w:top w:w="80" w:type="dxa"/>
              <w:left w:w="100" w:type="dxa"/>
              <w:bottom w:w="80" w:type="dxa"/>
              <w:right w:w="100" w:type="dxa"/>
            </w:tcMar>
            <w:vAlign w:val="center"/>
          </w:tcPr>
          <w:p w14:paraId="7F97795D" w14:textId="77777777" w:rsidR="00BE4873" w:rsidRDefault="00000000">
            <w:r>
              <w:rPr>
                <w:sz w:val="19"/>
                <w:szCs w:val="19"/>
              </w:rPr>
              <w:t>Clasificación</w:t>
            </w:r>
          </w:p>
        </w:tc>
        <w:tc>
          <w:tcPr>
            <w:tcW w:w="7160" w:type="dxa"/>
            <w:tcMar>
              <w:top w:w="80" w:type="dxa"/>
              <w:left w:w="100" w:type="dxa"/>
              <w:bottom w:w="80" w:type="dxa"/>
              <w:right w:w="100" w:type="dxa"/>
            </w:tcMar>
            <w:vAlign w:val="center"/>
          </w:tcPr>
          <w:p w14:paraId="7117D40D" w14:textId="77777777" w:rsidR="00BE4873" w:rsidRDefault="00000000">
            <w:r>
              <w:rPr>
                <w:sz w:val="19"/>
                <w:szCs w:val="19"/>
              </w:rPr>
              <w:t>RESERVADO — Uso interno PNP</w:t>
            </w:r>
          </w:p>
        </w:tc>
      </w:tr>
      <w:tr w:rsidR="00BE4873" w14:paraId="7FACA4F2"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3542852D" w14:textId="77777777" w:rsidR="00BE4873" w:rsidRDefault="00000000">
            <w:r>
              <w:rPr>
                <w:sz w:val="19"/>
                <w:szCs w:val="19"/>
              </w:rPr>
              <w:t>Fecha de generación</w:t>
            </w:r>
          </w:p>
        </w:tc>
        <w:tc>
          <w:tcPr>
            <w:tcW w:w="7160" w:type="dxa"/>
            <w:shd w:val="clear" w:color="auto" w:fill="F2F2F2"/>
            <w:tcMar>
              <w:top w:w="80" w:type="dxa"/>
              <w:left w:w="100" w:type="dxa"/>
              <w:bottom w:w="80" w:type="dxa"/>
              <w:right w:w="100" w:type="dxa"/>
            </w:tcMar>
            <w:vAlign w:val="center"/>
          </w:tcPr>
          <w:p w14:paraId="53FBD87A" w14:textId="77777777" w:rsidR="00BE4873" w:rsidRDefault="00000000">
            <w:r>
              <w:rPr>
                <w:sz w:val="19"/>
                <w:szCs w:val="19"/>
              </w:rPr>
              <w:t>03 de julio de 2026</w:t>
            </w:r>
          </w:p>
        </w:tc>
      </w:tr>
      <w:tr w:rsidR="00BE4873" w14:paraId="03BA2358" w14:textId="77777777">
        <w:tblPrEx>
          <w:tblCellMar>
            <w:top w:w="0" w:type="dxa"/>
            <w:bottom w:w="0" w:type="dxa"/>
          </w:tblCellMar>
        </w:tblPrEx>
        <w:tc>
          <w:tcPr>
            <w:tcW w:w="2200" w:type="dxa"/>
            <w:tcMar>
              <w:top w:w="80" w:type="dxa"/>
              <w:left w:w="100" w:type="dxa"/>
              <w:bottom w:w="80" w:type="dxa"/>
              <w:right w:w="100" w:type="dxa"/>
            </w:tcMar>
            <w:vAlign w:val="center"/>
          </w:tcPr>
          <w:p w14:paraId="1D40D5F2" w14:textId="77777777" w:rsidR="00BE4873" w:rsidRDefault="00000000">
            <w:r>
              <w:rPr>
                <w:sz w:val="19"/>
                <w:szCs w:val="19"/>
              </w:rPr>
              <w:t>Marco metodológico</w:t>
            </w:r>
          </w:p>
        </w:tc>
        <w:tc>
          <w:tcPr>
            <w:tcW w:w="7160" w:type="dxa"/>
            <w:tcMar>
              <w:top w:w="80" w:type="dxa"/>
              <w:left w:w="100" w:type="dxa"/>
              <w:bottom w:w="80" w:type="dxa"/>
              <w:right w:w="100" w:type="dxa"/>
            </w:tcMar>
            <w:vAlign w:val="center"/>
          </w:tcPr>
          <w:p w14:paraId="5B5C6C78" w14:textId="77777777" w:rsidR="00BE4873" w:rsidRDefault="00000000">
            <w:r>
              <w:rPr>
                <w:sz w:val="19"/>
                <w:szCs w:val="19"/>
              </w:rPr>
              <w:t>TOGAF 9.2 (ADM)</w:t>
            </w:r>
          </w:p>
        </w:tc>
      </w:tr>
    </w:tbl>
    <w:p w14:paraId="16EAA217" w14:textId="77777777" w:rsidR="00BE4873" w:rsidRDefault="00BE4873">
      <w:pPr>
        <w:spacing w:after="100"/>
      </w:pPr>
    </w:p>
    <w:p w14:paraId="42590BE5" w14:textId="77777777" w:rsidR="00BE4873" w:rsidRDefault="00000000">
      <w:pPr>
        <w:spacing w:after="160"/>
      </w:pPr>
      <w:r>
        <w:t>Este documento desarrolla, paso por paso, la Fase E del Método de Desarrollo de la Arquitectura (ADM) para el proyecto CTOS-EXT-TRANSP, generando la Hoja de Ruta de la Arquitectura y determinando las Arquitecturas de Transición requeridas para una implementación incremental.</w:t>
      </w:r>
    </w:p>
    <w:p w14:paraId="6D2A2B3A" w14:textId="77777777" w:rsidR="00BE4873" w:rsidRDefault="00000000">
      <w:pPr>
        <w:pStyle w:val="Ttulo1"/>
      </w:pPr>
      <w:r>
        <w:t>0. Encuadre del capítulo</w:t>
      </w:r>
    </w:p>
    <w:p w14:paraId="05C94483" w14:textId="77777777" w:rsidR="00BE4873" w:rsidRDefault="00000000">
      <w:pPr>
        <w:spacing w:after="160"/>
      </w:pPr>
      <w:r>
        <w:rPr>
          <w:b/>
          <w:bCs/>
        </w:rPr>
        <w:t>Objetivos de la fase:</w:t>
      </w:r>
    </w:p>
    <w:p w14:paraId="1556138F" w14:textId="77777777" w:rsidR="00BE4873" w:rsidRDefault="00000000">
      <w:pPr>
        <w:pStyle w:val="Prrafodelista"/>
        <w:numPr>
          <w:ilvl w:val="0"/>
          <w:numId w:val="1"/>
        </w:numPr>
        <w:spacing w:after="80"/>
      </w:pPr>
      <w:r>
        <w:t>Generar la versión inicial completa de la Hoja de Ruta de la Arquitectura, basada en el análisis de brechas y en los componentes candidatos identificados en las etapas previas de negocio, datos y tecnología.</w:t>
      </w:r>
    </w:p>
    <w:p w14:paraId="223910BF" w14:textId="77777777" w:rsidR="00BE4873" w:rsidRDefault="00000000">
      <w:pPr>
        <w:pStyle w:val="Prrafodelista"/>
        <w:numPr>
          <w:ilvl w:val="0"/>
          <w:numId w:val="1"/>
        </w:numPr>
        <w:spacing w:after="80"/>
      </w:pPr>
      <w:r>
        <w:t>Determinar si se requiere un enfoque incremental y, de ser así, identificar las Arquitecturas de Transición que entregarán valor continuo al negocio.</w:t>
      </w:r>
    </w:p>
    <w:p w14:paraId="024420EB" w14:textId="77777777" w:rsidR="00BE4873" w:rsidRDefault="00000000">
      <w:pPr>
        <w:spacing w:after="160"/>
      </w:pPr>
      <w:r>
        <w:t>Contexto crítico previo a esta fase: existen tres decisiones de posicionamiento institucional aún abiertas — la relación con la División del Observatorio del Crimen de la PNP (creada por la Ley N.° 32490), con el Programa Asyste (ATU/Ministerio Público) y con el botón de pánico del sistema C5i — que deben resolverse en la etapa inicial del plan, antes de dar por aprobada la fase de Visión. Esta Fase E se construye asumiendo que esas tres decisiones aún no están cerradas, y por tanto se tratan como brecha de gobierno, no como brecha técnica menor.</w:t>
      </w:r>
    </w:p>
    <w:p w14:paraId="0AAF8D53" w14:textId="77777777" w:rsidR="00BE4873" w:rsidRDefault="00000000">
      <w:pPr>
        <w:pStyle w:val="Ttulo1"/>
      </w:pPr>
      <w:r>
        <w:t>Paso 1 — Determinar/confirmar los atributos clave del cambio corporativo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900"/>
        <w:gridCol w:w="3660"/>
      </w:tblGrid>
      <w:tr w:rsidR="00BE4873" w14:paraId="2585EB3E"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vAlign w:val="center"/>
          </w:tcPr>
          <w:p w14:paraId="0BCD543E" w14:textId="77777777" w:rsidR="00BE4873" w:rsidRDefault="00000000">
            <w:r>
              <w:rPr>
                <w:b/>
                <w:bCs/>
                <w:color w:val="FFFFFF"/>
                <w:sz w:val="19"/>
                <w:szCs w:val="19"/>
              </w:rPr>
              <w:t>Atributo del cambio</w:t>
            </w:r>
          </w:p>
        </w:tc>
        <w:tc>
          <w:tcPr>
            <w:tcW w:w="3900" w:type="dxa"/>
            <w:shd w:val="clear" w:color="auto" w:fill="1F3864"/>
            <w:tcMar>
              <w:top w:w="80" w:type="dxa"/>
              <w:left w:w="100" w:type="dxa"/>
              <w:bottom w:w="80" w:type="dxa"/>
              <w:right w:w="100" w:type="dxa"/>
            </w:tcMar>
            <w:vAlign w:val="center"/>
          </w:tcPr>
          <w:p w14:paraId="5F2583A3" w14:textId="77777777" w:rsidR="00BE4873" w:rsidRDefault="00000000">
            <w:r>
              <w:rPr>
                <w:b/>
                <w:bCs/>
                <w:color w:val="FFFFFF"/>
                <w:sz w:val="19"/>
                <w:szCs w:val="19"/>
              </w:rPr>
              <w:t>Situación para CTOS-EXT-TRANSP</w:t>
            </w:r>
          </w:p>
        </w:tc>
        <w:tc>
          <w:tcPr>
            <w:tcW w:w="3660" w:type="dxa"/>
            <w:shd w:val="clear" w:color="auto" w:fill="1F3864"/>
            <w:tcMar>
              <w:top w:w="80" w:type="dxa"/>
              <w:left w:w="100" w:type="dxa"/>
              <w:bottom w:w="80" w:type="dxa"/>
              <w:right w:w="100" w:type="dxa"/>
            </w:tcMar>
            <w:vAlign w:val="center"/>
          </w:tcPr>
          <w:p w14:paraId="3D37ECD8" w14:textId="77777777" w:rsidR="00BE4873" w:rsidRDefault="00000000">
            <w:r>
              <w:rPr>
                <w:b/>
                <w:bCs/>
                <w:color w:val="FFFFFF"/>
                <w:sz w:val="19"/>
                <w:szCs w:val="19"/>
              </w:rPr>
              <w:t>Implicancia para la Hoja de Ruta</w:t>
            </w:r>
          </w:p>
        </w:tc>
      </w:tr>
      <w:tr w:rsidR="00BE4873" w14:paraId="1F56C08C" w14:textId="77777777">
        <w:tblPrEx>
          <w:tblCellMar>
            <w:top w:w="0" w:type="dxa"/>
            <w:bottom w:w="0" w:type="dxa"/>
          </w:tblCellMar>
        </w:tblPrEx>
        <w:tc>
          <w:tcPr>
            <w:tcW w:w="1800" w:type="dxa"/>
            <w:tcMar>
              <w:top w:w="80" w:type="dxa"/>
              <w:left w:w="100" w:type="dxa"/>
              <w:bottom w:w="80" w:type="dxa"/>
              <w:right w:w="100" w:type="dxa"/>
            </w:tcMar>
            <w:vAlign w:val="center"/>
          </w:tcPr>
          <w:p w14:paraId="1D9E7C06" w14:textId="77777777" w:rsidR="00BE4873" w:rsidRDefault="00000000">
            <w:r>
              <w:rPr>
                <w:sz w:val="19"/>
                <w:szCs w:val="19"/>
              </w:rPr>
              <w:t>Grado de cambio</w:t>
            </w:r>
          </w:p>
        </w:tc>
        <w:tc>
          <w:tcPr>
            <w:tcW w:w="3900" w:type="dxa"/>
            <w:tcMar>
              <w:top w:w="80" w:type="dxa"/>
              <w:left w:w="100" w:type="dxa"/>
              <w:bottom w:w="80" w:type="dxa"/>
              <w:right w:w="100" w:type="dxa"/>
            </w:tcMar>
            <w:vAlign w:val="center"/>
          </w:tcPr>
          <w:p w14:paraId="6408A521" w14:textId="77777777" w:rsidR="00BE4873" w:rsidRDefault="00000000">
            <w:r>
              <w:rPr>
                <w:sz w:val="19"/>
                <w:szCs w:val="19"/>
              </w:rPr>
              <w:t>Sistema nuevo (greenfield técnico) que opera en un ecosistema institucional ya poblado (canales de denuncia existentes, programas de protección al transportista, observatorio delictivo)</w:t>
            </w:r>
          </w:p>
        </w:tc>
        <w:tc>
          <w:tcPr>
            <w:tcW w:w="3660" w:type="dxa"/>
            <w:tcMar>
              <w:top w:w="80" w:type="dxa"/>
              <w:left w:w="100" w:type="dxa"/>
              <w:bottom w:w="80" w:type="dxa"/>
              <w:right w:w="100" w:type="dxa"/>
            </w:tcMar>
            <w:vAlign w:val="center"/>
          </w:tcPr>
          <w:p w14:paraId="3AB3D09C" w14:textId="77777777" w:rsidR="00BE4873" w:rsidRDefault="00000000">
            <w:r>
              <w:rPr>
                <w:sz w:val="19"/>
                <w:szCs w:val="19"/>
              </w:rPr>
              <w:t>No es una migración de reemplazo; es una incorporación coexistente. La hoja de ruta debe incluir hitos de articulación, no solo de construcción</w:t>
            </w:r>
          </w:p>
        </w:tc>
      </w:tr>
      <w:tr w:rsidR="00BE4873" w14:paraId="09FA7493"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5E258676" w14:textId="77777777" w:rsidR="00BE4873" w:rsidRDefault="00000000">
            <w:r>
              <w:rPr>
                <w:sz w:val="19"/>
                <w:szCs w:val="19"/>
              </w:rPr>
              <w:lastRenderedPageBreak/>
              <w:t>Alcance del cambio</w:t>
            </w:r>
          </w:p>
        </w:tc>
        <w:tc>
          <w:tcPr>
            <w:tcW w:w="3900" w:type="dxa"/>
            <w:shd w:val="clear" w:color="auto" w:fill="F2F2F2"/>
            <w:tcMar>
              <w:top w:w="80" w:type="dxa"/>
              <w:left w:w="100" w:type="dxa"/>
              <w:bottom w:w="80" w:type="dxa"/>
              <w:right w:w="100" w:type="dxa"/>
            </w:tcMar>
            <w:vAlign w:val="center"/>
          </w:tcPr>
          <w:p w14:paraId="60A44145" w14:textId="77777777" w:rsidR="00BE4873" w:rsidRDefault="00000000">
            <w:r>
              <w:rPr>
                <w:sz w:val="19"/>
                <w:szCs w:val="19"/>
              </w:rPr>
              <w:t>Un solo submódulo de un programa institucional mayor de inteligencia contra la extorsión</w:t>
            </w:r>
          </w:p>
        </w:tc>
        <w:tc>
          <w:tcPr>
            <w:tcW w:w="3660" w:type="dxa"/>
            <w:shd w:val="clear" w:color="auto" w:fill="F2F2F2"/>
            <w:tcMar>
              <w:top w:w="80" w:type="dxa"/>
              <w:left w:w="100" w:type="dxa"/>
              <w:bottom w:w="80" w:type="dxa"/>
              <w:right w:w="100" w:type="dxa"/>
            </w:tcMar>
            <w:vAlign w:val="center"/>
          </w:tcPr>
          <w:p w14:paraId="1868DD32" w14:textId="77777777" w:rsidR="00BE4873" w:rsidRDefault="00000000">
            <w:r>
              <w:rPr>
                <w:sz w:val="19"/>
                <w:szCs w:val="19"/>
              </w:rPr>
              <w:t>El cambio corporativo mayor no se aborda aquí; se documenta como fuera de alcance para evitar sobre-prometer</w:t>
            </w:r>
          </w:p>
        </w:tc>
      </w:tr>
      <w:tr w:rsidR="00BE4873" w14:paraId="7AC645B2" w14:textId="77777777">
        <w:tblPrEx>
          <w:tblCellMar>
            <w:top w:w="0" w:type="dxa"/>
            <w:bottom w:w="0" w:type="dxa"/>
          </w:tblCellMar>
        </w:tblPrEx>
        <w:tc>
          <w:tcPr>
            <w:tcW w:w="1800" w:type="dxa"/>
            <w:tcMar>
              <w:top w:w="80" w:type="dxa"/>
              <w:left w:w="100" w:type="dxa"/>
              <w:bottom w:w="80" w:type="dxa"/>
              <w:right w:w="100" w:type="dxa"/>
            </w:tcMar>
            <w:vAlign w:val="center"/>
          </w:tcPr>
          <w:p w14:paraId="6856E1B9" w14:textId="77777777" w:rsidR="00BE4873" w:rsidRDefault="00000000">
            <w:r>
              <w:rPr>
                <w:sz w:val="19"/>
                <w:szCs w:val="19"/>
              </w:rPr>
              <w:t>Naturaleza del cambio</w:t>
            </w:r>
          </w:p>
        </w:tc>
        <w:tc>
          <w:tcPr>
            <w:tcW w:w="3900" w:type="dxa"/>
            <w:tcMar>
              <w:top w:w="80" w:type="dxa"/>
              <w:left w:w="100" w:type="dxa"/>
              <w:bottom w:w="80" w:type="dxa"/>
              <w:right w:w="100" w:type="dxa"/>
            </w:tcMar>
            <w:vAlign w:val="center"/>
          </w:tcPr>
          <w:p w14:paraId="681E6A7E" w14:textId="77777777" w:rsidR="00BE4873" w:rsidRDefault="00000000">
            <w:r>
              <w:rPr>
                <w:sz w:val="19"/>
                <w:szCs w:val="19"/>
              </w:rPr>
              <w:t>Preventivo/inteligencia táctica, explícitamente no penal</w:t>
            </w:r>
          </w:p>
        </w:tc>
        <w:tc>
          <w:tcPr>
            <w:tcW w:w="3660" w:type="dxa"/>
            <w:tcMar>
              <w:top w:w="80" w:type="dxa"/>
              <w:left w:w="100" w:type="dxa"/>
              <w:bottom w:w="80" w:type="dxa"/>
              <w:right w:w="100" w:type="dxa"/>
            </w:tcMar>
            <w:vAlign w:val="center"/>
          </w:tcPr>
          <w:p w14:paraId="71E86060" w14:textId="77777777" w:rsidR="00BE4873" w:rsidRDefault="00000000">
            <w:r>
              <w:rPr>
                <w:sz w:val="19"/>
                <w:szCs w:val="19"/>
              </w:rPr>
              <w:t>Condiciona qué unidades PNP deben involucrarse desde ya (inteligencia, comisarías) y cuáles no (fiscalía, salvo puente agregado a evaluar)</w:t>
            </w:r>
          </w:p>
        </w:tc>
      </w:tr>
      <w:tr w:rsidR="00BE4873" w14:paraId="4A8A9A3D"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236CC390" w14:textId="77777777" w:rsidR="00BE4873" w:rsidRDefault="00000000">
            <w:r>
              <w:rPr>
                <w:sz w:val="19"/>
                <w:szCs w:val="19"/>
              </w:rPr>
              <w:t>Readiness organizacional</w:t>
            </w:r>
          </w:p>
        </w:tc>
        <w:tc>
          <w:tcPr>
            <w:tcW w:w="3900" w:type="dxa"/>
            <w:shd w:val="clear" w:color="auto" w:fill="F2F2F2"/>
            <w:tcMar>
              <w:top w:w="80" w:type="dxa"/>
              <w:left w:w="100" w:type="dxa"/>
              <w:bottom w:w="80" w:type="dxa"/>
              <w:right w:w="100" w:type="dxa"/>
            </w:tcMar>
            <w:vAlign w:val="center"/>
          </w:tcPr>
          <w:p w14:paraId="1E973592" w14:textId="77777777" w:rsidR="00BE4873" w:rsidRDefault="00000000">
            <w:r>
              <w:rPr>
                <w:sz w:val="19"/>
                <w:szCs w:val="19"/>
              </w:rPr>
              <w:t>Equipo reducido, con dependencias secuenciales entre etapas de trabajo</w:t>
            </w:r>
          </w:p>
        </w:tc>
        <w:tc>
          <w:tcPr>
            <w:tcW w:w="3660" w:type="dxa"/>
            <w:shd w:val="clear" w:color="auto" w:fill="F2F2F2"/>
            <w:tcMar>
              <w:top w:w="80" w:type="dxa"/>
              <w:left w:w="100" w:type="dxa"/>
              <w:bottom w:w="80" w:type="dxa"/>
              <w:right w:w="100" w:type="dxa"/>
            </w:tcMar>
            <w:vAlign w:val="center"/>
          </w:tcPr>
          <w:p w14:paraId="29EED5BE" w14:textId="77777777" w:rsidR="00BE4873" w:rsidRDefault="00000000">
            <w:r>
              <w:rPr>
                <w:sz w:val="19"/>
                <w:szCs w:val="19"/>
              </w:rPr>
              <w:t>El ritmo de entrega de la Hoja de Ruta está limitado por capacidad de equipo, no solo por complejidad técnica</w:t>
            </w:r>
          </w:p>
        </w:tc>
      </w:tr>
      <w:tr w:rsidR="00BE4873" w14:paraId="112F5915" w14:textId="77777777">
        <w:tblPrEx>
          <w:tblCellMar>
            <w:top w:w="0" w:type="dxa"/>
            <w:bottom w:w="0" w:type="dxa"/>
          </w:tblCellMar>
        </w:tblPrEx>
        <w:tc>
          <w:tcPr>
            <w:tcW w:w="1800" w:type="dxa"/>
            <w:tcMar>
              <w:top w:w="80" w:type="dxa"/>
              <w:left w:w="100" w:type="dxa"/>
              <w:bottom w:w="80" w:type="dxa"/>
              <w:right w:w="100" w:type="dxa"/>
            </w:tcMar>
            <w:vAlign w:val="center"/>
          </w:tcPr>
          <w:p w14:paraId="424BE330" w14:textId="77777777" w:rsidR="00BE4873" w:rsidRDefault="00000000">
            <w:r>
              <w:rPr>
                <w:sz w:val="19"/>
                <w:szCs w:val="19"/>
              </w:rPr>
              <w:t>Restricción temporal declarada</w:t>
            </w:r>
          </w:p>
        </w:tc>
        <w:tc>
          <w:tcPr>
            <w:tcW w:w="3900" w:type="dxa"/>
            <w:tcMar>
              <w:top w:w="80" w:type="dxa"/>
              <w:left w:w="100" w:type="dxa"/>
              <w:bottom w:w="80" w:type="dxa"/>
              <w:right w:w="100" w:type="dxa"/>
            </w:tcMar>
            <w:vAlign w:val="center"/>
          </w:tcPr>
          <w:p w14:paraId="745777C9" w14:textId="77777777" w:rsidR="00BE4873" w:rsidRDefault="00000000">
            <w:r>
              <w:rPr>
                <w:sz w:val="19"/>
                <w:szCs w:val="19"/>
              </w:rPr>
              <w:t>Horizonte de 24 meses desde la aprobación de la fase de Visión</w:t>
            </w:r>
          </w:p>
        </w:tc>
        <w:tc>
          <w:tcPr>
            <w:tcW w:w="3660" w:type="dxa"/>
            <w:tcMar>
              <w:top w:w="80" w:type="dxa"/>
              <w:left w:w="100" w:type="dxa"/>
              <w:bottom w:w="80" w:type="dxa"/>
              <w:right w:w="100" w:type="dxa"/>
            </w:tcMar>
            <w:vAlign w:val="center"/>
          </w:tcPr>
          <w:p w14:paraId="5A9B4192" w14:textId="77777777" w:rsidR="00BE4873" w:rsidRDefault="00000000">
            <w:r>
              <w:rPr>
                <w:sz w:val="19"/>
                <w:szCs w:val="19"/>
              </w:rPr>
              <w:t>Toda Arquitectura de Transición debe caber dentro de esa ventana</w:t>
            </w:r>
          </w:p>
        </w:tc>
      </w:tr>
      <w:tr w:rsidR="00BE4873" w14:paraId="23040A4C"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60792257" w14:textId="77777777" w:rsidR="00BE4873" w:rsidRDefault="00000000">
            <w:r>
              <w:rPr>
                <w:sz w:val="19"/>
                <w:szCs w:val="19"/>
              </w:rPr>
              <w:t>Geografía del cambio</w:t>
            </w:r>
          </w:p>
        </w:tc>
        <w:tc>
          <w:tcPr>
            <w:tcW w:w="3900" w:type="dxa"/>
            <w:shd w:val="clear" w:color="auto" w:fill="F2F2F2"/>
            <w:tcMar>
              <w:top w:w="80" w:type="dxa"/>
              <w:left w:w="100" w:type="dxa"/>
              <w:bottom w:w="80" w:type="dxa"/>
              <w:right w:w="100" w:type="dxa"/>
            </w:tcMar>
            <w:vAlign w:val="center"/>
          </w:tcPr>
          <w:p w14:paraId="222747C9" w14:textId="77777777" w:rsidR="00BE4873" w:rsidRDefault="00000000">
            <w:r>
              <w:rPr>
                <w:sz w:val="19"/>
                <w:szCs w:val="19"/>
              </w:rPr>
              <w:t>Piloto en tres distritos de Lima Este/Centro, con expansión posterior a 43 distritos de Lima Metropolitana</w:t>
            </w:r>
          </w:p>
        </w:tc>
        <w:tc>
          <w:tcPr>
            <w:tcW w:w="3660" w:type="dxa"/>
            <w:shd w:val="clear" w:color="auto" w:fill="F2F2F2"/>
            <w:tcMar>
              <w:top w:w="80" w:type="dxa"/>
              <w:left w:w="100" w:type="dxa"/>
              <w:bottom w:w="80" w:type="dxa"/>
              <w:right w:w="100" w:type="dxa"/>
            </w:tcMar>
            <w:vAlign w:val="center"/>
          </w:tcPr>
          <w:p w14:paraId="57F9BE3D" w14:textId="77777777" w:rsidR="00BE4873" w:rsidRDefault="00000000">
            <w:r>
              <w:rPr>
                <w:sz w:val="19"/>
                <w:szCs w:val="19"/>
              </w:rPr>
              <w:t>El cambio es incremental por cobertura geográfica, uno de los dos ejes de la estrategia de transición (el otro es funcional)</w:t>
            </w:r>
          </w:p>
        </w:tc>
      </w:tr>
    </w:tbl>
    <w:p w14:paraId="6D0BBACE" w14:textId="77777777" w:rsidR="00BE4873" w:rsidRDefault="00000000">
      <w:pPr>
        <w:pStyle w:val="Ttulo1"/>
      </w:pPr>
      <w:r>
        <w:t>Paso 2 — Determinar las restricciones del negocio para la implementación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4873" w14:paraId="01011DA5"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760A6FB0" w14:textId="77777777" w:rsidR="00BE4873" w:rsidRDefault="00000000">
            <w:r>
              <w:rPr>
                <w:b/>
                <w:bCs/>
                <w:color w:val="FFFFFF"/>
                <w:sz w:val="19"/>
                <w:szCs w:val="19"/>
              </w:rPr>
              <w:t>Tipo de restricción</w:t>
            </w:r>
          </w:p>
        </w:tc>
        <w:tc>
          <w:tcPr>
            <w:tcW w:w="6960" w:type="dxa"/>
            <w:shd w:val="clear" w:color="auto" w:fill="1F3864"/>
            <w:tcMar>
              <w:top w:w="80" w:type="dxa"/>
              <w:left w:w="100" w:type="dxa"/>
              <w:bottom w:w="80" w:type="dxa"/>
              <w:right w:w="100" w:type="dxa"/>
            </w:tcMar>
            <w:vAlign w:val="center"/>
          </w:tcPr>
          <w:p w14:paraId="096BA0B6" w14:textId="77777777" w:rsidR="00BE4873" w:rsidRDefault="00000000">
            <w:r>
              <w:rPr>
                <w:b/>
                <w:bCs/>
                <w:color w:val="FFFFFF"/>
                <w:sz w:val="19"/>
                <w:szCs w:val="19"/>
              </w:rPr>
              <w:t>Detalle</w:t>
            </w:r>
          </w:p>
        </w:tc>
      </w:tr>
      <w:tr w:rsidR="00BE4873" w14:paraId="21927206" w14:textId="77777777">
        <w:tblPrEx>
          <w:tblCellMar>
            <w:top w:w="0" w:type="dxa"/>
            <w:bottom w:w="0" w:type="dxa"/>
          </w:tblCellMar>
        </w:tblPrEx>
        <w:tc>
          <w:tcPr>
            <w:tcW w:w="2400" w:type="dxa"/>
            <w:tcMar>
              <w:top w:w="80" w:type="dxa"/>
              <w:left w:w="100" w:type="dxa"/>
              <w:bottom w:w="80" w:type="dxa"/>
              <w:right w:w="100" w:type="dxa"/>
            </w:tcMar>
            <w:vAlign w:val="center"/>
          </w:tcPr>
          <w:p w14:paraId="22DAE6E9" w14:textId="77777777" w:rsidR="00BE4873" w:rsidRDefault="00000000">
            <w:r>
              <w:rPr>
                <w:sz w:val="19"/>
                <w:szCs w:val="19"/>
              </w:rPr>
              <w:t>Legal</w:t>
            </w:r>
          </w:p>
        </w:tc>
        <w:tc>
          <w:tcPr>
            <w:tcW w:w="6960" w:type="dxa"/>
            <w:tcMar>
              <w:top w:w="80" w:type="dxa"/>
              <w:left w:w="100" w:type="dxa"/>
              <w:bottom w:w="80" w:type="dxa"/>
              <w:right w:w="100" w:type="dxa"/>
            </w:tcMar>
            <w:vAlign w:val="center"/>
          </w:tcPr>
          <w:p w14:paraId="42D93351" w14:textId="77777777" w:rsidR="00BE4873" w:rsidRDefault="00000000">
            <w:r>
              <w:rPr>
                <w:sz w:val="19"/>
                <w:szCs w:val="19"/>
              </w:rPr>
              <w:t>El Código Penal limita el sistema a inteligencia preventiva; la Ley N.° 32490 y su reglamento crean obligaciones nuevas (observatorio delictivo, grupo interinstitucional, sistema de videovigilancia C5i) que el proyecto aún no ha resuelto cómo absorber</w:t>
            </w:r>
          </w:p>
        </w:tc>
      </w:tr>
      <w:tr w:rsidR="00BE4873" w14:paraId="0F31729D"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A2D05D5" w14:textId="77777777" w:rsidR="00BE4873" w:rsidRDefault="00000000">
            <w:r>
              <w:rPr>
                <w:sz w:val="19"/>
                <w:szCs w:val="19"/>
              </w:rPr>
              <w:t>Privacidad (no negociable)</w:t>
            </w:r>
          </w:p>
        </w:tc>
        <w:tc>
          <w:tcPr>
            <w:tcW w:w="6960" w:type="dxa"/>
            <w:shd w:val="clear" w:color="auto" w:fill="F2F2F2"/>
            <w:tcMar>
              <w:top w:w="80" w:type="dxa"/>
              <w:left w:w="100" w:type="dxa"/>
              <w:bottom w:w="80" w:type="dxa"/>
              <w:right w:w="100" w:type="dxa"/>
            </w:tcMar>
            <w:vAlign w:val="center"/>
          </w:tcPr>
          <w:p w14:paraId="7C4571F3" w14:textId="77777777" w:rsidR="00BE4873" w:rsidRDefault="00000000">
            <w:r>
              <w:rPr>
                <w:sz w:val="19"/>
                <w:szCs w:val="19"/>
              </w:rPr>
              <w:t>Anonimato estructural y minimización de datos; ninguna decisión de esta fase puede proponer una solución que las relaje</w:t>
            </w:r>
          </w:p>
        </w:tc>
      </w:tr>
      <w:tr w:rsidR="00BE4873" w14:paraId="0C0A1FC2" w14:textId="77777777">
        <w:tblPrEx>
          <w:tblCellMar>
            <w:top w:w="0" w:type="dxa"/>
            <w:bottom w:w="0" w:type="dxa"/>
          </w:tblCellMar>
        </w:tblPrEx>
        <w:tc>
          <w:tcPr>
            <w:tcW w:w="2400" w:type="dxa"/>
            <w:tcMar>
              <w:top w:w="80" w:type="dxa"/>
              <w:left w:w="100" w:type="dxa"/>
              <w:bottom w:w="80" w:type="dxa"/>
              <w:right w:w="100" w:type="dxa"/>
            </w:tcMar>
            <w:vAlign w:val="center"/>
          </w:tcPr>
          <w:p w14:paraId="7706A3E9" w14:textId="77777777" w:rsidR="00BE4873" w:rsidRDefault="00000000">
            <w:r>
              <w:rPr>
                <w:sz w:val="19"/>
                <w:szCs w:val="19"/>
              </w:rPr>
              <w:t>Tecnológica</w:t>
            </w:r>
          </w:p>
        </w:tc>
        <w:tc>
          <w:tcPr>
            <w:tcW w:w="6960" w:type="dxa"/>
            <w:tcMar>
              <w:top w:w="80" w:type="dxa"/>
              <w:left w:w="100" w:type="dxa"/>
              <w:bottom w:w="80" w:type="dxa"/>
              <w:right w:w="100" w:type="dxa"/>
            </w:tcMar>
            <w:vAlign w:val="center"/>
          </w:tcPr>
          <w:p w14:paraId="54CB084C" w14:textId="77777777" w:rsidR="00BE4873" w:rsidRDefault="00000000">
            <w:r>
              <w:rPr>
                <w:sz w:val="19"/>
                <w:szCs w:val="19"/>
              </w:rPr>
              <w:t>Arquitectura híbrida obligatoria: todo dato sensible se mantiene en infraestructura propia; los servicios en la nube se reservan solo para componentes sin datos sensibles</w:t>
            </w:r>
          </w:p>
        </w:tc>
      </w:tr>
      <w:tr w:rsidR="00BE4873" w14:paraId="46C2FF83"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7B710846" w14:textId="77777777" w:rsidR="00BE4873" w:rsidRDefault="00000000">
            <w:r>
              <w:rPr>
                <w:sz w:val="19"/>
                <w:szCs w:val="19"/>
              </w:rPr>
              <w:t>Integraciones</w:t>
            </w:r>
          </w:p>
        </w:tc>
        <w:tc>
          <w:tcPr>
            <w:tcW w:w="6960" w:type="dxa"/>
            <w:shd w:val="clear" w:color="auto" w:fill="F2F2F2"/>
            <w:tcMar>
              <w:top w:w="80" w:type="dxa"/>
              <w:left w:w="100" w:type="dxa"/>
              <w:bottom w:w="80" w:type="dxa"/>
              <w:right w:w="100" w:type="dxa"/>
            </w:tcMar>
            <w:vAlign w:val="center"/>
          </w:tcPr>
          <w:p w14:paraId="3A576B7A" w14:textId="77777777" w:rsidR="00BE4873" w:rsidRDefault="00000000">
            <w:r>
              <w:rPr>
                <w:sz w:val="19"/>
                <w:szCs w:val="19"/>
              </w:rPr>
              <w:t>Existe una lista cerrada de integraciones autorizadas; dos integraciones adicionales (con el observatorio delictivo y con el programa de protección al transportista) están pendientes de decisión, no autorizadas todavía</w:t>
            </w:r>
          </w:p>
        </w:tc>
      </w:tr>
      <w:tr w:rsidR="00BE4873" w14:paraId="292064F1" w14:textId="77777777">
        <w:tblPrEx>
          <w:tblCellMar>
            <w:top w:w="0" w:type="dxa"/>
            <w:bottom w:w="0" w:type="dxa"/>
          </w:tblCellMar>
        </w:tblPrEx>
        <w:tc>
          <w:tcPr>
            <w:tcW w:w="2400" w:type="dxa"/>
            <w:tcMar>
              <w:top w:w="80" w:type="dxa"/>
              <w:left w:w="100" w:type="dxa"/>
              <w:bottom w:w="80" w:type="dxa"/>
              <w:right w:w="100" w:type="dxa"/>
            </w:tcMar>
            <w:vAlign w:val="center"/>
          </w:tcPr>
          <w:p w14:paraId="41D11669" w14:textId="77777777" w:rsidR="00BE4873" w:rsidRDefault="00000000">
            <w:r>
              <w:rPr>
                <w:sz w:val="19"/>
                <w:szCs w:val="19"/>
              </w:rPr>
              <w:t>Presupuestaria / Capacidad</w:t>
            </w:r>
          </w:p>
        </w:tc>
        <w:tc>
          <w:tcPr>
            <w:tcW w:w="6960" w:type="dxa"/>
            <w:tcMar>
              <w:top w:w="80" w:type="dxa"/>
              <w:left w:w="100" w:type="dxa"/>
              <w:bottom w:w="80" w:type="dxa"/>
              <w:right w:w="100" w:type="dxa"/>
            </w:tcMar>
            <w:vAlign w:val="center"/>
          </w:tcPr>
          <w:p w14:paraId="0D55A179" w14:textId="77777777" w:rsidR="00BE4873" w:rsidRDefault="00000000">
            <w:r>
              <w:rPr>
                <w:sz w:val="19"/>
                <w:szCs w:val="19"/>
              </w:rPr>
              <w:t>Equipo reducido con cargas desiguales entre frentes; no hay presupuesto adicional documentado más allá del ya asignado al proyecto</w:t>
            </w:r>
          </w:p>
        </w:tc>
      </w:tr>
      <w:tr w:rsidR="00BE4873" w14:paraId="3853F1DA"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5ACD3E0D" w14:textId="77777777" w:rsidR="00BE4873" w:rsidRDefault="00000000">
            <w:r>
              <w:rPr>
                <w:sz w:val="19"/>
                <w:szCs w:val="19"/>
              </w:rPr>
              <w:t>Cronograma</w:t>
            </w:r>
          </w:p>
        </w:tc>
        <w:tc>
          <w:tcPr>
            <w:tcW w:w="6960" w:type="dxa"/>
            <w:shd w:val="clear" w:color="auto" w:fill="F2F2F2"/>
            <w:tcMar>
              <w:top w:w="80" w:type="dxa"/>
              <w:left w:w="100" w:type="dxa"/>
              <w:bottom w:w="80" w:type="dxa"/>
              <w:right w:w="100" w:type="dxa"/>
            </w:tcMar>
            <w:vAlign w:val="center"/>
          </w:tcPr>
          <w:p w14:paraId="0ED26406" w14:textId="77777777" w:rsidR="00BE4873" w:rsidRDefault="00000000">
            <w:r>
              <w:rPr>
                <w:sz w:val="19"/>
                <w:szCs w:val="19"/>
              </w:rPr>
              <w:t>24 meses totales, distribuidos en cuatro fases de implementación ya predefinidas</w:t>
            </w:r>
          </w:p>
        </w:tc>
      </w:tr>
      <w:tr w:rsidR="00BE4873" w14:paraId="7BA5AB3C" w14:textId="77777777">
        <w:tblPrEx>
          <w:tblCellMar>
            <w:top w:w="0" w:type="dxa"/>
            <w:bottom w:w="0" w:type="dxa"/>
          </w:tblCellMar>
        </w:tblPrEx>
        <w:tc>
          <w:tcPr>
            <w:tcW w:w="2400" w:type="dxa"/>
            <w:tcMar>
              <w:top w:w="80" w:type="dxa"/>
              <w:left w:w="100" w:type="dxa"/>
              <w:bottom w:w="80" w:type="dxa"/>
              <w:right w:w="100" w:type="dxa"/>
            </w:tcMar>
            <w:vAlign w:val="center"/>
          </w:tcPr>
          <w:p w14:paraId="07721077" w14:textId="77777777" w:rsidR="00BE4873" w:rsidRDefault="00000000">
            <w:r>
              <w:rPr>
                <w:sz w:val="19"/>
                <w:szCs w:val="19"/>
              </w:rPr>
              <w:t>Gobierno / coordinación externa</w:t>
            </w:r>
          </w:p>
        </w:tc>
        <w:tc>
          <w:tcPr>
            <w:tcW w:w="6960" w:type="dxa"/>
            <w:tcMar>
              <w:top w:w="80" w:type="dxa"/>
              <w:left w:w="100" w:type="dxa"/>
              <w:bottom w:w="80" w:type="dxa"/>
              <w:right w:w="100" w:type="dxa"/>
            </w:tcMar>
            <w:vAlign w:val="center"/>
          </w:tcPr>
          <w:p w14:paraId="3DEE57A8" w14:textId="77777777" w:rsidR="00BE4873" w:rsidRDefault="00000000">
            <w:r>
              <w:rPr>
                <w:sz w:val="19"/>
                <w:szCs w:val="19"/>
              </w:rPr>
              <w:t>Ningún paquete de trabajo que dependa de las integraciones pendientes puede iniciarse hasta que exista una decisión documentada; esto es una restricción de secuencia, no solo de alcance</w:t>
            </w:r>
          </w:p>
        </w:tc>
      </w:tr>
    </w:tbl>
    <w:p w14:paraId="1DA70985" w14:textId="77777777" w:rsidR="00BE4873" w:rsidRDefault="00000000">
      <w:pPr>
        <w:pStyle w:val="Ttulo1"/>
      </w:pPr>
      <w:r>
        <w:t>Paso 3 — Revisar y consolidar los resultados del análisis de brechas</w:t>
      </w:r>
    </w:p>
    <w:p w14:paraId="2C24FC5F" w14:textId="77777777" w:rsidR="00BE4873" w:rsidRDefault="00000000">
      <w:pPr>
        <w:spacing w:after="160"/>
      </w:pPr>
      <w:r>
        <w:t>Brecha entendida como la diferencia entre la arquitectura de línea base (lo que existe hoy en el ecosistema institucional) y la arquitectura objetivo definida en las etapas de negocio, datos y tecnología.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60"/>
        <w:gridCol w:w="1800"/>
      </w:tblGrid>
      <w:tr w:rsidR="00BE4873" w14:paraId="3F22B1B3"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21F2A62D" w14:textId="77777777" w:rsidR="00BE4873" w:rsidRDefault="00000000">
            <w:r>
              <w:rPr>
                <w:b/>
                <w:bCs/>
                <w:color w:val="FFFFFF"/>
                <w:sz w:val="19"/>
                <w:szCs w:val="19"/>
              </w:rPr>
              <w:lastRenderedPageBreak/>
              <w:t>ID</w:t>
            </w:r>
          </w:p>
        </w:tc>
        <w:tc>
          <w:tcPr>
            <w:tcW w:w="6660" w:type="dxa"/>
            <w:shd w:val="clear" w:color="auto" w:fill="1F3864"/>
            <w:tcMar>
              <w:top w:w="80" w:type="dxa"/>
              <w:left w:w="100" w:type="dxa"/>
              <w:bottom w:w="80" w:type="dxa"/>
              <w:right w:w="100" w:type="dxa"/>
            </w:tcMar>
            <w:vAlign w:val="center"/>
          </w:tcPr>
          <w:p w14:paraId="74DDC1C5" w14:textId="77777777" w:rsidR="00BE4873" w:rsidRDefault="00000000">
            <w:r>
              <w:rPr>
                <w:b/>
                <w:bCs/>
                <w:color w:val="FFFFFF"/>
                <w:sz w:val="19"/>
                <w:szCs w:val="19"/>
              </w:rPr>
              <w:t>Descripción de la brecha</w:t>
            </w:r>
          </w:p>
        </w:tc>
        <w:tc>
          <w:tcPr>
            <w:tcW w:w="1800" w:type="dxa"/>
            <w:shd w:val="clear" w:color="auto" w:fill="1F3864"/>
            <w:tcMar>
              <w:top w:w="80" w:type="dxa"/>
              <w:left w:w="100" w:type="dxa"/>
              <w:bottom w:w="80" w:type="dxa"/>
              <w:right w:w="100" w:type="dxa"/>
            </w:tcMar>
            <w:vAlign w:val="center"/>
          </w:tcPr>
          <w:p w14:paraId="7A5F8FF5" w14:textId="77777777" w:rsidR="00BE4873" w:rsidRDefault="00000000">
            <w:r>
              <w:rPr>
                <w:b/>
                <w:bCs/>
                <w:color w:val="FFFFFF"/>
                <w:sz w:val="19"/>
                <w:szCs w:val="19"/>
              </w:rPr>
              <w:t>Tipo</w:t>
            </w:r>
          </w:p>
        </w:tc>
      </w:tr>
      <w:tr w:rsidR="00BE4873" w14:paraId="115D0813" w14:textId="77777777">
        <w:tblPrEx>
          <w:tblCellMar>
            <w:top w:w="0" w:type="dxa"/>
            <w:bottom w:w="0" w:type="dxa"/>
          </w:tblCellMar>
        </w:tblPrEx>
        <w:tc>
          <w:tcPr>
            <w:tcW w:w="900" w:type="dxa"/>
            <w:tcMar>
              <w:top w:w="80" w:type="dxa"/>
              <w:left w:w="100" w:type="dxa"/>
              <w:bottom w:w="80" w:type="dxa"/>
              <w:right w:w="100" w:type="dxa"/>
            </w:tcMar>
            <w:vAlign w:val="center"/>
          </w:tcPr>
          <w:p w14:paraId="3107F812" w14:textId="77777777" w:rsidR="00BE4873" w:rsidRDefault="00000000">
            <w:r>
              <w:rPr>
                <w:sz w:val="19"/>
                <w:szCs w:val="19"/>
              </w:rPr>
              <w:t>BR-01</w:t>
            </w:r>
          </w:p>
        </w:tc>
        <w:tc>
          <w:tcPr>
            <w:tcW w:w="6660" w:type="dxa"/>
            <w:tcMar>
              <w:top w:w="80" w:type="dxa"/>
              <w:left w:w="100" w:type="dxa"/>
              <w:bottom w:w="80" w:type="dxa"/>
              <w:right w:w="100" w:type="dxa"/>
            </w:tcMar>
            <w:vAlign w:val="center"/>
          </w:tcPr>
          <w:p w14:paraId="19C48E6D" w14:textId="77777777" w:rsidR="00BE4873" w:rsidRDefault="00000000">
            <w:r>
              <w:rPr>
                <w:sz w:val="19"/>
                <w:szCs w:val="19"/>
              </w:rPr>
              <w:t>No existe hoy interoperabilidad definida entre CTOS-EXT-TRANSP y el registro policial general de denuncias (lección documentada por experiencias previas de canales de denuncia con seguimiento fallido)</w:t>
            </w:r>
          </w:p>
        </w:tc>
        <w:tc>
          <w:tcPr>
            <w:tcW w:w="1800" w:type="dxa"/>
            <w:tcMar>
              <w:top w:w="80" w:type="dxa"/>
              <w:left w:w="100" w:type="dxa"/>
              <w:bottom w:w="80" w:type="dxa"/>
              <w:right w:w="100" w:type="dxa"/>
            </w:tcMar>
            <w:vAlign w:val="center"/>
          </w:tcPr>
          <w:p w14:paraId="2498B4CE" w14:textId="77777777" w:rsidR="00BE4873" w:rsidRDefault="00000000">
            <w:r>
              <w:rPr>
                <w:sz w:val="19"/>
                <w:szCs w:val="19"/>
              </w:rPr>
              <w:t>Negocio / Proceso</w:t>
            </w:r>
          </w:p>
        </w:tc>
      </w:tr>
      <w:tr w:rsidR="00BE4873" w14:paraId="493AF876"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390B6E16" w14:textId="77777777" w:rsidR="00BE4873" w:rsidRDefault="00000000">
            <w:r>
              <w:rPr>
                <w:sz w:val="19"/>
                <w:szCs w:val="19"/>
              </w:rPr>
              <w:t>BR-02</w:t>
            </w:r>
          </w:p>
        </w:tc>
        <w:tc>
          <w:tcPr>
            <w:tcW w:w="6660" w:type="dxa"/>
            <w:shd w:val="clear" w:color="auto" w:fill="F2F2F2"/>
            <w:tcMar>
              <w:top w:w="80" w:type="dxa"/>
              <w:left w:w="100" w:type="dxa"/>
              <w:bottom w:w="80" w:type="dxa"/>
              <w:right w:w="100" w:type="dxa"/>
            </w:tcMar>
            <w:vAlign w:val="center"/>
          </w:tcPr>
          <w:p w14:paraId="068B09C7" w14:textId="77777777" w:rsidR="00BE4873" w:rsidRDefault="00000000">
            <w:r>
              <w:rPr>
                <w:sz w:val="19"/>
                <w:szCs w:val="19"/>
              </w:rPr>
              <w:t>La articulación con el observatorio delictivo de la PNP (que ya tiene mandato legal de clustering geoespacial) no está definida: existe solapamiento funcional con la detección de clústeres delictivos sin resolver</w:t>
            </w:r>
          </w:p>
        </w:tc>
        <w:tc>
          <w:tcPr>
            <w:tcW w:w="1800" w:type="dxa"/>
            <w:shd w:val="clear" w:color="auto" w:fill="F2F2F2"/>
            <w:tcMar>
              <w:top w:w="80" w:type="dxa"/>
              <w:left w:w="100" w:type="dxa"/>
              <w:bottom w:w="80" w:type="dxa"/>
              <w:right w:w="100" w:type="dxa"/>
            </w:tcMar>
            <w:vAlign w:val="center"/>
          </w:tcPr>
          <w:p w14:paraId="1F02CB38" w14:textId="77777777" w:rsidR="00BE4873" w:rsidRDefault="00000000">
            <w:r>
              <w:rPr>
                <w:sz w:val="19"/>
                <w:szCs w:val="19"/>
              </w:rPr>
              <w:t>Datos / Tecnología / Gobierno</w:t>
            </w:r>
          </w:p>
        </w:tc>
      </w:tr>
      <w:tr w:rsidR="00BE4873" w14:paraId="292BAA91" w14:textId="77777777">
        <w:tblPrEx>
          <w:tblCellMar>
            <w:top w:w="0" w:type="dxa"/>
            <w:bottom w:w="0" w:type="dxa"/>
          </w:tblCellMar>
        </w:tblPrEx>
        <w:tc>
          <w:tcPr>
            <w:tcW w:w="900" w:type="dxa"/>
            <w:tcMar>
              <w:top w:w="80" w:type="dxa"/>
              <w:left w:w="100" w:type="dxa"/>
              <w:bottom w:w="80" w:type="dxa"/>
              <w:right w:w="100" w:type="dxa"/>
            </w:tcMar>
            <w:vAlign w:val="center"/>
          </w:tcPr>
          <w:p w14:paraId="765AADE4" w14:textId="77777777" w:rsidR="00BE4873" w:rsidRDefault="00000000">
            <w:r>
              <w:rPr>
                <w:sz w:val="19"/>
                <w:szCs w:val="19"/>
              </w:rPr>
              <w:t>BR-03</w:t>
            </w:r>
          </w:p>
        </w:tc>
        <w:tc>
          <w:tcPr>
            <w:tcW w:w="6660" w:type="dxa"/>
            <w:tcMar>
              <w:top w:w="80" w:type="dxa"/>
              <w:left w:w="100" w:type="dxa"/>
              <w:bottom w:w="80" w:type="dxa"/>
              <w:right w:w="100" w:type="dxa"/>
            </w:tcMar>
            <w:vAlign w:val="center"/>
          </w:tcPr>
          <w:p w14:paraId="0FCDFAAB" w14:textId="77777777" w:rsidR="00BE4873" w:rsidRDefault="00000000">
            <w:r>
              <w:rPr>
                <w:sz w:val="19"/>
                <w:szCs w:val="19"/>
              </w:rPr>
              <w:t>El puente agregado con el programa de protección al transportista no está definido; riesgo de que un mismo hecho se reporte en dos sistemas no interoperables</w:t>
            </w:r>
          </w:p>
        </w:tc>
        <w:tc>
          <w:tcPr>
            <w:tcW w:w="1800" w:type="dxa"/>
            <w:tcMar>
              <w:top w:w="80" w:type="dxa"/>
              <w:left w:w="100" w:type="dxa"/>
              <w:bottom w:w="80" w:type="dxa"/>
              <w:right w:w="100" w:type="dxa"/>
            </w:tcMar>
            <w:vAlign w:val="center"/>
          </w:tcPr>
          <w:p w14:paraId="6C1628E4" w14:textId="77777777" w:rsidR="00BE4873" w:rsidRDefault="00000000">
            <w:r>
              <w:rPr>
                <w:sz w:val="19"/>
                <w:szCs w:val="19"/>
              </w:rPr>
              <w:t>Negocio / Datos</w:t>
            </w:r>
          </w:p>
        </w:tc>
      </w:tr>
      <w:tr w:rsidR="00BE4873" w14:paraId="10A34004"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0B3B3A58" w14:textId="77777777" w:rsidR="00BE4873" w:rsidRDefault="00000000">
            <w:r>
              <w:rPr>
                <w:sz w:val="19"/>
                <w:szCs w:val="19"/>
              </w:rPr>
              <w:t>BR-04</w:t>
            </w:r>
          </w:p>
        </w:tc>
        <w:tc>
          <w:tcPr>
            <w:tcW w:w="6660" w:type="dxa"/>
            <w:shd w:val="clear" w:color="auto" w:fill="F2F2F2"/>
            <w:tcMar>
              <w:top w:w="80" w:type="dxa"/>
              <w:left w:w="100" w:type="dxa"/>
              <w:bottom w:w="80" w:type="dxa"/>
              <w:right w:w="100" w:type="dxa"/>
            </w:tcMar>
            <w:vAlign w:val="center"/>
          </w:tcPr>
          <w:p w14:paraId="7A3A0840" w14:textId="77777777" w:rsidR="00BE4873" w:rsidRDefault="00000000">
            <w:r>
              <w:rPr>
                <w:sz w:val="19"/>
                <w:szCs w:val="19"/>
              </w:rPr>
              <w:t>El botón de pánico obligatorio por ley no está incorporado al catálogo de canales de reporte ciudadano; no se sabe si aporta puntaje de confianza o es un sistema paralelo</w:t>
            </w:r>
          </w:p>
        </w:tc>
        <w:tc>
          <w:tcPr>
            <w:tcW w:w="1800" w:type="dxa"/>
            <w:shd w:val="clear" w:color="auto" w:fill="F2F2F2"/>
            <w:tcMar>
              <w:top w:w="80" w:type="dxa"/>
              <w:left w:w="100" w:type="dxa"/>
              <w:bottom w:w="80" w:type="dxa"/>
              <w:right w:w="100" w:type="dxa"/>
            </w:tcMar>
            <w:vAlign w:val="center"/>
          </w:tcPr>
          <w:p w14:paraId="1F5B67A1" w14:textId="77777777" w:rsidR="00BE4873" w:rsidRDefault="00000000">
            <w:r>
              <w:rPr>
                <w:sz w:val="19"/>
                <w:szCs w:val="19"/>
              </w:rPr>
              <w:t>Negocio / Aplicación</w:t>
            </w:r>
          </w:p>
        </w:tc>
      </w:tr>
      <w:tr w:rsidR="00BE4873" w14:paraId="431BDE84" w14:textId="77777777">
        <w:tblPrEx>
          <w:tblCellMar>
            <w:top w:w="0" w:type="dxa"/>
            <w:bottom w:w="0" w:type="dxa"/>
          </w:tblCellMar>
        </w:tblPrEx>
        <w:tc>
          <w:tcPr>
            <w:tcW w:w="900" w:type="dxa"/>
            <w:tcMar>
              <w:top w:w="80" w:type="dxa"/>
              <w:left w:w="100" w:type="dxa"/>
              <w:bottom w:w="80" w:type="dxa"/>
              <w:right w:w="100" w:type="dxa"/>
            </w:tcMar>
            <w:vAlign w:val="center"/>
          </w:tcPr>
          <w:p w14:paraId="61DB9997" w14:textId="77777777" w:rsidR="00BE4873" w:rsidRDefault="00000000">
            <w:r>
              <w:rPr>
                <w:sz w:val="19"/>
                <w:szCs w:val="19"/>
              </w:rPr>
              <w:t>BR-05</w:t>
            </w:r>
          </w:p>
        </w:tc>
        <w:tc>
          <w:tcPr>
            <w:tcW w:w="6660" w:type="dxa"/>
            <w:tcMar>
              <w:top w:w="80" w:type="dxa"/>
              <w:left w:w="100" w:type="dxa"/>
              <w:bottom w:w="80" w:type="dxa"/>
              <w:right w:w="100" w:type="dxa"/>
            </w:tcMar>
            <w:vAlign w:val="center"/>
          </w:tcPr>
          <w:p w14:paraId="40A02247" w14:textId="77777777" w:rsidR="00BE4873" w:rsidRDefault="00000000">
            <w:r>
              <w:rPr>
                <w:sz w:val="19"/>
                <w:szCs w:val="19"/>
              </w:rPr>
              <w:t>Solo una parte de los pilares del marco de buenas prácticas cloud está cubierta explícitamente (seguridad, fiabilidad, excelencia operacional); falta formalizar el modelo de responsabilidad compartida y los pilares restantes</w:t>
            </w:r>
          </w:p>
        </w:tc>
        <w:tc>
          <w:tcPr>
            <w:tcW w:w="1800" w:type="dxa"/>
            <w:tcMar>
              <w:top w:w="80" w:type="dxa"/>
              <w:left w:w="100" w:type="dxa"/>
              <w:bottom w:w="80" w:type="dxa"/>
              <w:right w:w="100" w:type="dxa"/>
            </w:tcMar>
            <w:vAlign w:val="center"/>
          </w:tcPr>
          <w:p w14:paraId="5A4FD143" w14:textId="77777777" w:rsidR="00BE4873" w:rsidRDefault="00000000">
            <w:r>
              <w:rPr>
                <w:sz w:val="19"/>
                <w:szCs w:val="19"/>
              </w:rPr>
              <w:t>Tecnología</w:t>
            </w:r>
          </w:p>
        </w:tc>
      </w:tr>
      <w:tr w:rsidR="00BE4873" w14:paraId="43C956EF"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1F344C5D" w14:textId="77777777" w:rsidR="00BE4873" w:rsidRDefault="00000000">
            <w:r>
              <w:rPr>
                <w:sz w:val="19"/>
                <w:szCs w:val="19"/>
              </w:rPr>
              <w:t>BR-06</w:t>
            </w:r>
          </w:p>
        </w:tc>
        <w:tc>
          <w:tcPr>
            <w:tcW w:w="6660" w:type="dxa"/>
            <w:shd w:val="clear" w:color="auto" w:fill="F2F2F2"/>
            <w:tcMar>
              <w:top w:w="80" w:type="dxa"/>
              <w:left w:w="100" w:type="dxa"/>
              <w:bottom w:w="80" w:type="dxa"/>
              <w:right w:w="100" w:type="dxa"/>
            </w:tcMar>
            <w:vAlign w:val="center"/>
          </w:tcPr>
          <w:p w14:paraId="34626088" w14:textId="77777777" w:rsidR="00BE4873" w:rsidRDefault="00000000">
            <w:r>
              <w:rPr>
                <w:sz w:val="19"/>
                <w:szCs w:val="19"/>
              </w:rPr>
              <w:t>Los componentes de aprendizaje automático e IA generativa gestionados no tienen ningún componente aplicado en la arquitectura actual, por decisión consciente de diseño de privacidad</w:t>
            </w:r>
          </w:p>
        </w:tc>
        <w:tc>
          <w:tcPr>
            <w:tcW w:w="1800" w:type="dxa"/>
            <w:shd w:val="clear" w:color="auto" w:fill="F2F2F2"/>
            <w:tcMar>
              <w:top w:w="80" w:type="dxa"/>
              <w:left w:w="100" w:type="dxa"/>
              <w:bottom w:w="80" w:type="dxa"/>
              <w:right w:w="100" w:type="dxa"/>
            </w:tcMar>
            <w:vAlign w:val="center"/>
          </w:tcPr>
          <w:p w14:paraId="3D1E0597" w14:textId="77777777" w:rsidR="00BE4873" w:rsidRDefault="00000000">
            <w:r>
              <w:rPr>
                <w:sz w:val="19"/>
                <w:szCs w:val="19"/>
              </w:rPr>
              <w:t>Tecnología / Capacitación</w:t>
            </w:r>
          </w:p>
        </w:tc>
      </w:tr>
      <w:tr w:rsidR="00BE4873" w14:paraId="569DEA5E" w14:textId="77777777">
        <w:tblPrEx>
          <w:tblCellMar>
            <w:top w:w="0" w:type="dxa"/>
            <w:bottom w:w="0" w:type="dxa"/>
          </w:tblCellMar>
        </w:tblPrEx>
        <w:tc>
          <w:tcPr>
            <w:tcW w:w="900" w:type="dxa"/>
            <w:tcMar>
              <w:top w:w="80" w:type="dxa"/>
              <w:left w:w="100" w:type="dxa"/>
              <w:bottom w:w="80" w:type="dxa"/>
              <w:right w:w="100" w:type="dxa"/>
            </w:tcMar>
            <w:vAlign w:val="center"/>
          </w:tcPr>
          <w:p w14:paraId="1E18E9F0" w14:textId="77777777" w:rsidR="00BE4873" w:rsidRDefault="00000000">
            <w:r>
              <w:rPr>
                <w:sz w:val="19"/>
                <w:szCs w:val="19"/>
              </w:rPr>
              <w:t>BR-07</w:t>
            </w:r>
          </w:p>
        </w:tc>
        <w:tc>
          <w:tcPr>
            <w:tcW w:w="6660" w:type="dxa"/>
            <w:tcMar>
              <w:top w:w="80" w:type="dxa"/>
              <w:left w:w="100" w:type="dxa"/>
              <w:bottom w:w="80" w:type="dxa"/>
              <w:right w:w="100" w:type="dxa"/>
            </w:tcMar>
            <w:vAlign w:val="center"/>
          </w:tcPr>
          <w:p w14:paraId="3CD3713B" w14:textId="77777777" w:rsidR="00BE4873" w:rsidRDefault="00000000">
            <w:r>
              <w:rPr>
                <w:sz w:val="19"/>
                <w:szCs w:val="19"/>
              </w:rPr>
              <w:t>El riesgo de retroalimentación tipo "predictive policing" no tiene todavía un mecanismo técnico de mitigación implementado, solo un proceso de revisión periódica propuesto</w:t>
            </w:r>
          </w:p>
        </w:tc>
        <w:tc>
          <w:tcPr>
            <w:tcW w:w="1800" w:type="dxa"/>
            <w:tcMar>
              <w:top w:w="80" w:type="dxa"/>
              <w:left w:w="100" w:type="dxa"/>
              <w:bottom w:w="80" w:type="dxa"/>
              <w:right w:w="100" w:type="dxa"/>
            </w:tcMar>
            <w:vAlign w:val="center"/>
          </w:tcPr>
          <w:p w14:paraId="16ABC47F" w14:textId="77777777" w:rsidR="00BE4873" w:rsidRDefault="00000000">
            <w:r>
              <w:rPr>
                <w:sz w:val="19"/>
                <w:szCs w:val="19"/>
              </w:rPr>
              <w:t>Datos / Proceso</w:t>
            </w:r>
          </w:p>
        </w:tc>
      </w:tr>
      <w:tr w:rsidR="00BE4873" w14:paraId="0CD24C0D"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0334F4C4" w14:textId="77777777" w:rsidR="00BE4873" w:rsidRDefault="00000000">
            <w:r>
              <w:rPr>
                <w:sz w:val="19"/>
                <w:szCs w:val="19"/>
              </w:rPr>
              <w:t>BR-08</w:t>
            </w:r>
          </w:p>
        </w:tc>
        <w:tc>
          <w:tcPr>
            <w:tcW w:w="6660" w:type="dxa"/>
            <w:shd w:val="clear" w:color="auto" w:fill="F2F2F2"/>
            <w:tcMar>
              <w:top w:w="80" w:type="dxa"/>
              <w:left w:w="100" w:type="dxa"/>
              <w:bottom w:w="80" w:type="dxa"/>
              <w:right w:w="100" w:type="dxa"/>
            </w:tcMar>
            <w:vAlign w:val="center"/>
          </w:tcPr>
          <w:p w14:paraId="219EA3CD" w14:textId="77777777" w:rsidR="00BE4873" w:rsidRDefault="00000000">
            <w:r>
              <w:rPr>
                <w:sz w:val="19"/>
                <w:szCs w:val="19"/>
              </w:rPr>
              <w:t>No existe fondo de reparación a víctimas ni mecanismo de protección legal formal dentro del alcance de este sistema, aunque el marco legal vigente ya lo contempla a nivel país — brecha aceptada conscientemente, no a cerrar por este proyecto</w:t>
            </w:r>
          </w:p>
        </w:tc>
        <w:tc>
          <w:tcPr>
            <w:tcW w:w="1800" w:type="dxa"/>
            <w:shd w:val="clear" w:color="auto" w:fill="F2F2F2"/>
            <w:tcMar>
              <w:top w:w="80" w:type="dxa"/>
              <w:left w:w="100" w:type="dxa"/>
              <w:bottom w:w="80" w:type="dxa"/>
              <w:right w:w="100" w:type="dxa"/>
            </w:tcMar>
            <w:vAlign w:val="center"/>
          </w:tcPr>
          <w:p w14:paraId="5DFEA379" w14:textId="77777777" w:rsidR="00BE4873" w:rsidRDefault="00000000">
            <w:r>
              <w:rPr>
                <w:sz w:val="19"/>
                <w:szCs w:val="19"/>
              </w:rPr>
              <w:t>Negocio (fuera de alcance, documentado)</w:t>
            </w:r>
          </w:p>
        </w:tc>
      </w:tr>
    </w:tbl>
    <w:p w14:paraId="7ABC4232" w14:textId="77777777" w:rsidR="00BE4873" w:rsidRDefault="00000000">
      <w:pPr>
        <w:spacing w:after="160"/>
      </w:pPr>
      <w:r>
        <w:rPr>
          <w:i/>
          <w:iCs/>
        </w:rPr>
        <w:t>BR-08 se incluye para que quede trazado como brecha identificada y deliberadamente no asignada a esta arquitectura, evitando que se interprete como omisión en revisiones posteriores.</w:t>
      </w:r>
    </w:p>
    <w:p w14:paraId="23447034" w14:textId="77777777" w:rsidR="00BE4873" w:rsidRDefault="00000000">
      <w:pPr>
        <w:pStyle w:val="Ttulo1"/>
      </w:pPr>
      <w:r>
        <w:t>Paso 4 — Revisar los requisitos consolidados a través de las funciones de negocio relacionadas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8"/>
        <w:gridCol w:w="2162"/>
        <w:gridCol w:w="4120"/>
        <w:gridCol w:w="1200"/>
      </w:tblGrid>
      <w:tr w:rsidR="00BE4873" w14:paraId="33BF9DF7" w14:textId="77777777">
        <w:tblPrEx>
          <w:tblCellMar>
            <w:top w:w="0" w:type="dxa"/>
            <w:bottom w:w="0" w:type="dxa"/>
          </w:tblCellMar>
        </w:tblPrEx>
        <w:trPr>
          <w:tblHeader/>
        </w:trPr>
        <w:tc>
          <w:tcPr>
            <w:tcW w:w="1900" w:type="dxa"/>
            <w:shd w:val="clear" w:color="auto" w:fill="1F3864"/>
            <w:tcMar>
              <w:top w:w="80" w:type="dxa"/>
              <w:left w:w="100" w:type="dxa"/>
              <w:bottom w:w="80" w:type="dxa"/>
              <w:right w:w="100" w:type="dxa"/>
            </w:tcMar>
            <w:vAlign w:val="center"/>
          </w:tcPr>
          <w:p w14:paraId="13912E12" w14:textId="77777777" w:rsidR="00BE4873" w:rsidRDefault="00000000">
            <w:r>
              <w:rPr>
                <w:b/>
                <w:bCs/>
                <w:color w:val="FFFFFF"/>
                <w:sz w:val="19"/>
                <w:szCs w:val="19"/>
              </w:rPr>
              <w:t>Función de negocio</w:t>
            </w:r>
          </w:p>
        </w:tc>
        <w:tc>
          <w:tcPr>
            <w:tcW w:w="2200" w:type="dxa"/>
            <w:shd w:val="clear" w:color="auto" w:fill="1F3864"/>
            <w:tcMar>
              <w:top w:w="80" w:type="dxa"/>
              <w:left w:w="100" w:type="dxa"/>
              <w:bottom w:w="80" w:type="dxa"/>
              <w:right w:w="100" w:type="dxa"/>
            </w:tcMar>
            <w:vAlign w:val="center"/>
          </w:tcPr>
          <w:p w14:paraId="43A11E56" w14:textId="77777777" w:rsidR="00BE4873" w:rsidRDefault="00000000">
            <w:r>
              <w:rPr>
                <w:b/>
                <w:bCs/>
                <w:color w:val="FFFFFF"/>
                <w:sz w:val="19"/>
                <w:szCs w:val="19"/>
              </w:rPr>
              <w:t>Actor principal</w:t>
            </w:r>
          </w:p>
        </w:tc>
        <w:tc>
          <w:tcPr>
            <w:tcW w:w="4260" w:type="dxa"/>
            <w:shd w:val="clear" w:color="auto" w:fill="1F3864"/>
            <w:tcMar>
              <w:top w:w="80" w:type="dxa"/>
              <w:left w:w="100" w:type="dxa"/>
              <w:bottom w:w="80" w:type="dxa"/>
              <w:right w:w="100" w:type="dxa"/>
            </w:tcMar>
            <w:vAlign w:val="center"/>
          </w:tcPr>
          <w:p w14:paraId="1715B31E" w14:textId="77777777" w:rsidR="00BE4873" w:rsidRDefault="00000000">
            <w:r>
              <w:rPr>
                <w:b/>
                <w:bCs/>
                <w:color w:val="FFFFFF"/>
                <w:sz w:val="19"/>
                <w:szCs w:val="19"/>
              </w:rPr>
              <w:t>Requisito consolidado que atraviesa varias etapas</w:t>
            </w:r>
          </w:p>
        </w:tc>
        <w:tc>
          <w:tcPr>
            <w:tcW w:w="1000" w:type="dxa"/>
            <w:shd w:val="clear" w:color="auto" w:fill="1F3864"/>
            <w:tcMar>
              <w:top w:w="80" w:type="dxa"/>
              <w:left w:w="100" w:type="dxa"/>
              <w:bottom w:w="80" w:type="dxa"/>
              <w:right w:w="100" w:type="dxa"/>
            </w:tcMar>
            <w:vAlign w:val="center"/>
          </w:tcPr>
          <w:p w14:paraId="368552A0" w14:textId="77777777" w:rsidR="00BE4873" w:rsidRDefault="00000000">
            <w:r>
              <w:rPr>
                <w:b/>
                <w:bCs/>
                <w:color w:val="FFFFFF"/>
                <w:sz w:val="19"/>
                <w:szCs w:val="19"/>
              </w:rPr>
              <w:t>Brechas relacionadas</w:t>
            </w:r>
          </w:p>
        </w:tc>
      </w:tr>
      <w:tr w:rsidR="00BE4873" w14:paraId="12A496AD" w14:textId="77777777">
        <w:tblPrEx>
          <w:tblCellMar>
            <w:top w:w="0" w:type="dxa"/>
            <w:bottom w:w="0" w:type="dxa"/>
          </w:tblCellMar>
        </w:tblPrEx>
        <w:tc>
          <w:tcPr>
            <w:tcW w:w="1900" w:type="dxa"/>
            <w:tcMar>
              <w:top w:w="80" w:type="dxa"/>
              <w:left w:w="100" w:type="dxa"/>
              <w:bottom w:w="80" w:type="dxa"/>
              <w:right w:w="100" w:type="dxa"/>
            </w:tcMar>
            <w:vAlign w:val="center"/>
          </w:tcPr>
          <w:p w14:paraId="591BDE67" w14:textId="77777777" w:rsidR="00BE4873" w:rsidRDefault="00000000">
            <w:r>
              <w:rPr>
                <w:sz w:val="19"/>
                <w:szCs w:val="19"/>
              </w:rPr>
              <w:t>Recepción y triage de reportes</w:t>
            </w:r>
          </w:p>
        </w:tc>
        <w:tc>
          <w:tcPr>
            <w:tcW w:w="2200" w:type="dxa"/>
            <w:tcMar>
              <w:top w:w="80" w:type="dxa"/>
              <w:left w:w="100" w:type="dxa"/>
              <w:bottom w:w="80" w:type="dxa"/>
              <w:right w:w="100" w:type="dxa"/>
            </w:tcMar>
            <w:vAlign w:val="center"/>
          </w:tcPr>
          <w:p w14:paraId="1D2FEECF" w14:textId="77777777" w:rsidR="00BE4873" w:rsidRDefault="00000000">
            <w:r>
              <w:rPr>
                <w:sz w:val="19"/>
                <w:szCs w:val="19"/>
              </w:rPr>
              <w:t>Informante transportista / servicios de ingesta y puntuación</w:t>
            </w:r>
          </w:p>
        </w:tc>
        <w:tc>
          <w:tcPr>
            <w:tcW w:w="4260" w:type="dxa"/>
            <w:tcMar>
              <w:top w:w="80" w:type="dxa"/>
              <w:left w:w="100" w:type="dxa"/>
              <w:bottom w:w="80" w:type="dxa"/>
              <w:right w:w="100" w:type="dxa"/>
            </w:tcMar>
            <w:vAlign w:val="center"/>
          </w:tcPr>
          <w:p w14:paraId="52E9496C" w14:textId="77777777" w:rsidR="00BE4873" w:rsidRDefault="00000000">
            <w:r>
              <w:rPr>
                <w:sz w:val="19"/>
                <w:szCs w:val="19"/>
              </w:rPr>
              <w:t>Mantener anonimato estructural en los cuatro canales, incluido el botón de pánico si se incorpora</w:t>
            </w:r>
          </w:p>
        </w:tc>
        <w:tc>
          <w:tcPr>
            <w:tcW w:w="1000" w:type="dxa"/>
            <w:tcMar>
              <w:top w:w="80" w:type="dxa"/>
              <w:left w:w="100" w:type="dxa"/>
              <w:bottom w:w="80" w:type="dxa"/>
              <w:right w:w="100" w:type="dxa"/>
            </w:tcMar>
            <w:vAlign w:val="center"/>
          </w:tcPr>
          <w:p w14:paraId="5AB2A659" w14:textId="77777777" w:rsidR="00BE4873" w:rsidRDefault="00000000">
            <w:r>
              <w:rPr>
                <w:sz w:val="19"/>
                <w:szCs w:val="19"/>
              </w:rPr>
              <w:t>BR-04</w:t>
            </w:r>
          </w:p>
        </w:tc>
      </w:tr>
      <w:tr w:rsidR="00BE4873" w14:paraId="54D48A4B" w14:textId="77777777">
        <w:tblPrEx>
          <w:tblCellMar>
            <w:top w:w="0" w:type="dxa"/>
            <w:bottom w:w="0" w:type="dxa"/>
          </w:tblCellMar>
        </w:tblPrEx>
        <w:tc>
          <w:tcPr>
            <w:tcW w:w="1900" w:type="dxa"/>
            <w:shd w:val="clear" w:color="auto" w:fill="F2F2F2"/>
            <w:tcMar>
              <w:top w:w="80" w:type="dxa"/>
              <w:left w:w="100" w:type="dxa"/>
              <w:bottom w:w="80" w:type="dxa"/>
              <w:right w:w="100" w:type="dxa"/>
            </w:tcMar>
            <w:vAlign w:val="center"/>
          </w:tcPr>
          <w:p w14:paraId="4F35255E" w14:textId="77777777" w:rsidR="00BE4873" w:rsidRDefault="00000000">
            <w:r>
              <w:rPr>
                <w:sz w:val="19"/>
                <w:szCs w:val="19"/>
              </w:rPr>
              <w:t>Análisis y decisión táctica</w:t>
            </w:r>
          </w:p>
        </w:tc>
        <w:tc>
          <w:tcPr>
            <w:tcW w:w="2200" w:type="dxa"/>
            <w:shd w:val="clear" w:color="auto" w:fill="F2F2F2"/>
            <w:tcMar>
              <w:top w:w="80" w:type="dxa"/>
              <w:left w:w="100" w:type="dxa"/>
              <w:bottom w:w="80" w:type="dxa"/>
              <w:right w:w="100" w:type="dxa"/>
            </w:tcMar>
            <w:vAlign w:val="center"/>
          </w:tcPr>
          <w:p w14:paraId="44E75BAB" w14:textId="77777777" w:rsidR="00BE4873" w:rsidRDefault="00000000">
            <w:r>
              <w:rPr>
                <w:sz w:val="19"/>
                <w:szCs w:val="19"/>
              </w:rPr>
              <w:t>Analista de inteligencia</w:t>
            </w:r>
          </w:p>
        </w:tc>
        <w:tc>
          <w:tcPr>
            <w:tcW w:w="4260" w:type="dxa"/>
            <w:shd w:val="clear" w:color="auto" w:fill="F2F2F2"/>
            <w:tcMar>
              <w:top w:w="80" w:type="dxa"/>
              <w:left w:w="100" w:type="dxa"/>
              <w:bottom w:w="80" w:type="dxa"/>
              <w:right w:w="100" w:type="dxa"/>
            </w:tcMar>
            <w:vAlign w:val="center"/>
          </w:tcPr>
          <w:p w14:paraId="7AB484C3" w14:textId="77777777" w:rsidR="00BE4873" w:rsidRDefault="00000000">
            <w:r>
              <w:rPr>
                <w:sz w:val="19"/>
                <w:szCs w:val="19"/>
              </w:rPr>
              <w:t>Acceso restringido a corredores/distritos asignados; sin lectura del registro de auditoría</w:t>
            </w:r>
          </w:p>
        </w:tc>
        <w:tc>
          <w:tcPr>
            <w:tcW w:w="1000" w:type="dxa"/>
            <w:shd w:val="clear" w:color="auto" w:fill="F2F2F2"/>
            <w:tcMar>
              <w:top w:w="80" w:type="dxa"/>
              <w:left w:w="100" w:type="dxa"/>
              <w:bottom w:w="80" w:type="dxa"/>
              <w:right w:w="100" w:type="dxa"/>
            </w:tcMar>
            <w:vAlign w:val="center"/>
          </w:tcPr>
          <w:p w14:paraId="7A561E47" w14:textId="77777777" w:rsidR="00BE4873" w:rsidRDefault="00000000">
            <w:r>
              <w:rPr>
                <w:sz w:val="19"/>
                <w:szCs w:val="19"/>
              </w:rPr>
              <w:t>—</w:t>
            </w:r>
          </w:p>
        </w:tc>
      </w:tr>
      <w:tr w:rsidR="00BE4873" w14:paraId="0A8FB0DC" w14:textId="77777777">
        <w:tblPrEx>
          <w:tblCellMar>
            <w:top w:w="0" w:type="dxa"/>
            <w:bottom w:w="0" w:type="dxa"/>
          </w:tblCellMar>
        </w:tblPrEx>
        <w:tc>
          <w:tcPr>
            <w:tcW w:w="1900" w:type="dxa"/>
            <w:tcMar>
              <w:top w:w="80" w:type="dxa"/>
              <w:left w:w="100" w:type="dxa"/>
              <w:bottom w:w="80" w:type="dxa"/>
              <w:right w:w="100" w:type="dxa"/>
            </w:tcMar>
            <w:vAlign w:val="center"/>
          </w:tcPr>
          <w:p w14:paraId="78CA4CDD" w14:textId="77777777" w:rsidR="00BE4873" w:rsidRDefault="00000000">
            <w:r>
              <w:rPr>
                <w:sz w:val="19"/>
                <w:szCs w:val="19"/>
              </w:rPr>
              <w:t>Despacho operativo</w:t>
            </w:r>
          </w:p>
        </w:tc>
        <w:tc>
          <w:tcPr>
            <w:tcW w:w="2200" w:type="dxa"/>
            <w:tcMar>
              <w:top w:w="80" w:type="dxa"/>
              <w:left w:w="100" w:type="dxa"/>
              <w:bottom w:w="80" w:type="dxa"/>
              <w:right w:w="100" w:type="dxa"/>
            </w:tcMar>
            <w:vAlign w:val="center"/>
          </w:tcPr>
          <w:p w14:paraId="03F3B087" w14:textId="77777777" w:rsidR="00BE4873" w:rsidRDefault="00000000">
            <w:r>
              <w:rPr>
                <w:sz w:val="19"/>
                <w:szCs w:val="19"/>
              </w:rPr>
              <w:t>Oficial de comisaría / comandante</w:t>
            </w:r>
          </w:p>
        </w:tc>
        <w:tc>
          <w:tcPr>
            <w:tcW w:w="4260" w:type="dxa"/>
            <w:tcMar>
              <w:top w:w="80" w:type="dxa"/>
              <w:left w:w="100" w:type="dxa"/>
              <w:bottom w:w="80" w:type="dxa"/>
              <w:right w:w="100" w:type="dxa"/>
            </w:tcMar>
            <w:vAlign w:val="center"/>
          </w:tcPr>
          <w:p w14:paraId="36C7D06F" w14:textId="77777777" w:rsidR="00BE4873" w:rsidRDefault="00000000">
            <w:r>
              <w:rPr>
                <w:sz w:val="19"/>
                <w:szCs w:val="19"/>
              </w:rPr>
              <w:t>Tiempo de respuesta medido solo con despacho confirmado; visibilidad de corredores troncales actualizada por revisión humana, no solo por inercia del clúster</w:t>
            </w:r>
          </w:p>
        </w:tc>
        <w:tc>
          <w:tcPr>
            <w:tcW w:w="1000" w:type="dxa"/>
            <w:tcMar>
              <w:top w:w="80" w:type="dxa"/>
              <w:left w:w="100" w:type="dxa"/>
              <w:bottom w:w="80" w:type="dxa"/>
              <w:right w:w="100" w:type="dxa"/>
            </w:tcMar>
            <w:vAlign w:val="center"/>
          </w:tcPr>
          <w:p w14:paraId="2A93FE4E" w14:textId="77777777" w:rsidR="00BE4873" w:rsidRDefault="00000000">
            <w:r>
              <w:rPr>
                <w:sz w:val="19"/>
                <w:szCs w:val="19"/>
              </w:rPr>
              <w:t>BR-07</w:t>
            </w:r>
          </w:p>
        </w:tc>
      </w:tr>
      <w:tr w:rsidR="00BE4873" w14:paraId="76033B83" w14:textId="77777777">
        <w:tblPrEx>
          <w:tblCellMar>
            <w:top w:w="0" w:type="dxa"/>
            <w:bottom w:w="0" w:type="dxa"/>
          </w:tblCellMar>
        </w:tblPrEx>
        <w:tc>
          <w:tcPr>
            <w:tcW w:w="1900" w:type="dxa"/>
            <w:shd w:val="clear" w:color="auto" w:fill="F2F2F2"/>
            <w:tcMar>
              <w:top w:w="80" w:type="dxa"/>
              <w:left w:w="100" w:type="dxa"/>
              <w:bottom w:w="80" w:type="dxa"/>
              <w:right w:w="100" w:type="dxa"/>
            </w:tcMar>
            <w:vAlign w:val="center"/>
          </w:tcPr>
          <w:p w14:paraId="45809614" w14:textId="77777777" w:rsidR="00BE4873" w:rsidRDefault="00000000">
            <w:r>
              <w:rPr>
                <w:sz w:val="19"/>
                <w:szCs w:val="19"/>
              </w:rPr>
              <w:lastRenderedPageBreak/>
              <w:t>Control y auditoría</w:t>
            </w:r>
          </w:p>
        </w:tc>
        <w:tc>
          <w:tcPr>
            <w:tcW w:w="2200" w:type="dxa"/>
            <w:shd w:val="clear" w:color="auto" w:fill="F2F2F2"/>
            <w:tcMar>
              <w:top w:w="80" w:type="dxa"/>
              <w:left w:w="100" w:type="dxa"/>
              <w:bottom w:w="80" w:type="dxa"/>
              <w:right w:w="100" w:type="dxa"/>
            </w:tcMar>
            <w:vAlign w:val="center"/>
          </w:tcPr>
          <w:p w14:paraId="710A52E8" w14:textId="77777777" w:rsidR="00BE4873" w:rsidRDefault="00000000">
            <w:r>
              <w:rPr>
                <w:sz w:val="19"/>
                <w:szCs w:val="19"/>
              </w:rPr>
              <w:t>Oficial de seguridad / administrador del sistema</w:t>
            </w:r>
          </w:p>
        </w:tc>
        <w:tc>
          <w:tcPr>
            <w:tcW w:w="4260" w:type="dxa"/>
            <w:shd w:val="clear" w:color="auto" w:fill="F2F2F2"/>
            <w:tcMar>
              <w:top w:w="80" w:type="dxa"/>
              <w:left w:w="100" w:type="dxa"/>
              <w:bottom w:w="80" w:type="dxa"/>
              <w:right w:w="100" w:type="dxa"/>
            </w:tcMar>
            <w:vAlign w:val="center"/>
          </w:tcPr>
          <w:p w14:paraId="341B7FB9" w14:textId="77777777" w:rsidR="00BE4873" w:rsidRDefault="00000000">
            <w:r>
              <w:rPr>
                <w:sz w:val="19"/>
                <w:szCs w:val="19"/>
              </w:rPr>
              <w:t>Separación de propósito entre ambos roles al leer el registro de auditoría</w:t>
            </w:r>
          </w:p>
        </w:tc>
        <w:tc>
          <w:tcPr>
            <w:tcW w:w="1000" w:type="dxa"/>
            <w:shd w:val="clear" w:color="auto" w:fill="F2F2F2"/>
            <w:tcMar>
              <w:top w:w="80" w:type="dxa"/>
              <w:left w:w="100" w:type="dxa"/>
              <w:bottom w:w="80" w:type="dxa"/>
              <w:right w:w="100" w:type="dxa"/>
            </w:tcMar>
            <w:vAlign w:val="center"/>
          </w:tcPr>
          <w:p w14:paraId="1DFFB659" w14:textId="77777777" w:rsidR="00BE4873" w:rsidRDefault="00000000">
            <w:r>
              <w:rPr>
                <w:sz w:val="19"/>
                <w:szCs w:val="19"/>
              </w:rPr>
              <w:t>—</w:t>
            </w:r>
          </w:p>
        </w:tc>
      </w:tr>
      <w:tr w:rsidR="00BE4873" w14:paraId="5FD74A21" w14:textId="77777777">
        <w:tblPrEx>
          <w:tblCellMar>
            <w:top w:w="0" w:type="dxa"/>
            <w:bottom w:w="0" w:type="dxa"/>
          </w:tblCellMar>
        </w:tblPrEx>
        <w:tc>
          <w:tcPr>
            <w:tcW w:w="1900" w:type="dxa"/>
            <w:tcMar>
              <w:top w:w="80" w:type="dxa"/>
              <w:left w:w="100" w:type="dxa"/>
              <w:bottom w:w="80" w:type="dxa"/>
              <w:right w:w="100" w:type="dxa"/>
            </w:tcMar>
            <w:vAlign w:val="center"/>
          </w:tcPr>
          <w:p w14:paraId="750EFFDB" w14:textId="77777777" w:rsidR="00BE4873" w:rsidRDefault="00000000">
            <w:r>
              <w:rPr>
                <w:sz w:val="19"/>
                <w:szCs w:val="19"/>
              </w:rPr>
              <w:t>Coordinación interinstitucional</w:t>
            </w:r>
          </w:p>
        </w:tc>
        <w:tc>
          <w:tcPr>
            <w:tcW w:w="2200" w:type="dxa"/>
            <w:tcMar>
              <w:top w:w="80" w:type="dxa"/>
              <w:left w:w="100" w:type="dxa"/>
              <w:bottom w:w="80" w:type="dxa"/>
              <w:right w:w="100" w:type="dxa"/>
            </w:tcMar>
            <w:vAlign w:val="center"/>
          </w:tcPr>
          <w:p w14:paraId="5B7A6AB8" w14:textId="77777777" w:rsidR="00BE4873" w:rsidRDefault="00000000">
            <w:r>
              <w:rPr>
                <w:sz w:val="19"/>
                <w:szCs w:val="19"/>
              </w:rPr>
              <w:t>Observatorio delictivo / grupo interinstitucional / programa de protección al transportista</w:t>
            </w:r>
          </w:p>
        </w:tc>
        <w:tc>
          <w:tcPr>
            <w:tcW w:w="4260" w:type="dxa"/>
            <w:tcMar>
              <w:top w:w="80" w:type="dxa"/>
              <w:left w:w="100" w:type="dxa"/>
              <w:bottom w:w="80" w:type="dxa"/>
              <w:right w:w="100" w:type="dxa"/>
            </w:tcMar>
            <w:vAlign w:val="center"/>
          </w:tcPr>
          <w:p w14:paraId="025CFFEC" w14:textId="77777777" w:rsidR="00BE4873" w:rsidRDefault="00000000">
            <w:r>
              <w:rPr>
                <w:sz w:val="19"/>
                <w:szCs w:val="19"/>
              </w:rPr>
              <w:t>Definir si existe intercambio agregado de datos, y bajo qué protocolo</w:t>
            </w:r>
          </w:p>
        </w:tc>
        <w:tc>
          <w:tcPr>
            <w:tcW w:w="1000" w:type="dxa"/>
            <w:tcMar>
              <w:top w:w="80" w:type="dxa"/>
              <w:left w:w="100" w:type="dxa"/>
              <w:bottom w:w="80" w:type="dxa"/>
              <w:right w:w="100" w:type="dxa"/>
            </w:tcMar>
            <w:vAlign w:val="center"/>
          </w:tcPr>
          <w:p w14:paraId="44D2A380" w14:textId="77777777" w:rsidR="00BE4873" w:rsidRDefault="00000000">
            <w:r>
              <w:rPr>
                <w:sz w:val="19"/>
                <w:szCs w:val="19"/>
              </w:rPr>
              <w:t>BR-02, BR-03</w:t>
            </w:r>
          </w:p>
        </w:tc>
      </w:tr>
      <w:tr w:rsidR="00BE4873" w14:paraId="7AB24539" w14:textId="77777777">
        <w:tblPrEx>
          <w:tblCellMar>
            <w:top w:w="0" w:type="dxa"/>
            <w:bottom w:w="0" w:type="dxa"/>
          </w:tblCellMar>
        </w:tblPrEx>
        <w:tc>
          <w:tcPr>
            <w:tcW w:w="1900" w:type="dxa"/>
            <w:shd w:val="clear" w:color="auto" w:fill="F2F2F2"/>
            <w:tcMar>
              <w:top w:w="80" w:type="dxa"/>
              <w:left w:w="100" w:type="dxa"/>
              <w:bottom w:w="80" w:type="dxa"/>
              <w:right w:w="100" w:type="dxa"/>
            </w:tcMar>
            <w:vAlign w:val="center"/>
          </w:tcPr>
          <w:p w14:paraId="6143C2A8" w14:textId="77777777" w:rsidR="00BE4873" w:rsidRDefault="00000000">
            <w:r>
              <w:rPr>
                <w:sz w:val="19"/>
                <w:szCs w:val="19"/>
              </w:rPr>
              <w:t>Gestión técnica de infraestructura</w:t>
            </w:r>
          </w:p>
        </w:tc>
        <w:tc>
          <w:tcPr>
            <w:tcW w:w="2200" w:type="dxa"/>
            <w:shd w:val="clear" w:color="auto" w:fill="F2F2F2"/>
            <w:tcMar>
              <w:top w:w="80" w:type="dxa"/>
              <w:left w:w="100" w:type="dxa"/>
              <w:bottom w:w="80" w:type="dxa"/>
              <w:right w:w="100" w:type="dxa"/>
            </w:tcMar>
            <w:vAlign w:val="center"/>
          </w:tcPr>
          <w:p w14:paraId="7F8F8BBB" w14:textId="77777777" w:rsidR="00BE4873" w:rsidRDefault="00000000">
            <w:r>
              <w:rPr>
                <w:sz w:val="19"/>
                <w:szCs w:val="19"/>
              </w:rPr>
              <w:t>Administrador del sistema</w:t>
            </w:r>
          </w:p>
        </w:tc>
        <w:tc>
          <w:tcPr>
            <w:tcW w:w="4260" w:type="dxa"/>
            <w:shd w:val="clear" w:color="auto" w:fill="F2F2F2"/>
            <w:tcMar>
              <w:top w:w="80" w:type="dxa"/>
              <w:left w:w="100" w:type="dxa"/>
              <w:bottom w:w="80" w:type="dxa"/>
              <w:right w:w="100" w:type="dxa"/>
            </w:tcMar>
            <w:vAlign w:val="center"/>
          </w:tcPr>
          <w:p w14:paraId="40F089EE" w14:textId="77777777" w:rsidR="00BE4873" w:rsidRDefault="00000000">
            <w:r>
              <w:rPr>
                <w:sz w:val="19"/>
                <w:szCs w:val="19"/>
              </w:rPr>
              <w:t>Cumplir tiempos de recuperación y disponibilidad objetivo en ambiente híbrido</w:t>
            </w:r>
          </w:p>
        </w:tc>
        <w:tc>
          <w:tcPr>
            <w:tcW w:w="1000" w:type="dxa"/>
            <w:shd w:val="clear" w:color="auto" w:fill="F2F2F2"/>
            <w:tcMar>
              <w:top w:w="80" w:type="dxa"/>
              <w:left w:w="100" w:type="dxa"/>
              <w:bottom w:w="80" w:type="dxa"/>
              <w:right w:w="100" w:type="dxa"/>
            </w:tcMar>
            <w:vAlign w:val="center"/>
          </w:tcPr>
          <w:p w14:paraId="66E8592F" w14:textId="77777777" w:rsidR="00BE4873" w:rsidRDefault="00000000">
            <w:r>
              <w:rPr>
                <w:sz w:val="19"/>
                <w:szCs w:val="19"/>
              </w:rPr>
              <w:t>BR-05</w:t>
            </w:r>
          </w:p>
        </w:tc>
      </w:tr>
    </w:tbl>
    <w:p w14:paraId="2416A427" w14:textId="77777777" w:rsidR="00BE4873" w:rsidRDefault="00000000">
      <w:pPr>
        <w:pStyle w:val="Ttulo1"/>
      </w:pPr>
      <w:r>
        <w:t>Paso 5 — Consolidar y conciliar los requisitos de interoperabilidad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2400"/>
        <w:gridCol w:w="3460"/>
      </w:tblGrid>
      <w:tr w:rsidR="00BE4873" w14:paraId="24B8FEF1"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13A43D2B" w14:textId="77777777" w:rsidR="00BE4873" w:rsidRDefault="00000000">
            <w:r>
              <w:rPr>
                <w:b/>
                <w:bCs/>
                <w:color w:val="FFFFFF"/>
                <w:sz w:val="19"/>
                <w:szCs w:val="19"/>
              </w:rPr>
              <w:t>ID</w:t>
            </w:r>
          </w:p>
        </w:tc>
        <w:tc>
          <w:tcPr>
            <w:tcW w:w="2600" w:type="dxa"/>
            <w:shd w:val="clear" w:color="auto" w:fill="1F3864"/>
            <w:tcMar>
              <w:top w:w="80" w:type="dxa"/>
              <w:left w:w="100" w:type="dxa"/>
              <w:bottom w:w="80" w:type="dxa"/>
              <w:right w:w="100" w:type="dxa"/>
            </w:tcMar>
            <w:vAlign w:val="center"/>
          </w:tcPr>
          <w:p w14:paraId="1ECB5BA9" w14:textId="77777777" w:rsidR="00BE4873" w:rsidRDefault="00000000">
            <w:r>
              <w:rPr>
                <w:b/>
                <w:bCs/>
                <w:color w:val="FFFFFF"/>
                <w:sz w:val="19"/>
                <w:szCs w:val="19"/>
              </w:rPr>
              <w:t>Sistema</w:t>
            </w:r>
          </w:p>
        </w:tc>
        <w:tc>
          <w:tcPr>
            <w:tcW w:w="2400" w:type="dxa"/>
            <w:shd w:val="clear" w:color="auto" w:fill="1F3864"/>
            <w:tcMar>
              <w:top w:w="80" w:type="dxa"/>
              <w:left w:w="100" w:type="dxa"/>
              <w:bottom w:w="80" w:type="dxa"/>
              <w:right w:w="100" w:type="dxa"/>
            </w:tcMar>
            <w:vAlign w:val="center"/>
          </w:tcPr>
          <w:p w14:paraId="7A882F58" w14:textId="77777777" w:rsidR="00BE4873" w:rsidRDefault="00000000">
            <w:r>
              <w:rPr>
                <w:b/>
                <w:bCs/>
                <w:color w:val="FFFFFF"/>
                <w:sz w:val="19"/>
                <w:szCs w:val="19"/>
              </w:rPr>
              <w:t>Estado</w:t>
            </w:r>
          </w:p>
        </w:tc>
        <w:tc>
          <w:tcPr>
            <w:tcW w:w="3460" w:type="dxa"/>
            <w:shd w:val="clear" w:color="auto" w:fill="1F3864"/>
            <w:tcMar>
              <w:top w:w="80" w:type="dxa"/>
              <w:left w:w="100" w:type="dxa"/>
              <w:bottom w:w="80" w:type="dxa"/>
              <w:right w:w="100" w:type="dxa"/>
            </w:tcMar>
            <w:vAlign w:val="center"/>
          </w:tcPr>
          <w:p w14:paraId="558D31B6" w14:textId="77777777" w:rsidR="00BE4873" w:rsidRDefault="00000000">
            <w:r>
              <w:rPr>
                <w:b/>
                <w:bCs/>
                <w:color w:val="FFFFFF"/>
                <w:sz w:val="19"/>
                <w:szCs w:val="19"/>
              </w:rPr>
              <w:t>Requisito de interoperabilidad consolidado</w:t>
            </w:r>
          </w:p>
        </w:tc>
      </w:tr>
      <w:tr w:rsidR="00BE4873" w14:paraId="4DF7F95E" w14:textId="77777777">
        <w:tblPrEx>
          <w:tblCellMar>
            <w:top w:w="0" w:type="dxa"/>
            <w:bottom w:w="0" w:type="dxa"/>
          </w:tblCellMar>
        </w:tblPrEx>
        <w:tc>
          <w:tcPr>
            <w:tcW w:w="900" w:type="dxa"/>
            <w:tcMar>
              <w:top w:w="80" w:type="dxa"/>
              <w:left w:w="100" w:type="dxa"/>
              <w:bottom w:w="80" w:type="dxa"/>
              <w:right w:w="100" w:type="dxa"/>
            </w:tcMar>
            <w:vAlign w:val="center"/>
          </w:tcPr>
          <w:p w14:paraId="681925A3" w14:textId="77777777" w:rsidR="00BE4873" w:rsidRDefault="00000000">
            <w:r>
              <w:rPr>
                <w:sz w:val="19"/>
                <w:szCs w:val="19"/>
              </w:rPr>
              <w:t>INT-01</w:t>
            </w:r>
          </w:p>
        </w:tc>
        <w:tc>
          <w:tcPr>
            <w:tcW w:w="2600" w:type="dxa"/>
            <w:tcMar>
              <w:top w:w="80" w:type="dxa"/>
              <w:left w:w="100" w:type="dxa"/>
              <w:bottom w:w="80" w:type="dxa"/>
              <w:right w:w="100" w:type="dxa"/>
            </w:tcMar>
            <w:vAlign w:val="center"/>
          </w:tcPr>
          <w:p w14:paraId="27C5C000" w14:textId="77777777" w:rsidR="00BE4873" w:rsidRDefault="00000000">
            <w:r>
              <w:rPr>
                <w:sz w:val="19"/>
                <w:szCs w:val="19"/>
              </w:rPr>
              <w:t>Servicio de enrutamiento vial (infraestructura propia)</w:t>
            </w:r>
          </w:p>
        </w:tc>
        <w:tc>
          <w:tcPr>
            <w:tcW w:w="2400" w:type="dxa"/>
            <w:tcMar>
              <w:top w:w="80" w:type="dxa"/>
              <w:left w:w="100" w:type="dxa"/>
              <w:bottom w:w="80" w:type="dxa"/>
              <w:right w:w="100" w:type="dxa"/>
            </w:tcMar>
            <w:vAlign w:val="center"/>
          </w:tcPr>
          <w:p w14:paraId="6863750C" w14:textId="77777777" w:rsidR="00BE4873" w:rsidRDefault="00000000">
            <w:r>
              <w:rPr>
                <w:sz w:val="19"/>
                <w:szCs w:val="19"/>
              </w:rPr>
              <w:t>Autorizado</w:t>
            </w:r>
          </w:p>
        </w:tc>
        <w:tc>
          <w:tcPr>
            <w:tcW w:w="3460" w:type="dxa"/>
            <w:tcMar>
              <w:top w:w="80" w:type="dxa"/>
              <w:left w:w="100" w:type="dxa"/>
              <w:bottom w:w="80" w:type="dxa"/>
              <w:right w:w="100" w:type="dxa"/>
            </w:tcMar>
            <w:vAlign w:val="center"/>
          </w:tcPr>
          <w:p w14:paraId="4A8E3E47" w14:textId="77777777" w:rsidR="00BE4873" w:rsidRDefault="00000000">
            <w:r>
              <w:rPr>
                <w:sz w:val="19"/>
                <w:szCs w:val="19"/>
              </w:rPr>
              <w:t>Cálculo de trayectos sin salida a internet</w:t>
            </w:r>
          </w:p>
        </w:tc>
      </w:tr>
      <w:tr w:rsidR="00BE4873" w14:paraId="0A047BF4"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3D26613E" w14:textId="77777777" w:rsidR="00BE4873" w:rsidRDefault="00000000">
            <w:r>
              <w:rPr>
                <w:sz w:val="19"/>
                <w:szCs w:val="19"/>
              </w:rPr>
              <w:t>INT-02</w:t>
            </w:r>
          </w:p>
        </w:tc>
        <w:tc>
          <w:tcPr>
            <w:tcW w:w="2600" w:type="dxa"/>
            <w:shd w:val="clear" w:color="auto" w:fill="F2F2F2"/>
            <w:tcMar>
              <w:top w:w="80" w:type="dxa"/>
              <w:left w:w="100" w:type="dxa"/>
              <w:bottom w:w="80" w:type="dxa"/>
              <w:right w:w="100" w:type="dxa"/>
            </w:tcMar>
            <w:vAlign w:val="center"/>
          </w:tcPr>
          <w:p w14:paraId="046D560D" w14:textId="77777777" w:rsidR="00BE4873" w:rsidRDefault="00000000">
            <w:r>
              <w:rPr>
                <w:sz w:val="19"/>
                <w:szCs w:val="19"/>
              </w:rPr>
              <w:t>Cartografía base (infraestructura propia)</w:t>
            </w:r>
          </w:p>
        </w:tc>
        <w:tc>
          <w:tcPr>
            <w:tcW w:w="2400" w:type="dxa"/>
            <w:shd w:val="clear" w:color="auto" w:fill="F2F2F2"/>
            <w:tcMar>
              <w:top w:w="80" w:type="dxa"/>
              <w:left w:w="100" w:type="dxa"/>
              <w:bottom w:w="80" w:type="dxa"/>
              <w:right w:w="100" w:type="dxa"/>
            </w:tcMar>
            <w:vAlign w:val="center"/>
          </w:tcPr>
          <w:p w14:paraId="718AF1FC" w14:textId="77777777" w:rsidR="00BE4873" w:rsidRDefault="00000000">
            <w:r>
              <w:rPr>
                <w:sz w:val="19"/>
                <w:szCs w:val="19"/>
              </w:rPr>
              <w:t>Autorizado</w:t>
            </w:r>
          </w:p>
        </w:tc>
        <w:tc>
          <w:tcPr>
            <w:tcW w:w="3460" w:type="dxa"/>
            <w:shd w:val="clear" w:color="auto" w:fill="F2F2F2"/>
            <w:tcMar>
              <w:top w:w="80" w:type="dxa"/>
              <w:left w:w="100" w:type="dxa"/>
              <w:bottom w:w="80" w:type="dxa"/>
              <w:right w:w="100" w:type="dxa"/>
            </w:tcMar>
            <w:vAlign w:val="center"/>
          </w:tcPr>
          <w:p w14:paraId="7A723266" w14:textId="77777777" w:rsidR="00BE4873" w:rsidRDefault="00000000">
            <w:r>
              <w:rPr>
                <w:sz w:val="19"/>
                <w:szCs w:val="19"/>
              </w:rPr>
              <w:t>Sin dependencia externa</w:t>
            </w:r>
          </w:p>
        </w:tc>
      </w:tr>
      <w:tr w:rsidR="00BE4873" w14:paraId="55F2499F" w14:textId="77777777">
        <w:tblPrEx>
          <w:tblCellMar>
            <w:top w:w="0" w:type="dxa"/>
            <w:bottom w:w="0" w:type="dxa"/>
          </w:tblCellMar>
        </w:tblPrEx>
        <w:tc>
          <w:tcPr>
            <w:tcW w:w="900" w:type="dxa"/>
            <w:tcMar>
              <w:top w:w="80" w:type="dxa"/>
              <w:left w:w="100" w:type="dxa"/>
              <w:bottom w:w="80" w:type="dxa"/>
              <w:right w:w="100" w:type="dxa"/>
            </w:tcMar>
            <w:vAlign w:val="center"/>
          </w:tcPr>
          <w:p w14:paraId="6913EDB8" w14:textId="77777777" w:rsidR="00BE4873" w:rsidRDefault="00000000">
            <w:r>
              <w:rPr>
                <w:sz w:val="19"/>
                <w:szCs w:val="19"/>
              </w:rPr>
              <w:t>INT-03</w:t>
            </w:r>
          </w:p>
        </w:tc>
        <w:tc>
          <w:tcPr>
            <w:tcW w:w="2600" w:type="dxa"/>
            <w:tcMar>
              <w:top w:w="80" w:type="dxa"/>
              <w:left w:w="100" w:type="dxa"/>
              <w:bottom w:w="80" w:type="dxa"/>
              <w:right w:w="100" w:type="dxa"/>
            </w:tcMar>
            <w:vAlign w:val="center"/>
          </w:tcPr>
          <w:p w14:paraId="3C93A0E2" w14:textId="77777777" w:rsidR="00BE4873" w:rsidRDefault="00000000">
            <w:r>
              <w:rPr>
                <w:sz w:val="19"/>
                <w:szCs w:val="19"/>
              </w:rPr>
              <w:t>Directorio de identidad institucional</w:t>
            </w:r>
          </w:p>
        </w:tc>
        <w:tc>
          <w:tcPr>
            <w:tcW w:w="2400" w:type="dxa"/>
            <w:tcMar>
              <w:top w:w="80" w:type="dxa"/>
              <w:left w:w="100" w:type="dxa"/>
              <w:bottom w:w="80" w:type="dxa"/>
              <w:right w:w="100" w:type="dxa"/>
            </w:tcMar>
            <w:vAlign w:val="center"/>
          </w:tcPr>
          <w:p w14:paraId="068FCD4E" w14:textId="77777777" w:rsidR="00BE4873" w:rsidRDefault="00000000">
            <w:r>
              <w:rPr>
                <w:sz w:val="19"/>
                <w:szCs w:val="19"/>
              </w:rPr>
              <w:t>Autorizado</w:t>
            </w:r>
          </w:p>
        </w:tc>
        <w:tc>
          <w:tcPr>
            <w:tcW w:w="3460" w:type="dxa"/>
            <w:tcMar>
              <w:top w:w="80" w:type="dxa"/>
              <w:left w:w="100" w:type="dxa"/>
              <w:bottom w:w="80" w:type="dxa"/>
              <w:right w:w="100" w:type="dxa"/>
            </w:tcMar>
            <w:vAlign w:val="center"/>
          </w:tcPr>
          <w:p w14:paraId="55C3DC96" w14:textId="77777777" w:rsidR="00BE4873" w:rsidRDefault="00000000">
            <w:r>
              <w:rPr>
                <w:sz w:val="19"/>
                <w:szCs w:val="19"/>
              </w:rPr>
              <w:t>Autenticación solo para uso interno</w:t>
            </w:r>
          </w:p>
        </w:tc>
      </w:tr>
      <w:tr w:rsidR="00BE4873" w14:paraId="362E5818"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4AFF3E84" w14:textId="77777777" w:rsidR="00BE4873" w:rsidRDefault="00000000">
            <w:r>
              <w:rPr>
                <w:sz w:val="19"/>
                <w:szCs w:val="19"/>
              </w:rPr>
              <w:t>INT-04</w:t>
            </w:r>
          </w:p>
        </w:tc>
        <w:tc>
          <w:tcPr>
            <w:tcW w:w="2600" w:type="dxa"/>
            <w:shd w:val="clear" w:color="auto" w:fill="F2F2F2"/>
            <w:tcMar>
              <w:top w:w="80" w:type="dxa"/>
              <w:left w:w="100" w:type="dxa"/>
              <w:bottom w:w="80" w:type="dxa"/>
              <w:right w:w="100" w:type="dxa"/>
            </w:tcMar>
            <w:vAlign w:val="center"/>
          </w:tcPr>
          <w:p w14:paraId="3D0E1B0E" w14:textId="77777777" w:rsidR="00BE4873" w:rsidRDefault="00000000">
            <w:r>
              <w:rPr>
                <w:sz w:val="19"/>
                <w:szCs w:val="19"/>
              </w:rPr>
              <w:t>Sistema de comunicaciones y despacho</w:t>
            </w:r>
          </w:p>
        </w:tc>
        <w:tc>
          <w:tcPr>
            <w:tcW w:w="2400" w:type="dxa"/>
            <w:shd w:val="clear" w:color="auto" w:fill="F2F2F2"/>
            <w:tcMar>
              <w:top w:w="80" w:type="dxa"/>
              <w:left w:w="100" w:type="dxa"/>
              <w:bottom w:w="80" w:type="dxa"/>
              <w:right w:w="100" w:type="dxa"/>
            </w:tcMar>
            <w:vAlign w:val="center"/>
          </w:tcPr>
          <w:p w14:paraId="6130BE67" w14:textId="77777777" w:rsidR="00BE4873" w:rsidRDefault="00000000">
            <w:r>
              <w:rPr>
                <w:sz w:val="19"/>
                <w:szCs w:val="19"/>
              </w:rPr>
              <w:t>Autorizado — crítico para el KPI de tiempo de respuesta</w:t>
            </w:r>
          </w:p>
        </w:tc>
        <w:tc>
          <w:tcPr>
            <w:tcW w:w="3460" w:type="dxa"/>
            <w:shd w:val="clear" w:color="auto" w:fill="F2F2F2"/>
            <w:tcMar>
              <w:top w:w="80" w:type="dxa"/>
              <w:left w:w="100" w:type="dxa"/>
              <w:bottom w:w="80" w:type="dxa"/>
              <w:right w:w="100" w:type="dxa"/>
            </w:tcMar>
            <w:vAlign w:val="center"/>
          </w:tcPr>
          <w:p w14:paraId="260558DA" w14:textId="77777777" w:rsidR="00BE4873" w:rsidRDefault="00000000">
            <w:r>
              <w:rPr>
                <w:sz w:val="19"/>
                <w:szCs w:val="19"/>
              </w:rPr>
              <w:t>Alerta → confirmación de despacho → cálculo de tiempo de respuesta; es la integración de la que depende el indicador más sensible del sistema</w:t>
            </w:r>
          </w:p>
        </w:tc>
      </w:tr>
      <w:tr w:rsidR="00BE4873" w14:paraId="02677977" w14:textId="77777777">
        <w:tblPrEx>
          <w:tblCellMar>
            <w:top w:w="0" w:type="dxa"/>
            <w:bottom w:w="0" w:type="dxa"/>
          </w:tblCellMar>
        </w:tblPrEx>
        <w:tc>
          <w:tcPr>
            <w:tcW w:w="900" w:type="dxa"/>
            <w:tcMar>
              <w:top w:w="80" w:type="dxa"/>
              <w:left w:w="100" w:type="dxa"/>
              <w:bottom w:w="80" w:type="dxa"/>
              <w:right w:w="100" w:type="dxa"/>
            </w:tcMar>
            <w:vAlign w:val="center"/>
          </w:tcPr>
          <w:p w14:paraId="2AF673B3" w14:textId="77777777" w:rsidR="00BE4873" w:rsidRDefault="00000000">
            <w:r>
              <w:rPr>
                <w:sz w:val="19"/>
                <w:szCs w:val="19"/>
              </w:rPr>
              <w:t>INT-05</w:t>
            </w:r>
          </w:p>
        </w:tc>
        <w:tc>
          <w:tcPr>
            <w:tcW w:w="2600" w:type="dxa"/>
            <w:tcMar>
              <w:top w:w="80" w:type="dxa"/>
              <w:left w:w="100" w:type="dxa"/>
              <w:bottom w:w="80" w:type="dxa"/>
              <w:right w:w="100" w:type="dxa"/>
            </w:tcMar>
            <w:vAlign w:val="center"/>
          </w:tcPr>
          <w:p w14:paraId="4BC171D8" w14:textId="77777777" w:rsidR="00BE4873" w:rsidRDefault="00000000">
            <w:r>
              <w:rPr>
                <w:sz w:val="19"/>
                <w:szCs w:val="19"/>
              </w:rPr>
              <w:t>Canal de mensajería instantánea</w:t>
            </w:r>
          </w:p>
        </w:tc>
        <w:tc>
          <w:tcPr>
            <w:tcW w:w="2400" w:type="dxa"/>
            <w:tcMar>
              <w:top w:w="80" w:type="dxa"/>
              <w:left w:w="100" w:type="dxa"/>
              <w:bottom w:w="80" w:type="dxa"/>
              <w:right w:w="100" w:type="dxa"/>
            </w:tcMar>
            <w:vAlign w:val="center"/>
          </w:tcPr>
          <w:p w14:paraId="573940D0" w14:textId="77777777" w:rsidR="00BE4873" w:rsidRDefault="00000000">
            <w:r>
              <w:rPr>
                <w:sz w:val="19"/>
                <w:szCs w:val="19"/>
              </w:rPr>
              <w:t>Autorizado (primera fase, en la nube)</w:t>
            </w:r>
          </w:p>
        </w:tc>
        <w:tc>
          <w:tcPr>
            <w:tcW w:w="3460" w:type="dxa"/>
            <w:tcMar>
              <w:top w:w="80" w:type="dxa"/>
              <w:left w:w="100" w:type="dxa"/>
              <w:bottom w:w="80" w:type="dxa"/>
              <w:right w:w="100" w:type="dxa"/>
            </w:tcMar>
            <w:vAlign w:val="center"/>
          </w:tcPr>
          <w:p w14:paraId="4A784121" w14:textId="77777777" w:rsidR="00BE4873" w:rsidRDefault="00000000">
            <w:r>
              <w:rPr>
                <w:sz w:val="19"/>
                <w:szCs w:val="19"/>
              </w:rPr>
              <w:t>Número eliminado antes del reenvío al backend</w:t>
            </w:r>
          </w:p>
        </w:tc>
      </w:tr>
      <w:tr w:rsidR="00BE4873" w14:paraId="234AB2F0"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56AB81FA" w14:textId="77777777" w:rsidR="00BE4873" w:rsidRDefault="00000000">
            <w:r>
              <w:rPr>
                <w:sz w:val="19"/>
                <w:szCs w:val="19"/>
              </w:rPr>
              <w:t>INT-06</w:t>
            </w:r>
          </w:p>
        </w:tc>
        <w:tc>
          <w:tcPr>
            <w:tcW w:w="2600" w:type="dxa"/>
            <w:shd w:val="clear" w:color="auto" w:fill="F2F2F2"/>
            <w:tcMar>
              <w:top w:w="80" w:type="dxa"/>
              <w:left w:w="100" w:type="dxa"/>
              <w:bottom w:w="80" w:type="dxa"/>
              <w:right w:w="100" w:type="dxa"/>
            </w:tcMar>
            <w:vAlign w:val="center"/>
          </w:tcPr>
          <w:p w14:paraId="0CA6330F" w14:textId="77777777" w:rsidR="00BE4873" w:rsidRDefault="00000000">
            <w:r>
              <w:rPr>
                <w:sz w:val="19"/>
                <w:szCs w:val="19"/>
              </w:rPr>
              <w:t>Servicio de geolocalización en la nube</w:t>
            </w:r>
          </w:p>
        </w:tc>
        <w:tc>
          <w:tcPr>
            <w:tcW w:w="2400" w:type="dxa"/>
            <w:shd w:val="clear" w:color="auto" w:fill="F2F2F2"/>
            <w:tcMar>
              <w:top w:w="80" w:type="dxa"/>
              <w:left w:w="100" w:type="dxa"/>
              <w:bottom w:w="80" w:type="dxa"/>
              <w:right w:w="100" w:type="dxa"/>
            </w:tcMar>
            <w:vAlign w:val="center"/>
          </w:tcPr>
          <w:p w14:paraId="5F018BC2" w14:textId="77777777" w:rsidR="00BE4873" w:rsidRDefault="00000000">
            <w:r>
              <w:rPr>
                <w:sz w:val="19"/>
                <w:szCs w:val="19"/>
              </w:rPr>
              <w:t>Autorizado (primera fase)</w:t>
            </w:r>
          </w:p>
        </w:tc>
        <w:tc>
          <w:tcPr>
            <w:tcW w:w="3460" w:type="dxa"/>
            <w:shd w:val="clear" w:color="auto" w:fill="F2F2F2"/>
            <w:tcMar>
              <w:top w:w="80" w:type="dxa"/>
              <w:left w:w="100" w:type="dxa"/>
              <w:bottom w:w="80" w:type="dxa"/>
              <w:right w:w="100" w:type="dxa"/>
            </w:tcMar>
            <w:vAlign w:val="center"/>
          </w:tcPr>
          <w:p w14:paraId="595B6BFD" w14:textId="77777777" w:rsidR="00BE4873" w:rsidRDefault="00000000">
            <w:r>
              <w:rPr>
                <w:sz w:val="19"/>
                <w:szCs w:val="19"/>
              </w:rPr>
              <w:t>Solo coordenadas de geocercas y un identificador de alerta; sin puntaje, descripción ni corredor</w:t>
            </w:r>
          </w:p>
        </w:tc>
      </w:tr>
      <w:tr w:rsidR="00BE4873" w14:paraId="4DC2148C" w14:textId="77777777">
        <w:tblPrEx>
          <w:tblCellMar>
            <w:top w:w="0" w:type="dxa"/>
            <w:bottom w:w="0" w:type="dxa"/>
          </w:tblCellMar>
        </w:tblPrEx>
        <w:tc>
          <w:tcPr>
            <w:tcW w:w="900" w:type="dxa"/>
            <w:tcMar>
              <w:top w:w="80" w:type="dxa"/>
              <w:left w:w="100" w:type="dxa"/>
              <w:bottom w:w="80" w:type="dxa"/>
              <w:right w:w="100" w:type="dxa"/>
            </w:tcMar>
            <w:vAlign w:val="center"/>
          </w:tcPr>
          <w:p w14:paraId="03BF557E" w14:textId="77777777" w:rsidR="00BE4873" w:rsidRDefault="00000000">
            <w:r>
              <w:rPr>
                <w:sz w:val="19"/>
                <w:szCs w:val="19"/>
              </w:rPr>
              <w:t>INT-07</w:t>
            </w:r>
          </w:p>
        </w:tc>
        <w:tc>
          <w:tcPr>
            <w:tcW w:w="2600" w:type="dxa"/>
            <w:tcMar>
              <w:top w:w="80" w:type="dxa"/>
              <w:left w:w="100" w:type="dxa"/>
              <w:bottom w:w="80" w:type="dxa"/>
              <w:right w:w="100" w:type="dxa"/>
            </w:tcMar>
            <w:vAlign w:val="center"/>
          </w:tcPr>
          <w:p w14:paraId="5E3F6E01" w14:textId="77777777" w:rsidR="00BE4873" w:rsidRDefault="00000000">
            <w:r>
              <w:rPr>
                <w:sz w:val="19"/>
                <w:szCs w:val="19"/>
              </w:rPr>
              <w:t>Observatorio delictivo de la PNP</w:t>
            </w:r>
          </w:p>
        </w:tc>
        <w:tc>
          <w:tcPr>
            <w:tcW w:w="2400" w:type="dxa"/>
            <w:tcMar>
              <w:top w:w="80" w:type="dxa"/>
              <w:left w:w="100" w:type="dxa"/>
              <w:bottom w:w="80" w:type="dxa"/>
              <w:right w:w="100" w:type="dxa"/>
            </w:tcMar>
            <w:vAlign w:val="center"/>
          </w:tcPr>
          <w:p w14:paraId="426C1526" w14:textId="77777777" w:rsidR="00BE4873" w:rsidRDefault="00000000">
            <w:r>
              <w:rPr>
                <w:sz w:val="19"/>
                <w:szCs w:val="19"/>
              </w:rPr>
              <w:t>Pendiente de decisión</w:t>
            </w:r>
          </w:p>
        </w:tc>
        <w:tc>
          <w:tcPr>
            <w:tcW w:w="3460" w:type="dxa"/>
            <w:tcMar>
              <w:top w:w="80" w:type="dxa"/>
              <w:left w:w="100" w:type="dxa"/>
              <w:bottom w:w="80" w:type="dxa"/>
              <w:right w:w="100" w:type="dxa"/>
            </w:tcMar>
            <w:vAlign w:val="center"/>
          </w:tcPr>
          <w:p w14:paraId="47742527" w14:textId="77777777" w:rsidR="00BE4873" w:rsidRDefault="00000000">
            <w:r>
              <w:rPr>
                <w:sz w:val="19"/>
                <w:szCs w:val="19"/>
              </w:rPr>
              <w:t>Definir si se comparte información agregada de clústeres delictivos; condiciona si este sistema es herramienta técnica del observatorio, se integra con él, o es un desarrollo paralelo</w:t>
            </w:r>
          </w:p>
        </w:tc>
      </w:tr>
      <w:tr w:rsidR="00BE4873" w14:paraId="240F6511"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299B0E5C" w14:textId="77777777" w:rsidR="00BE4873" w:rsidRDefault="00000000">
            <w:r>
              <w:rPr>
                <w:sz w:val="19"/>
                <w:szCs w:val="19"/>
              </w:rPr>
              <w:t>INT-08</w:t>
            </w:r>
          </w:p>
        </w:tc>
        <w:tc>
          <w:tcPr>
            <w:tcW w:w="2600" w:type="dxa"/>
            <w:shd w:val="clear" w:color="auto" w:fill="F2F2F2"/>
            <w:tcMar>
              <w:top w:w="80" w:type="dxa"/>
              <w:left w:w="100" w:type="dxa"/>
              <w:bottom w:w="80" w:type="dxa"/>
              <w:right w:w="100" w:type="dxa"/>
            </w:tcMar>
            <w:vAlign w:val="center"/>
          </w:tcPr>
          <w:p w14:paraId="3C82AE8C" w14:textId="77777777" w:rsidR="00BE4873" w:rsidRDefault="00000000">
            <w:r>
              <w:rPr>
                <w:sz w:val="19"/>
                <w:szCs w:val="19"/>
              </w:rPr>
              <w:t>Programa de protección al transportista</w:t>
            </w:r>
          </w:p>
        </w:tc>
        <w:tc>
          <w:tcPr>
            <w:tcW w:w="2400" w:type="dxa"/>
            <w:shd w:val="clear" w:color="auto" w:fill="F2F2F2"/>
            <w:tcMar>
              <w:top w:w="80" w:type="dxa"/>
              <w:left w:w="100" w:type="dxa"/>
              <w:bottom w:w="80" w:type="dxa"/>
              <w:right w:w="100" w:type="dxa"/>
            </w:tcMar>
            <w:vAlign w:val="center"/>
          </w:tcPr>
          <w:p w14:paraId="7C6F0380" w14:textId="77777777" w:rsidR="00BE4873" w:rsidRDefault="00000000">
            <w:r>
              <w:rPr>
                <w:sz w:val="19"/>
                <w:szCs w:val="19"/>
              </w:rPr>
              <w:t>Pendiente de decisión</w:t>
            </w:r>
          </w:p>
        </w:tc>
        <w:tc>
          <w:tcPr>
            <w:tcW w:w="3460" w:type="dxa"/>
            <w:shd w:val="clear" w:color="auto" w:fill="F2F2F2"/>
            <w:tcMar>
              <w:top w:w="80" w:type="dxa"/>
              <w:left w:w="100" w:type="dxa"/>
              <w:bottom w:w="80" w:type="dxa"/>
              <w:right w:w="100" w:type="dxa"/>
            </w:tcMar>
            <w:vAlign w:val="center"/>
          </w:tcPr>
          <w:p w14:paraId="49E6531D" w14:textId="77777777" w:rsidR="00BE4873" w:rsidRDefault="00000000">
            <w:r>
              <w:rPr>
                <w:sz w:val="19"/>
                <w:szCs w:val="19"/>
              </w:rPr>
              <w:t>Evaluar cruce agregado sin datos identificatorios; no puede comprometer los principios de anonimato estructural</w:t>
            </w:r>
          </w:p>
        </w:tc>
      </w:tr>
    </w:tbl>
    <w:p w14:paraId="7DA4F55E" w14:textId="77777777" w:rsidR="00BE4873" w:rsidRDefault="00000000">
      <w:pPr>
        <w:spacing w:after="160"/>
      </w:pPr>
      <w:r>
        <w:t>Conciliación: las dos integraciones pendientes quedan fuera de la arquitectura objetivo inicial (no se construyen en el piloto) pero se reservan como paquete de trabajo condicional dentro de la etapa inicial del plan, ya que su resolución es prerrequisito de gobierno, no de ingeniería.</w:t>
      </w:r>
    </w:p>
    <w:p w14:paraId="3C662031" w14:textId="77777777" w:rsidR="00BE4873" w:rsidRDefault="00000000">
      <w:pPr>
        <w:pStyle w:val="Ttulo1"/>
      </w:pPr>
      <w:r>
        <w:lastRenderedPageBreak/>
        <w:t>Paso 6 — Refinar y validar las dependencias</w:t>
      </w:r>
    </w:p>
    <w:p w14:paraId="34EDDA2F" w14:textId="77777777" w:rsidR="00BE4873" w:rsidRDefault="00000000">
      <w:pPr>
        <w:pStyle w:val="Ttulo2"/>
        <w:spacing w:before="280" w:after="120"/>
      </w:pPr>
      <w:r>
        <w:t>6.1 Dependencia entre etapas del desarrollo de la arquitectura</w:t>
      </w:r>
    </w:p>
    <w:p w14:paraId="23D80382" w14:textId="77777777" w:rsidR="00BE4873" w:rsidRDefault="00000000">
      <w:pPr>
        <w:spacing w:after="160"/>
      </w:pPr>
      <w:r>
        <w:t>Visión → Negocio → (Datos y Aplicaciones en paralelo) → Tecnología → Oportunidades y Soluciones (esta fase) → Gobernanza → Gestión del cambio.</w:t>
      </w:r>
    </w:p>
    <w:p w14:paraId="310B622D" w14:textId="77777777" w:rsidR="00BE4873" w:rsidRDefault="00000000">
      <w:pPr>
        <w:spacing w:after="160"/>
      </w:pPr>
      <w:r>
        <w:t>Regla práctica vigente: la etapa de Tecnología no se cierra sin que las etapas de Datos y de Negocio estén al menos en versión estable, porque los permisos de los microservicios dependen de los procesos de negocio y del esquema de datos.</w:t>
      </w:r>
    </w:p>
    <w:p w14:paraId="1CC22AEC" w14:textId="77777777" w:rsidR="00BE4873" w:rsidRDefault="00000000">
      <w:pPr>
        <w:pStyle w:val="Ttulo2"/>
        <w:spacing w:before="280" w:after="120"/>
      </w:pPr>
      <w:r>
        <w:t>6.2 Dependencias específicas para la Hoja de Ruta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160"/>
      </w:tblGrid>
      <w:tr w:rsidR="00BE4873" w14:paraId="181EFD18"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5FF559A7" w14:textId="77777777" w:rsidR="00BE4873" w:rsidRDefault="00000000">
            <w:r>
              <w:rPr>
                <w:b/>
                <w:bCs/>
                <w:color w:val="FFFFFF"/>
                <w:sz w:val="19"/>
                <w:szCs w:val="19"/>
              </w:rPr>
              <w:t>Dependencia</w:t>
            </w:r>
          </w:p>
        </w:tc>
        <w:tc>
          <w:tcPr>
            <w:tcW w:w="1600" w:type="dxa"/>
            <w:shd w:val="clear" w:color="auto" w:fill="1F3864"/>
            <w:tcMar>
              <w:top w:w="80" w:type="dxa"/>
              <w:left w:w="100" w:type="dxa"/>
              <w:bottom w:w="80" w:type="dxa"/>
              <w:right w:w="100" w:type="dxa"/>
            </w:tcMar>
            <w:vAlign w:val="center"/>
          </w:tcPr>
          <w:p w14:paraId="627D452A" w14:textId="77777777" w:rsidR="00BE4873" w:rsidRDefault="00000000">
            <w:r>
              <w:rPr>
                <w:b/>
                <w:bCs/>
                <w:color w:val="FFFFFF"/>
                <w:sz w:val="19"/>
                <w:szCs w:val="19"/>
              </w:rPr>
              <w:t>Tipo</w:t>
            </w:r>
          </w:p>
        </w:tc>
        <w:tc>
          <w:tcPr>
            <w:tcW w:w="5160" w:type="dxa"/>
            <w:shd w:val="clear" w:color="auto" w:fill="1F3864"/>
            <w:tcMar>
              <w:top w:w="80" w:type="dxa"/>
              <w:left w:w="100" w:type="dxa"/>
              <w:bottom w:w="80" w:type="dxa"/>
              <w:right w:w="100" w:type="dxa"/>
            </w:tcMar>
            <w:vAlign w:val="center"/>
          </w:tcPr>
          <w:p w14:paraId="7AD352DE" w14:textId="77777777" w:rsidR="00BE4873" w:rsidRDefault="00000000">
            <w:r>
              <w:rPr>
                <w:b/>
                <w:bCs/>
                <w:color w:val="FFFFFF"/>
                <w:sz w:val="19"/>
                <w:szCs w:val="19"/>
              </w:rPr>
              <w:t>Efecto si no se resuelve a tiempo</w:t>
            </w:r>
          </w:p>
        </w:tc>
      </w:tr>
      <w:tr w:rsidR="00BE4873" w14:paraId="6CA02271" w14:textId="77777777">
        <w:tblPrEx>
          <w:tblCellMar>
            <w:top w:w="0" w:type="dxa"/>
            <w:bottom w:w="0" w:type="dxa"/>
          </w:tblCellMar>
        </w:tblPrEx>
        <w:tc>
          <w:tcPr>
            <w:tcW w:w="2600" w:type="dxa"/>
            <w:tcMar>
              <w:top w:w="80" w:type="dxa"/>
              <w:left w:w="100" w:type="dxa"/>
              <w:bottom w:w="80" w:type="dxa"/>
              <w:right w:w="100" w:type="dxa"/>
            </w:tcMar>
            <w:vAlign w:val="center"/>
          </w:tcPr>
          <w:p w14:paraId="77E051AA" w14:textId="77777777" w:rsidR="00BE4873" w:rsidRDefault="00000000">
            <w:r>
              <w:rPr>
                <w:sz w:val="19"/>
                <w:szCs w:val="19"/>
              </w:rPr>
              <w:t>Decisión sobre integraciones pendientes → cierre de la fase de Visión</w:t>
            </w:r>
          </w:p>
        </w:tc>
        <w:tc>
          <w:tcPr>
            <w:tcW w:w="1600" w:type="dxa"/>
            <w:tcMar>
              <w:top w:w="80" w:type="dxa"/>
              <w:left w:w="100" w:type="dxa"/>
              <w:bottom w:w="80" w:type="dxa"/>
              <w:right w:w="100" w:type="dxa"/>
            </w:tcMar>
            <w:vAlign w:val="center"/>
          </w:tcPr>
          <w:p w14:paraId="73A9DFB0" w14:textId="77777777" w:rsidR="00BE4873" w:rsidRDefault="00000000">
            <w:r>
              <w:rPr>
                <w:sz w:val="19"/>
                <w:szCs w:val="19"/>
              </w:rPr>
              <w:t>Gobierno → Visión</w:t>
            </w:r>
          </w:p>
        </w:tc>
        <w:tc>
          <w:tcPr>
            <w:tcW w:w="5160" w:type="dxa"/>
            <w:tcMar>
              <w:top w:w="80" w:type="dxa"/>
              <w:left w:w="100" w:type="dxa"/>
              <w:bottom w:w="80" w:type="dxa"/>
              <w:right w:w="100" w:type="dxa"/>
            </w:tcMar>
            <w:vAlign w:val="center"/>
          </w:tcPr>
          <w:p w14:paraId="56F769BC" w14:textId="77777777" w:rsidR="00BE4873" w:rsidRDefault="00000000">
            <w:r>
              <w:rPr>
                <w:sz w:val="19"/>
                <w:szCs w:val="19"/>
              </w:rPr>
              <w:t>Bloquea la aprobación formal de la fase de Visión</w:t>
            </w:r>
          </w:p>
        </w:tc>
      </w:tr>
      <w:tr w:rsidR="00BE4873" w14:paraId="59FDD840"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6563E63" w14:textId="77777777" w:rsidR="00BE4873" w:rsidRDefault="00000000">
            <w:r>
              <w:rPr>
                <w:sz w:val="19"/>
                <w:szCs w:val="19"/>
              </w:rPr>
              <w:t>Modelo de datos y puntuación de confianza → microservicios</w:t>
            </w:r>
          </w:p>
        </w:tc>
        <w:tc>
          <w:tcPr>
            <w:tcW w:w="1600" w:type="dxa"/>
            <w:shd w:val="clear" w:color="auto" w:fill="F2F2F2"/>
            <w:tcMar>
              <w:top w:w="80" w:type="dxa"/>
              <w:left w:w="100" w:type="dxa"/>
              <w:bottom w:w="80" w:type="dxa"/>
              <w:right w:w="100" w:type="dxa"/>
            </w:tcMar>
            <w:vAlign w:val="center"/>
          </w:tcPr>
          <w:p w14:paraId="45A44730" w14:textId="77777777" w:rsidR="00BE4873" w:rsidRDefault="00000000">
            <w:r>
              <w:rPr>
                <w:sz w:val="19"/>
                <w:szCs w:val="19"/>
              </w:rPr>
              <w:t>Datos → Aplicación</w:t>
            </w:r>
          </w:p>
        </w:tc>
        <w:tc>
          <w:tcPr>
            <w:tcW w:w="5160" w:type="dxa"/>
            <w:shd w:val="clear" w:color="auto" w:fill="F2F2F2"/>
            <w:tcMar>
              <w:top w:w="80" w:type="dxa"/>
              <w:left w:w="100" w:type="dxa"/>
              <w:bottom w:w="80" w:type="dxa"/>
              <w:right w:w="100" w:type="dxa"/>
            </w:tcMar>
            <w:vAlign w:val="center"/>
          </w:tcPr>
          <w:p w14:paraId="4A4BD381" w14:textId="77777777" w:rsidR="00BE4873" w:rsidRDefault="00000000">
            <w:r>
              <w:rPr>
                <w:sz w:val="19"/>
                <w:szCs w:val="19"/>
              </w:rPr>
              <w:t>Sin esquema estable, los servicios de puntuación y correlación geoespacial no pueden fijar contratos de interfaz</w:t>
            </w:r>
          </w:p>
        </w:tc>
      </w:tr>
      <w:tr w:rsidR="00BE4873" w14:paraId="0B6AAD25" w14:textId="77777777">
        <w:tblPrEx>
          <w:tblCellMar>
            <w:top w:w="0" w:type="dxa"/>
            <w:bottom w:w="0" w:type="dxa"/>
          </w:tblCellMar>
        </w:tblPrEx>
        <w:tc>
          <w:tcPr>
            <w:tcW w:w="2600" w:type="dxa"/>
            <w:tcMar>
              <w:top w:w="80" w:type="dxa"/>
              <w:left w:w="100" w:type="dxa"/>
              <w:bottom w:w="80" w:type="dxa"/>
              <w:right w:w="100" w:type="dxa"/>
            </w:tcMar>
            <w:vAlign w:val="center"/>
          </w:tcPr>
          <w:p w14:paraId="7A5DE7AA" w14:textId="77777777" w:rsidR="00BE4873" w:rsidRDefault="00000000">
            <w:r>
              <w:rPr>
                <w:sz w:val="19"/>
                <w:szCs w:val="19"/>
              </w:rPr>
              <w:t>Procesos de negocio → permisos de cada microservicio</w:t>
            </w:r>
          </w:p>
        </w:tc>
        <w:tc>
          <w:tcPr>
            <w:tcW w:w="1600" w:type="dxa"/>
            <w:tcMar>
              <w:top w:w="80" w:type="dxa"/>
              <w:left w:w="100" w:type="dxa"/>
              <w:bottom w:w="80" w:type="dxa"/>
              <w:right w:w="100" w:type="dxa"/>
            </w:tcMar>
            <w:vAlign w:val="center"/>
          </w:tcPr>
          <w:p w14:paraId="7F8D4B7B" w14:textId="77777777" w:rsidR="00BE4873" w:rsidRDefault="00000000">
            <w:r>
              <w:rPr>
                <w:sz w:val="19"/>
                <w:szCs w:val="19"/>
              </w:rPr>
              <w:t>Negocio → Tecnología</w:t>
            </w:r>
          </w:p>
        </w:tc>
        <w:tc>
          <w:tcPr>
            <w:tcW w:w="5160" w:type="dxa"/>
            <w:tcMar>
              <w:top w:w="80" w:type="dxa"/>
              <w:left w:w="100" w:type="dxa"/>
              <w:bottom w:w="80" w:type="dxa"/>
              <w:right w:w="100" w:type="dxa"/>
            </w:tcMar>
            <w:vAlign w:val="center"/>
          </w:tcPr>
          <w:p w14:paraId="6A95AF15" w14:textId="77777777" w:rsidR="00BE4873" w:rsidRDefault="00000000">
            <w:r>
              <w:rPr>
                <w:sz w:val="19"/>
                <w:szCs w:val="19"/>
              </w:rPr>
              <w:t>Los permisos de cada microservicio dependen de qué proceso los invoca</w:t>
            </w:r>
          </w:p>
        </w:tc>
      </w:tr>
      <w:tr w:rsidR="00BE4873" w14:paraId="55EFAA07"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681293A" w14:textId="77777777" w:rsidR="00BE4873" w:rsidRDefault="00000000">
            <w:r>
              <w:rPr>
                <w:sz w:val="19"/>
                <w:szCs w:val="19"/>
              </w:rPr>
              <w:t>Datos reales del piloto → calibración del algoritmo de clustering</w:t>
            </w:r>
          </w:p>
        </w:tc>
        <w:tc>
          <w:tcPr>
            <w:tcW w:w="1600" w:type="dxa"/>
            <w:shd w:val="clear" w:color="auto" w:fill="F2F2F2"/>
            <w:tcMar>
              <w:top w:w="80" w:type="dxa"/>
              <w:left w:w="100" w:type="dxa"/>
              <w:bottom w:w="80" w:type="dxa"/>
              <w:right w:w="100" w:type="dxa"/>
            </w:tcMar>
            <w:vAlign w:val="center"/>
          </w:tcPr>
          <w:p w14:paraId="7417662A" w14:textId="77777777" w:rsidR="00BE4873" w:rsidRDefault="00000000">
            <w:r>
              <w:rPr>
                <w:sz w:val="19"/>
                <w:szCs w:val="19"/>
              </w:rPr>
              <w:t>Fase 1 → Fase 2</w:t>
            </w:r>
          </w:p>
        </w:tc>
        <w:tc>
          <w:tcPr>
            <w:tcW w:w="5160" w:type="dxa"/>
            <w:shd w:val="clear" w:color="auto" w:fill="F2F2F2"/>
            <w:tcMar>
              <w:top w:w="80" w:type="dxa"/>
              <w:left w:w="100" w:type="dxa"/>
              <w:bottom w:w="80" w:type="dxa"/>
              <w:right w:w="100" w:type="dxa"/>
            </w:tcMar>
            <w:vAlign w:val="center"/>
          </w:tcPr>
          <w:p w14:paraId="40B76021" w14:textId="77777777" w:rsidR="00BE4873" w:rsidRDefault="00000000">
            <w:r>
              <w:rPr>
                <w:sz w:val="19"/>
                <w:szCs w:val="19"/>
              </w:rPr>
              <w:t>La expansión regional depende de parámetros calibrados con datos del piloto, no solo de diseño teórico</w:t>
            </w:r>
          </w:p>
        </w:tc>
      </w:tr>
      <w:tr w:rsidR="00BE4873" w14:paraId="5C8DB1EB" w14:textId="77777777">
        <w:tblPrEx>
          <w:tblCellMar>
            <w:top w:w="0" w:type="dxa"/>
            <w:bottom w:w="0" w:type="dxa"/>
          </w:tblCellMar>
        </w:tblPrEx>
        <w:tc>
          <w:tcPr>
            <w:tcW w:w="2600" w:type="dxa"/>
            <w:tcMar>
              <w:top w:w="80" w:type="dxa"/>
              <w:left w:w="100" w:type="dxa"/>
              <w:bottom w:w="80" w:type="dxa"/>
              <w:right w:w="100" w:type="dxa"/>
            </w:tcMar>
            <w:vAlign w:val="center"/>
          </w:tcPr>
          <w:p w14:paraId="665AB8CA" w14:textId="77777777" w:rsidR="00BE4873" w:rsidRDefault="00000000">
            <w:r>
              <w:rPr>
                <w:sz w:val="19"/>
                <w:szCs w:val="19"/>
              </w:rPr>
              <w:t>Integración con el sistema de comunicaciones → KPI de tiempo de respuesta</w:t>
            </w:r>
          </w:p>
        </w:tc>
        <w:tc>
          <w:tcPr>
            <w:tcW w:w="1600" w:type="dxa"/>
            <w:tcMar>
              <w:top w:w="80" w:type="dxa"/>
              <w:left w:w="100" w:type="dxa"/>
              <w:bottom w:w="80" w:type="dxa"/>
              <w:right w:w="100" w:type="dxa"/>
            </w:tcMar>
            <w:vAlign w:val="center"/>
          </w:tcPr>
          <w:p w14:paraId="41700CF4" w14:textId="77777777" w:rsidR="00BE4873" w:rsidRDefault="00000000">
            <w:r>
              <w:rPr>
                <w:sz w:val="19"/>
                <w:szCs w:val="19"/>
              </w:rPr>
              <w:t>Integración → KPI</w:t>
            </w:r>
          </w:p>
        </w:tc>
        <w:tc>
          <w:tcPr>
            <w:tcW w:w="5160" w:type="dxa"/>
            <w:tcMar>
              <w:top w:w="80" w:type="dxa"/>
              <w:left w:w="100" w:type="dxa"/>
              <w:bottom w:w="80" w:type="dxa"/>
              <w:right w:w="100" w:type="dxa"/>
            </w:tcMar>
            <w:vAlign w:val="center"/>
          </w:tcPr>
          <w:p w14:paraId="02ADB1E1" w14:textId="77777777" w:rsidR="00BE4873" w:rsidRDefault="00000000">
            <w:r>
              <w:rPr>
                <w:sz w:val="19"/>
                <w:szCs w:val="19"/>
              </w:rPr>
              <w:t>Si esta integración no está operativa, el KPI de reducción de tiempo de respuesta no puede medirse ni evaluarse</w:t>
            </w:r>
          </w:p>
        </w:tc>
      </w:tr>
      <w:tr w:rsidR="00BE4873" w14:paraId="1130261E"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2EF7285" w14:textId="77777777" w:rsidR="00BE4873" w:rsidRDefault="00000000">
            <w:r>
              <w:rPr>
                <w:sz w:val="19"/>
                <w:szCs w:val="19"/>
              </w:rPr>
              <w:t>Cadena de trabajo entre frentes de datos, aplicaciones y tecnología</w:t>
            </w:r>
          </w:p>
        </w:tc>
        <w:tc>
          <w:tcPr>
            <w:tcW w:w="1600" w:type="dxa"/>
            <w:shd w:val="clear" w:color="auto" w:fill="F2F2F2"/>
            <w:tcMar>
              <w:top w:w="80" w:type="dxa"/>
              <w:left w:w="100" w:type="dxa"/>
              <w:bottom w:w="80" w:type="dxa"/>
              <w:right w:w="100" w:type="dxa"/>
            </w:tcMar>
            <w:vAlign w:val="center"/>
          </w:tcPr>
          <w:p w14:paraId="7709233E" w14:textId="77777777" w:rsidR="00BE4873" w:rsidRDefault="00000000">
            <w:r>
              <w:rPr>
                <w:sz w:val="19"/>
                <w:szCs w:val="19"/>
              </w:rPr>
              <w:t>Equipo</w:t>
            </w:r>
          </w:p>
        </w:tc>
        <w:tc>
          <w:tcPr>
            <w:tcW w:w="5160" w:type="dxa"/>
            <w:shd w:val="clear" w:color="auto" w:fill="F2F2F2"/>
            <w:tcMar>
              <w:top w:w="80" w:type="dxa"/>
              <w:left w:w="100" w:type="dxa"/>
              <w:bottom w:w="80" w:type="dxa"/>
              <w:right w:w="100" w:type="dxa"/>
            </w:tcMar>
            <w:vAlign w:val="center"/>
          </w:tcPr>
          <w:p w14:paraId="3499F3F1" w14:textId="77777777" w:rsidR="00BE4873" w:rsidRDefault="00000000">
            <w:r>
              <w:rPr>
                <w:sz w:val="19"/>
                <w:szCs w:val="19"/>
              </w:rPr>
              <w:t>Un atraso en el frente de datos se propaga en cascada sobre aplicaciones e infraestructura</w:t>
            </w:r>
          </w:p>
        </w:tc>
      </w:tr>
    </w:tbl>
    <w:p w14:paraId="7F32FDE6" w14:textId="77777777" w:rsidR="00BE4873" w:rsidRDefault="00000000">
      <w:pPr>
        <w:pStyle w:val="Ttulo1"/>
      </w:pPr>
      <w:r>
        <w:t>Paso 7 — Confirmar la preparación y el riesgo para la transformación del negocio</w:t>
      </w:r>
    </w:p>
    <w:p w14:paraId="624358D0" w14:textId="77777777" w:rsidR="00BE4873" w:rsidRDefault="00000000">
      <w:pPr>
        <w:pStyle w:val="Ttulo2"/>
        <w:spacing w:before="280" w:after="120"/>
      </w:pPr>
      <w:r>
        <w:t>7.1 Preparación (readiness) por frente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BE4873" w14:paraId="63377E2B" w14:textId="77777777">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tcPr>
          <w:p w14:paraId="4CB311EE" w14:textId="77777777" w:rsidR="00BE4873" w:rsidRDefault="00000000">
            <w:r>
              <w:rPr>
                <w:b/>
                <w:bCs/>
                <w:color w:val="FFFFFF"/>
                <w:sz w:val="19"/>
                <w:szCs w:val="19"/>
              </w:rPr>
              <w:t>Frente</w:t>
            </w:r>
          </w:p>
        </w:tc>
        <w:tc>
          <w:tcPr>
            <w:tcW w:w="1800" w:type="dxa"/>
            <w:shd w:val="clear" w:color="auto" w:fill="1F3864"/>
            <w:tcMar>
              <w:top w:w="80" w:type="dxa"/>
              <w:left w:w="100" w:type="dxa"/>
              <w:bottom w:w="80" w:type="dxa"/>
              <w:right w:w="100" w:type="dxa"/>
            </w:tcMar>
            <w:vAlign w:val="center"/>
          </w:tcPr>
          <w:p w14:paraId="0CC3C6A8" w14:textId="77777777" w:rsidR="00BE4873" w:rsidRDefault="00000000">
            <w:r>
              <w:rPr>
                <w:b/>
                <w:bCs/>
                <w:color w:val="FFFFFF"/>
                <w:sz w:val="19"/>
                <w:szCs w:val="19"/>
              </w:rPr>
              <w:t>Nivel de preparación</w:t>
            </w:r>
          </w:p>
        </w:tc>
        <w:tc>
          <w:tcPr>
            <w:tcW w:w="4760" w:type="dxa"/>
            <w:shd w:val="clear" w:color="auto" w:fill="1F3864"/>
            <w:tcMar>
              <w:top w:w="80" w:type="dxa"/>
              <w:left w:w="100" w:type="dxa"/>
              <w:bottom w:w="80" w:type="dxa"/>
              <w:right w:w="100" w:type="dxa"/>
            </w:tcMar>
            <w:vAlign w:val="center"/>
          </w:tcPr>
          <w:p w14:paraId="4DA8E3C9" w14:textId="77777777" w:rsidR="00BE4873" w:rsidRDefault="00000000">
            <w:r>
              <w:rPr>
                <w:b/>
                <w:bCs/>
                <w:color w:val="FFFFFF"/>
                <w:sz w:val="19"/>
                <w:szCs w:val="19"/>
              </w:rPr>
              <w:t>Observación</w:t>
            </w:r>
          </w:p>
        </w:tc>
      </w:tr>
      <w:tr w:rsidR="00BE4873" w14:paraId="6A18D4C8" w14:textId="77777777">
        <w:tblPrEx>
          <w:tblCellMar>
            <w:top w:w="0" w:type="dxa"/>
            <w:bottom w:w="0" w:type="dxa"/>
          </w:tblCellMar>
        </w:tblPrEx>
        <w:tc>
          <w:tcPr>
            <w:tcW w:w="2800" w:type="dxa"/>
            <w:tcMar>
              <w:top w:w="80" w:type="dxa"/>
              <w:left w:w="100" w:type="dxa"/>
              <w:bottom w:w="80" w:type="dxa"/>
              <w:right w:w="100" w:type="dxa"/>
            </w:tcMar>
            <w:vAlign w:val="center"/>
          </w:tcPr>
          <w:p w14:paraId="62F023E4" w14:textId="77777777" w:rsidR="00BE4873" w:rsidRDefault="00000000">
            <w:r>
              <w:rPr>
                <w:sz w:val="19"/>
                <w:szCs w:val="19"/>
              </w:rPr>
              <w:t>Marco legal</w:t>
            </w:r>
          </w:p>
        </w:tc>
        <w:tc>
          <w:tcPr>
            <w:tcW w:w="1800" w:type="dxa"/>
            <w:tcMar>
              <w:top w:w="80" w:type="dxa"/>
              <w:left w:w="100" w:type="dxa"/>
              <w:bottom w:w="80" w:type="dxa"/>
              <w:right w:w="100" w:type="dxa"/>
            </w:tcMar>
            <w:vAlign w:val="center"/>
          </w:tcPr>
          <w:p w14:paraId="319DCDBA" w14:textId="77777777" w:rsidR="00BE4873" w:rsidRDefault="00000000">
            <w:r>
              <w:rPr>
                <w:sz w:val="19"/>
                <w:szCs w:val="19"/>
              </w:rPr>
              <w:t>Alto</w:t>
            </w:r>
          </w:p>
        </w:tc>
        <w:tc>
          <w:tcPr>
            <w:tcW w:w="4760" w:type="dxa"/>
            <w:tcMar>
              <w:top w:w="80" w:type="dxa"/>
              <w:left w:w="100" w:type="dxa"/>
              <w:bottom w:w="80" w:type="dxa"/>
              <w:right w:w="100" w:type="dxa"/>
            </w:tcMar>
            <w:vAlign w:val="center"/>
          </w:tcPr>
          <w:p w14:paraId="0DEA21A1" w14:textId="77777777" w:rsidR="00BE4873" w:rsidRDefault="00000000">
            <w:r>
              <w:rPr>
                <w:sz w:val="19"/>
                <w:szCs w:val="19"/>
              </w:rPr>
              <w:t>Marco legal específico ya vigente; base legal sólida para el sistema</w:t>
            </w:r>
          </w:p>
        </w:tc>
      </w:tr>
      <w:tr w:rsidR="00BE4873" w14:paraId="4F15312B" w14:textId="77777777">
        <w:tblPrEx>
          <w:tblCellMar>
            <w:top w:w="0" w:type="dxa"/>
            <w:bottom w:w="0" w:type="dxa"/>
          </w:tblCellMar>
        </w:tblPrEx>
        <w:tc>
          <w:tcPr>
            <w:tcW w:w="2800" w:type="dxa"/>
            <w:shd w:val="clear" w:color="auto" w:fill="F2F2F2"/>
            <w:tcMar>
              <w:top w:w="80" w:type="dxa"/>
              <w:left w:w="100" w:type="dxa"/>
              <w:bottom w:w="80" w:type="dxa"/>
              <w:right w:w="100" w:type="dxa"/>
            </w:tcMar>
            <w:vAlign w:val="center"/>
          </w:tcPr>
          <w:p w14:paraId="55A7FECE" w14:textId="77777777" w:rsidR="00BE4873" w:rsidRDefault="00000000">
            <w:r>
              <w:rPr>
                <w:sz w:val="19"/>
                <w:szCs w:val="19"/>
              </w:rPr>
              <w:t>Modelo de datos y puntuación de confianza</w:t>
            </w:r>
          </w:p>
        </w:tc>
        <w:tc>
          <w:tcPr>
            <w:tcW w:w="1800" w:type="dxa"/>
            <w:shd w:val="clear" w:color="auto" w:fill="F2F2F2"/>
            <w:tcMar>
              <w:top w:w="80" w:type="dxa"/>
              <w:left w:w="100" w:type="dxa"/>
              <w:bottom w:w="80" w:type="dxa"/>
              <w:right w:w="100" w:type="dxa"/>
            </w:tcMar>
            <w:vAlign w:val="center"/>
          </w:tcPr>
          <w:p w14:paraId="28E7123C" w14:textId="77777777" w:rsidR="00BE4873" w:rsidRDefault="00000000">
            <w:r>
              <w:rPr>
                <w:sz w:val="19"/>
                <w:szCs w:val="19"/>
              </w:rPr>
              <w:t>Alto</w:t>
            </w:r>
          </w:p>
        </w:tc>
        <w:tc>
          <w:tcPr>
            <w:tcW w:w="4760" w:type="dxa"/>
            <w:shd w:val="clear" w:color="auto" w:fill="F2F2F2"/>
            <w:tcMar>
              <w:top w:w="80" w:type="dxa"/>
              <w:left w:w="100" w:type="dxa"/>
              <w:bottom w:w="80" w:type="dxa"/>
              <w:right w:w="100" w:type="dxa"/>
            </w:tcMar>
            <w:vAlign w:val="center"/>
          </w:tcPr>
          <w:p w14:paraId="43B342C4" w14:textId="77777777" w:rsidR="00BE4873" w:rsidRDefault="00000000">
            <w:r>
              <w:rPr>
                <w:sz w:val="19"/>
                <w:szCs w:val="19"/>
              </w:rPr>
              <w:t>Esquema y reglas de puntuación completos y estables como fuente única de verdad</w:t>
            </w:r>
          </w:p>
        </w:tc>
      </w:tr>
      <w:tr w:rsidR="00BE4873" w14:paraId="01575F75" w14:textId="77777777">
        <w:tblPrEx>
          <w:tblCellMar>
            <w:top w:w="0" w:type="dxa"/>
            <w:bottom w:w="0" w:type="dxa"/>
          </w:tblCellMar>
        </w:tblPrEx>
        <w:tc>
          <w:tcPr>
            <w:tcW w:w="2800" w:type="dxa"/>
            <w:tcMar>
              <w:top w:w="80" w:type="dxa"/>
              <w:left w:w="100" w:type="dxa"/>
              <w:bottom w:w="80" w:type="dxa"/>
              <w:right w:w="100" w:type="dxa"/>
            </w:tcMar>
            <w:vAlign w:val="center"/>
          </w:tcPr>
          <w:p w14:paraId="7B0C21E6" w14:textId="77777777" w:rsidR="00BE4873" w:rsidRDefault="00000000">
            <w:r>
              <w:rPr>
                <w:sz w:val="19"/>
                <w:szCs w:val="19"/>
              </w:rPr>
              <w:lastRenderedPageBreak/>
              <w:t>Coordinación interinstitucional</w:t>
            </w:r>
          </w:p>
        </w:tc>
        <w:tc>
          <w:tcPr>
            <w:tcW w:w="1800" w:type="dxa"/>
            <w:tcMar>
              <w:top w:w="80" w:type="dxa"/>
              <w:left w:w="100" w:type="dxa"/>
              <w:bottom w:w="80" w:type="dxa"/>
              <w:right w:w="100" w:type="dxa"/>
            </w:tcMar>
            <w:vAlign w:val="center"/>
          </w:tcPr>
          <w:p w14:paraId="1B7D683F" w14:textId="77777777" w:rsidR="00BE4873" w:rsidRDefault="00000000">
            <w:r>
              <w:rPr>
                <w:sz w:val="19"/>
                <w:szCs w:val="19"/>
              </w:rPr>
              <w:t>Bajo</w:t>
            </w:r>
          </w:p>
        </w:tc>
        <w:tc>
          <w:tcPr>
            <w:tcW w:w="4760" w:type="dxa"/>
            <w:tcMar>
              <w:top w:w="80" w:type="dxa"/>
              <w:left w:w="100" w:type="dxa"/>
              <w:bottom w:w="80" w:type="dxa"/>
              <w:right w:w="100" w:type="dxa"/>
            </w:tcMar>
            <w:vAlign w:val="center"/>
          </w:tcPr>
          <w:p w14:paraId="3514FDBF" w14:textId="77777777" w:rsidR="00BE4873" w:rsidRDefault="00000000">
            <w:r>
              <w:rPr>
                <w:sz w:val="19"/>
                <w:szCs w:val="19"/>
              </w:rPr>
              <w:t>Tres decisiones de posicionamiento sin cerrar; es el mayor riesgo de preparación de todo el proyecto</w:t>
            </w:r>
          </w:p>
        </w:tc>
      </w:tr>
      <w:tr w:rsidR="00BE4873" w14:paraId="41EAF195" w14:textId="77777777">
        <w:tblPrEx>
          <w:tblCellMar>
            <w:top w:w="0" w:type="dxa"/>
            <w:bottom w:w="0" w:type="dxa"/>
          </w:tblCellMar>
        </w:tblPrEx>
        <w:tc>
          <w:tcPr>
            <w:tcW w:w="2800" w:type="dxa"/>
            <w:shd w:val="clear" w:color="auto" w:fill="F2F2F2"/>
            <w:tcMar>
              <w:top w:w="80" w:type="dxa"/>
              <w:left w:w="100" w:type="dxa"/>
              <w:bottom w:w="80" w:type="dxa"/>
              <w:right w:w="100" w:type="dxa"/>
            </w:tcMar>
            <w:vAlign w:val="center"/>
          </w:tcPr>
          <w:p w14:paraId="0FF5C188" w14:textId="77777777" w:rsidR="00BE4873" w:rsidRDefault="00000000">
            <w:r>
              <w:rPr>
                <w:sz w:val="19"/>
                <w:szCs w:val="19"/>
              </w:rPr>
              <w:t>Infraestructura técnica</w:t>
            </w:r>
          </w:p>
        </w:tc>
        <w:tc>
          <w:tcPr>
            <w:tcW w:w="1800" w:type="dxa"/>
            <w:shd w:val="clear" w:color="auto" w:fill="F2F2F2"/>
            <w:tcMar>
              <w:top w:w="80" w:type="dxa"/>
              <w:left w:w="100" w:type="dxa"/>
              <w:bottom w:w="80" w:type="dxa"/>
              <w:right w:w="100" w:type="dxa"/>
            </w:tcMar>
            <w:vAlign w:val="center"/>
          </w:tcPr>
          <w:p w14:paraId="620E3075" w14:textId="77777777" w:rsidR="00BE4873" w:rsidRDefault="00000000">
            <w:r>
              <w:rPr>
                <w:sz w:val="19"/>
                <w:szCs w:val="19"/>
              </w:rPr>
              <w:t>Medio-Alto</w:t>
            </w:r>
          </w:p>
        </w:tc>
        <w:tc>
          <w:tcPr>
            <w:tcW w:w="4760" w:type="dxa"/>
            <w:shd w:val="clear" w:color="auto" w:fill="F2F2F2"/>
            <w:tcMar>
              <w:top w:w="80" w:type="dxa"/>
              <w:left w:w="100" w:type="dxa"/>
              <w:bottom w:w="80" w:type="dxa"/>
              <w:right w:w="100" w:type="dxa"/>
            </w:tcMar>
            <w:vAlign w:val="center"/>
          </w:tcPr>
          <w:p w14:paraId="5565EABB" w14:textId="77777777" w:rsidR="00BE4873" w:rsidRDefault="00000000">
            <w:r>
              <w:rPr>
                <w:sz w:val="19"/>
                <w:szCs w:val="19"/>
              </w:rPr>
              <w:t>Arquitectura híbrida y stack tecnológico definidos, pero el marco de buenas prácticas cloud está incompleto</w:t>
            </w:r>
          </w:p>
        </w:tc>
      </w:tr>
      <w:tr w:rsidR="00BE4873" w14:paraId="143ECE35" w14:textId="77777777">
        <w:tblPrEx>
          <w:tblCellMar>
            <w:top w:w="0" w:type="dxa"/>
            <w:bottom w:w="0" w:type="dxa"/>
          </w:tblCellMar>
        </w:tblPrEx>
        <w:tc>
          <w:tcPr>
            <w:tcW w:w="2800" w:type="dxa"/>
            <w:tcMar>
              <w:top w:w="80" w:type="dxa"/>
              <w:left w:w="100" w:type="dxa"/>
              <w:bottom w:w="80" w:type="dxa"/>
              <w:right w:w="100" w:type="dxa"/>
            </w:tcMar>
            <w:vAlign w:val="center"/>
          </w:tcPr>
          <w:p w14:paraId="6D42BF50" w14:textId="77777777" w:rsidR="00BE4873" w:rsidRDefault="00000000">
            <w:r>
              <w:rPr>
                <w:sz w:val="19"/>
                <w:szCs w:val="19"/>
              </w:rPr>
              <w:t>Equipo / capacidad de ejecución</w:t>
            </w:r>
          </w:p>
        </w:tc>
        <w:tc>
          <w:tcPr>
            <w:tcW w:w="1800" w:type="dxa"/>
            <w:tcMar>
              <w:top w:w="80" w:type="dxa"/>
              <w:left w:w="100" w:type="dxa"/>
              <w:bottom w:w="80" w:type="dxa"/>
              <w:right w:w="100" w:type="dxa"/>
            </w:tcMar>
            <w:vAlign w:val="center"/>
          </w:tcPr>
          <w:p w14:paraId="34B24644" w14:textId="77777777" w:rsidR="00BE4873" w:rsidRDefault="00000000">
            <w:r>
              <w:rPr>
                <w:sz w:val="19"/>
                <w:szCs w:val="19"/>
              </w:rPr>
              <w:t>Medio</w:t>
            </w:r>
          </w:p>
        </w:tc>
        <w:tc>
          <w:tcPr>
            <w:tcW w:w="4760" w:type="dxa"/>
            <w:tcMar>
              <w:top w:w="80" w:type="dxa"/>
              <w:left w:w="100" w:type="dxa"/>
              <w:bottom w:w="80" w:type="dxa"/>
              <w:right w:w="100" w:type="dxa"/>
            </w:tcMar>
            <w:vAlign w:val="center"/>
          </w:tcPr>
          <w:p w14:paraId="363E6F41" w14:textId="77777777" w:rsidR="00BE4873" w:rsidRDefault="00000000">
            <w:r>
              <w:rPr>
                <w:sz w:val="19"/>
                <w:szCs w:val="19"/>
              </w:rPr>
              <w:t>Equipo reducido con carga desigual entre frentes; el frente de infraestructura e integraciones se identifica como posible cuello de botella</w:t>
            </w:r>
          </w:p>
        </w:tc>
      </w:tr>
      <w:tr w:rsidR="00BE4873" w14:paraId="1DA9395E" w14:textId="77777777">
        <w:tblPrEx>
          <w:tblCellMar>
            <w:top w:w="0" w:type="dxa"/>
            <w:bottom w:w="0" w:type="dxa"/>
          </w:tblCellMar>
        </w:tblPrEx>
        <w:tc>
          <w:tcPr>
            <w:tcW w:w="2800" w:type="dxa"/>
            <w:shd w:val="clear" w:color="auto" w:fill="F2F2F2"/>
            <w:tcMar>
              <w:top w:w="80" w:type="dxa"/>
              <w:left w:w="100" w:type="dxa"/>
              <w:bottom w:w="80" w:type="dxa"/>
              <w:right w:w="100" w:type="dxa"/>
            </w:tcMar>
            <w:vAlign w:val="center"/>
          </w:tcPr>
          <w:p w14:paraId="48798691" w14:textId="77777777" w:rsidR="00BE4873" w:rsidRDefault="00000000">
            <w:r>
              <w:rPr>
                <w:sz w:val="19"/>
                <w:szCs w:val="19"/>
              </w:rPr>
              <w:t>Gestión del cambio hacia comisarías y analistas</w:t>
            </w:r>
          </w:p>
        </w:tc>
        <w:tc>
          <w:tcPr>
            <w:tcW w:w="1800" w:type="dxa"/>
            <w:shd w:val="clear" w:color="auto" w:fill="F2F2F2"/>
            <w:tcMar>
              <w:top w:w="80" w:type="dxa"/>
              <w:left w:w="100" w:type="dxa"/>
              <w:bottom w:w="80" w:type="dxa"/>
              <w:right w:w="100" w:type="dxa"/>
            </w:tcMar>
            <w:vAlign w:val="center"/>
          </w:tcPr>
          <w:p w14:paraId="792C552B" w14:textId="77777777" w:rsidR="00BE4873" w:rsidRDefault="00000000">
            <w:r>
              <w:rPr>
                <w:sz w:val="19"/>
                <w:szCs w:val="19"/>
              </w:rPr>
              <w:t>Por desarrollar</w:t>
            </w:r>
          </w:p>
        </w:tc>
        <w:tc>
          <w:tcPr>
            <w:tcW w:w="4760" w:type="dxa"/>
            <w:shd w:val="clear" w:color="auto" w:fill="F2F2F2"/>
            <w:tcMar>
              <w:top w:w="80" w:type="dxa"/>
              <w:left w:w="100" w:type="dxa"/>
              <w:bottom w:w="80" w:type="dxa"/>
              <w:right w:w="100" w:type="dxa"/>
            </w:tcMar>
            <w:vAlign w:val="center"/>
          </w:tcPr>
          <w:p w14:paraId="34CC536D" w14:textId="77777777" w:rsidR="00BE4873" w:rsidRDefault="00000000">
            <w:r>
              <w:rPr>
                <w:sz w:val="19"/>
                <w:szCs w:val="19"/>
              </w:rPr>
              <w:t>Corresponde a una etapa posterior del desarrollo de la arquitectura, aún no iniciada</w:t>
            </w:r>
          </w:p>
        </w:tc>
      </w:tr>
    </w:tbl>
    <w:p w14:paraId="000A8A8B" w14:textId="77777777" w:rsidR="00BE4873" w:rsidRDefault="00000000">
      <w:pPr>
        <w:pStyle w:val="Ttulo2"/>
        <w:spacing w:before="280" w:after="120"/>
      </w:pPr>
      <w:r>
        <w:t>7.2 Riesgos relevantes para la transformación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60"/>
        <w:gridCol w:w="900"/>
        <w:gridCol w:w="900"/>
        <w:gridCol w:w="3300"/>
      </w:tblGrid>
      <w:tr w:rsidR="00BE4873" w14:paraId="46FFC355" w14:textId="77777777">
        <w:tblPrEx>
          <w:tblCellMar>
            <w:top w:w="0" w:type="dxa"/>
            <w:bottom w:w="0" w:type="dxa"/>
          </w:tblCellMar>
        </w:tblPrEx>
        <w:trPr>
          <w:tblHeader/>
        </w:trPr>
        <w:tc>
          <w:tcPr>
            <w:tcW w:w="1000" w:type="dxa"/>
            <w:shd w:val="clear" w:color="auto" w:fill="1F3864"/>
            <w:tcMar>
              <w:top w:w="80" w:type="dxa"/>
              <w:left w:w="100" w:type="dxa"/>
              <w:bottom w:w="80" w:type="dxa"/>
              <w:right w:w="100" w:type="dxa"/>
            </w:tcMar>
            <w:vAlign w:val="center"/>
          </w:tcPr>
          <w:p w14:paraId="2F719D3C" w14:textId="77777777" w:rsidR="00BE4873" w:rsidRDefault="00000000">
            <w:r>
              <w:rPr>
                <w:b/>
                <w:bCs/>
                <w:color w:val="FFFFFF"/>
                <w:sz w:val="19"/>
                <w:szCs w:val="19"/>
              </w:rPr>
              <w:t>ID</w:t>
            </w:r>
          </w:p>
        </w:tc>
        <w:tc>
          <w:tcPr>
            <w:tcW w:w="3260" w:type="dxa"/>
            <w:shd w:val="clear" w:color="auto" w:fill="1F3864"/>
            <w:tcMar>
              <w:top w:w="80" w:type="dxa"/>
              <w:left w:w="100" w:type="dxa"/>
              <w:bottom w:w="80" w:type="dxa"/>
              <w:right w:w="100" w:type="dxa"/>
            </w:tcMar>
            <w:vAlign w:val="center"/>
          </w:tcPr>
          <w:p w14:paraId="34A9DD1E" w14:textId="77777777" w:rsidR="00BE4873" w:rsidRDefault="00000000">
            <w:r>
              <w:rPr>
                <w:b/>
                <w:bCs/>
                <w:color w:val="FFFFFF"/>
                <w:sz w:val="19"/>
                <w:szCs w:val="19"/>
              </w:rPr>
              <w:t>Riesgo</w:t>
            </w:r>
          </w:p>
        </w:tc>
        <w:tc>
          <w:tcPr>
            <w:tcW w:w="900" w:type="dxa"/>
            <w:shd w:val="clear" w:color="auto" w:fill="1F3864"/>
            <w:tcMar>
              <w:top w:w="80" w:type="dxa"/>
              <w:left w:w="100" w:type="dxa"/>
              <w:bottom w:w="80" w:type="dxa"/>
              <w:right w:w="100" w:type="dxa"/>
            </w:tcMar>
            <w:vAlign w:val="center"/>
          </w:tcPr>
          <w:p w14:paraId="73949299" w14:textId="77777777" w:rsidR="00BE4873" w:rsidRDefault="00000000">
            <w:r>
              <w:rPr>
                <w:b/>
                <w:bCs/>
                <w:color w:val="FFFFFF"/>
                <w:sz w:val="19"/>
                <w:szCs w:val="19"/>
              </w:rPr>
              <w:t>Prob.</w:t>
            </w:r>
          </w:p>
        </w:tc>
        <w:tc>
          <w:tcPr>
            <w:tcW w:w="900" w:type="dxa"/>
            <w:shd w:val="clear" w:color="auto" w:fill="1F3864"/>
            <w:tcMar>
              <w:top w:w="80" w:type="dxa"/>
              <w:left w:w="100" w:type="dxa"/>
              <w:bottom w:w="80" w:type="dxa"/>
              <w:right w:w="100" w:type="dxa"/>
            </w:tcMar>
            <w:vAlign w:val="center"/>
          </w:tcPr>
          <w:p w14:paraId="25C8FB75" w14:textId="77777777" w:rsidR="00BE4873" w:rsidRDefault="00000000">
            <w:r>
              <w:rPr>
                <w:b/>
                <w:bCs/>
                <w:color w:val="FFFFFF"/>
                <w:sz w:val="19"/>
                <w:szCs w:val="19"/>
              </w:rPr>
              <w:t>Impacto</w:t>
            </w:r>
          </w:p>
        </w:tc>
        <w:tc>
          <w:tcPr>
            <w:tcW w:w="3300" w:type="dxa"/>
            <w:shd w:val="clear" w:color="auto" w:fill="1F3864"/>
            <w:tcMar>
              <w:top w:w="80" w:type="dxa"/>
              <w:left w:w="100" w:type="dxa"/>
              <w:bottom w:w="80" w:type="dxa"/>
              <w:right w:w="100" w:type="dxa"/>
            </w:tcMar>
            <w:vAlign w:val="center"/>
          </w:tcPr>
          <w:p w14:paraId="2A63855B" w14:textId="77777777" w:rsidR="00BE4873" w:rsidRDefault="00000000">
            <w:r>
              <w:rPr>
                <w:b/>
                <w:bCs/>
                <w:color w:val="FFFFFF"/>
                <w:sz w:val="19"/>
                <w:szCs w:val="19"/>
              </w:rPr>
              <w:t>Mitigación</w:t>
            </w:r>
          </w:p>
        </w:tc>
      </w:tr>
      <w:tr w:rsidR="00BE4873" w14:paraId="68292DED" w14:textId="77777777">
        <w:tblPrEx>
          <w:tblCellMar>
            <w:top w:w="0" w:type="dxa"/>
            <w:bottom w:w="0" w:type="dxa"/>
          </w:tblCellMar>
        </w:tblPrEx>
        <w:tc>
          <w:tcPr>
            <w:tcW w:w="1000" w:type="dxa"/>
            <w:tcMar>
              <w:top w:w="80" w:type="dxa"/>
              <w:left w:w="100" w:type="dxa"/>
              <w:bottom w:w="80" w:type="dxa"/>
              <w:right w:w="100" w:type="dxa"/>
            </w:tcMar>
            <w:vAlign w:val="center"/>
          </w:tcPr>
          <w:p w14:paraId="5CF57476" w14:textId="77777777" w:rsidR="00BE4873" w:rsidRDefault="00000000">
            <w:r>
              <w:rPr>
                <w:sz w:val="19"/>
                <w:szCs w:val="19"/>
              </w:rPr>
              <w:t>RIE-A</w:t>
            </w:r>
          </w:p>
        </w:tc>
        <w:tc>
          <w:tcPr>
            <w:tcW w:w="3260" w:type="dxa"/>
            <w:tcMar>
              <w:top w:w="80" w:type="dxa"/>
              <w:left w:w="100" w:type="dxa"/>
              <w:bottom w:w="80" w:type="dxa"/>
              <w:right w:w="100" w:type="dxa"/>
            </w:tcMar>
            <w:vAlign w:val="center"/>
          </w:tcPr>
          <w:p w14:paraId="4F81B1E0" w14:textId="77777777" w:rsidR="00BE4873" w:rsidRDefault="00000000">
            <w:r>
              <w:rPr>
                <w:sz w:val="19"/>
                <w:szCs w:val="19"/>
              </w:rPr>
              <w:t>Las alertas generadas no se traducen en despacho real (repetición de un problema ya documentado en canales de denuncia previos)</w:t>
            </w:r>
          </w:p>
        </w:tc>
        <w:tc>
          <w:tcPr>
            <w:tcW w:w="900" w:type="dxa"/>
            <w:tcMar>
              <w:top w:w="80" w:type="dxa"/>
              <w:left w:w="100" w:type="dxa"/>
              <w:bottom w:w="80" w:type="dxa"/>
              <w:right w:w="100" w:type="dxa"/>
            </w:tcMar>
            <w:vAlign w:val="center"/>
          </w:tcPr>
          <w:p w14:paraId="3D91C481" w14:textId="77777777" w:rsidR="00BE4873" w:rsidRDefault="00000000">
            <w:r>
              <w:rPr>
                <w:sz w:val="19"/>
                <w:szCs w:val="19"/>
              </w:rPr>
              <w:t>Media</w:t>
            </w:r>
          </w:p>
        </w:tc>
        <w:tc>
          <w:tcPr>
            <w:tcW w:w="900" w:type="dxa"/>
            <w:tcMar>
              <w:top w:w="80" w:type="dxa"/>
              <w:left w:w="100" w:type="dxa"/>
              <w:bottom w:w="80" w:type="dxa"/>
              <w:right w:w="100" w:type="dxa"/>
            </w:tcMar>
            <w:vAlign w:val="center"/>
          </w:tcPr>
          <w:p w14:paraId="1C2C5272" w14:textId="77777777" w:rsidR="00BE4873" w:rsidRDefault="00000000">
            <w:r>
              <w:rPr>
                <w:sz w:val="19"/>
                <w:szCs w:val="19"/>
              </w:rPr>
              <w:t>Alto</w:t>
            </w:r>
          </w:p>
        </w:tc>
        <w:tc>
          <w:tcPr>
            <w:tcW w:w="3300" w:type="dxa"/>
            <w:tcMar>
              <w:top w:w="80" w:type="dxa"/>
              <w:left w:w="100" w:type="dxa"/>
              <w:bottom w:w="80" w:type="dxa"/>
              <w:right w:w="100" w:type="dxa"/>
            </w:tcMar>
            <w:vAlign w:val="center"/>
          </w:tcPr>
          <w:p w14:paraId="6B63A120" w14:textId="77777777" w:rsidR="00BE4873" w:rsidRDefault="00000000">
            <w:r>
              <w:rPr>
                <w:sz w:val="19"/>
                <w:szCs w:val="19"/>
              </w:rPr>
              <w:t>Medir el tiempo de respuesta real desde el piloto; escalar a la comandancia si no mejora en dos meses; reconocer que el sistema no crea patrullas — es un límite estructural, no solo técnico</w:t>
            </w:r>
          </w:p>
        </w:tc>
      </w:tr>
      <w:tr w:rsidR="00BE4873" w14:paraId="7D5B3742"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0ED3CD1E" w14:textId="77777777" w:rsidR="00BE4873" w:rsidRDefault="00000000">
            <w:r>
              <w:rPr>
                <w:sz w:val="19"/>
                <w:szCs w:val="19"/>
              </w:rPr>
              <w:t>RIE-B</w:t>
            </w:r>
          </w:p>
        </w:tc>
        <w:tc>
          <w:tcPr>
            <w:tcW w:w="3260" w:type="dxa"/>
            <w:shd w:val="clear" w:color="auto" w:fill="F2F2F2"/>
            <w:tcMar>
              <w:top w:w="80" w:type="dxa"/>
              <w:left w:w="100" w:type="dxa"/>
              <w:bottom w:w="80" w:type="dxa"/>
              <w:right w:w="100" w:type="dxa"/>
            </w:tcMar>
            <w:vAlign w:val="center"/>
          </w:tcPr>
          <w:p w14:paraId="6E70C094" w14:textId="77777777" w:rsidR="00BE4873" w:rsidRDefault="00000000">
            <w:r>
              <w:rPr>
                <w:sz w:val="19"/>
                <w:szCs w:val="19"/>
              </w:rPr>
              <w:t>Efecto de retroalimentación tipo "predictive policing" (más patrullaje refuerza artificialmente el mismo clúster aunque el delito real se haya movido)</w:t>
            </w:r>
          </w:p>
        </w:tc>
        <w:tc>
          <w:tcPr>
            <w:tcW w:w="900" w:type="dxa"/>
            <w:shd w:val="clear" w:color="auto" w:fill="F2F2F2"/>
            <w:tcMar>
              <w:top w:w="80" w:type="dxa"/>
              <w:left w:w="100" w:type="dxa"/>
              <w:bottom w:w="80" w:type="dxa"/>
              <w:right w:w="100" w:type="dxa"/>
            </w:tcMar>
            <w:vAlign w:val="center"/>
          </w:tcPr>
          <w:p w14:paraId="7698CEF2" w14:textId="77777777" w:rsidR="00BE4873" w:rsidRDefault="00000000">
            <w:r>
              <w:rPr>
                <w:sz w:val="19"/>
                <w:szCs w:val="19"/>
              </w:rPr>
              <w:t>Media</w:t>
            </w:r>
          </w:p>
        </w:tc>
        <w:tc>
          <w:tcPr>
            <w:tcW w:w="900" w:type="dxa"/>
            <w:shd w:val="clear" w:color="auto" w:fill="F2F2F2"/>
            <w:tcMar>
              <w:top w:w="80" w:type="dxa"/>
              <w:left w:w="100" w:type="dxa"/>
              <w:bottom w:w="80" w:type="dxa"/>
              <w:right w:w="100" w:type="dxa"/>
            </w:tcMar>
            <w:vAlign w:val="center"/>
          </w:tcPr>
          <w:p w14:paraId="5F480A61" w14:textId="77777777" w:rsidR="00BE4873" w:rsidRDefault="00000000">
            <w:r>
              <w:rPr>
                <w:sz w:val="19"/>
                <w:szCs w:val="19"/>
              </w:rPr>
              <w:t>Medio</w:t>
            </w:r>
          </w:p>
        </w:tc>
        <w:tc>
          <w:tcPr>
            <w:tcW w:w="3300" w:type="dxa"/>
            <w:shd w:val="clear" w:color="auto" w:fill="F2F2F2"/>
            <w:tcMar>
              <w:top w:w="80" w:type="dxa"/>
              <w:left w:w="100" w:type="dxa"/>
              <w:bottom w:w="80" w:type="dxa"/>
              <w:right w:w="100" w:type="dxa"/>
            </w:tcMar>
            <w:vAlign w:val="center"/>
          </w:tcPr>
          <w:p w14:paraId="69C31DCD" w14:textId="77777777" w:rsidR="00BE4873" w:rsidRDefault="00000000">
            <w:r>
              <w:rPr>
                <w:sz w:val="19"/>
                <w:szCs w:val="19"/>
              </w:rPr>
              <w:t>Revisar periódicamente clústeres resueltos frente a nuevos clústeres emergentes; la comandancia revisa la lista de corredores prioritarios con datos frescos en cada cierre de etapa</w:t>
            </w:r>
          </w:p>
        </w:tc>
      </w:tr>
      <w:tr w:rsidR="00BE4873" w14:paraId="3C56840A" w14:textId="77777777">
        <w:tblPrEx>
          <w:tblCellMar>
            <w:top w:w="0" w:type="dxa"/>
            <w:bottom w:w="0" w:type="dxa"/>
          </w:tblCellMar>
        </w:tblPrEx>
        <w:tc>
          <w:tcPr>
            <w:tcW w:w="1000" w:type="dxa"/>
            <w:tcMar>
              <w:top w:w="80" w:type="dxa"/>
              <w:left w:w="100" w:type="dxa"/>
              <w:bottom w:w="80" w:type="dxa"/>
              <w:right w:w="100" w:type="dxa"/>
            </w:tcMar>
            <w:vAlign w:val="center"/>
          </w:tcPr>
          <w:p w14:paraId="2F63CD7F" w14:textId="77777777" w:rsidR="00BE4873" w:rsidRDefault="00000000">
            <w:r>
              <w:rPr>
                <w:sz w:val="19"/>
                <w:szCs w:val="19"/>
              </w:rPr>
              <w:t>RIE-C</w:t>
            </w:r>
          </w:p>
        </w:tc>
        <w:tc>
          <w:tcPr>
            <w:tcW w:w="3260" w:type="dxa"/>
            <w:tcMar>
              <w:top w:w="80" w:type="dxa"/>
              <w:left w:w="100" w:type="dxa"/>
              <w:bottom w:w="80" w:type="dxa"/>
              <w:right w:w="100" w:type="dxa"/>
            </w:tcMar>
            <w:vAlign w:val="center"/>
          </w:tcPr>
          <w:p w14:paraId="22CF57FB" w14:textId="77777777" w:rsidR="00BE4873" w:rsidRDefault="00000000">
            <w:r>
              <w:rPr>
                <w:sz w:val="19"/>
                <w:szCs w:val="19"/>
              </w:rPr>
              <w:t>Catálogo base de riesgos operativos y técnicos del proyecto (detalle a mantener en el registro de riesgos vigente del equipo)</w:t>
            </w:r>
          </w:p>
        </w:tc>
        <w:tc>
          <w:tcPr>
            <w:tcW w:w="900" w:type="dxa"/>
            <w:tcMar>
              <w:top w:w="80" w:type="dxa"/>
              <w:left w:w="100" w:type="dxa"/>
              <w:bottom w:w="80" w:type="dxa"/>
              <w:right w:w="100" w:type="dxa"/>
            </w:tcMar>
            <w:vAlign w:val="center"/>
          </w:tcPr>
          <w:p w14:paraId="076EFFAB" w14:textId="77777777" w:rsidR="00BE4873" w:rsidRDefault="00000000">
            <w:r>
              <w:rPr>
                <w:sz w:val="19"/>
                <w:szCs w:val="19"/>
              </w:rPr>
              <w:t>—</w:t>
            </w:r>
          </w:p>
        </w:tc>
        <w:tc>
          <w:tcPr>
            <w:tcW w:w="900" w:type="dxa"/>
            <w:tcMar>
              <w:top w:w="80" w:type="dxa"/>
              <w:left w:w="100" w:type="dxa"/>
              <w:bottom w:w="80" w:type="dxa"/>
              <w:right w:w="100" w:type="dxa"/>
            </w:tcMar>
            <w:vAlign w:val="center"/>
          </w:tcPr>
          <w:p w14:paraId="48530189" w14:textId="77777777" w:rsidR="00BE4873" w:rsidRDefault="00000000">
            <w:r>
              <w:rPr>
                <w:sz w:val="19"/>
                <w:szCs w:val="19"/>
              </w:rPr>
              <w:t>—</w:t>
            </w:r>
          </w:p>
        </w:tc>
        <w:tc>
          <w:tcPr>
            <w:tcW w:w="3300" w:type="dxa"/>
            <w:tcMar>
              <w:top w:w="80" w:type="dxa"/>
              <w:left w:w="100" w:type="dxa"/>
              <w:bottom w:w="80" w:type="dxa"/>
              <w:right w:w="100" w:type="dxa"/>
            </w:tcMar>
            <w:vAlign w:val="center"/>
          </w:tcPr>
          <w:p w14:paraId="336ECA60" w14:textId="77777777" w:rsidR="00BE4873" w:rsidRDefault="00000000">
            <w:r>
              <w:rPr>
                <w:sz w:val="19"/>
                <w:szCs w:val="19"/>
              </w:rPr>
              <w:t>Mantener actualizado el registro de riesgos del proyecto y revisarlo antes de cerrar la Hoja de Ruta definitiva</w:t>
            </w:r>
          </w:p>
        </w:tc>
      </w:tr>
      <w:tr w:rsidR="00BE4873" w14:paraId="1177E101"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5E145231" w14:textId="77777777" w:rsidR="00BE4873" w:rsidRDefault="00000000">
            <w:r>
              <w:rPr>
                <w:sz w:val="19"/>
                <w:szCs w:val="19"/>
              </w:rPr>
              <w:t>RIE-D</w:t>
            </w:r>
          </w:p>
        </w:tc>
        <w:tc>
          <w:tcPr>
            <w:tcW w:w="3260" w:type="dxa"/>
            <w:shd w:val="clear" w:color="auto" w:fill="F2F2F2"/>
            <w:tcMar>
              <w:top w:w="80" w:type="dxa"/>
              <w:left w:w="100" w:type="dxa"/>
              <w:bottom w:w="80" w:type="dxa"/>
              <w:right w:w="100" w:type="dxa"/>
            </w:tcMar>
            <w:vAlign w:val="center"/>
          </w:tcPr>
          <w:p w14:paraId="4CA2047B" w14:textId="77777777" w:rsidR="00BE4873" w:rsidRDefault="00000000">
            <w:r>
              <w:rPr>
                <w:sz w:val="19"/>
                <w:szCs w:val="19"/>
              </w:rPr>
              <w:t>Avanzar en desarrollo técnico sin resolver las integraciones pendientes podría obligar a rediseñar la capa de detección de clústeres o de reporte si el observatorio delictivo exige un formato distinto</w:t>
            </w:r>
          </w:p>
        </w:tc>
        <w:tc>
          <w:tcPr>
            <w:tcW w:w="900" w:type="dxa"/>
            <w:shd w:val="clear" w:color="auto" w:fill="F2F2F2"/>
            <w:tcMar>
              <w:top w:w="80" w:type="dxa"/>
              <w:left w:w="100" w:type="dxa"/>
              <w:bottom w:w="80" w:type="dxa"/>
              <w:right w:w="100" w:type="dxa"/>
            </w:tcMar>
            <w:vAlign w:val="center"/>
          </w:tcPr>
          <w:p w14:paraId="7E92C4FC" w14:textId="77777777" w:rsidR="00BE4873" w:rsidRDefault="00000000">
            <w:r>
              <w:rPr>
                <w:sz w:val="19"/>
                <w:szCs w:val="19"/>
              </w:rPr>
              <w:t>Media</w:t>
            </w:r>
          </w:p>
        </w:tc>
        <w:tc>
          <w:tcPr>
            <w:tcW w:w="900" w:type="dxa"/>
            <w:shd w:val="clear" w:color="auto" w:fill="F2F2F2"/>
            <w:tcMar>
              <w:top w:w="80" w:type="dxa"/>
              <w:left w:w="100" w:type="dxa"/>
              <w:bottom w:w="80" w:type="dxa"/>
              <w:right w:w="100" w:type="dxa"/>
            </w:tcMar>
            <w:vAlign w:val="center"/>
          </w:tcPr>
          <w:p w14:paraId="5F9C03BC" w14:textId="77777777" w:rsidR="00BE4873" w:rsidRDefault="00000000">
            <w:r>
              <w:rPr>
                <w:sz w:val="19"/>
                <w:szCs w:val="19"/>
              </w:rPr>
              <w:t>Alto</w:t>
            </w:r>
          </w:p>
        </w:tc>
        <w:tc>
          <w:tcPr>
            <w:tcW w:w="3300" w:type="dxa"/>
            <w:shd w:val="clear" w:color="auto" w:fill="F2F2F2"/>
            <w:tcMar>
              <w:top w:w="80" w:type="dxa"/>
              <w:left w:w="100" w:type="dxa"/>
              <w:bottom w:w="80" w:type="dxa"/>
              <w:right w:w="100" w:type="dxa"/>
            </w:tcMar>
            <w:vAlign w:val="center"/>
          </w:tcPr>
          <w:p w14:paraId="7F483DCD" w14:textId="77777777" w:rsidR="00BE4873" w:rsidRDefault="00000000">
            <w:r>
              <w:rPr>
                <w:sz w:val="19"/>
                <w:szCs w:val="19"/>
              </w:rPr>
              <w:t>Tratar la decisión de posicionamiento como bloqueante de la etapa inicial, no como tarea paralela</w:t>
            </w:r>
          </w:p>
        </w:tc>
      </w:tr>
    </w:tbl>
    <w:p w14:paraId="3EFF9CD5" w14:textId="77777777" w:rsidR="00BE4873" w:rsidRDefault="00000000">
      <w:pPr>
        <w:pStyle w:val="Ttulo1"/>
      </w:pPr>
      <w:r>
        <w:t>Paso 8 — Formular la Estrategia de Implementación y Migración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E4873" w14:paraId="2E113619"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6F307D6E" w14:textId="77777777" w:rsidR="00BE4873" w:rsidRDefault="00000000">
            <w:r>
              <w:rPr>
                <w:b/>
                <w:bCs/>
                <w:color w:val="FFFFFF"/>
                <w:sz w:val="19"/>
                <w:szCs w:val="19"/>
              </w:rPr>
              <w:t>Dimensión de la estrategia</w:t>
            </w:r>
          </w:p>
        </w:tc>
        <w:tc>
          <w:tcPr>
            <w:tcW w:w="6760" w:type="dxa"/>
            <w:shd w:val="clear" w:color="auto" w:fill="1F3864"/>
            <w:tcMar>
              <w:top w:w="80" w:type="dxa"/>
              <w:left w:w="100" w:type="dxa"/>
              <w:bottom w:w="80" w:type="dxa"/>
              <w:right w:w="100" w:type="dxa"/>
            </w:tcMar>
            <w:vAlign w:val="center"/>
          </w:tcPr>
          <w:p w14:paraId="3248CDF0" w14:textId="77777777" w:rsidR="00BE4873" w:rsidRDefault="00000000">
            <w:r>
              <w:rPr>
                <w:b/>
                <w:bCs/>
                <w:color w:val="FFFFFF"/>
                <w:sz w:val="19"/>
                <w:szCs w:val="19"/>
              </w:rPr>
              <w:t>Decisión para CTOS-EXT-TRANSP</w:t>
            </w:r>
          </w:p>
        </w:tc>
      </w:tr>
      <w:tr w:rsidR="00BE4873" w14:paraId="28D2CFCD" w14:textId="77777777">
        <w:tblPrEx>
          <w:tblCellMar>
            <w:top w:w="0" w:type="dxa"/>
            <w:bottom w:w="0" w:type="dxa"/>
          </w:tblCellMar>
        </w:tblPrEx>
        <w:tc>
          <w:tcPr>
            <w:tcW w:w="2600" w:type="dxa"/>
            <w:tcMar>
              <w:top w:w="80" w:type="dxa"/>
              <w:left w:w="100" w:type="dxa"/>
              <w:bottom w:w="80" w:type="dxa"/>
              <w:right w:w="100" w:type="dxa"/>
            </w:tcMar>
            <w:vAlign w:val="center"/>
          </w:tcPr>
          <w:p w14:paraId="6555229D" w14:textId="77777777" w:rsidR="00BE4873" w:rsidRDefault="00000000">
            <w:r>
              <w:rPr>
                <w:sz w:val="19"/>
                <w:szCs w:val="19"/>
              </w:rPr>
              <w:t>Enfoque general</w:t>
            </w:r>
          </w:p>
        </w:tc>
        <w:tc>
          <w:tcPr>
            <w:tcW w:w="6760" w:type="dxa"/>
            <w:tcMar>
              <w:top w:w="80" w:type="dxa"/>
              <w:left w:w="100" w:type="dxa"/>
              <w:bottom w:w="80" w:type="dxa"/>
              <w:right w:w="100" w:type="dxa"/>
            </w:tcMar>
            <w:vAlign w:val="center"/>
          </w:tcPr>
          <w:p w14:paraId="0E1DD075" w14:textId="77777777" w:rsidR="00BE4873" w:rsidRDefault="00000000">
            <w:r>
              <w:rPr>
                <w:sz w:val="19"/>
                <w:szCs w:val="19"/>
              </w:rPr>
              <w:t>Incremental, por dos ejes simultáneos: cobertura geográfica (piloto → 43 distritos) y alcance funcional (las decisiones de gobierno pendientes se resuelven antes de escalar)</w:t>
            </w:r>
          </w:p>
        </w:tc>
      </w:tr>
      <w:tr w:rsidR="00BE4873" w14:paraId="5DBC49D8"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A7AC743" w14:textId="77777777" w:rsidR="00BE4873" w:rsidRDefault="00000000">
            <w:r>
              <w:rPr>
                <w:sz w:val="19"/>
                <w:szCs w:val="19"/>
              </w:rPr>
              <w:lastRenderedPageBreak/>
              <w:t>Tipo de transición</w:t>
            </w:r>
          </w:p>
        </w:tc>
        <w:tc>
          <w:tcPr>
            <w:tcW w:w="6760" w:type="dxa"/>
            <w:shd w:val="clear" w:color="auto" w:fill="F2F2F2"/>
            <w:tcMar>
              <w:top w:w="80" w:type="dxa"/>
              <w:left w:w="100" w:type="dxa"/>
              <w:bottom w:w="80" w:type="dxa"/>
              <w:right w:w="100" w:type="dxa"/>
            </w:tcMar>
            <w:vAlign w:val="center"/>
          </w:tcPr>
          <w:p w14:paraId="133B1C60" w14:textId="77777777" w:rsidR="00BE4873" w:rsidRDefault="00000000">
            <w:r>
              <w:rPr>
                <w:sz w:val="19"/>
                <w:szCs w:val="19"/>
              </w:rPr>
              <w:t>Coexistencia, no reemplazo: el sistema convive con los canales de denuncia y programas de protección ya vigentes; ninguna Arquitectura de Transición contempla desactivarlos</w:t>
            </w:r>
          </w:p>
        </w:tc>
      </w:tr>
      <w:tr w:rsidR="00BE4873" w14:paraId="70AE2BA2" w14:textId="77777777">
        <w:tblPrEx>
          <w:tblCellMar>
            <w:top w:w="0" w:type="dxa"/>
            <w:bottom w:w="0" w:type="dxa"/>
          </w:tblCellMar>
        </w:tblPrEx>
        <w:tc>
          <w:tcPr>
            <w:tcW w:w="2600" w:type="dxa"/>
            <w:tcMar>
              <w:top w:w="80" w:type="dxa"/>
              <w:left w:w="100" w:type="dxa"/>
              <w:bottom w:w="80" w:type="dxa"/>
              <w:right w:w="100" w:type="dxa"/>
            </w:tcMar>
            <w:vAlign w:val="center"/>
          </w:tcPr>
          <w:p w14:paraId="1B69BB70" w14:textId="77777777" w:rsidR="00BE4873" w:rsidRDefault="00000000">
            <w:r>
              <w:rPr>
                <w:sz w:val="19"/>
                <w:szCs w:val="19"/>
              </w:rPr>
              <w:t>Secuencia de resolución de brechas</w:t>
            </w:r>
          </w:p>
        </w:tc>
        <w:tc>
          <w:tcPr>
            <w:tcW w:w="6760" w:type="dxa"/>
            <w:tcMar>
              <w:top w:w="80" w:type="dxa"/>
              <w:left w:w="100" w:type="dxa"/>
              <w:bottom w:w="80" w:type="dxa"/>
              <w:right w:w="100" w:type="dxa"/>
            </w:tcMar>
            <w:vAlign w:val="center"/>
          </w:tcPr>
          <w:p w14:paraId="4248749B" w14:textId="77777777" w:rsidR="00BE4873" w:rsidRDefault="00000000">
            <w:r>
              <w:rPr>
                <w:sz w:val="19"/>
                <w:szCs w:val="19"/>
              </w:rPr>
              <w:t>Primero las brechas de gobierno (decisiones de posicionamiento), porque condicionan el diseño técnico; después las brechas técnicas (marco de buenas prácticas cloud); el riesgo de retroalimentación se mitiga con proceso, no con arquitectura nueva, y se mantiene bajo observación continua</w:t>
            </w:r>
          </w:p>
        </w:tc>
      </w:tr>
      <w:tr w:rsidR="00BE4873" w14:paraId="0DFE925B"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4CCD112" w14:textId="77777777" w:rsidR="00BE4873" w:rsidRDefault="00000000">
            <w:r>
              <w:rPr>
                <w:sz w:val="19"/>
                <w:szCs w:val="19"/>
              </w:rPr>
              <w:t>Criterio de secuenciación de paquetes de trabajo</w:t>
            </w:r>
          </w:p>
        </w:tc>
        <w:tc>
          <w:tcPr>
            <w:tcW w:w="6760" w:type="dxa"/>
            <w:shd w:val="clear" w:color="auto" w:fill="F2F2F2"/>
            <w:tcMar>
              <w:top w:w="80" w:type="dxa"/>
              <w:left w:w="100" w:type="dxa"/>
              <w:bottom w:w="80" w:type="dxa"/>
              <w:right w:w="100" w:type="dxa"/>
            </w:tcMar>
            <w:vAlign w:val="center"/>
          </w:tcPr>
          <w:p w14:paraId="207D9D0C" w14:textId="77777777" w:rsidR="00BE4873" w:rsidRDefault="00000000">
            <w:r>
              <w:rPr>
                <w:sz w:val="19"/>
                <w:szCs w:val="19"/>
              </w:rPr>
              <w:t>Dependencia técnica (datos → aplicaciones → tecnología → integraciones) combinada con la restricción de gobierno (integraciones pendientes antes de cerrar la fase de Visión)</w:t>
            </w:r>
          </w:p>
        </w:tc>
      </w:tr>
      <w:tr w:rsidR="00BE4873" w14:paraId="6A4AE187" w14:textId="77777777">
        <w:tblPrEx>
          <w:tblCellMar>
            <w:top w:w="0" w:type="dxa"/>
            <w:bottom w:w="0" w:type="dxa"/>
          </w:tblCellMar>
        </w:tblPrEx>
        <w:tc>
          <w:tcPr>
            <w:tcW w:w="2600" w:type="dxa"/>
            <w:tcMar>
              <w:top w:w="80" w:type="dxa"/>
              <w:left w:w="100" w:type="dxa"/>
              <w:bottom w:w="80" w:type="dxa"/>
              <w:right w:w="100" w:type="dxa"/>
            </w:tcMar>
            <w:vAlign w:val="center"/>
          </w:tcPr>
          <w:p w14:paraId="7A415AFD" w14:textId="77777777" w:rsidR="00BE4873" w:rsidRDefault="00000000">
            <w:r>
              <w:rPr>
                <w:sz w:val="19"/>
                <w:szCs w:val="19"/>
              </w:rPr>
              <w:t>Modelo de gobierno de la migración</w:t>
            </w:r>
          </w:p>
        </w:tc>
        <w:tc>
          <w:tcPr>
            <w:tcW w:w="6760" w:type="dxa"/>
            <w:tcMar>
              <w:top w:w="80" w:type="dxa"/>
              <w:left w:w="100" w:type="dxa"/>
              <w:bottom w:w="80" w:type="dxa"/>
              <w:right w:w="100" w:type="dxa"/>
            </w:tcMar>
            <w:vAlign w:val="center"/>
          </w:tcPr>
          <w:p w14:paraId="384C8303" w14:textId="77777777" w:rsidR="00BE4873" w:rsidRDefault="00000000">
            <w:r>
              <w:rPr>
                <w:sz w:val="19"/>
                <w:szCs w:val="19"/>
              </w:rPr>
              <w:t>Un responsable de integración y revisión final de consistencia valida cada tránsito de fase, evitando que agendas paralelas de los distintos frentes de trabajo diverjan</w:t>
            </w:r>
          </w:p>
        </w:tc>
      </w:tr>
      <w:tr w:rsidR="00BE4873" w14:paraId="075598C4"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5BAF745" w14:textId="77777777" w:rsidR="00BE4873" w:rsidRDefault="00000000">
            <w:r>
              <w:rPr>
                <w:sz w:val="19"/>
                <w:szCs w:val="19"/>
              </w:rPr>
              <w:t>Tolerancia al riesgo</w:t>
            </w:r>
          </w:p>
        </w:tc>
        <w:tc>
          <w:tcPr>
            <w:tcW w:w="6760" w:type="dxa"/>
            <w:shd w:val="clear" w:color="auto" w:fill="F2F2F2"/>
            <w:tcMar>
              <w:top w:w="80" w:type="dxa"/>
              <w:left w:w="100" w:type="dxa"/>
              <w:bottom w:w="80" w:type="dxa"/>
              <w:right w:w="100" w:type="dxa"/>
            </w:tcMar>
            <w:vAlign w:val="center"/>
          </w:tcPr>
          <w:p w14:paraId="00ACFC3E" w14:textId="77777777" w:rsidR="00BE4873" w:rsidRDefault="00000000">
            <w:r>
              <w:rPr>
                <w:sz w:val="19"/>
                <w:szCs w:val="19"/>
              </w:rPr>
              <w:t>Baja en materia de privacidad y anonimato (no negociable); media en materia de KPIs operativos (pueden no cumplirse plenamente en el piloto sin detener el programa, pero deben escalar a la comandancia)</w:t>
            </w:r>
          </w:p>
        </w:tc>
      </w:tr>
    </w:tbl>
    <w:p w14:paraId="79D23A31" w14:textId="77777777" w:rsidR="00BE4873" w:rsidRDefault="00000000">
      <w:pPr>
        <w:pStyle w:val="Ttulo1"/>
      </w:pPr>
      <w:r>
        <w:t>Paso 9 — Identificar y agrupar los principales paquetes de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060"/>
        <w:gridCol w:w="1500"/>
      </w:tblGrid>
      <w:tr w:rsidR="00BE4873" w14:paraId="6CFB7FA4" w14:textId="77777777">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tcPr>
          <w:p w14:paraId="110F6ED7" w14:textId="77777777" w:rsidR="00BE4873" w:rsidRDefault="00000000">
            <w:r>
              <w:rPr>
                <w:b/>
                <w:bCs/>
                <w:color w:val="FFFFFF"/>
                <w:sz w:val="19"/>
                <w:szCs w:val="19"/>
              </w:rPr>
              <w:t>Paquete de trabajo</w:t>
            </w:r>
          </w:p>
        </w:tc>
        <w:tc>
          <w:tcPr>
            <w:tcW w:w="5060" w:type="dxa"/>
            <w:shd w:val="clear" w:color="auto" w:fill="1F3864"/>
            <w:tcMar>
              <w:top w:w="80" w:type="dxa"/>
              <w:left w:w="100" w:type="dxa"/>
              <w:bottom w:w="80" w:type="dxa"/>
              <w:right w:w="100" w:type="dxa"/>
            </w:tcMar>
            <w:vAlign w:val="center"/>
          </w:tcPr>
          <w:p w14:paraId="181BE1BC" w14:textId="77777777" w:rsidR="00BE4873" w:rsidRDefault="00000000">
            <w:r>
              <w:rPr>
                <w:b/>
                <w:bCs/>
                <w:color w:val="FFFFFF"/>
                <w:sz w:val="19"/>
                <w:szCs w:val="19"/>
              </w:rPr>
              <w:t>Contenido</w:t>
            </w:r>
          </w:p>
        </w:tc>
        <w:tc>
          <w:tcPr>
            <w:tcW w:w="1500" w:type="dxa"/>
            <w:shd w:val="clear" w:color="auto" w:fill="1F3864"/>
            <w:tcMar>
              <w:top w:w="80" w:type="dxa"/>
              <w:left w:w="100" w:type="dxa"/>
              <w:bottom w:w="80" w:type="dxa"/>
              <w:right w:w="100" w:type="dxa"/>
            </w:tcMar>
            <w:vAlign w:val="center"/>
          </w:tcPr>
          <w:p w14:paraId="00AFA28C" w14:textId="77777777" w:rsidR="00BE4873" w:rsidRDefault="00000000">
            <w:r>
              <w:rPr>
                <w:b/>
                <w:bCs/>
                <w:color w:val="FFFFFF"/>
                <w:sz w:val="19"/>
                <w:szCs w:val="19"/>
              </w:rPr>
              <w:t>Fase de implementación</w:t>
            </w:r>
          </w:p>
        </w:tc>
      </w:tr>
      <w:tr w:rsidR="00BE4873" w14:paraId="68C35344" w14:textId="77777777">
        <w:tblPrEx>
          <w:tblCellMar>
            <w:top w:w="0" w:type="dxa"/>
            <w:bottom w:w="0" w:type="dxa"/>
          </w:tblCellMar>
        </w:tblPrEx>
        <w:tc>
          <w:tcPr>
            <w:tcW w:w="2800" w:type="dxa"/>
            <w:tcMar>
              <w:top w:w="80" w:type="dxa"/>
              <w:left w:w="100" w:type="dxa"/>
              <w:bottom w:w="80" w:type="dxa"/>
              <w:right w:w="100" w:type="dxa"/>
            </w:tcMar>
            <w:vAlign w:val="center"/>
          </w:tcPr>
          <w:p w14:paraId="075CABEC" w14:textId="77777777" w:rsidR="00BE4873" w:rsidRDefault="00000000">
            <w:r>
              <w:rPr>
                <w:sz w:val="19"/>
                <w:szCs w:val="19"/>
              </w:rPr>
              <w:t>PT-01 Decisión de posicionamiento institucional</w:t>
            </w:r>
          </w:p>
        </w:tc>
        <w:tc>
          <w:tcPr>
            <w:tcW w:w="5060" w:type="dxa"/>
            <w:tcMar>
              <w:top w:w="80" w:type="dxa"/>
              <w:left w:w="100" w:type="dxa"/>
              <w:bottom w:w="80" w:type="dxa"/>
              <w:right w:w="100" w:type="dxa"/>
            </w:tcMar>
            <w:vAlign w:val="center"/>
          </w:tcPr>
          <w:p w14:paraId="093C269F" w14:textId="77777777" w:rsidR="00BE4873" w:rsidRDefault="00000000">
            <w:r>
              <w:rPr>
                <w:sz w:val="19"/>
                <w:szCs w:val="19"/>
              </w:rPr>
              <w:t>Resolver la articulación con el observatorio delictivo, con el programa de protección al transportista y el rol del botón de pánico</w:t>
            </w:r>
          </w:p>
        </w:tc>
        <w:tc>
          <w:tcPr>
            <w:tcW w:w="1500" w:type="dxa"/>
            <w:tcMar>
              <w:top w:w="80" w:type="dxa"/>
              <w:left w:w="100" w:type="dxa"/>
              <w:bottom w:w="80" w:type="dxa"/>
              <w:right w:w="100" w:type="dxa"/>
            </w:tcMar>
            <w:vAlign w:val="center"/>
          </w:tcPr>
          <w:p w14:paraId="63A269D7" w14:textId="77777777" w:rsidR="00BE4873" w:rsidRDefault="00000000">
            <w:r>
              <w:rPr>
                <w:sz w:val="19"/>
                <w:szCs w:val="19"/>
              </w:rPr>
              <w:t>Fase 0</w:t>
            </w:r>
          </w:p>
        </w:tc>
      </w:tr>
      <w:tr w:rsidR="00BE4873" w14:paraId="038D89C1" w14:textId="77777777">
        <w:tblPrEx>
          <w:tblCellMar>
            <w:top w:w="0" w:type="dxa"/>
            <w:bottom w:w="0" w:type="dxa"/>
          </w:tblCellMar>
        </w:tblPrEx>
        <w:tc>
          <w:tcPr>
            <w:tcW w:w="2800" w:type="dxa"/>
            <w:shd w:val="clear" w:color="auto" w:fill="F2F2F2"/>
            <w:tcMar>
              <w:top w:w="80" w:type="dxa"/>
              <w:left w:w="100" w:type="dxa"/>
              <w:bottom w:w="80" w:type="dxa"/>
              <w:right w:w="100" w:type="dxa"/>
            </w:tcMar>
            <w:vAlign w:val="center"/>
          </w:tcPr>
          <w:p w14:paraId="285E42B4" w14:textId="77777777" w:rsidR="00BE4873" w:rsidRDefault="00000000">
            <w:r>
              <w:rPr>
                <w:sz w:val="19"/>
                <w:szCs w:val="19"/>
              </w:rPr>
              <w:t>PT-02 Modelo de datos y puntuación de confianza</w:t>
            </w:r>
          </w:p>
        </w:tc>
        <w:tc>
          <w:tcPr>
            <w:tcW w:w="5060" w:type="dxa"/>
            <w:shd w:val="clear" w:color="auto" w:fill="F2F2F2"/>
            <w:tcMar>
              <w:top w:w="80" w:type="dxa"/>
              <w:left w:w="100" w:type="dxa"/>
              <w:bottom w:w="80" w:type="dxa"/>
              <w:right w:w="100" w:type="dxa"/>
            </w:tcMar>
            <w:vAlign w:val="center"/>
          </w:tcPr>
          <w:p w14:paraId="4331B58D" w14:textId="77777777" w:rsidR="00BE4873" w:rsidRDefault="00000000">
            <w:r>
              <w:rPr>
                <w:sz w:val="19"/>
                <w:szCs w:val="19"/>
              </w:rPr>
              <w:t>Consolidar el esquema de datos y las reglas de puntuación como fuente única de verdad</w:t>
            </w:r>
          </w:p>
        </w:tc>
        <w:tc>
          <w:tcPr>
            <w:tcW w:w="1500" w:type="dxa"/>
            <w:shd w:val="clear" w:color="auto" w:fill="F2F2F2"/>
            <w:tcMar>
              <w:top w:w="80" w:type="dxa"/>
              <w:left w:w="100" w:type="dxa"/>
              <w:bottom w:w="80" w:type="dxa"/>
              <w:right w:w="100" w:type="dxa"/>
            </w:tcMar>
            <w:vAlign w:val="center"/>
          </w:tcPr>
          <w:p w14:paraId="650ECAF8" w14:textId="77777777" w:rsidR="00BE4873" w:rsidRDefault="00000000">
            <w:r>
              <w:rPr>
                <w:sz w:val="19"/>
                <w:szCs w:val="19"/>
              </w:rPr>
              <w:t>Fase 0</w:t>
            </w:r>
          </w:p>
        </w:tc>
      </w:tr>
      <w:tr w:rsidR="00BE4873" w14:paraId="6879D232" w14:textId="77777777">
        <w:tblPrEx>
          <w:tblCellMar>
            <w:top w:w="0" w:type="dxa"/>
            <w:bottom w:w="0" w:type="dxa"/>
          </w:tblCellMar>
        </w:tblPrEx>
        <w:tc>
          <w:tcPr>
            <w:tcW w:w="2800" w:type="dxa"/>
            <w:tcMar>
              <w:top w:w="80" w:type="dxa"/>
              <w:left w:w="100" w:type="dxa"/>
              <w:bottom w:w="80" w:type="dxa"/>
              <w:right w:w="100" w:type="dxa"/>
            </w:tcMar>
            <w:vAlign w:val="center"/>
          </w:tcPr>
          <w:p w14:paraId="67EA55AD" w14:textId="77777777" w:rsidR="00BE4873" w:rsidRDefault="00000000">
            <w:r>
              <w:rPr>
                <w:sz w:val="19"/>
                <w:szCs w:val="19"/>
              </w:rPr>
              <w:t>PT-03 Microservicios núcleo</w:t>
            </w:r>
          </w:p>
        </w:tc>
        <w:tc>
          <w:tcPr>
            <w:tcW w:w="5060" w:type="dxa"/>
            <w:tcMar>
              <w:top w:w="80" w:type="dxa"/>
              <w:left w:w="100" w:type="dxa"/>
              <w:bottom w:w="80" w:type="dxa"/>
              <w:right w:w="100" w:type="dxa"/>
            </w:tcMar>
            <w:vAlign w:val="center"/>
          </w:tcPr>
          <w:p w14:paraId="23E5C044" w14:textId="77777777" w:rsidR="00BE4873" w:rsidRDefault="00000000">
            <w:r>
              <w:rPr>
                <w:sz w:val="19"/>
                <w:szCs w:val="19"/>
              </w:rPr>
              <w:t>Servicios de ingesta, sanitización, puntuación, correlación geoespacial y generación de alertas, con sus permisos definidos</w:t>
            </w:r>
          </w:p>
        </w:tc>
        <w:tc>
          <w:tcPr>
            <w:tcW w:w="1500" w:type="dxa"/>
            <w:tcMar>
              <w:top w:w="80" w:type="dxa"/>
              <w:left w:w="100" w:type="dxa"/>
              <w:bottom w:w="80" w:type="dxa"/>
              <w:right w:w="100" w:type="dxa"/>
            </w:tcMar>
            <w:vAlign w:val="center"/>
          </w:tcPr>
          <w:p w14:paraId="400DB231" w14:textId="77777777" w:rsidR="00BE4873" w:rsidRDefault="00000000">
            <w:r>
              <w:rPr>
                <w:sz w:val="19"/>
                <w:szCs w:val="19"/>
              </w:rPr>
              <w:t>Fase 0 → Fase 1</w:t>
            </w:r>
          </w:p>
        </w:tc>
      </w:tr>
      <w:tr w:rsidR="00BE4873" w14:paraId="56859B18" w14:textId="77777777">
        <w:tblPrEx>
          <w:tblCellMar>
            <w:top w:w="0" w:type="dxa"/>
            <w:bottom w:w="0" w:type="dxa"/>
          </w:tblCellMar>
        </w:tblPrEx>
        <w:tc>
          <w:tcPr>
            <w:tcW w:w="2800" w:type="dxa"/>
            <w:shd w:val="clear" w:color="auto" w:fill="F2F2F2"/>
            <w:tcMar>
              <w:top w:w="80" w:type="dxa"/>
              <w:left w:w="100" w:type="dxa"/>
              <w:bottom w:w="80" w:type="dxa"/>
              <w:right w:w="100" w:type="dxa"/>
            </w:tcMar>
            <w:vAlign w:val="center"/>
          </w:tcPr>
          <w:p w14:paraId="2481C48C" w14:textId="77777777" w:rsidR="00BE4873" w:rsidRDefault="00000000">
            <w:r>
              <w:rPr>
                <w:sz w:val="19"/>
                <w:szCs w:val="19"/>
              </w:rPr>
              <w:t>PT-04 App ciudadana y canales</w:t>
            </w:r>
          </w:p>
        </w:tc>
        <w:tc>
          <w:tcPr>
            <w:tcW w:w="5060" w:type="dxa"/>
            <w:shd w:val="clear" w:color="auto" w:fill="F2F2F2"/>
            <w:tcMar>
              <w:top w:w="80" w:type="dxa"/>
              <w:left w:w="100" w:type="dxa"/>
              <w:bottom w:w="80" w:type="dxa"/>
              <w:right w:w="100" w:type="dxa"/>
            </w:tcMar>
            <w:vAlign w:val="center"/>
          </w:tcPr>
          <w:p w14:paraId="215DF66B" w14:textId="77777777" w:rsidR="00BE4873" w:rsidRDefault="00000000">
            <w:r>
              <w:rPr>
                <w:sz w:val="19"/>
                <w:szCs w:val="19"/>
              </w:rPr>
              <w:t>Aplicación móvil, portal web y canal de mensajería; incorporación condicional del botón de pánico según PT-01</w:t>
            </w:r>
          </w:p>
        </w:tc>
        <w:tc>
          <w:tcPr>
            <w:tcW w:w="1500" w:type="dxa"/>
            <w:shd w:val="clear" w:color="auto" w:fill="F2F2F2"/>
            <w:tcMar>
              <w:top w:w="80" w:type="dxa"/>
              <w:left w:w="100" w:type="dxa"/>
              <w:bottom w:w="80" w:type="dxa"/>
              <w:right w:w="100" w:type="dxa"/>
            </w:tcMar>
            <w:vAlign w:val="center"/>
          </w:tcPr>
          <w:p w14:paraId="2CC32C42" w14:textId="77777777" w:rsidR="00BE4873" w:rsidRDefault="00000000">
            <w:r>
              <w:rPr>
                <w:sz w:val="19"/>
                <w:szCs w:val="19"/>
              </w:rPr>
              <w:t>Fase 0 → Fase 1</w:t>
            </w:r>
          </w:p>
        </w:tc>
      </w:tr>
      <w:tr w:rsidR="00BE4873" w14:paraId="2E4B2C0A" w14:textId="77777777">
        <w:tblPrEx>
          <w:tblCellMar>
            <w:top w:w="0" w:type="dxa"/>
            <w:bottom w:w="0" w:type="dxa"/>
          </w:tblCellMar>
        </w:tblPrEx>
        <w:tc>
          <w:tcPr>
            <w:tcW w:w="2800" w:type="dxa"/>
            <w:tcMar>
              <w:top w:w="80" w:type="dxa"/>
              <w:left w:w="100" w:type="dxa"/>
              <w:bottom w:w="80" w:type="dxa"/>
              <w:right w:w="100" w:type="dxa"/>
            </w:tcMar>
            <w:vAlign w:val="center"/>
          </w:tcPr>
          <w:p w14:paraId="5E9BCD9F" w14:textId="77777777" w:rsidR="00BE4873" w:rsidRDefault="00000000">
            <w:r>
              <w:rPr>
                <w:sz w:val="19"/>
                <w:szCs w:val="19"/>
              </w:rPr>
              <w:t>PT-05 Infraestructura híbrida e integraciones autorizadas</w:t>
            </w:r>
          </w:p>
        </w:tc>
        <w:tc>
          <w:tcPr>
            <w:tcW w:w="5060" w:type="dxa"/>
            <w:tcMar>
              <w:top w:w="80" w:type="dxa"/>
              <w:left w:w="100" w:type="dxa"/>
              <w:bottom w:w="80" w:type="dxa"/>
              <w:right w:w="100" w:type="dxa"/>
            </w:tcMar>
            <w:vAlign w:val="center"/>
          </w:tcPr>
          <w:p w14:paraId="1A2C27CD" w14:textId="77777777" w:rsidR="00BE4873" w:rsidRDefault="00000000">
            <w:r>
              <w:rPr>
                <w:sz w:val="19"/>
                <w:szCs w:val="19"/>
              </w:rPr>
              <w:t>Plataforma de contenedores propia, base de datos geoespacial, mensajería interna y almacenamiento; integraciones ya autorizadas</w:t>
            </w:r>
          </w:p>
        </w:tc>
        <w:tc>
          <w:tcPr>
            <w:tcW w:w="1500" w:type="dxa"/>
            <w:tcMar>
              <w:top w:w="80" w:type="dxa"/>
              <w:left w:w="100" w:type="dxa"/>
              <w:bottom w:w="80" w:type="dxa"/>
              <w:right w:w="100" w:type="dxa"/>
            </w:tcMar>
            <w:vAlign w:val="center"/>
          </w:tcPr>
          <w:p w14:paraId="2AFFB18D" w14:textId="77777777" w:rsidR="00BE4873" w:rsidRDefault="00000000">
            <w:r>
              <w:rPr>
                <w:sz w:val="19"/>
                <w:szCs w:val="19"/>
              </w:rPr>
              <w:t>Fase 0 → Fase 1</w:t>
            </w:r>
          </w:p>
        </w:tc>
      </w:tr>
      <w:tr w:rsidR="00BE4873" w14:paraId="10CDEFC2" w14:textId="77777777">
        <w:tblPrEx>
          <w:tblCellMar>
            <w:top w:w="0" w:type="dxa"/>
            <w:bottom w:w="0" w:type="dxa"/>
          </w:tblCellMar>
        </w:tblPrEx>
        <w:tc>
          <w:tcPr>
            <w:tcW w:w="2800" w:type="dxa"/>
            <w:shd w:val="clear" w:color="auto" w:fill="F2F2F2"/>
            <w:tcMar>
              <w:top w:w="80" w:type="dxa"/>
              <w:left w:w="100" w:type="dxa"/>
              <w:bottom w:w="80" w:type="dxa"/>
              <w:right w:w="100" w:type="dxa"/>
            </w:tcMar>
            <w:vAlign w:val="center"/>
          </w:tcPr>
          <w:p w14:paraId="14E54FDB" w14:textId="77777777" w:rsidR="00BE4873" w:rsidRDefault="00000000">
            <w:r>
              <w:rPr>
                <w:sz w:val="19"/>
                <w:szCs w:val="19"/>
              </w:rPr>
              <w:t>PT-06 Cierre de brecha del marco de buenas prácticas cloud</w:t>
            </w:r>
          </w:p>
        </w:tc>
        <w:tc>
          <w:tcPr>
            <w:tcW w:w="5060" w:type="dxa"/>
            <w:shd w:val="clear" w:color="auto" w:fill="F2F2F2"/>
            <w:tcMar>
              <w:top w:w="80" w:type="dxa"/>
              <w:left w:w="100" w:type="dxa"/>
              <w:bottom w:w="80" w:type="dxa"/>
              <w:right w:w="100" w:type="dxa"/>
            </w:tcMar>
            <w:vAlign w:val="center"/>
          </w:tcPr>
          <w:p w14:paraId="3C353E54" w14:textId="77777777" w:rsidR="00BE4873" w:rsidRDefault="00000000">
            <w:r>
              <w:rPr>
                <w:sz w:val="19"/>
                <w:szCs w:val="19"/>
              </w:rPr>
              <w:t>Formalizar el modelo de responsabilidad compartida y los pilares faltantes</w:t>
            </w:r>
          </w:p>
        </w:tc>
        <w:tc>
          <w:tcPr>
            <w:tcW w:w="1500" w:type="dxa"/>
            <w:shd w:val="clear" w:color="auto" w:fill="F2F2F2"/>
            <w:tcMar>
              <w:top w:w="80" w:type="dxa"/>
              <w:left w:w="100" w:type="dxa"/>
              <w:bottom w:w="80" w:type="dxa"/>
              <w:right w:w="100" w:type="dxa"/>
            </w:tcMar>
            <w:vAlign w:val="center"/>
          </w:tcPr>
          <w:p w14:paraId="61A4F814" w14:textId="77777777" w:rsidR="00BE4873" w:rsidRDefault="00000000">
            <w:r>
              <w:rPr>
                <w:sz w:val="19"/>
                <w:szCs w:val="19"/>
              </w:rPr>
              <w:t>Fase 0</w:t>
            </w:r>
          </w:p>
        </w:tc>
      </w:tr>
      <w:tr w:rsidR="00BE4873" w14:paraId="7608DE19" w14:textId="77777777">
        <w:tblPrEx>
          <w:tblCellMar>
            <w:top w:w="0" w:type="dxa"/>
            <w:bottom w:w="0" w:type="dxa"/>
          </w:tblCellMar>
        </w:tblPrEx>
        <w:tc>
          <w:tcPr>
            <w:tcW w:w="2800" w:type="dxa"/>
            <w:tcMar>
              <w:top w:w="80" w:type="dxa"/>
              <w:left w:w="100" w:type="dxa"/>
              <w:bottom w:w="80" w:type="dxa"/>
              <w:right w:w="100" w:type="dxa"/>
            </w:tcMar>
            <w:vAlign w:val="center"/>
          </w:tcPr>
          <w:p w14:paraId="4773ACCF" w14:textId="77777777" w:rsidR="00BE4873" w:rsidRDefault="00000000">
            <w:r>
              <w:rPr>
                <w:sz w:val="19"/>
                <w:szCs w:val="19"/>
              </w:rPr>
              <w:t>PT-07 Puente crítico de despacho</w:t>
            </w:r>
          </w:p>
        </w:tc>
        <w:tc>
          <w:tcPr>
            <w:tcW w:w="5060" w:type="dxa"/>
            <w:tcMar>
              <w:top w:w="80" w:type="dxa"/>
              <w:left w:w="100" w:type="dxa"/>
              <w:bottom w:w="80" w:type="dxa"/>
              <w:right w:w="100" w:type="dxa"/>
            </w:tcMar>
            <w:vAlign w:val="center"/>
          </w:tcPr>
          <w:p w14:paraId="3BB9580B" w14:textId="77777777" w:rsidR="00BE4873" w:rsidRDefault="00000000">
            <w:r>
              <w:rPr>
                <w:sz w:val="19"/>
                <w:szCs w:val="19"/>
              </w:rPr>
              <w:t>Integración con el sistema de comunicaciones; instrumentación del cálculo del tiempo de respuesta</w:t>
            </w:r>
          </w:p>
        </w:tc>
        <w:tc>
          <w:tcPr>
            <w:tcW w:w="1500" w:type="dxa"/>
            <w:tcMar>
              <w:top w:w="80" w:type="dxa"/>
              <w:left w:w="100" w:type="dxa"/>
              <w:bottom w:w="80" w:type="dxa"/>
              <w:right w:w="100" w:type="dxa"/>
            </w:tcMar>
            <w:vAlign w:val="center"/>
          </w:tcPr>
          <w:p w14:paraId="5073657A" w14:textId="77777777" w:rsidR="00BE4873" w:rsidRDefault="00000000">
            <w:r>
              <w:rPr>
                <w:sz w:val="19"/>
                <w:szCs w:val="19"/>
              </w:rPr>
              <w:t>Fase 0 → Fase 1 (crítico)</w:t>
            </w:r>
          </w:p>
        </w:tc>
      </w:tr>
      <w:tr w:rsidR="00BE4873" w14:paraId="23D9060C" w14:textId="77777777">
        <w:tblPrEx>
          <w:tblCellMar>
            <w:top w:w="0" w:type="dxa"/>
            <w:bottom w:w="0" w:type="dxa"/>
          </w:tblCellMar>
        </w:tblPrEx>
        <w:tc>
          <w:tcPr>
            <w:tcW w:w="2800" w:type="dxa"/>
            <w:shd w:val="clear" w:color="auto" w:fill="F2F2F2"/>
            <w:tcMar>
              <w:top w:w="80" w:type="dxa"/>
              <w:left w:w="100" w:type="dxa"/>
              <w:bottom w:w="80" w:type="dxa"/>
              <w:right w:w="100" w:type="dxa"/>
            </w:tcMar>
            <w:vAlign w:val="center"/>
          </w:tcPr>
          <w:p w14:paraId="4D3D4AAF" w14:textId="77777777" w:rsidR="00BE4873" w:rsidRDefault="00000000">
            <w:r>
              <w:rPr>
                <w:sz w:val="19"/>
                <w:szCs w:val="19"/>
              </w:rPr>
              <w:t>PT-08 Calibración del algoritmo de clustering con datos reales</w:t>
            </w:r>
          </w:p>
        </w:tc>
        <w:tc>
          <w:tcPr>
            <w:tcW w:w="5060" w:type="dxa"/>
            <w:shd w:val="clear" w:color="auto" w:fill="F2F2F2"/>
            <w:tcMar>
              <w:top w:w="80" w:type="dxa"/>
              <w:left w:w="100" w:type="dxa"/>
              <w:bottom w:w="80" w:type="dxa"/>
              <w:right w:w="100" w:type="dxa"/>
            </w:tcMar>
            <w:vAlign w:val="center"/>
          </w:tcPr>
          <w:p w14:paraId="4367011A" w14:textId="77777777" w:rsidR="00BE4873" w:rsidRDefault="00000000">
            <w:r>
              <w:rPr>
                <w:sz w:val="19"/>
                <w:szCs w:val="19"/>
              </w:rPr>
              <w:t>Ajuste de parámetros por tipo de zona usando datos del piloto</w:t>
            </w:r>
          </w:p>
        </w:tc>
        <w:tc>
          <w:tcPr>
            <w:tcW w:w="1500" w:type="dxa"/>
            <w:shd w:val="clear" w:color="auto" w:fill="F2F2F2"/>
            <w:tcMar>
              <w:top w:w="80" w:type="dxa"/>
              <w:left w:w="100" w:type="dxa"/>
              <w:bottom w:w="80" w:type="dxa"/>
              <w:right w:w="100" w:type="dxa"/>
            </w:tcMar>
            <w:vAlign w:val="center"/>
          </w:tcPr>
          <w:p w14:paraId="61A22101" w14:textId="77777777" w:rsidR="00BE4873" w:rsidRDefault="00000000">
            <w:r>
              <w:rPr>
                <w:sz w:val="19"/>
                <w:szCs w:val="19"/>
              </w:rPr>
              <w:t>Fase 1 → Fase 2</w:t>
            </w:r>
          </w:p>
        </w:tc>
      </w:tr>
      <w:tr w:rsidR="00BE4873" w14:paraId="60FE37D7" w14:textId="77777777">
        <w:tblPrEx>
          <w:tblCellMar>
            <w:top w:w="0" w:type="dxa"/>
            <w:bottom w:w="0" w:type="dxa"/>
          </w:tblCellMar>
        </w:tblPrEx>
        <w:tc>
          <w:tcPr>
            <w:tcW w:w="2800" w:type="dxa"/>
            <w:tcMar>
              <w:top w:w="80" w:type="dxa"/>
              <w:left w:w="100" w:type="dxa"/>
              <w:bottom w:w="80" w:type="dxa"/>
              <w:right w:w="100" w:type="dxa"/>
            </w:tcMar>
            <w:vAlign w:val="center"/>
          </w:tcPr>
          <w:p w14:paraId="57C9B64D" w14:textId="77777777" w:rsidR="00BE4873" w:rsidRDefault="00000000">
            <w:r>
              <w:rPr>
                <w:sz w:val="19"/>
                <w:szCs w:val="19"/>
              </w:rPr>
              <w:lastRenderedPageBreak/>
              <w:t>PT-09 Gestión de riesgo de retroalimentación</w:t>
            </w:r>
          </w:p>
        </w:tc>
        <w:tc>
          <w:tcPr>
            <w:tcW w:w="5060" w:type="dxa"/>
            <w:tcMar>
              <w:top w:w="80" w:type="dxa"/>
              <w:left w:w="100" w:type="dxa"/>
              <w:bottom w:w="80" w:type="dxa"/>
              <w:right w:w="100" w:type="dxa"/>
            </w:tcMar>
            <w:vAlign w:val="center"/>
          </w:tcPr>
          <w:p w14:paraId="70638DCC" w14:textId="77777777" w:rsidR="00BE4873" w:rsidRDefault="00000000">
            <w:r>
              <w:rPr>
                <w:sz w:val="19"/>
                <w:szCs w:val="19"/>
              </w:rPr>
              <w:t>Proceso de revisión periódica de clústeres resueltos frente a emergentes</w:t>
            </w:r>
          </w:p>
        </w:tc>
        <w:tc>
          <w:tcPr>
            <w:tcW w:w="1500" w:type="dxa"/>
            <w:tcMar>
              <w:top w:w="80" w:type="dxa"/>
              <w:left w:w="100" w:type="dxa"/>
              <w:bottom w:w="80" w:type="dxa"/>
              <w:right w:w="100" w:type="dxa"/>
            </w:tcMar>
            <w:vAlign w:val="center"/>
          </w:tcPr>
          <w:p w14:paraId="3643C58B" w14:textId="77777777" w:rsidR="00BE4873" w:rsidRDefault="00000000">
            <w:r>
              <w:rPr>
                <w:sz w:val="19"/>
                <w:szCs w:val="19"/>
              </w:rPr>
              <w:t>Fase 1 en adelante (continuo)</w:t>
            </w:r>
          </w:p>
        </w:tc>
      </w:tr>
      <w:tr w:rsidR="00BE4873" w14:paraId="2A4D7D03" w14:textId="77777777">
        <w:tblPrEx>
          <w:tblCellMar>
            <w:top w:w="0" w:type="dxa"/>
            <w:bottom w:w="0" w:type="dxa"/>
          </w:tblCellMar>
        </w:tblPrEx>
        <w:tc>
          <w:tcPr>
            <w:tcW w:w="2800" w:type="dxa"/>
            <w:shd w:val="clear" w:color="auto" w:fill="F2F2F2"/>
            <w:tcMar>
              <w:top w:w="80" w:type="dxa"/>
              <w:left w:w="100" w:type="dxa"/>
              <w:bottom w:w="80" w:type="dxa"/>
              <w:right w:w="100" w:type="dxa"/>
            </w:tcMar>
            <w:vAlign w:val="center"/>
          </w:tcPr>
          <w:p w14:paraId="13B124DA" w14:textId="77777777" w:rsidR="00BE4873" w:rsidRDefault="00000000">
            <w:r>
              <w:rPr>
                <w:sz w:val="19"/>
                <w:szCs w:val="19"/>
              </w:rPr>
              <w:t>PT-10 Gobernanza y gestión del cambio</w:t>
            </w:r>
          </w:p>
        </w:tc>
        <w:tc>
          <w:tcPr>
            <w:tcW w:w="5060" w:type="dxa"/>
            <w:shd w:val="clear" w:color="auto" w:fill="F2F2F2"/>
            <w:tcMar>
              <w:top w:w="80" w:type="dxa"/>
              <w:left w:w="100" w:type="dxa"/>
              <w:bottom w:w="80" w:type="dxa"/>
              <w:right w:w="100" w:type="dxa"/>
            </w:tcMar>
            <w:vAlign w:val="center"/>
          </w:tcPr>
          <w:p w14:paraId="0DDF6856" w14:textId="77777777" w:rsidR="00BE4873" w:rsidRDefault="00000000">
            <w:r>
              <w:rPr>
                <w:sz w:val="19"/>
                <w:szCs w:val="19"/>
              </w:rPr>
              <w:t>Capacitación de analistas y comisarías; consolidación de gobierno del sistema</w:t>
            </w:r>
          </w:p>
        </w:tc>
        <w:tc>
          <w:tcPr>
            <w:tcW w:w="1500" w:type="dxa"/>
            <w:shd w:val="clear" w:color="auto" w:fill="F2F2F2"/>
            <w:tcMar>
              <w:top w:w="80" w:type="dxa"/>
              <w:left w:w="100" w:type="dxa"/>
              <w:bottom w:w="80" w:type="dxa"/>
              <w:right w:w="100" w:type="dxa"/>
            </w:tcMar>
            <w:vAlign w:val="center"/>
          </w:tcPr>
          <w:p w14:paraId="4EB25401" w14:textId="77777777" w:rsidR="00BE4873" w:rsidRDefault="00000000">
            <w:r>
              <w:rPr>
                <w:sz w:val="19"/>
                <w:szCs w:val="19"/>
              </w:rPr>
              <w:t>Fase 1 → Fase 3</w:t>
            </w:r>
          </w:p>
        </w:tc>
      </w:tr>
    </w:tbl>
    <w:p w14:paraId="79C19CF9" w14:textId="77777777" w:rsidR="00BE4873" w:rsidRDefault="00000000">
      <w:pPr>
        <w:pStyle w:val="Ttulo1"/>
      </w:pPr>
      <w:r>
        <w:t>Paso 10 — Identificar las Arquitecturas de Transición</w:t>
      </w:r>
    </w:p>
    <w:p w14:paraId="13B00834" w14:textId="77777777" w:rsidR="00BE4873" w:rsidRDefault="00000000">
      <w:pPr>
        <w:spacing w:after="160"/>
      </w:pPr>
      <w:r>
        <w:t>Dado el horizonte de 24 meses, la geografía escalonada y las decisiones de gobierno pendientes, se requiere un enfoque incremental. Se identifican cuatro Arquitecturas de Transición: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4300"/>
        <w:gridCol w:w="1660"/>
      </w:tblGrid>
      <w:tr w:rsidR="00BE4873" w14:paraId="0CD8106D"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63375D39" w14:textId="77777777" w:rsidR="00BE4873" w:rsidRDefault="00000000">
            <w:r>
              <w:rPr>
                <w:b/>
                <w:bCs/>
                <w:color w:val="FFFFFF"/>
                <w:sz w:val="19"/>
                <w:szCs w:val="19"/>
              </w:rPr>
              <w:t>Arquitectura de Transición</w:t>
            </w:r>
          </w:p>
        </w:tc>
        <w:tc>
          <w:tcPr>
            <w:tcW w:w="1200" w:type="dxa"/>
            <w:shd w:val="clear" w:color="auto" w:fill="1F3864"/>
            <w:tcMar>
              <w:top w:w="80" w:type="dxa"/>
              <w:left w:w="100" w:type="dxa"/>
              <w:bottom w:w="80" w:type="dxa"/>
              <w:right w:w="100" w:type="dxa"/>
            </w:tcMar>
            <w:vAlign w:val="center"/>
          </w:tcPr>
          <w:p w14:paraId="5E004599" w14:textId="77777777" w:rsidR="00BE4873" w:rsidRDefault="00000000">
            <w:r>
              <w:rPr>
                <w:b/>
                <w:bCs/>
                <w:color w:val="FFFFFF"/>
                <w:sz w:val="19"/>
                <w:szCs w:val="19"/>
              </w:rPr>
              <w:t>Duración</w:t>
            </w:r>
          </w:p>
        </w:tc>
        <w:tc>
          <w:tcPr>
            <w:tcW w:w="4300" w:type="dxa"/>
            <w:shd w:val="clear" w:color="auto" w:fill="1F3864"/>
            <w:tcMar>
              <w:top w:w="80" w:type="dxa"/>
              <w:left w:w="100" w:type="dxa"/>
              <w:bottom w:w="80" w:type="dxa"/>
              <w:right w:w="100" w:type="dxa"/>
            </w:tcMar>
            <w:vAlign w:val="center"/>
          </w:tcPr>
          <w:p w14:paraId="4B7ADC04" w14:textId="77777777" w:rsidR="00BE4873" w:rsidRDefault="00000000">
            <w:r>
              <w:rPr>
                <w:b/>
                <w:bCs/>
                <w:color w:val="FFFFFF"/>
                <w:sz w:val="19"/>
                <w:szCs w:val="19"/>
              </w:rPr>
              <w:t>Valor de negocio entregado</w:t>
            </w:r>
          </w:p>
        </w:tc>
        <w:tc>
          <w:tcPr>
            <w:tcW w:w="1660" w:type="dxa"/>
            <w:shd w:val="clear" w:color="auto" w:fill="1F3864"/>
            <w:tcMar>
              <w:top w:w="80" w:type="dxa"/>
              <w:left w:w="100" w:type="dxa"/>
              <w:bottom w:w="80" w:type="dxa"/>
              <w:right w:w="100" w:type="dxa"/>
            </w:tcMar>
            <w:vAlign w:val="center"/>
          </w:tcPr>
          <w:p w14:paraId="435772B3" w14:textId="77777777" w:rsidR="00BE4873" w:rsidRDefault="00000000">
            <w:r>
              <w:rPr>
                <w:b/>
                <w:bCs/>
                <w:color w:val="FFFFFF"/>
                <w:sz w:val="19"/>
                <w:szCs w:val="19"/>
              </w:rPr>
              <w:t>Paquetes asociados</w:t>
            </w:r>
          </w:p>
        </w:tc>
      </w:tr>
      <w:tr w:rsidR="00BE4873" w14:paraId="08BDAE94" w14:textId="77777777">
        <w:tblPrEx>
          <w:tblCellMar>
            <w:top w:w="0" w:type="dxa"/>
            <w:bottom w:w="0" w:type="dxa"/>
          </w:tblCellMar>
        </w:tblPrEx>
        <w:tc>
          <w:tcPr>
            <w:tcW w:w="2200" w:type="dxa"/>
            <w:tcMar>
              <w:top w:w="80" w:type="dxa"/>
              <w:left w:w="100" w:type="dxa"/>
              <w:bottom w:w="80" w:type="dxa"/>
              <w:right w:w="100" w:type="dxa"/>
            </w:tcMar>
            <w:vAlign w:val="center"/>
          </w:tcPr>
          <w:p w14:paraId="57FADF71" w14:textId="77777777" w:rsidR="00BE4873" w:rsidRDefault="00000000">
            <w:r>
              <w:rPr>
                <w:sz w:val="19"/>
                <w:szCs w:val="19"/>
              </w:rPr>
              <w:t>AT-0 — Fundacional y de gobierno</w:t>
            </w:r>
          </w:p>
        </w:tc>
        <w:tc>
          <w:tcPr>
            <w:tcW w:w="1200" w:type="dxa"/>
            <w:tcMar>
              <w:top w:w="80" w:type="dxa"/>
              <w:left w:w="100" w:type="dxa"/>
              <w:bottom w:w="80" w:type="dxa"/>
              <w:right w:w="100" w:type="dxa"/>
            </w:tcMar>
            <w:vAlign w:val="center"/>
          </w:tcPr>
          <w:p w14:paraId="4E5AD495" w14:textId="77777777" w:rsidR="00BE4873" w:rsidRDefault="00000000">
            <w:r>
              <w:rPr>
                <w:sz w:val="19"/>
                <w:szCs w:val="19"/>
              </w:rPr>
              <w:t>Meses 1–3</w:t>
            </w:r>
          </w:p>
        </w:tc>
        <w:tc>
          <w:tcPr>
            <w:tcW w:w="4300" w:type="dxa"/>
            <w:tcMar>
              <w:top w:w="80" w:type="dxa"/>
              <w:left w:w="100" w:type="dxa"/>
              <w:bottom w:w="80" w:type="dxa"/>
              <w:right w:w="100" w:type="dxa"/>
            </w:tcMar>
            <w:vAlign w:val="center"/>
          </w:tcPr>
          <w:p w14:paraId="0D9A2C80" w14:textId="77777777" w:rsidR="00BE4873" w:rsidRDefault="00000000">
            <w:r>
              <w:rPr>
                <w:sz w:val="19"/>
                <w:szCs w:val="19"/>
              </w:rPr>
              <w:t>Ecosistema institucional clarificado (integraciones pendientes resueltas o formalmente deslindadas); esquema de datos y puntuación estables; infraestructura base desplegada</w:t>
            </w:r>
          </w:p>
        </w:tc>
        <w:tc>
          <w:tcPr>
            <w:tcW w:w="1660" w:type="dxa"/>
            <w:tcMar>
              <w:top w:w="80" w:type="dxa"/>
              <w:left w:w="100" w:type="dxa"/>
              <w:bottom w:w="80" w:type="dxa"/>
              <w:right w:w="100" w:type="dxa"/>
            </w:tcMar>
            <w:vAlign w:val="center"/>
          </w:tcPr>
          <w:p w14:paraId="6EA9F234" w14:textId="77777777" w:rsidR="00BE4873" w:rsidRDefault="00000000">
            <w:r>
              <w:rPr>
                <w:sz w:val="19"/>
                <w:szCs w:val="19"/>
              </w:rPr>
              <w:t>PT-01, PT-02, PT-03 (diseño), PT-05, PT-06, PT-07 (diseño)</w:t>
            </w:r>
          </w:p>
        </w:tc>
      </w:tr>
      <w:tr w:rsidR="00BE4873" w14:paraId="3616534C"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6FDF16A4" w14:textId="77777777" w:rsidR="00BE4873" w:rsidRDefault="00000000">
            <w:r>
              <w:rPr>
                <w:sz w:val="19"/>
                <w:szCs w:val="19"/>
              </w:rPr>
              <w:t>AT-1 — Piloto operativo Lima Este/Centro</w:t>
            </w:r>
          </w:p>
        </w:tc>
        <w:tc>
          <w:tcPr>
            <w:tcW w:w="1200" w:type="dxa"/>
            <w:shd w:val="clear" w:color="auto" w:fill="F2F2F2"/>
            <w:tcMar>
              <w:top w:w="80" w:type="dxa"/>
              <w:left w:w="100" w:type="dxa"/>
              <w:bottom w:w="80" w:type="dxa"/>
              <w:right w:w="100" w:type="dxa"/>
            </w:tcMar>
            <w:vAlign w:val="center"/>
          </w:tcPr>
          <w:p w14:paraId="5C74783A" w14:textId="77777777" w:rsidR="00BE4873" w:rsidRDefault="00000000">
            <w:r>
              <w:rPr>
                <w:sz w:val="19"/>
                <w:szCs w:val="19"/>
              </w:rPr>
              <w:t>Meses 4–9</w:t>
            </w:r>
          </w:p>
        </w:tc>
        <w:tc>
          <w:tcPr>
            <w:tcW w:w="4300" w:type="dxa"/>
            <w:shd w:val="clear" w:color="auto" w:fill="F2F2F2"/>
            <w:tcMar>
              <w:top w:w="80" w:type="dxa"/>
              <w:left w:w="100" w:type="dxa"/>
              <w:bottom w:w="80" w:type="dxa"/>
              <w:right w:w="100" w:type="dxa"/>
            </w:tcMar>
            <w:vAlign w:val="center"/>
          </w:tcPr>
          <w:p w14:paraId="7B354393" w14:textId="77777777" w:rsidR="00BE4873" w:rsidRDefault="00000000">
            <w:r>
              <w:rPr>
                <w:sz w:val="19"/>
                <w:szCs w:val="19"/>
              </w:rPr>
              <w:t>Sistema en producción en los tres distritos piloto; primeros reportes, alertas y medición real del tiempo de respuesta</w:t>
            </w:r>
          </w:p>
        </w:tc>
        <w:tc>
          <w:tcPr>
            <w:tcW w:w="1660" w:type="dxa"/>
            <w:shd w:val="clear" w:color="auto" w:fill="F2F2F2"/>
            <w:tcMar>
              <w:top w:w="80" w:type="dxa"/>
              <w:left w:w="100" w:type="dxa"/>
              <w:bottom w:w="80" w:type="dxa"/>
              <w:right w:w="100" w:type="dxa"/>
            </w:tcMar>
            <w:vAlign w:val="center"/>
          </w:tcPr>
          <w:p w14:paraId="456E5DEE" w14:textId="77777777" w:rsidR="00BE4873" w:rsidRDefault="00000000">
            <w:r>
              <w:rPr>
                <w:sz w:val="19"/>
                <w:szCs w:val="19"/>
              </w:rPr>
              <w:t>PT-03, PT-04, PT-05, PT-07, PT-08 (inicio), PT-09 (inicio)</w:t>
            </w:r>
          </w:p>
        </w:tc>
      </w:tr>
      <w:tr w:rsidR="00BE4873" w14:paraId="0810F9CF" w14:textId="77777777">
        <w:tblPrEx>
          <w:tblCellMar>
            <w:top w:w="0" w:type="dxa"/>
            <w:bottom w:w="0" w:type="dxa"/>
          </w:tblCellMar>
        </w:tblPrEx>
        <w:tc>
          <w:tcPr>
            <w:tcW w:w="2200" w:type="dxa"/>
            <w:tcMar>
              <w:top w:w="80" w:type="dxa"/>
              <w:left w:w="100" w:type="dxa"/>
              <w:bottom w:w="80" w:type="dxa"/>
              <w:right w:w="100" w:type="dxa"/>
            </w:tcMar>
            <w:vAlign w:val="center"/>
          </w:tcPr>
          <w:p w14:paraId="11864A4D" w14:textId="77777777" w:rsidR="00BE4873" w:rsidRDefault="00000000">
            <w:r>
              <w:rPr>
                <w:sz w:val="19"/>
                <w:szCs w:val="19"/>
              </w:rPr>
              <w:t>AT-2 — Despliegue regional</w:t>
            </w:r>
          </w:p>
        </w:tc>
        <w:tc>
          <w:tcPr>
            <w:tcW w:w="1200" w:type="dxa"/>
            <w:tcMar>
              <w:top w:w="80" w:type="dxa"/>
              <w:left w:w="100" w:type="dxa"/>
              <w:bottom w:w="80" w:type="dxa"/>
              <w:right w:w="100" w:type="dxa"/>
            </w:tcMar>
            <w:vAlign w:val="center"/>
          </w:tcPr>
          <w:p w14:paraId="67DD2E95" w14:textId="77777777" w:rsidR="00BE4873" w:rsidRDefault="00000000">
            <w:r>
              <w:rPr>
                <w:sz w:val="19"/>
                <w:szCs w:val="19"/>
              </w:rPr>
              <w:t>Meses 10–18</w:t>
            </w:r>
          </w:p>
        </w:tc>
        <w:tc>
          <w:tcPr>
            <w:tcW w:w="4300" w:type="dxa"/>
            <w:tcMar>
              <w:top w:w="80" w:type="dxa"/>
              <w:left w:w="100" w:type="dxa"/>
              <w:bottom w:w="80" w:type="dxa"/>
              <w:right w:w="100" w:type="dxa"/>
            </w:tcMar>
            <w:vAlign w:val="center"/>
          </w:tcPr>
          <w:p w14:paraId="2B50F654" w14:textId="77777777" w:rsidR="00BE4873" w:rsidRDefault="00000000">
            <w:r>
              <w:rPr>
                <w:sz w:val="19"/>
                <w:szCs w:val="19"/>
              </w:rPr>
              <w:t>Cobertura en 43 distritos; algoritmo de clustering calibrado con datos reales; corredores prioritarios actualizados con datos frescos</w:t>
            </w:r>
          </w:p>
        </w:tc>
        <w:tc>
          <w:tcPr>
            <w:tcW w:w="1660" w:type="dxa"/>
            <w:tcMar>
              <w:top w:w="80" w:type="dxa"/>
              <w:left w:w="100" w:type="dxa"/>
              <w:bottom w:w="80" w:type="dxa"/>
              <w:right w:w="100" w:type="dxa"/>
            </w:tcMar>
            <w:vAlign w:val="center"/>
          </w:tcPr>
          <w:p w14:paraId="5C06B314" w14:textId="77777777" w:rsidR="00BE4873" w:rsidRDefault="00000000">
            <w:r>
              <w:rPr>
                <w:sz w:val="19"/>
                <w:szCs w:val="19"/>
              </w:rPr>
              <w:t>PT-08 (consolidado), PT-09, PT-10</w:t>
            </w:r>
          </w:p>
        </w:tc>
      </w:tr>
      <w:tr w:rsidR="00BE4873" w14:paraId="67ECE6E8"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E4C3120" w14:textId="77777777" w:rsidR="00BE4873" w:rsidRDefault="00000000">
            <w:r>
              <w:rPr>
                <w:sz w:val="19"/>
                <w:szCs w:val="19"/>
              </w:rPr>
              <w:t>AT-3 — Arquitectura objetivo evaluada</w:t>
            </w:r>
          </w:p>
        </w:tc>
        <w:tc>
          <w:tcPr>
            <w:tcW w:w="1200" w:type="dxa"/>
            <w:shd w:val="clear" w:color="auto" w:fill="F2F2F2"/>
            <w:tcMar>
              <w:top w:w="80" w:type="dxa"/>
              <w:left w:w="100" w:type="dxa"/>
              <w:bottom w:w="80" w:type="dxa"/>
              <w:right w:w="100" w:type="dxa"/>
            </w:tcMar>
            <w:vAlign w:val="center"/>
          </w:tcPr>
          <w:p w14:paraId="1C055193" w14:textId="77777777" w:rsidR="00BE4873" w:rsidRDefault="00000000">
            <w:r>
              <w:rPr>
                <w:sz w:val="19"/>
                <w:szCs w:val="19"/>
              </w:rPr>
              <w:t>Meses 19–24</w:t>
            </w:r>
          </w:p>
        </w:tc>
        <w:tc>
          <w:tcPr>
            <w:tcW w:w="4300" w:type="dxa"/>
            <w:shd w:val="clear" w:color="auto" w:fill="F2F2F2"/>
            <w:tcMar>
              <w:top w:w="80" w:type="dxa"/>
              <w:left w:w="100" w:type="dxa"/>
              <w:bottom w:w="80" w:type="dxa"/>
              <w:right w:w="100" w:type="dxa"/>
            </w:tcMar>
            <w:vAlign w:val="center"/>
          </w:tcPr>
          <w:p w14:paraId="131729AE" w14:textId="77777777" w:rsidR="00BE4873" w:rsidRDefault="00000000">
            <w:r>
              <w:rPr>
                <w:sz w:val="19"/>
                <w:szCs w:val="19"/>
              </w:rPr>
              <w:t>Evaluación de resultados y viabilidad de extensión a otras regiones; consolidación de la relación interinstitucional si se activó en AT-0</w:t>
            </w:r>
          </w:p>
        </w:tc>
        <w:tc>
          <w:tcPr>
            <w:tcW w:w="1660" w:type="dxa"/>
            <w:shd w:val="clear" w:color="auto" w:fill="F2F2F2"/>
            <w:tcMar>
              <w:top w:w="80" w:type="dxa"/>
              <w:left w:w="100" w:type="dxa"/>
              <w:bottom w:w="80" w:type="dxa"/>
              <w:right w:w="100" w:type="dxa"/>
            </w:tcMar>
            <w:vAlign w:val="center"/>
          </w:tcPr>
          <w:p w14:paraId="7AA6B14E" w14:textId="77777777" w:rsidR="00BE4873" w:rsidRDefault="00000000">
            <w:r>
              <w:rPr>
                <w:sz w:val="19"/>
                <w:szCs w:val="19"/>
              </w:rPr>
              <w:t>PT-09, PT-10</w:t>
            </w:r>
          </w:p>
        </w:tc>
      </w:tr>
    </w:tbl>
    <w:p w14:paraId="06634FF1" w14:textId="77777777" w:rsidR="00BE4873" w:rsidRDefault="00000000">
      <w:pPr>
        <w:spacing w:after="160"/>
      </w:pPr>
      <w:r>
        <w:rPr>
          <w:i/>
          <w:iCs/>
        </w:rPr>
        <w:t>Regla de tránsito entre arquitecturas: ninguna Arquitectura de Transición puede darse por cerrada si deja abierta una brecha de negocio o gobierno sin al menos una decisión documentada — aunque esa decisión sea un deslinde explícito.</w:t>
      </w:r>
    </w:p>
    <w:p w14:paraId="2AFE751E" w14:textId="77777777" w:rsidR="00BE4873" w:rsidRDefault="00000000">
      <w:pPr>
        <w:pStyle w:val="Ttulo1"/>
      </w:pPr>
      <w:r>
        <w:t>Paso 11 — Crear la Hoja de Ruta de la Arquitectura y el Plan de Implementación y Migración</w:t>
      </w:r>
    </w:p>
    <w:p w14:paraId="7EDFCBF2" w14:textId="77777777" w:rsidR="00BE4873" w:rsidRDefault="00000000">
      <w:pPr>
        <w:pStyle w:val="Ttulo2"/>
        <w:spacing w:before="280" w:after="120"/>
      </w:pPr>
      <w:r>
        <w:t>11.1 Hoja de Ruta consolidada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4200"/>
        <w:gridCol w:w="1960"/>
      </w:tblGrid>
      <w:tr w:rsidR="00BE4873" w14:paraId="2F0DDE99"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vAlign w:val="center"/>
          </w:tcPr>
          <w:p w14:paraId="6AA01120" w14:textId="77777777" w:rsidR="00BE4873" w:rsidRDefault="00000000">
            <w:r>
              <w:rPr>
                <w:b/>
                <w:bCs/>
                <w:color w:val="FFFFFF"/>
                <w:sz w:val="19"/>
                <w:szCs w:val="19"/>
              </w:rPr>
              <w:t>Fase / Arquitectura de Transición</w:t>
            </w:r>
          </w:p>
        </w:tc>
        <w:tc>
          <w:tcPr>
            <w:tcW w:w="1200" w:type="dxa"/>
            <w:shd w:val="clear" w:color="auto" w:fill="1F3864"/>
            <w:tcMar>
              <w:top w:w="80" w:type="dxa"/>
              <w:left w:w="100" w:type="dxa"/>
              <w:bottom w:w="80" w:type="dxa"/>
              <w:right w:w="100" w:type="dxa"/>
            </w:tcMar>
            <w:vAlign w:val="center"/>
          </w:tcPr>
          <w:p w14:paraId="19BDEF8A" w14:textId="77777777" w:rsidR="00BE4873" w:rsidRDefault="00000000">
            <w:r>
              <w:rPr>
                <w:b/>
                <w:bCs/>
                <w:color w:val="FFFFFF"/>
                <w:sz w:val="19"/>
                <w:szCs w:val="19"/>
              </w:rPr>
              <w:t>Periodo</w:t>
            </w:r>
          </w:p>
        </w:tc>
        <w:tc>
          <w:tcPr>
            <w:tcW w:w="4200" w:type="dxa"/>
            <w:shd w:val="clear" w:color="auto" w:fill="1F3864"/>
            <w:tcMar>
              <w:top w:w="80" w:type="dxa"/>
              <w:left w:w="100" w:type="dxa"/>
              <w:bottom w:w="80" w:type="dxa"/>
              <w:right w:w="100" w:type="dxa"/>
            </w:tcMar>
            <w:vAlign w:val="center"/>
          </w:tcPr>
          <w:p w14:paraId="269B3EBA" w14:textId="77777777" w:rsidR="00BE4873" w:rsidRDefault="00000000">
            <w:r>
              <w:rPr>
                <w:b/>
                <w:bCs/>
                <w:color w:val="FFFFFF"/>
                <w:sz w:val="19"/>
                <w:szCs w:val="19"/>
              </w:rPr>
              <w:t>Hitos clave</w:t>
            </w:r>
          </w:p>
        </w:tc>
        <w:tc>
          <w:tcPr>
            <w:tcW w:w="1960" w:type="dxa"/>
            <w:shd w:val="clear" w:color="auto" w:fill="1F3864"/>
            <w:tcMar>
              <w:top w:w="80" w:type="dxa"/>
              <w:left w:w="100" w:type="dxa"/>
              <w:bottom w:w="80" w:type="dxa"/>
              <w:right w:w="100" w:type="dxa"/>
            </w:tcMar>
            <w:vAlign w:val="center"/>
          </w:tcPr>
          <w:p w14:paraId="2CC224E3" w14:textId="77777777" w:rsidR="00BE4873" w:rsidRDefault="00000000">
            <w:r>
              <w:rPr>
                <w:b/>
                <w:bCs/>
                <w:color w:val="FFFFFF"/>
                <w:sz w:val="19"/>
                <w:szCs w:val="19"/>
              </w:rPr>
              <w:t>Riesgos activos a monitorear</w:t>
            </w:r>
          </w:p>
        </w:tc>
      </w:tr>
      <w:tr w:rsidR="00BE4873" w14:paraId="492BD2D2" w14:textId="77777777">
        <w:tblPrEx>
          <w:tblCellMar>
            <w:top w:w="0" w:type="dxa"/>
            <w:bottom w:w="0" w:type="dxa"/>
          </w:tblCellMar>
        </w:tblPrEx>
        <w:tc>
          <w:tcPr>
            <w:tcW w:w="2000" w:type="dxa"/>
            <w:tcMar>
              <w:top w:w="80" w:type="dxa"/>
              <w:left w:w="100" w:type="dxa"/>
              <w:bottom w:w="80" w:type="dxa"/>
              <w:right w:w="100" w:type="dxa"/>
            </w:tcMar>
            <w:vAlign w:val="center"/>
          </w:tcPr>
          <w:p w14:paraId="42216E05" w14:textId="77777777" w:rsidR="00BE4873" w:rsidRDefault="00000000">
            <w:r>
              <w:rPr>
                <w:sz w:val="19"/>
                <w:szCs w:val="19"/>
              </w:rPr>
              <w:t>AT-0 — Fundacional</w:t>
            </w:r>
          </w:p>
        </w:tc>
        <w:tc>
          <w:tcPr>
            <w:tcW w:w="1200" w:type="dxa"/>
            <w:tcMar>
              <w:top w:w="80" w:type="dxa"/>
              <w:left w:w="100" w:type="dxa"/>
              <w:bottom w:w="80" w:type="dxa"/>
              <w:right w:w="100" w:type="dxa"/>
            </w:tcMar>
            <w:vAlign w:val="center"/>
          </w:tcPr>
          <w:p w14:paraId="178698E0" w14:textId="77777777" w:rsidR="00BE4873" w:rsidRDefault="00000000">
            <w:r>
              <w:rPr>
                <w:sz w:val="19"/>
                <w:szCs w:val="19"/>
              </w:rPr>
              <w:t>Meses 1–3</w:t>
            </w:r>
          </w:p>
        </w:tc>
        <w:tc>
          <w:tcPr>
            <w:tcW w:w="4200" w:type="dxa"/>
            <w:tcMar>
              <w:top w:w="80" w:type="dxa"/>
              <w:left w:w="100" w:type="dxa"/>
              <w:bottom w:w="80" w:type="dxa"/>
              <w:right w:w="100" w:type="dxa"/>
            </w:tcMar>
            <w:vAlign w:val="center"/>
          </w:tcPr>
          <w:p w14:paraId="21A381CC" w14:textId="77777777" w:rsidR="00BE4873" w:rsidRDefault="00000000">
            <w:r>
              <w:rPr>
                <w:sz w:val="19"/>
                <w:szCs w:val="19"/>
              </w:rPr>
              <w:t>Decisión documentada sobre integraciones pendientes y botón de pánico; esquema de datos y puntuación congelado; infraestructura híbrida base desplegada; diseño de la integración crítica de despacho completado</w:t>
            </w:r>
          </w:p>
        </w:tc>
        <w:tc>
          <w:tcPr>
            <w:tcW w:w="1960" w:type="dxa"/>
            <w:tcMar>
              <w:top w:w="80" w:type="dxa"/>
              <w:left w:w="100" w:type="dxa"/>
              <w:bottom w:w="80" w:type="dxa"/>
              <w:right w:w="100" w:type="dxa"/>
            </w:tcMar>
            <w:vAlign w:val="center"/>
          </w:tcPr>
          <w:p w14:paraId="18B74056" w14:textId="77777777" w:rsidR="00BE4873" w:rsidRDefault="00000000">
            <w:r>
              <w:rPr>
                <w:sz w:val="19"/>
                <w:szCs w:val="19"/>
              </w:rPr>
              <w:t>Riesgo de gobierno (bloqueo de la fase de Visión)</w:t>
            </w:r>
          </w:p>
        </w:tc>
      </w:tr>
      <w:tr w:rsidR="00BE4873" w14:paraId="40EB464A" w14:textId="77777777">
        <w:tblPrEx>
          <w:tblCellMar>
            <w:top w:w="0" w:type="dxa"/>
            <w:bottom w:w="0" w:type="dxa"/>
          </w:tblCellMar>
        </w:tblPrEx>
        <w:tc>
          <w:tcPr>
            <w:tcW w:w="2000" w:type="dxa"/>
            <w:shd w:val="clear" w:color="auto" w:fill="F2F2F2"/>
            <w:tcMar>
              <w:top w:w="80" w:type="dxa"/>
              <w:left w:w="100" w:type="dxa"/>
              <w:bottom w:w="80" w:type="dxa"/>
              <w:right w:w="100" w:type="dxa"/>
            </w:tcMar>
            <w:vAlign w:val="center"/>
          </w:tcPr>
          <w:p w14:paraId="3143A93E" w14:textId="77777777" w:rsidR="00BE4873" w:rsidRDefault="00000000">
            <w:r>
              <w:rPr>
                <w:sz w:val="19"/>
                <w:szCs w:val="19"/>
              </w:rPr>
              <w:lastRenderedPageBreak/>
              <w:t>AT-1 — Piloto Lima</w:t>
            </w:r>
          </w:p>
        </w:tc>
        <w:tc>
          <w:tcPr>
            <w:tcW w:w="1200" w:type="dxa"/>
            <w:shd w:val="clear" w:color="auto" w:fill="F2F2F2"/>
            <w:tcMar>
              <w:top w:w="80" w:type="dxa"/>
              <w:left w:w="100" w:type="dxa"/>
              <w:bottom w:w="80" w:type="dxa"/>
              <w:right w:w="100" w:type="dxa"/>
            </w:tcMar>
            <w:vAlign w:val="center"/>
          </w:tcPr>
          <w:p w14:paraId="0BC07908" w14:textId="77777777" w:rsidR="00BE4873" w:rsidRDefault="00000000">
            <w:r>
              <w:rPr>
                <w:sz w:val="19"/>
                <w:szCs w:val="19"/>
              </w:rPr>
              <w:t>Meses 4–9</w:t>
            </w:r>
          </w:p>
        </w:tc>
        <w:tc>
          <w:tcPr>
            <w:tcW w:w="4200" w:type="dxa"/>
            <w:shd w:val="clear" w:color="auto" w:fill="F2F2F2"/>
            <w:tcMar>
              <w:top w:w="80" w:type="dxa"/>
              <w:left w:w="100" w:type="dxa"/>
              <w:bottom w:w="80" w:type="dxa"/>
              <w:right w:w="100" w:type="dxa"/>
            </w:tcMar>
            <w:vAlign w:val="center"/>
          </w:tcPr>
          <w:p w14:paraId="71EFE2A6" w14:textId="77777777" w:rsidR="00BE4873" w:rsidRDefault="00000000">
            <w:r>
              <w:rPr>
                <w:sz w:val="19"/>
                <w:szCs w:val="19"/>
              </w:rPr>
              <w:t>Puesta en marcha en los tres distritos piloto; primer ciclo de medición de KPIs; integración crítica de despacho operativa con tiempo de respuesta real</w:t>
            </w:r>
          </w:p>
        </w:tc>
        <w:tc>
          <w:tcPr>
            <w:tcW w:w="1960" w:type="dxa"/>
            <w:shd w:val="clear" w:color="auto" w:fill="F2F2F2"/>
            <w:tcMar>
              <w:top w:w="80" w:type="dxa"/>
              <w:left w:w="100" w:type="dxa"/>
              <w:bottom w:w="80" w:type="dxa"/>
              <w:right w:w="100" w:type="dxa"/>
            </w:tcMar>
            <w:vAlign w:val="center"/>
          </w:tcPr>
          <w:p w14:paraId="1AD6E3BB" w14:textId="77777777" w:rsidR="00BE4873" w:rsidRDefault="00000000">
            <w:r>
              <w:rPr>
                <w:sz w:val="19"/>
                <w:szCs w:val="19"/>
              </w:rPr>
              <w:t>RIE-A (despacho real vs. alertas)</w:t>
            </w:r>
          </w:p>
        </w:tc>
      </w:tr>
      <w:tr w:rsidR="00BE4873" w14:paraId="53A732F7" w14:textId="77777777">
        <w:tblPrEx>
          <w:tblCellMar>
            <w:top w:w="0" w:type="dxa"/>
            <w:bottom w:w="0" w:type="dxa"/>
          </w:tblCellMar>
        </w:tblPrEx>
        <w:tc>
          <w:tcPr>
            <w:tcW w:w="2000" w:type="dxa"/>
            <w:tcMar>
              <w:top w:w="80" w:type="dxa"/>
              <w:left w:w="100" w:type="dxa"/>
              <w:bottom w:w="80" w:type="dxa"/>
              <w:right w:w="100" w:type="dxa"/>
            </w:tcMar>
            <w:vAlign w:val="center"/>
          </w:tcPr>
          <w:p w14:paraId="1CF4580E" w14:textId="77777777" w:rsidR="00BE4873" w:rsidRDefault="00000000">
            <w:r>
              <w:rPr>
                <w:sz w:val="19"/>
                <w:szCs w:val="19"/>
              </w:rPr>
              <w:t>AT-2 — Despliegue Regional</w:t>
            </w:r>
          </w:p>
        </w:tc>
        <w:tc>
          <w:tcPr>
            <w:tcW w:w="1200" w:type="dxa"/>
            <w:tcMar>
              <w:top w:w="80" w:type="dxa"/>
              <w:left w:w="100" w:type="dxa"/>
              <w:bottom w:w="80" w:type="dxa"/>
              <w:right w:w="100" w:type="dxa"/>
            </w:tcMar>
            <w:vAlign w:val="center"/>
          </w:tcPr>
          <w:p w14:paraId="64E2DC63" w14:textId="77777777" w:rsidR="00BE4873" w:rsidRDefault="00000000">
            <w:r>
              <w:rPr>
                <w:sz w:val="19"/>
                <w:szCs w:val="19"/>
              </w:rPr>
              <w:t>Meses 10–18</w:t>
            </w:r>
          </w:p>
        </w:tc>
        <w:tc>
          <w:tcPr>
            <w:tcW w:w="4200" w:type="dxa"/>
            <w:tcMar>
              <w:top w:w="80" w:type="dxa"/>
              <w:left w:w="100" w:type="dxa"/>
              <w:bottom w:w="80" w:type="dxa"/>
              <w:right w:w="100" w:type="dxa"/>
            </w:tcMar>
            <w:vAlign w:val="center"/>
          </w:tcPr>
          <w:p w14:paraId="6E2DB0DB" w14:textId="77777777" w:rsidR="00BE4873" w:rsidRDefault="00000000">
            <w:r>
              <w:rPr>
                <w:sz w:val="19"/>
                <w:szCs w:val="19"/>
              </w:rPr>
              <w:t>Calibración del algoritmo de clustering con datos del piloto; extensión a 43 distritos; primer ciclo de revisión de clústeres resueltos vs. emergentes</w:t>
            </w:r>
          </w:p>
        </w:tc>
        <w:tc>
          <w:tcPr>
            <w:tcW w:w="1960" w:type="dxa"/>
            <w:tcMar>
              <w:top w:w="80" w:type="dxa"/>
              <w:left w:w="100" w:type="dxa"/>
              <w:bottom w:w="80" w:type="dxa"/>
              <w:right w:w="100" w:type="dxa"/>
            </w:tcMar>
            <w:vAlign w:val="center"/>
          </w:tcPr>
          <w:p w14:paraId="69E6BB2A" w14:textId="77777777" w:rsidR="00BE4873" w:rsidRDefault="00000000">
            <w:r>
              <w:rPr>
                <w:sz w:val="19"/>
                <w:szCs w:val="19"/>
              </w:rPr>
              <w:t>RIE-B (retroalimentación tipo predictive policing)</w:t>
            </w:r>
          </w:p>
        </w:tc>
      </w:tr>
      <w:tr w:rsidR="00BE4873" w14:paraId="085D999B" w14:textId="77777777">
        <w:tblPrEx>
          <w:tblCellMar>
            <w:top w:w="0" w:type="dxa"/>
            <w:bottom w:w="0" w:type="dxa"/>
          </w:tblCellMar>
        </w:tblPrEx>
        <w:tc>
          <w:tcPr>
            <w:tcW w:w="2000" w:type="dxa"/>
            <w:shd w:val="clear" w:color="auto" w:fill="F2F2F2"/>
            <w:tcMar>
              <w:top w:w="80" w:type="dxa"/>
              <w:left w:w="100" w:type="dxa"/>
              <w:bottom w:w="80" w:type="dxa"/>
              <w:right w:w="100" w:type="dxa"/>
            </w:tcMar>
            <w:vAlign w:val="center"/>
          </w:tcPr>
          <w:p w14:paraId="505B1F79" w14:textId="77777777" w:rsidR="00BE4873" w:rsidRDefault="00000000">
            <w:r>
              <w:rPr>
                <w:sz w:val="19"/>
                <w:szCs w:val="19"/>
              </w:rPr>
              <w:t>AT-3 — Evaluación Nacional</w:t>
            </w:r>
          </w:p>
        </w:tc>
        <w:tc>
          <w:tcPr>
            <w:tcW w:w="1200" w:type="dxa"/>
            <w:shd w:val="clear" w:color="auto" w:fill="F2F2F2"/>
            <w:tcMar>
              <w:top w:w="80" w:type="dxa"/>
              <w:left w:w="100" w:type="dxa"/>
              <w:bottom w:w="80" w:type="dxa"/>
              <w:right w:w="100" w:type="dxa"/>
            </w:tcMar>
            <w:vAlign w:val="center"/>
          </w:tcPr>
          <w:p w14:paraId="52D33475" w14:textId="77777777" w:rsidR="00BE4873" w:rsidRDefault="00000000">
            <w:r>
              <w:rPr>
                <w:sz w:val="19"/>
                <w:szCs w:val="19"/>
              </w:rPr>
              <w:t>Meses 19–24</w:t>
            </w:r>
          </w:p>
        </w:tc>
        <w:tc>
          <w:tcPr>
            <w:tcW w:w="4200" w:type="dxa"/>
            <w:shd w:val="clear" w:color="auto" w:fill="F2F2F2"/>
            <w:tcMar>
              <w:top w:w="80" w:type="dxa"/>
              <w:left w:w="100" w:type="dxa"/>
              <w:bottom w:w="80" w:type="dxa"/>
              <w:right w:w="100" w:type="dxa"/>
            </w:tcMar>
            <w:vAlign w:val="center"/>
          </w:tcPr>
          <w:p w14:paraId="0B903BA2" w14:textId="77777777" w:rsidR="00BE4873" w:rsidRDefault="00000000">
            <w:r>
              <w:rPr>
                <w:sz w:val="19"/>
                <w:szCs w:val="19"/>
              </w:rPr>
              <w:t>Evaluación de KPIs consolidados de 24 meses; recomendación sobre extensión a otras regiones; revisión final de consistencia del modelo</w:t>
            </w:r>
          </w:p>
        </w:tc>
        <w:tc>
          <w:tcPr>
            <w:tcW w:w="1960" w:type="dxa"/>
            <w:shd w:val="clear" w:color="auto" w:fill="F2F2F2"/>
            <w:tcMar>
              <w:top w:w="80" w:type="dxa"/>
              <w:left w:w="100" w:type="dxa"/>
              <w:bottom w:w="80" w:type="dxa"/>
              <w:right w:w="100" w:type="dxa"/>
            </w:tcMar>
            <w:vAlign w:val="center"/>
          </w:tcPr>
          <w:p w14:paraId="374C6223" w14:textId="77777777" w:rsidR="00BE4873" w:rsidRDefault="00000000">
            <w:r>
              <w:rPr>
                <w:sz w:val="19"/>
                <w:szCs w:val="19"/>
              </w:rPr>
              <w:t>Todos los riesgos vigentes, revisión de cierre</w:t>
            </w:r>
          </w:p>
        </w:tc>
      </w:tr>
    </w:tbl>
    <w:p w14:paraId="09DA8E54" w14:textId="77777777" w:rsidR="00BE4873" w:rsidRDefault="00000000">
      <w:pPr>
        <w:pStyle w:val="Ttulo2"/>
        <w:spacing w:before="280" w:after="120"/>
      </w:pPr>
      <w:r>
        <w:t>11.2 Plan de Implementación y Migración — resumen ejecutivo</w:t>
      </w:r>
    </w:p>
    <w:p w14:paraId="2092D6C7" w14:textId="77777777" w:rsidR="00BE4873" w:rsidRDefault="00000000">
      <w:pPr>
        <w:pStyle w:val="Prrafodelista"/>
        <w:numPr>
          <w:ilvl w:val="0"/>
          <w:numId w:val="1"/>
        </w:numPr>
        <w:spacing w:after="80"/>
      </w:pPr>
      <w:r>
        <w:t>Estrategia: incremental por geografía y por gobierno, en coexistencia con los sistemas institucionales ya vigentes, sin reemplazo de ninguno.</w:t>
      </w:r>
    </w:p>
    <w:p w14:paraId="3C4654DA" w14:textId="77777777" w:rsidR="00BE4873" w:rsidRDefault="00000000">
      <w:pPr>
        <w:pStyle w:val="Prrafodelista"/>
        <w:numPr>
          <w:ilvl w:val="0"/>
          <w:numId w:val="1"/>
        </w:numPr>
        <w:spacing w:after="80"/>
      </w:pPr>
      <w:r>
        <w:t>Condición de entrada a la Fase 1: las decisiones de posicionamiento institucional deben estar documentadas — como integración autorizada o como deslinde explícito — antes de aprobar el paso de AT-0 a AT-1.</w:t>
      </w:r>
    </w:p>
    <w:p w14:paraId="713210C0" w14:textId="77777777" w:rsidR="00BE4873" w:rsidRDefault="00000000">
      <w:pPr>
        <w:pStyle w:val="Prrafodelista"/>
        <w:numPr>
          <w:ilvl w:val="0"/>
          <w:numId w:val="1"/>
        </w:numPr>
        <w:spacing w:after="80"/>
      </w:pPr>
      <w:r>
        <w:t>Condición de entrada a la Fase 2: parámetros del algoritmo de clustering calibrados con datos reales del piloto, no solo con valores teóricos de diseño.</w:t>
      </w:r>
    </w:p>
    <w:p w14:paraId="28B9829F" w14:textId="77777777" w:rsidR="00BE4873" w:rsidRDefault="00000000">
      <w:pPr>
        <w:pStyle w:val="Prrafodelista"/>
        <w:numPr>
          <w:ilvl w:val="0"/>
          <w:numId w:val="1"/>
        </w:numPr>
        <w:spacing w:after="80"/>
      </w:pPr>
      <w:r>
        <w:t>Condición de entrada a la Fase 3: al menos dos ciclos de revisión del riesgo de retroalimentación completados sin evidencia de refuerzo artificial de clústeres.</w:t>
      </w:r>
    </w:p>
    <w:p w14:paraId="6FD4E4C0" w14:textId="77777777" w:rsidR="00BE4873" w:rsidRDefault="00000000">
      <w:pPr>
        <w:pStyle w:val="Prrafodelista"/>
        <w:numPr>
          <w:ilvl w:val="0"/>
          <w:numId w:val="1"/>
        </w:numPr>
        <w:spacing w:after="80"/>
      </w:pPr>
      <w:r>
        <w:t>Punto de control transversal: en cada tránsito entre Arquitecturas de Transición, el responsable de gobierno valida la consistencia del modelo antes de dar por cerrada la fase.</w:t>
      </w:r>
    </w:p>
    <w:p w14:paraId="55589588" w14:textId="77777777" w:rsidR="00BE4873" w:rsidRDefault="00000000">
      <w:pPr>
        <w:pStyle w:val="Ttulo2"/>
        <w:spacing w:before="280" w:after="120"/>
      </w:pPr>
      <w:r>
        <w:t>11.3 Advertencia de alcance</w:t>
      </w:r>
    </w:p>
    <w:p w14:paraId="426D5EF1" w14:textId="77777777" w:rsidR="00BE4873" w:rsidRDefault="00000000">
      <w:pPr>
        <w:spacing w:after="160"/>
      </w:pPr>
      <w:r>
        <w:t>Este documento desarrolla la Fase E (Oportunidades y Soluciones / Hoja de Ruta) con base en la documentación de negocio, datos, tecnología, riesgos y plan de fases disponible para el equipo de arquitectura. Para el cierre formal se recomienda: (1) mantener actualizado y completo el registro de riesgos del proyecto antes de considerar el catálogo definitivo, y (2) realizar una revisión cruzada humana final, dado que este es un artefacto de arquitectura de alcance amplio.</w:t>
      </w:r>
    </w:p>
    <w:sectPr w:rsidR="00BE487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D4CDA"/>
    <w:multiLevelType w:val="hybridMultilevel"/>
    <w:tmpl w:val="FFBEC6D6"/>
    <w:lvl w:ilvl="0" w:tplc="ABE4EE4E">
      <w:start w:val="1"/>
      <w:numFmt w:val="bullet"/>
      <w:lvlText w:val="●"/>
      <w:lvlJc w:val="left"/>
      <w:pPr>
        <w:ind w:left="720" w:hanging="360"/>
      </w:pPr>
    </w:lvl>
    <w:lvl w:ilvl="1" w:tplc="C34828C4">
      <w:start w:val="1"/>
      <w:numFmt w:val="bullet"/>
      <w:lvlText w:val="○"/>
      <w:lvlJc w:val="left"/>
      <w:pPr>
        <w:ind w:left="1440" w:hanging="360"/>
      </w:pPr>
    </w:lvl>
    <w:lvl w:ilvl="2" w:tplc="45C03E3E">
      <w:start w:val="1"/>
      <w:numFmt w:val="bullet"/>
      <w:lvlText w:val="■"/>
      <w:lvlJc w:val="left"/>
      <w:pPr>
        <w:ind w:left="2160" w:hanging="360"/>
      </w:pPr>
    </w:lvl>
    <w:lvl w:ilvl="3" w:tplc="4B9854CA">
      <w:start w:val="1"/>
      <w:numFmt w:val="bullet"/>
      <w:lvlText w:val="●"/>
      <w:lvlJc w:val="left"/>
      <w:pPr>
        <w:ind w:left="2880" w:hanging="360"/>
      </w:pPr>
    </w:lvl>
    <w:lvl w:ilvl="4" w:tplc="2D92972A">
      <w:start w:val="1"/>
      <w:numFmt w:val="bullet"/>
      <w:lvlText w:val="○"/>
      <w:lvlJc w:val="left"/>
      <w:pPr>
        <w:ind w:left="3600" w:hanging="360"/>
      </w:pPr>
    </w:lvl>
    <w:lvl w:ilvl="5" w:tplc="CCA2F81E">
      <w:start w:val="1"/>
      <w:numFmt w:val="bullet"/>
      <w:lvlText w:val="■"/>
      <w:lvlJc w:val="left"/>
      <w:pPr>
        <w:ind w:left="4320" w:hanging="360"/>
      </w:pPr>
    </w:lvl>
    <w:lvl w:ilvl="6" w:tplc="3224D77C">
      <w:start w:val="1"/>
      <w:numFmt w:val="bullet"/>
      <w:lvlText w:val="●"/>
      <w:lvlJc w:val="left"/>
      <w:pPr>
        <w:ind w:left="5040" w:hanging="360"/>
      </w:pPr>
    </w:lvl>
    <w:lvl w:ilvl="7" w:tplc="4CFE4582">
      <w:start w:val="1"/>
      <w:numFmt w:val="bullet"/>
      <w:lvlText w:val="●"/>
      <w:lvlJc w:val="left"/>
      <w:pPr>
        <w:ind w:left="5760" w:hanging="360"/>
      </w:pPr>
    </w:lvl>
    <w:lvl w:ilvl="8" w:tplc="0F82355E">
      <w:start w:val="1"/>
      <w:numFmt w:val="bullet"/>
      <w:lvlText w:val="●"/>
      <w:lvlJc w:val="left"/>
      <w:pPr>
        <w:ind w:left="6480" w:hanging="360"/>
      </w:pPr>
    </w:lvl>
  </w:abstractNum>
  <w:num w:numId="1" w16cid:durableId="19327336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873"/>
    <w:rsid w:val="009B02F2"/>
    <w:rsid w:val="00BE4873"/>
    <w:rsid w:val="00E7629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B2049"/>
  <w15:docId w15:val="{DC989DED-2DD2-419C-B856-7D02138A5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4" w:color="1F3864"/>
      </w:pBdr>
      <w:spacing w:before="360" w:after="160"/>
      <w:outlineLvl w:val="0"/>
    </w:pPr>
    <w:rPr>
      <w:b/>
      <w:bCs/>
      <w:color w:val="1F3864"/>
      <w:sz w:val="28"/>
      <w:szCs w:val="28"/>
    </w:rPr>
  </w:style>
  <w:style w:type="paragraph" w:styleId="Ttulo2">
    <w:name w:val="heading 2"/>
    <w:uiPriority w:val="9"/>
    <w:unhideWhenUsed/>
    <w:qFormat/>
    <w:pPr>
      <w:outlineLvl w:val="1"/>
    </w:pPr>
    <w:rPr>
      <w:b/>
      <w:bCs/>
      <w:color w:val="1F3864"/>
      <w:sz w:val="23"/>
      <w:szCs w:val="23"/>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3228</Words>
  <Characters>17757</Characters>
  <Application>Microsoft Office Word</Application>
  <DocSecurity>0</DocSecurity>
  <Lines>147</Lines>
  <Paragraphs>41</Paragraphs>
  <ScaleCrop>false</ScaleCrop>
  <Company/>
  <LinksUpToDate>false</LinksUpToDate>
  <CharactersWithSpaces>20944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Quispe</cp:lastModifiedBy>
  <cp:revision>2</cp:revision>
  <dcterms:created xsi:type="dcterms:W3CDTF">2026-07-03T22:26:00Z</dcterms:created>
  <dcterms:modified xsi:type="dcterms:W3CDTF">2026-07-03T22:34:00Z</dcterms:modified>
</cp:coreProperties>
</file>