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45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brete_ctos_ext_trans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536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81"/>
            <w:shd w:val="clear" w:color="auto" w:fill="D9E2F3"/>
          </w:tcPr>
          <w:p>
            <w:r>
              <w:rPr>
                <w:sz w:val="18"/>
              </w:rPr>
              <w:t>Artefacto: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TOGAF Fase H — Plan de Gestión del Cambio Arquitectónico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sz w:val="18"/>
              </w:rPr>
              <w:t>Sistema: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CTOS-EXT-TRANSP v5.0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sz w:val="18"/>
              </w:rPr>
              <w:t>Fuentes: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Módulo 0, Módulo D (Visión), Módulo L (Plan de Implementación), Módulo M (Riesgos)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sz w:val="18"/>
              </w:rPr>
              <w:t>Clasificación: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RESERVADO — Uso interno PNP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sz w:val="18"/>
              </w:rPr>
              <w:t>Fecha de generación: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03/07/2026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sz w:val="18"/>
              </w:rPr>
              <w:t>Supuestos asumidos: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Se asume que la Fase 0 (Arquitectura y Diseño) ya resolvió la decisión pendiente sobre INT-07/INT-08 (Observatorio del Crimen / Asyste, ver Módulo ANT) antes de operar este plan; si no está resuelta, el Comité de Cambio debe tratarla como detonante de re-arquitectura, no como cambio incremental.</w:t>
            </w:r>
          </w:p>
        </w:tc>
      </w:tr>
    </w:tbl>
    <w:p/>
    <w:p>
      <w:pPr>
        <w:pBdr>
          <w:bottom w:val="single" w:sz="6" w:space="1" w:color="1B3A5C"/>
        </w:pBdr>
      </w:pPr>
    </w:p>
    <w:p/>
    <w:p>
      <w:pPr>
        <w:jc w:val="center"/>
      </w:pPr>
      <w:r>
        <w:rPr>
          <w:b/>
          <w:color w:val="1B3A5C"/>
          <w:sz w:val="40"/>
        </w:rPr>
        <w:t>PLAN DE GESTIÓN DEL CAMBIO ARQUITECTÓNICO</w:t>
      </w:r>
    </w:p>
    <w:p>
      <w:pPr>
        <w:jc w:val="center"/>
      </w:pPr>
      <w:r>
        <w:rPr>
          <w:color w:val="555555"/>
          <w:sz w:val="26"/>
        </w:rPr>
        <w:t>TOGAF 9.2 ADM — Fase H: Gestión del Cambio de Arquitectura</w:t>
      </w:r>
    </w:p>
    <w:p>
      <w:pPr>
        <w:jc w:val="center"/>
      </w:pPr>
      <w:r>
        <w:rPr>
          <w:i/>
          <w:sz w:val="22"/>
        </w:rPr>
        <w:t>Sistema CTOS-EXT-TRANSP v5.0 — Módulo Táctico contra Extorsión al Sector Transporte, PNP</w:t>
      </w:r>
    </w:p>
    <w:p/>
    <w:p>
      <w:pPr>
        <w:pStyle w:val="Heading3"/>
      </w:pPr>
      <w: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1881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1881"/>
          </w:tcPr>
          <w:p>
            <w:r>
              <w:rPr>
                <w:b/>
              </w:rPr>
              <w:t>Autor / Responsable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Fase ADM</w:t>
            </w:r>
          </w:p>
        </w:tc>
        <w:tc>
          <w:tcPr>
            <w:tcW w:type="dxa" w:w="1881"/>
          </w:tcPr>
          <w:p>
            <w:r>
              <w:rPr>
                <w:b/>
              </w:rPr>
              <w:t>Descripción del cambio</w:t>
            </w:r>
          </w:p>
        </w:tc>
      </w:tr>
      <w:tr>
        <w:tc>
          <w:tcPr>
            <w:tcW w:type="dxa" w:w="1881"/>
          </w:tcPr>
          <w:p>
            <w:r>
              <w:t>1.0</w:t>
            </w:r>
          </w:p>
        </w:tc>
        <w:tc>
          <w:tcPr>
            <w:tcW w:type="dxa" w:w="1881"/>
          </w:tcPr>
          <w:p>
            <w:r>
              <w:t>03/07/2026</w:t>
            </w:r>
          </w:p>
        </w:tc>
        <w:tc>
          <w:tcPr>
            <w:tcW w:type="dxa" w:w="1881"/>
          </w:tcPr>
          <w:p>
            <w:r>
              <w:t>Persona 7 — Fase H (Gestión del Cambio)</w:t>
            </w:r>
          </w:p>
        </w:tc>
        <w:tc>
          <w:tcPr>
            <w:tcW w:type="dxa" w:w="1881"/>
          </w:tcPr>
          <w:p>
            <w:r>
              <w:t>Fase H</w:t>
            </w:r>
          </w:p>
        </w:tc>
        <w:tc>
          <w:tcPr>
            <w:tcW w:type="dxa" w:w="1881"/>
          </w:tcPr>
          <w:p>
            <w:r>
              <w:t>Versión inicial del Plan de Gestión del Cambio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3A5C"/>
        </w:rPr>
        <w:t>1. Introducción y Propósito</w:t>
      </w:r>
    </w:p>
    <w:p>
      <w:r>
        <w:t>Este documento define el Plan de Gestión del Cambio Arquitectónico para CTOS-EXT-TRANSP v5.0, correspondiente a la Fase H del ciclo ADM de TOGAF 9.2. Su objetivo es establecer cómo se detectan, clasifican, evalúan, aprueban e implementan los cambios sobre la arquitectura aprobada en las fases A–G, garantizando que la evolución del sistema no comprometa las decisiones ya cerradas (✔) ni las restricciones legales absolutas del Módulo C (privacidad, anonimato estructural, prohibición de Blockchain KSI).</w:t>
      </w:r>
    </w:p>
    <w:p>
      <w:r>
        <w:t>Este plan complementa — sin sustituir — al Módulo L (Plan de Implementación) y al Módulo M (Gestión de Riesgos) del Prompt Maestro: mientras L define el despliegue por fases y M identifica los riesgos, este Plan de Fase H define el mecanismo permanente que opera *después* del despliegue, durante la vida operativa del sistema.</w:t>
      </w:r>
    </w:p>
    <w:p>
      <w:pPr>
        <w:pStyle w:val="Heading1"/>
      </w:pPr>
      <w:r>
        <w:rPr>
          <w:color w:val="1B3A5C"/>
        </w:rPr>
        <w:t>2. Alcance de la Gestión del Cambio</w:t>
      </w:r>
    </w:p>
    <w:p>
      <w:r>
        <w:t>El alcance cubre los cuatro dominios de arquitectura del sistema (Negocio, Datos, Aplicaciones, Tecnología) durante su operación en Lima Metropolitana, desde el cierre del Piloto (Fase 1: SJL, Ate, El Agustino) hasta la evaluación nacional (Fase 3), conforme al Módulo 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402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Fase de despliegue (Módulo L)</w:t>
            </w:r>
          </w:p>
        </w:tc>
        <w:tc>
          <w:tcPr>
            <w:tcW w:type="dxa" w:w="1701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4535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Relación con este Plan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Fase 0 — Arquitectura y Diseño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Meses 1–3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Cambios aquí se tratan como parte del diseño original, no como Solicitud de Cambio formal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Fase 1 — Piloto Lima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Meses 4–9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Primer punto de aplicación real de este Plan; calibración de DBSCAN (J.5) es fuente esperada de cambios incrementales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Fase 2 — Despliegue Regional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Meses 10–18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Cambios de escalamiento (43 distritos); mayor probabilidad de detonantes de capacidad/rendimiento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Fase 3 — Evaluación Nacional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Meses 19–24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Evaluación formal que puede generar una nueva iteración completa del ciclo ADM</w:t>
            </w:r>
          </w:p>
        </w:tc>
      </w:tr>
    </w:tbl>
    <w:p/>
    <w:p>
      <w:pPr>
        <w:pStyle w:val="Heading1"/>
      </w:pPr>
      <w:r>
        <w:rPr>
          <w:color w:val="1B3A5C"/>
        </w:rPr>
        <w:t>3. Tipos de Cambio Arquitectónico</w:t>
      </w:r>
    </w:p>
    <w:p>
      <w:r>
        <w:t>Conforme a la clasificación estándar de TOGAF 9.2 para la Fase H, todo cambio detectado se clasifica en una de tres categorías antes de decidir su tratamiento: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Tipo de cambio</w:t>
            </w:r>
          </w:p>
        </w:tc>
        <w:tc>
          <w:tcPr>
            <w:tcW w:type="dxa" w:w="3685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Definición</w:t>
            </w:r>
          </w:p>
        </w:tc>
        <w:tc>
          <w:tcPr>
            <w:tcW w:type="dxa" w:w="3969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Ejemplo en CTOS-EXT-TRANSP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Cambio de simplificación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Ajuste menor que no altera principios ni componentes de la arquitectura aprobada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Ajustar el umbral de PENALIZACIÓN GPS impreciso (Módulo F) sin tocar la fórmula SCORE_FINAL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Cambio incremental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Modificación dentro del alcance de la Visión y Objetivos ya aprobados (Módulo D), sin nueva iteración completa del ADM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Recalibrar el radio épsilon de DBSCAN (J.5) tras datos reales del Piloto Lima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Re-arquitectura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Cambio que excede la Visión aprobada y obliga a reabrir fases previas del ADM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Integrar CTOS-EXT-TRANSP como herramienta técnica formal del Observatorio del Crimen (INT-07, aún pendiente de decisión — ver Módulo ANT/K)</w:t>
            </w:r>
          </w:p>
        </w:tc>
      </w:tr>
    </w:tbl>
    <w:p/>
    <w:p>
      <w:pPr>
        <w:pStyle w:val="Heading1"/>
      </w:pPr>
      <w:r>
        <w:rPr>
          <w:color w:val="1B3A5C"/>
        </w:rPr>
        <w:t>4. Detonantes de Cambio (Change Triggers)</w:t>
      </w:r>
    </w:p>
    <w:p>
      <w:r>
        <w:t>Los detonantes se agrupan en tres fuentes, alineadas con el Módulo M (Riesgos) y el Módulo D (Objetivos/KPIs):</w:t>
      </w:r>
    </w:p>
    <w:p>
      <w:pPr>
        <w:pStyle w:val="Heading2"/>
      </w:pPr>
      <w:r>
        <w:rPr>
          <w:color w:val="1B3A5C"/>
        </w:rPr>
        <w:t>4.1 Detonantes de desempeño (KPIs de Módulo D)</w:t>
      </w:r>
    </w:p>
    <w:p>
      <w:pPr>
        <w:pStyle w:val="ListBullet"/>
      </w:pPr>
      <w:r>
        <w:t>TRI (Tiempo de Respuesta ante Incidente) no mejora tras 2 meses de operación — activa RIE-ANT-01.</w:t>
      </w:r>
    </w:p>
    <w:p>
      <w:pPr>
        <w:pStyle w:val="ListBullet"/>
      </w:pPr>
      <w:r>
        <w:t>Persistencia artificial de Clústeres sin correlato en extorsión real (efecto retroalimentación tipo predictive policing) — activa RIE-ANT-02.</w:t>
      </w:r>
    </w:p>
    <w:p>
      <w:pPr>
        <w:pStyle w:val="ListBullet"/>
      </w:pPr>
      <w:r>
        <w:t>Cualquier OBJ-01 a OBJ-09 (Módulo D) que se desvíe de su meta durante dos ciclos de reporte ejecutivo consecutivos (PN-11).</w:t>
      </w:r>
    </w:p>
    <w:p>
      <w:pPr>
        <w:pStyle w:val="Heading2"/>
      </w:pPr>
      <w:r>
        <w:rPr>
          <w:color w:val="1B3A5C"/>
        </w:rPr>
        <w:t>4.2 Detonantes tecnológicos (Módulo J)</w:t>
      </w:r>
    </w:p>
    <w:p>
      <w:pPr>
        <w:pStyle w:val="ListBullet"/>
      </w:pPr>
      <w:r>
        <w:t>Fin de soporte o vulnerabilidad crítica en el stack (React Native, FastAPI, PostgreSQL+PostGIS, Kafka, K8s).</w:t>
      </w:r>
    </w:p>
    <w:p>
      <w:pPr>
        <w:pStyle w:val="ListBullet"/>
      </w:pPr>
      <w:r>
        <w:t>Necesidad de escalamiento de infraestructura al pasar de Fase 1 (3 distritos) a Fase 2 (43 distritos).</w:t>
      </w:r>
    </w:p>
    <w:p>
      <w:pPr>
        <w:pStyle w:val="Heading2"/>
      </w:pPr>
      <w:r>
        <w:rPr>
          <w:color w:val="1B3A5C"/>
        </w:rPr>
        <w:t>4.3 Detonantes normativos y de contexto (Módulo ANT / C)</w:t>
      </w:r>
    </w:p>
    <w:p>
      <w:pPr>
        <w:pStyle w:val="ListBullet"/>
      </w:pPr>
      <w:r>
        <w:t>Cambios en la Ley N.° 32490 o su reglamento (DS N.° 009-2026-PCM).</w:t>
      </w:r>
    </w:p>
    <w:p>
      <w:pPr>
        <w:pStyle w:val="ListBullet"/>
      </w:pPr>
      <w:r>
        <w:t>Decisión pendiente sobre integración con el Observatorio del Crimen PNP (INT-07) o el Programa Asyste (INT-08).</w:t>
      </w:r>
    </w:p>
    <w:p>
      <w:pPr>
        <w:pStyle w:val="ListBullet"/>
      </w:pPr>
      <w:r>
        <w:t>Nueva jurisprudencia o disposición de la Autoridad Nacional de Protección de Datos Personales que afecte el Módulo C.</w:t>
      </w:r>
    </w:p>
    <w:p>
      <w:pPr>
        <w:pStyle w:val="Heading1"/>
      </w:pPr>
      <w:r>
        <w:rPr>
          <w:color w:val="1B3A5C"/>
        </w:rPr>
        <w:t>5. Proceso de Gestión del Cambio</w:t>
      </w:r>
    </w:p>
    <w:p>
      <w:r>
        <w:t>El proceso opera en seis pasos secuenciales:</w:t>
      </w:r>
    </w:p>
    <w:p>
      <w:pPr>
        <w:pStyle w:val="ListBullet"/>
      </w:pPr>
      <w:r>
        <w:t>1. Monitoreo continuo — recolección de KPIs (Módulo D), señales de riesgo (Módulo M) y alertas tecnológicas (Módulo J.6), ver Entregable 2.</w:t>
      </w:r>
    </w:p>
    <w:p>
      <w:pPr>
        <w:pStyle w:val="ListBullet"/>
      </w:pPr>
      <w:r>
        <w:t>2. Detección del detonante — cualquier actor de gobernanza (Comandante, Oficial de Seguridad, Administrador) registra la señal en el Registro de Solicitudes de Cambio (Entregable 3).</w:t>
      </w:r>
    </w:p>
    <w:p>
      <w:pPr>
        <w:pStyle w:val="ListBullet"/>
      </w:pPr>
      <w:r>
        <w:t>3. Clasificación — el Comité de Cambio determina si es simplificación, incremental o re-arquitectura (Sección 3).</w:t>
      </w:r>
    </w:p>
    <w:p>
      <w:pPr>
        <w:pStyle w:val="ListBullet"/>
      </w:pPr>
      <w:r>
        <w:t>4. Evaluación de impacto — se analiza el efecto sobre Módulos B, C, E, F, I, J, K, Z-RESUMEN, verificando que ninguna Regla de Consistencia Crítica se rompa.</w:t>
      </w:r>
    </w:p>
    <w:p>
      <w:pPr>
        <w:pStyle w:val="ListBullet"/>
      </w:pPr>
      <w:r>
        <w:t>5. Decisión y aprobación — el Comité aprueba, rechaza o escala a nueva iteración ADM (Sección 7).</w:t>
      </w:r>
    </w:p>
    <w:p>
      <w:pPr>
        <w:pStyle w:val="ListBullet"/>
      </w:pPr>
      <w:r>
        <w:t>6. Implementación y registro — el cambio se ejecuta, se documenta en el Registro (Entregable 3), y se refleja en la próxima versión del artefacto correspondiente.</w:t>
      </w:r>
    </w:p>
    <w:p>
      <w:pPr>
        <w:pStyle w:val="Heading1"/>
      </w:pPr>
      <w:r>
        <w:rPr>
          <w:color w:val="1B3A5C"/>
        </w:rPr>
        <w:t>6. Roles y Responsabilidades en la Gobernanza del Cambio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6520"/>
            <w:shd w:val="clear" w:color="auto" w:fill="1B3A5C"/>
          </w:tcPr>
          <w:p>
            <w:r>
              <w:rPr>
                <w:b/>
                <w:color w:val="FFFFFF"/>
                <w:sz w:val="18"/>
              </w:rPr>
              <w:t>Responsabilidad en Gestión del Cambio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Comandante / Jefe de Operaciones (Módulo G)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Preside el Comité de Cambio; decide sobre ajustes a la lista de Corredores Troncales; aprueba cambios incrementales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Oficial de Seguridad (DIRIN)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Evalúa impacto de todo cambio sobre privacidad y log_auditoria (Módulo C, E.10); veto en cambios que toquen minimización de datos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Administrador del Sistema (TIC)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Evalúa impacto técnico (Módulo J); ejecuta cambios aprobados de infraestructura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Persona 7 — Integrador de Fase H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Custodia este Plan; mantiene el Registro de Solicitudes de Cambio; verifica consistencia contra Módulo Z-RESUMEN antes de cada aprobación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Analista de Inteligencia</w:t>
            </w:r>
          </w:p>
        </w:tc>
        <w:tc>
          <w:tcPr>
            <w:tcW w:type="dxa" w:w="6520"/>
          </w:tcPr>
          <w:p>
            <w:r>
              <w:rPr>
                <w:sz w:val="18"/>
              </w:rPr>
              <w:t>Puede proponer cambios (p. ej. ajustes de scoring) pero no los aprueba directamente</w:t>
            </w:r>
          </w:p>
        </w:tc>
      </w:tr>
    </w:tbl>
    <w:p/>
    <w:p>
      <w:pPr>
        <w:pStyle w:val="Heading1"/>
      </w:pPr>
      <w:r>
        <w:rPr>
          <w:color w:val="1B3A5C"/>
        </w:rPr>
        <w:t>7. Criterios para Reabrir el Ciclo ADM</w:t>
      </w:r>
    </w:p>
    <w:p>
      <w:r>
        <w:t>Un cambio clasificado como re-arquitectura (Sección 3) obliga a reabrir el ciclo ADM desde la fase pertinente. Se considera re-arquitectura cuando ocurre cualquiera de los siguientes supuestos:</w:t>
      </w:r>
    </w:p>
    <w:p>
      <w:pPr>
        <w:pStyle w:val="ListBullet"/>
      </w:pPr>
      <w:r>
        <w:t>Se modifica la Visión (Módulo D.1) o el propósito declarado del sistema (Módulo A.3).</w:t>
      </w:r>
    </w:p>
    <w:p>
      <w:pPr>
        <w:pStyle w:val="ListBullet"/>
      </w:pPr>
      <w:r>
        <w:t>Se requiere una nueva integración no contemplada en el Módulo K, o se resuelve formalmente INT-07/INT-08.</w:t>
      </w:r>
    </w:p>
    <w:p>
      <w:pPr>
        <w:pStyle w:val="ListBullet"/>
      </w:pPr>
      <w:r>
        <w:t>Se propone cualquier excepción a las restricciones absolutas del Módulo C — lo cual, conforme a la jerarquía de fuentes (Módulo 0.1), no puede aprobarse ni con esta gobernanza.</w:t>
      </w:r>
    </w:p>
    <w:p>
      <w:pPr>
        <w:pStyle w:val="ListBullet"/>
      </w:pPr>
      <w:r>
        <w:t>El efecto de retroalimentación de RIE-ANT-02 se confirma como estructural y no como desviación puntual, requiriendo rediseño del enfoque de clustering (Módulo J.5).</w:t>
      </w:r>
    </w:p>
    <w:p>
      <w:pPr>
        <w:pStyle w:val="Heading1"/>
      </w:pPr>
      <w:r>
        <w:rPr>
          <w:color w:val="1B3A5C"/>
        </w:rPr>
        <w:t>8. Relación con el Plan de Implementación (L) y la Gestión de Riesgos (M)</w:t>
      </w:r>
    </w:p>
    <w:p>
      <w:r>
        <w:t>Este Plan no reemplaza al Módulo M: los riesgos RIE-01 a RIE-04, RIE-TRANSP-01 a 05 y RIE-ANT-01/02 siguen siendo la fuente única de riesgos identificados. Este Plan define el mecanismo operativo para actuar sobre esos riesgos una vez el sistema está en producción, y para decidir si la mitigación requiere solo un ajuste operativo o una nueva iteración ADM. De igual forma, los hitos de la Fase 0 del Módulo L (decisión documentada sobre Observatorio del Crimen y Asyste) son un prerrequisito de este Plan, no una tarea que este Plan reabra.</w:t>
      </w:r>
    </w:p>
    <w:p>
      <w:pPr>
        <w:pStyle w:val="Heading1"/>
      </w:pPr>
      <w:r>
        <w:rPr>
          <w:color w:val="1B3A5C"/>
        </w:rPr>
        <w:t>9. Anexos</w:t>
      </w:r>
    </w:p>
    <w:p>
      <w:r>
        <w:t>9.1 El Registro de Solicitudes de Cambio y su plantilla de evaluación de impacto se documentan como Entregable 3 de esta fase.</w:t>
      </w:r>
    </w:p>
    <w:p>
      <w:r>
        <w:t>9.2 El Marco de Monitoreo de Rendimiento y Detonantes (KPIs, umbrales) se documenta como Entregable 2 de esta fase.</w:t>
      </w:r>
    </w:p>
    <w:p>
      <w:r>
        <w:t>9.3 El resumen ejecutivo para el Comité Directivo se documenta como Entregable 4 (formato presentación).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