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rete_ctos_ext_trans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Artefacto: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TOGAF Fase H — Marco de Monitoreo de Rendimiento y Detonantes de Cambio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Sistema: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CTOS-EXT-TRANSP v5.0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Fuentes: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Módulo 0, Módulo D (Objetivos/KPIs), Módulo M (Riesgos), Módulo J.6 (Alineación AWS)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Clasificación: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RESERVADO — Uso interno PNP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Fecha de generación: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03/07/2026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Supuestos asumidos: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Se asume que el Reporte Ejecutivo automático (PN-11, Módulo H de Procesos de Negocio) ya está operativo y es la fuente de datos de los indicadores aquí definidos; si PN-11 aún no está desplegado, el monitoreo debe hacerse manualmente hasta su entrada en operación.</w:t>
            </w:r>
          </w:p>
        </w:tc>
      </w:tr>
    </w:tbl>
    <w:p/>
    <w:p>
      <w:pPr>
        <w:pBdr>
          <w:bottom w:val="single" w:sz="6" w:space="1" w:color="1B3A5C"/>
        </w:pBdr>
      </w:pPr>
    </w:p>
    <w:p/>
    <w:p>
      <w:pPr>
        <w:jc w:val="center"/>
      </w:pPr>
      <w:r>
        <w:rPr>
          <w:b/>
          <w:color w:val="1B3A5C"/>
          <w:sz w:val="40"/>
        </w:rPr>
        <w:t>MARCO DE MONITOREO DE RENDIMIENTO Y DETONANTES DE CAMBIO</w:t>
      </w:r>
    </w:p>
    <w:p>
      <w:pPr>
        <w:jc w:val="center"/>
      </w:pPr>
      <w:r>
        <w:rPr>
          <w:color w:val="555555"/>
          <w:sz w:val="26"/>
        </w:rPr>
        <w:t>TOGAF 9.2 ADM — Fase H: Gestión del Cambio de Arquitectura</w:t>
      </w:r>
    </w:p>
    <w:p>
      <w:pPr>
        <w:jc w:val="center"/>
      </w:pPr>
      <w:r>
        <w:rPr>
          <w:i/>
          <w:sz w:val="22"/>
        </w:rPr>
        <w:t>Sistema CTOS-EXT-TRANSP v5.0 — Módulo Táctico contra Extorsión al Sector Transporte, PNP</w:t>
      </w:r>
    </w:p>
    <w:p/>
    <w:p>
      <w:pPr>
        <w:pStyle w:val="Heading3"/>
      </w:pPr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Autor / Responsable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Fase ADM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03/07/2026</w:t>
            </w:r>
          </w:p>
        </w:tc>
        <w:tc>
          <w:tcPr>
            <w:tcW w:type="dxa" w:w="1881"/>
          </w:tcPr>
          <w:p>
            <w:r>
              <w:t>Persona 7 — Fase H (Gestión del Cambio)</w:t>
            </w:r>
          </w:p>
        </w:tc>
        <w:tc>
          <w:tcPr>
            <w:tcW w:type="dxa" w:w="1881"/>
          </w:tcPr>
          <w:p>
            <w:r>
              <w:t>Fase H</w:t>
            </w:r>
          </w:p>
        </w:tc>
        <w:tc>
          <w:tcPr>
            <w:tcW w:type="dxa" w:w="1881"/>
          </w:tcPr>
          <w:p>
            <w:r>
              <w:t>Versión inicial del Marco de Monitoreo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1. Propósito</w:t>
      </w:r>
    </w:p>
    <w:p>
      <w:r>
        <w:t>Este Marco define qué indicadores se monitorean de forma continua durante la operación de CTOS-EXT-TRANSP v5.0, con qué periodicidad, y qué umbral convierte una desviación en un detonante formal de cambio conforme al Plan de Gestión del Cambio Arquitectónico (Entregable 1, Secciones 4 y 5). Ningún indicador aquí definido introduce una métrica nueva fuera de lo ya establecido en el Módulo D — este documento organiza el monitoreo, no redefine KPIs.</w:t>
      </w:r>
    </w:p>
    <w:p>
      <w:pPr>
        <w:pStyle w:val="Heading1"/>
      </w:pPr>
      <w:r>
        <w:rPr>
          <w:color w:val="1B3A5C"/>
        </w:rPr>
        <w:t>2. Indicadores de Desempeño (Módulo D.4)</w:t>
      </w:r>
    </w:p>
    <w:p>
      <w:r>
        <w:t>Fuente única: Módulo D.4. Meta piloto vigente durante Fase 1 (Módulo 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64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118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871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Meta piloto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Periodicidad de revisión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Cobertura de inteligencia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Reportes score ≥30/mes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≥300/mes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Semanal (PN-11)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Reducir TRI en corredores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tri_minutos promedio (solo con fecha_despacho_confirmado)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≤10 min general; ≤5 min Troncales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Semanal (PN-11)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Filtrar baja calidad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% reportes &lt;30 archivados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≥80%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Clústeres activos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Clústeres/semana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≥5/semana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Semanal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Anonimato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Incidentes de identificación involuntaria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Continua (cualquier incidente = detonante inmediato)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Calidad con evidencia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% reportes con foto y score ≥60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≥40%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Modalidades por corredor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Modalidades activas/corredor/mes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Patrones de cobro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Patrones activos/corredor/mes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OBJ-09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Adopción por canal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Reportes por canal/semana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≥1/canal en 4 semanas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Semanal</w:t>
            </w:r>
          </w:p>
        </w:tc>
      </w:tr>
    </w:tbl>
    <w:p/>
    <w:p>
      <w:r>
        <w:t>Nota crítica (Z-RESUMEN regla 5): las alertas sin fecha_despacho_confirmado se reportan por separado como "Sin TRI confirmado" y nunca se mezclan con el cálculo de OBJ-02.</w:t>
      </w:r>
    </w:p>
    <w:p>
      <w:pPr>
        <w:pStyle w:val="Heading1"/>
      </w:pPr>
      <w:r>
        <w:rPr>
          <w:color w:val="1B3A5C"/>
        </w:rPr>
        <w:t>3. Indicadores de Riesgo (Módulo 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ID Riesgo</w:t>
            </w:r>
          </w:p>
        </w:tc>
        <w:tc>
          <w:tcPr>
            <w:tcW w:type="dxa" w:w="3402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Señal monitoreada</w:t>
            </w:r>
          </w:p>
        </w:tc>
        <w:tc>
          <w:tcPr>
            <w:tcW w:type="dxa" w:w="3402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Umbral de activación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RIE-ANT-01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tri_minutos promedio no mejora respecto al mes anterior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meses consecutivos sin mejora → escalar a Comandante</w:t>
            </w:r>
          </w:p>
        </w:tc>
        <w:tc>
          <w:tcPr>
            <w:tcW w:type="dxa" w:w="1417"/>
          </w:tcPr>
          <w:p>
            <w:r>
              <w:rPr>
                <w:b/>
                <w:color w:val="B00000"/>
                <w:sz w:val="18"/>
              </w:rPr>
              <w:t>ROJO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RIE-ANT-02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Persistencia de Clúster sin nuevos Reportes recientes vs. aparición de Clústeres emergentes en otra zona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Clúster "Activo" &gt;30 días sin reportes nuevos + Clúster emergente cercano no revisado</w:t>
            </w:r>
          </w:p>
        </w:tc>
        <w:tc>
          <w:tcPr>
            <w:tcW w:type="dxa" w:w="1417"/>
          </w:tcPr>
          <w:p>
            <w:r>
              <w:rPr>
                <w:b/>
                <w:color w:val="B88600"/>
                <w:sz w:val="18"/>
              </w:rPr>
              <w:t>AMARILLO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RIE-04 (heredado v4.0)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% de reportes con baja_confianza_gps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Definido en Módulo E.6/E.7 — revisar si supera el histórico base del Piloto</w:t>
            </w:r>
          </w:p>
        </w:tc>
        <w:tc>
          <w:tcPr>
            <w:tcW w:type="dxa" w:w="1417"/>
          </w:tcPr>
          <w:p>
            <w:r>
              <w:rPr>
                <w:b/>
                <w:color w:val="B88600"/>
                <w:sz w:val="18"/>
              </w:rPr>
              <w:t>AMARILLO</w:t>
            </w:r>
          </w:p>
        </w:tc>
      </w:tr>
    </w:tbl>
    <w:p/>
    <w:p>
      <w:pPr>
        <w:pStyle w:val="Heading1"/>
      </w:pPr>
      <w:r>
        <w:rPr>
          <w:color w:val="1B3A5C"/>
        </w:rPr>
        <w:t>4. Señales Tecnológicas (Módulo J)</w:t>
      </w:r>
    </w:p>
    <w:p>
      <w:r>
        <w:t>El Administrador del Sistema monitorea el ciclo de vida del stack definido en J.2–J.3 (React Native 0.73.x, FastAPI/Python 3.11.x, PostgreSQL+PostGIS 15.x/3.3.x, Kafka 3.6.x, scikit-learn 1.4.x, spaCy 3.7.x, K8s 1.29.x) y reporta al Comité de Cambio cuando:</w:t>
      </w:r>
    </w:p>
    <w:p>
      <w:pPr>
        <w:pStyle w:val="ListBullet"/>
      </w:pPr>
      <w:r>
        <w:t>Una versión del stack entra en fin de soporte (EOL) o recibe una vulnerabilidad crítica (CVE alto/crítico).</w:t>
      </w:r>
    </w:p>
    <w:p>
      <w:pPr>
        <w:pStyle w:val="ListBullet"/>
      </w:pPr>
      <w:r>
        <w:t>El escalamiento de Fase 1 (3 distritos) a Fase 2 (43 distritos, Módulo L) exige capacidad adicional de K8s o PostgreSQL+PostGIS.</w:t>
      </w:r>
    </w:p>
    <w:p>
      <w:pPr>
        <w:pStyle w:val="ListBullet"/>
      </w:pPr>
      <w:r>
        <w:t>Se identifica una oportunidad real de aplicar alguno de los 4 cursos AWS Academy (Módulo J.6) sin comprometer C.3 — debe evaluarse como cambio incremental, nunca como excepción a la privacidad.</w:t>
      </w:r>
    </w:p>
    <w:p>
      <w:pPr>
        <w:pStyle w:val="Heading1"/>
      </w:pPr>
      <w:r>
        <w:rPr>
          <w:color w:val="1B3A5C"/>
        </w:rPr>
        <w:t>5. Escalamiento por Niveles (Semáforo)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685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1E7D32"/>
                <w:sz w:val="18"/>
              </w:rPr>
              <w:t>VERDE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Indicador dentro de meta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Sin acción; se documenta en el reporte semanal (PN-11)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B88600"/>
                <w:sz w:val="18"/>
              </w:rPr>
              <w:t>AMARILLO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Desviación moderada o riesgo de tendencia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revisa en la siguiente sesión del Comité de Cambio; no genera Solicitud de Cambio automática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B00000"/>
                <w:sz w:val="18"/>
              </w:rPr>
              <w:t>ROJO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Umbral de activación superado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registra obligatoriamente en el Registro de Solicitudes de Cambio (Entregable 3) dentro de 5 días hábiles</w:t>
            </w:r>
          </w:p>
        </w:tc>
      </w:tr>
    </w:tbl>
    <w:p/>
    <w:p>
      <w:pPr>
        <w:pStyle w:val="Heading1"/>
      </w:pPr>
      <w:r>
        <w:rPr>
          <w:color w:val="1B3A5C"/>
        </w:rPr>
        <w:t>6. Relación con los Demás Entregables de Fase H</w:t>
      </w:r>
    </w:p>
    <w:p>
      <w:r>
        <w:t>Este Marco alimenta directamente el paso 1 ("Monitoreo continuo") del proceso descrito en el Entregable 1, Sección 5. Todo indicador que cruce a nivel ROJO debe registrarse en el Entregable 3 (Registro de Solicitudes de Cambio) y, si corresponde, resumirse en el Entregable 4 (Reporte Ejecutivo) del siguiente ciclo de reporte al Comité Directivo.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