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before="0" w:after="0"/>
      </w:pPr>
      <w:r>
        <w:rPr>
          <w:rFonts w:ascii="Arial" w:cs="Arial" w:eastAsia="Arial" w:hAnsi="Arial"/>
          <w:sz w:val="48"/>
          <w:szCs w:val="48"/>
        </w:rPr>
        <w:t xml:space="preserve"/>
      </w:r>
    </w:p>
    <w:p>
      <w:pPr>
        <w:spacing w:before="0" w:after="240"/>
      </w:pPr>
      <w:r>
        <w:rPr>
          <w:rFonts w:ascii="Arial" w:cs="Arial" w:eastAsia="Arial" w:hAnsi="Arial"/>
        </w:rPr>
        <w:t xml:space="preserve"/>
      </w:r>
    </w:p>
    <w:p>
      <w:pPr>
        <w:spacing w:before="0" w:after="80"/>
        <w:jc w:val="center"/>
      </w:pPr>
      <w:r>
        <w:rPr>
          <w:rFonts w:ascii="Arial" w:cs="Arial" w:eastAsia="Arial" w:hAnsi="Arial"/>
          <w:b/>
          <w:bCs/>
          <w:color w:val="C0392B"/>
          <w:spacing w:val="120"/>
          <w:sz w:val="24"/>
          <w:szCs w:val="24"/>
        </w:rPr>
        <w:t xml:space="preserve">NYSE: RKT</w:t>
      </w:r>
    </w:p>
    <w:p>
      <w:pPr>
        <w:spacing w:before="0" w:after="80"/>
        <w:jc w:val="center"/>
      </w:pPr>
      <w:r>
        <w:rPr>
          <w:rFonts w:ascii="Arial" w:cs="Arial" w:eastAsia="Arial" w:hAnsi="Arial"/>
          <w:b/>
          <w:bCs/>
          <w:color w:val="1A2E42"/>
          <w:sz w:val="56"/>
          <w:szCs w:val="56"/>
        </w:rPr>
        <w:t xml:space="preserve">Rocket Companies, Inc.</w:t>
      </w:r>
    </w:p>
    <w:p>
      <w:pPr>
        <w:spacing w:before="0" w:after="200"/>
        <w:jc w:val="center"/>
      </w:pPr>
      <w:r>
        <w:rPr>
          <w:rFonts w:ascii="Arial" w:cs="Arial" w:eastAsia="Arial" w:hAnsi="Arial"/>
          <w:color w:val="445566"/>
          <w:sz w:val="36"/>
          <w:szCs w:val="36"/>
        </w:rPr>
        <w:t xml:space="preserve">장기 투자 분석 보고서</w:t>
      </w:r>
    </w:p>
    <w:p>
      <w:pPr>
        <w:spacing w:before="0" w:after="200"/>
        <w:jc w:val="center"/>
      </w:pPr>
      <w:r>
        <w:rPr>
          <w:rFonts w:ascii="Arial" w:cs="Arial" w:eastAsia="Arial" w:hAnsi="Arial"/>
          <w:color w:val="C0392B"/>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1A2E42" w:val="clear"/>
            <w:tcMar>
              <w:top w:type="dxa" w:w="120"/>
              <w:left w:type="dxa" w:w="160"/>
              <w:bottom w:type="dxa" w:w="120"/>
              <w:right w:type="dxa" w:w="160"/>
            </w:tcMar>
            <w:vAlign w:val="center"/>
          </w:tcPr>
          <w:p>
            <w:pPr>
              <w:spacing w:before="0" w:after="40"/>
              <w:jc w:val="center"/>
            </w:pPr>
            <w:r>
              <w:rPr>
                <w:rFonts w:ascii="Arial" w:cs="Arial" w:eastAsia="Arial" w:hAnsi="Arial"/>
                <w:color w:val="AABBCC"/>
                <w:sz w:val="18"/>
                <w:szCs w:val="18"/>
              </w:rPr>
              <w:t xml:space="preserve">현재 주가</w:t>
            </w:r>
          </w:p>
          <w:p>
            <w:pPr>
              <w:spacing w:before="0" w:after="0"/>
              <w:jc w:val="center"/>
            </w:pPr>
            <w:r>
              <w:rPr>
                <w:rFonts w:ascii="Arial" w:cs="Arial" w:eastAsia="Arial" w:hAnsi="Arial"/>
                <w:b/>
                <w:bCs/>
                <w:color w:val="FFFFFF"/>
                <w:sz w:val="28"/>
                <w:szCs w:val="28"/>
              </w:rPr>
              <w:t xml:space="preserve">$17.81</w:t>
            </w:r>
          </w:p>
        </w:tc>
        <w:tc>
          <w:tcPr>
            <w:tcW w:type="dxa" w:w="2340"/>
            <w:tcBorders>
              <w:top w:val="single" w:color="C0392B" w:sz="4"/>
              <w:left w:val="single" w:color="C0392B" w:sz="4"/>
              <w:bottom w:val="single" w:color="C0392B" w:sz="4"/>
              <w:right w:val="single" w:color="C0392B" w:sz="4"/>
            </w:tcBorders>
            <w:shd w:fill="1A2E42" w:val="clear"/>
            <w:tcMar>
              <w:top w:type="dxa" w:w="120"/>
              <w:left w:type="dxa" w:w="160"/>
              <w:bottom w:type="dxa" w:w="120"/>
              <w:right w:type="dxa" w:w="160"/>
            </w:tcMar>
            <w:vAlign w:val="center"/>
          </w:tcPr>
          <w:p>
            <w:pPr>
              <w:spacing w:before="0" w:after="40"/>
              <w:jc w:val="center"/>
            </w:pPr>
            <w:r>
              <w:rPr>
                <w:rFonts w:ascii="Arial" w:cs="Arial" w:eastAsia="Arial" w:hAnsi="Arial"/>
                <w:color w:val="AABBCC"/>
                <w:sz w:val="18"/>
                <w:szCs w:val="18"/>
              </w:rPr>
              <w:t xml:space="preserve">시가총액</w:t>
            </w:r>
          </w:p>
          <w:p>
            <w:pPr>
              <w:spacing w:before="0" w:after="0"/>
              <w:jc w:val="center"/>
            </w:pPr>
            <w:r>
              <w:rPr>
                <w:rFonts w:ascii="Arial" w:cs="Arial" w:eastAsia="Arial" w:hAnsi="Arial"/>
                <w:b/>
                <w:bCs/>
                <w:color w:val="FFFFFF"/>
                <w:sz w:val="28"/>
                <w:szCs w:val="28"/>
              </w:rPr>
              <w:t xml:space="preserve">~$500억</w:t>
            </w:r>
          </w:p>
        </w:tc>
        <w:tc>
          <w:tcPr>
            <w:tcW w:type="dxa" w:w="2340"/>
            <w:tcBorders>
              <w:top w:val="single" w:color="C0392B" w:sz="4"/>
              <w:left w:val="single" w:color="C0392B" w:sz="4"/>
              <w:bottom w:val="single" w:color="C0392B" w:sz="4"/>
              <w:right w:val="single" w:color="C0392B" w:sz="4"/>
            </w:tcBorders>
            <w:shd w:fill="1A2E42" w:val="clear"/>
            <w:tcMar>
              <w:top w:type="dxa" w:w="120"/>
              <w:left w:type="dxa" w:w="160"/>
              <w:bottom w:type="dxa" w:w="120"/>
              <w:right w:type="dxa" w:w="160"/>
            </w:tcMar>
            <w:vAlign w:val="center"/>
          </w:tcPr>
          <w:p>
            <w:pPr>
              <w:spacing w:before="0" w:after="40"/>
              <w:jc w:val="center"/>
            </w:pPr>
            <w:r>
              <w:rPr>
                <w:rFonts w:ascii="Arial" w:cs="Arial" w:eastAsia="Arial" w:hAnsi="Arial"/>
                <w:color w:val="AABBCC"/>
                <w:sz w:val="18"/>
                <w:szCs w:val="18"/>
              </w:rPr>
              <w:t xml:space="preserve">모기지 금리</w:t>
            </w:r>
          </w:p>
          <w:p>
            <w:pPr>
              <w:spacing w:before="0" w:after="0"/>
              <w:jc w:val="center"/>
            </w:pPr>
            <w:r>
              <w:rPr>
                <w:rFonts w:ascii="Arial" w:cs="Arial" w:eastAsia="Arial" w:hAnsi="Arial"/>
                <w:b/>
                <w:bCs/>
                <w:color w:val="FFFFFF"/>
                <w:sz w:val="28"/>
                <w:szCs w:val="28"/>
              </w:rPr>
              <w:t xml:space="preserve">5.98%</w:t>
            </w:r>
          </w:p>
        </w:tc>
        <w:tc>
          <w:tcPr>
            <w:tcW w:type="dxa" w:w="2340"/>
            <w:tcBorders>
              <w:top w:val="single" w:color="C0392B" w:sz="4"/>
              <w:left w:val="single" w:color="C0392B" w:sz="4"/>
              <w:bottom w:val="single" w:color="C0392B" w:sz="4"/>
              <w:right w:val="single" w:color="C0392B" w:sz="4"/>
            </w:tcBorders>
            <w:shd w:fill="1A2E42" w:val="clear"/>
            <w:tcMar>
              <w:top w:type="dxa" w:w="120"/>
              <w:left w:type="dxa" w:w="160"/>
              <w:bottom w:type="dxa" w:w="120"/>
              <w:right w:type="dxa" w:w="160"/>
            </w:tcMar>
            <w:vAlign w:val="center"/>
          </w:tcPr>
          <w:p>
            <w:pPr>
              <w:spacing w:before="0" w:after="40"/>
              <w:jc w:val="center"/>
            </w:pPr>
            <w:r>
              <w:rPr>
                <w:rFonts w:ascii="Arial" w:cs="Arial" w:eastAsia="Arial" w:hAnsi="Arial"/>
                <w:color w:val="AABBCC"/>
                <w:sz w:val="18"/>
                <w:szCs w:val="18"/>
              </w:rPr>
              <w:t xml:space="preserve">투자 의견</w:t>
            </w:r>
          </w:p>
          <w:p>
            <w:pPr>
              <w:spacing w:before="0" w:after="0"/>
              <w:jc w:val="center"/>
            </w:pPr>
            <w:r>
              <w:rPr>
                <w:rFonts w:ascii="Arial" w:cs="Arial" w:eastAsia="Arial" w:hAnsi="Arial"/>
                <w:b/>
                <w:bCs/>
                <w:color w:val="FFFFFF"/>
                <w:sz w:val="28"/>
                <w:szCs w:val="28"/>
              </w:rPr>
              <w:t xml:space="preserve">BUY</w:t>
            </w:r>
          </w:p>
        </w:tc>
      </w:tr>
    </w:tbl>
    <w:p>
      <w:pPr>
        <w:spacing w:before="0" w:after="160"/>
      </w:pPr>
      <w:r>
        <w:rPr>
          <w:rFonts w:ascii="Arial" w:cs="Arial" w:eastAsia="Arial" w:hAnsi="Arial"/>
        </w:rPr>
        <w:t xml:space="preserve"/>
      </w:r>
    </w:p>
    <w:p>
      <w:pPr>
        <w:spacing w:before="160" w:after="0"/>
        <w:jc w:val="center"/>
      </w:pPr>
      <w:r>
        <w:rPr>
          <w:rFonts w:ascii="Arial" w:cs="Arial" w:eastAsia="Arial" w:hAnsi="Arial"/>
          <w:color w:val="888888"/>
          <w:sz w:val="18"/>
          <w:szCs w:val="18"/>
        </w:rPr>
        <w:t xml:space="preserve">작성일: 2026년 2월 28일  |  분석가: AI Quant Research Desk</w:t>
      </w:r>
    </w:p>
    <w:p>
      <w:pPr>
        <w:spacing w:before="80" w:after="0"/>
        <w:jc w:val="center"/>
      </w:pPr>
      <w:r>
        <w:rPr>
          <w:rFonts w:ascii="Arial" w:cs="Arial" w:eastAsia="Arial" w:hAnsi="Arial"/>
          <w:i/>
          <w:iCs/>
          <w:color w:val="AAAAAA"/>
          <w:sz w:val="16"/>
          <w:szCs w:val="16"/>
        </w:rPr>
        <w:t xml:space="preserve">본 보고서는 교육 및 정보 제공 목적으로 작성되었으며, 투자 조언이 아닙니다.</w:t>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Executive Summary</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CCCCC" w:sz="4"/>
            </w:tcBorders>
            <w:shd w:fill="FDF5F5" w:val="clear"/>
            <w:tcMar>
              <w:top w:type="dxa" w:w="160"/>
              <w:left w:type="dxa" w:w="240"/>
              <w:bottom w:type="dxa" w:w="160"/>
              <w:right w:type="dxa" w:w="240"/>
            </w:tcMar>
          </w:tcPr>
          <w:p>
            <w:pPr>
              <w:spacing w:before="0" w:after="120"/>
            </w:pPr>
            <w:r>
              <w:rPr>
                <w:rFonts w:ascii="Arial" w:cs="Arial" w:eastAsia="Arial" w:hAnsi="Arial"/>
                <w:b/>
                <w:bCs/>
                <w:color w:val="C0392B"/>
                <w:sz w:val="24"/>
                <w:szCs w:val="24"/>
              </w:rPr>
              <w:t xml:space="preserve">핵심 투자 논거 (Investment Thesis)</w:t>
            </w:r>
          </w:p>
          <w:p>
            <w:pPr>
              <w:spacing w:before="0" w:after="0"/>
            </w:pPr>
            <w:r>
              <w:rPr>
                <w:rFonts w:ascii="Arial" w:cs="Arial" w:eastAsia="Arial" w:hAnsi="Arial"/>
                <w:color w:val="2C3E50"/>
                <w:sz w:val="22"/>
                <w:szCs w:val="22"/>
              </w:rPr>
              <w:t xml:space="preserve">Rocket Companies는 미국 최대 디지털 모기지 플랫폼으로, 2025년 Mr. Cooper 인수를 통해 $2.1조 서비싱 포트폴리오를 확보하며 단순 대출 실행사에서 완전한 주택 금융 생태계로 변모했습니다. 30년 모기지 금리가 3년 반 만에 처음으로 6% 아래로 하락한 현재 시점은 구조적 전환점입니다. 장기적으로 미국 주택 시장 회복 + 금리 인하 사이클과 함께 수혜가 극대화될 수 있는 포지션입니다.</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00"/>
        <w:gridCol w:w="2260"/>
      </w:tblGrid>
      <w:tr>
        <w:tc>
          <w:tcPr>
            <w:tcW w:type="dxa" w:w="1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구분</w:t>
            </w:r>
          </w:p>
        </w:tc>
        <w:tc>
          <w:tcPr>
            <w:tcW w:type="dxa" w:w="17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현재 주가</w:t>
            </w:r>
          </w:p>
        </w:tc>
        <w:tc>
          <w:tcPr>
            <w:tcW w:type="dxa" w:w="1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목표 주가 (Bull)</w:t>
            </w:r>
          </w:p>
        </w:tc>
        <w:tc>
          <w:tcPr>
            <w:tcW w:type="dxa" w:w="1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안전마진 (Base)</w:t>
            </w:r>
          </w:p>
        </w:tc>
        <w:tc>
          <w:tcPr>
            <w:tcW w:type="dxa" w:w="226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투자 의견</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E42"/>
                <w:sz w:val="22"/>
                <w:szCs w:val="22"/>
              </w:rPr>
              <w:t xml:space="preserve">RKT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A2E42"/>
                <w:sz w:val="22"/>
                <w:szCs w:val="22"/>
              </w:rPr>
              <w:t xml:space="preserve">$17.81</w:t>
            </w:r>
          </w:p>
        </w:tc>
        <w:tc>
          <w:tcPr>
            <w:tcW w:type="dxa" w:w="18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pPr>
              <w:jc w:val="center"/>
            </w:pPr>
            <w:r>
              <w:rPr>
                <w:rFonts w:ascii="Arial" w:cs="Arial" w:eastAsia="Arial" w:hAnsi="Arial"/>
                <w:b w:val="false"/>
                <w:bCs w:val="false"/>
                <w:color w:val="1A2E42"/>
                <w:sz w:val="22"/>
                <w:szCs w:val="22"/>
              </w:rPr>
              <w:t xml:space="preserve">$28~32</w:t>
            </w:r>
          </w:p>
        </w:tc>
        <w:tc>
          <w:tcPr>
            <w:tcW w:type="dxa" w:w="18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1E8449"/>
                <w:sz w:val="22"/>
                <w:szCs w:val="22"/>
              </w:rPr>
              <w:t xml:space="preserve">~15%</w:t>
            </w:r>
          </w:p>
        </w:tc>
        <w:tc>
          <w:tcPr>
            <w:tcW w:type="dxa" w:w="226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 BUY</w:t>
            </w:r>
          </w:p>
        </w:tc>
      </w:tr>
    </w:tbl>
    <w:p>
      <w:pPr>
        <w:spacing w:before="0" w:after="8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기업 개요</w:t>
      </w:r>
    </w:p>
    <w:p>
      <w:pPr>
        <w:spacing w:before="120" w:after="60"/>
      </w:pPr>
      <w:r>
        <w:rPr>
          <w:rFonts w:ascii="Arial" w:cs="Arial" w:eastAsia="Arial" w:hAnsi="Arial"/>
          <w:b/>
          <w:bCs/>
          <w:color w:val="C0392B"/>
          <w:spacing w:val="80"/>
          <w:sz w:val="18"/>
          <w:szCs w:val="18"/>
        </w:rPr>
        <w:t xml:space="preserve">WHAT IS ROCKET COMPANIES?</w:t>
      </w:r>
    </w:p>
    <w:p>
      <w:pPr>
        <w:spacing w:before="60" w:after="60"/>
      </w:pPr>
      <w:r>
        <w:rPr>
          <w:rFonts w:ascii="Arial" w:cs="Arial" w:eastAsia="Arial" w:hAnsi="Arial"/>
          <w:color w:val="2C3E50"/>
          <w:sz w:val="22"/>
          <w:szCs w:val="22"/>
        </w:rPr>
        <w:t xml:space="preserve">Rocket Companies(NYSE: RKT)는 1985년 디트로이트에서 설립된 미국 최대 온라인 모기지 플랫폼 기업입니다. 한마디로 미국판 '부동산 금융 원스톱 슈퍼앱'으로, 집을 사고 싶은 사람이 매물 탐색부터 대출, 등기, 대출 관리까지 모든 과정을 Rocket 생태계 안에서 해결할 수 있습니다.</w:t>
      </w:r>
    </w:p>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핵심 자회사 생태계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브랜드</w:t>
            </w:r>
          </w:p>
        </w:tc>
        <w:tc>
          <w:tcPr>
            <w:tcW w:type="dxa" w:w="2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역할</w:t>
            </w:r>
          </w:p>
        </w:tc>
        <w:tc>
          <w:tcPr>
            <w:tcW w:type="dxa" w:w="24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시장 지위</w:t>
            </w:r>
          </w:p>
        </w:tc>
        <w:tc>
          <w:tcPr>
            <w:tcW w:type="dxa" w:w="236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수익 기여</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 Rocket Mortgage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미국 1위 온라인 모기지 대출</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시장점유율 ~7%</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핵심 수익원</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 Mr. Cooper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미국 1위 모기지 서비싱</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$2.1조 UPB 관리</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안정적 반복 수익</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 Redfin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부동산 매물 검색 플랫폼</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전국 500만+ 매물</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리드 생성</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 Rocket Money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개인 재무관리 앱</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구독자 500만+</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2E42"/>
                <w:sz w:val="20"/>
                <w:szCs w:val="20"/>
              </w:rPr>
              <w:t xml:space="preserve">크로스셀 기회</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 Rocket Homes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부동산 중개 네트워크</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전국 에이전트 연결</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2E42"/>
                <w:sz w:val="20"/>
                <w:szCs w:val="20"/>
              </w:rPr>
              <w:t xml:space="preserve">시너지 채널</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수익 구조 — 두 가지 엔진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4"/>
              <w:left w:val="single" w:color="CCCCCC" w:sz="4"/>
              <w:bottom w:val="single" w:color="CCCCCC" w:sz="4"/>
              <w:right w:val="single" w:color="CCCCCC" w:sz="4"/>
            </w:tcBorders>
            <w:shd w:fill="FDECEA" w:val="clear"/>
            <w:tcMar>
              <w:top w:type="dxa" w:w="120"/>
              <w:left w:type="dxa" w:w="160"/>
              <w:bottom w:type="dxa" w:w="120"/>
              <w:right w:type="dxa" w:w="160"/>
            </w:tcMar>
          </w:tcPr>
          <w:p>
            <w:pPr>
              <w:spacing w:before="0" w:after="80"/>
            </w:pPr>
            <w:r>
              <w:rPr>
                <w:rFonts w:ascii="Arial" w:cs="Arial" w:eastAsia="Arial" w:hAnsi="Arial"/>
                <w:b/>
                <w:bCs/>
                <w:color w:val="C0392B"/>
                <w:sz w:val="22"/>
                <w:szCs w:val="22"/>
              </w:rPr>
              <w:t xml:space="preserve">① Origination (대출 실행)</w:t>
            </w:r>
          </w:p>
          <w:p>
            <w:pPr>
              <w:spacing w:before="0" w:after="0"/>
            </w:pPr>
            <w:r>
              <w:rPr>
                <w:rFonts w:ascii="Arial" w:cs="Arial" w:eastAsia="Arial" w:hAnsi="Arial"/>
                <w:color w:val="445566"/>
                <w:sz w:val="20"/>
                <w:szCs w:val="20"/>
              </w:rPr>
              <w:t xml:space="preserve">대출 실행 시 수수료 수취. 금리 하락 → 수요 증가. 변동성 높지만 상승 여력 극대.</w:t>
            </w:r>
          </w:p>
        </w:tc>
        <w:tc>
          <w:tcPr>
            <w:tcW w:type="dxa" w:w="4680"/>
            <w:tcBorders>
              <w:top w:val="single" w:color="1E8449" w:sz="4"/>
              <w:left w:val="single" w:color="CCCCCC" w:sz="4"/>
              <w:bottom w:val="single" w:color="CCCCCC" w:sz="4"/>
              <w:right w:val="single" w:color="CCCCCC" w:sz="4"/>
            </w:tcBorders>
            <w:shd w:fill="EAFAF1" w:val="clear"/>
            <w:tcMar>
              <w:top w:type="dxa" w:w="120"/>
              <w:left w:type="dxa" w:w="160"/>
              <w:bottom w:type="dxa" w:w="120"/>
              <w:right w:type="dxa" w:w="160"/>
            </w:tcMar>
          </w:tcPr>
          <w:p>
            <w:pPr>
              <w:spacing w:before="0" w:after="80"/>
            </w:pPr>
            <w:r>
              <w:rPr>
                <w:rFonts w:ascii="Arial" w:cs="Arial" w:eastAsia="Arial" w:hAnsi="Arial"/>
                <w:b/>
                <w:bCs/>
                <w:color w:val="1E8449"/>
                <w:sz w:val="22"/>
                <w:szCs w:val="22"/>
              </w:rPr>
              <w:t xml:space="preserve">② Servicing (대출 관리)</w:t>
            </w:r>
          </w:p>
          <w:p>
            <w:pPr>
              <w:spacing w:before="0" w:after="0"/>
            </w:pPr>
            <w:r>
              <w:rPr>
                <w:rFonts w:ascii="Arial" w:cs="Arial" w:eastAsia="Arial" w:hAnsi="Arial"/>
                <w:color w:val="445566"/>
                <w:sz w:val="20"/>
                <w:szCs w:val="20"/>
              </w:rPr>
              <w:t xml:space="preserve">Mr. Cooper 인수로 $2.1조 포트폴리오 확보. 금리 무관 연 $50억 안정 수익. 하방 방어막 역할.</w:t>
            </w:r>
          </w:p>
        </w:tc>
      </w:tr>
    </w:tbl>
    <w:p>
      <w:pPr>
        <w:spacing w:before="0" w:after="16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핵심 전략: Mr. Cooper 인수</w:t>
      </w:r>
    </w:p>
    <w:p>
      <w:pPr>
        <w:spacing w:before="120" w:after="60"/>
      </w:pPr>
      <w:r>
        <w:rPr>
          <w:rFonts w:ascii="Arial" w:cs="Arial" w:eastAsia="Arial" w:hAnsi="Arial"/>
          <w:b/>
          <w:bCs/>
          <w:color w:val="C0392B"/>
          <w:spacing w:val="80"/>
          <w:sz w:val="18"/>
          <w:szCs w:val="18"/>
        </w:rPr>
        <w:t xml:space="preserve">GAME-CHANGING ACQUISITION — OCTOBER 1, 2025</w:t>
      </w:r>
    </w:p>
    <w:p>
      <w:pPr>
        <w:spacing w:before="60" w:after="60"/>
      </w:pPr>
      <w:r>
        <w:rPr>
          <w:rFonts w:ascii="Arial" w:cs="Arial" w:eastAsia="Arial" w:hAnsi="Arial"/>
          <w:color w:val="2C3E50"/>
          <w:sz w:val="22"/>
          <w:szCs w:val="22"/>
        </w:rPr>
        <w:t xml:space="preserve">2025년 10월 1일, Rocket Companies는 미국 최대 모기지 서비싱 기업 Mr. Cooper를 전액 주식 교환 방식으로 인수 완료했습니다. 이는 미국 독립 모기지 업계 사상 최대 규모의 거래입니다.</w:t>
      </w:r>
    </w:p>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인수 전후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구분</w:t>
            </w:r>
          </w:p>
        </w:tc>
        <w:tc>
          <w:tcPr>
            <w:tcW w:type="dxa" w:w="312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인수 전 (RKT 단독)</w:t>
            </w:r>
          </w:p>
        </w:tc>
        <w:tc>
          <w:tcPr>
            <w:tcW w:type="dxa" w:w="312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인수 후 (RKT + Mr. Cooper)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42"/>
                <w:sz w:val="20"/>
                <w:szCs w:val="20"/>
              </w:rPr>
              <w:t xml:space="preserve">서비싱 포트폴리오</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$500억 (소규모)</w:t>
            </w:r>
          </w:p>
        </w:tc>
        <w:tc>
          <w:tcPr>
            <w:tcW w:type="dxa" w:w="312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$2.1조 (미국 1위)</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A2E42"/>
                <w:sz w:val="20"/>
                <w:szCs w:val="20"/>
              </w:rPr>
              <w:t xml:space="preserve">연간 안정 수익</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거의 없음</w:t>
            </w:r>
          </w:p>
        </w:tc>
        <w:tc>
          <w:tcPr>
            <w:tcW w:type="dxa" w:w="312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연 $50억 서비싱 수수료</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42"/>
                <w:sz w:val="20"/>
                <w:szCs w:val="20"/>
              </w:rPr>
              <w:t xml:space="preserve">고객 리파이낸싱</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경쟁사로 이탈</w:t>
            </w:r>
          </w:p>
        </w:tc>
        <w:tc>
          <w:tcPr>
            <w:tcW w:type="dxa" w:w="312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내부 재포획 가능</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A2E42"/>
                <w:sz w:val="20"/>
                <w:szCs w:val="20"/>
              </w:rPr>
              <w:t xml:space="preserve">금리 민감도</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매우 높음 (취약)</w:t>
            </w:r>
          </w:p>
        </w:tc>
        <w:tc>
          <w:tcPr>
            <w:tcW w:type="dxa" w:w="312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완화됨 (방어적 구조)</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42"/>
                <w:sz w:val="20"/>
                <w:szCs w:val="20"/>
              </w:rPr>
              <w:t xml:space="preserve">수익 변동성</w:t>
            </w:r>
          </w:p>
        </w:tc>
        <w:tc>
          <w:tcPr>
            <w:tcW w:type="dxa" w:w="312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color w:val="C0392B"/>
                <w:sz w:val="20"/>
                <w:szCs w:val="20"/>
              </w:rPr>
              <w:t xml:space="preserve">극도로 높음</w:t>
            </w:r>
          </w:p>
        </w:tc>
        <w:tc>
          <w:tcPr>
            <w:tcW w:type="dxa" w:w="312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대폭 감소</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리파이낸싱 재포획 (Recapture) — 핵심 해자</w:t>
      </w:r>
    </w:p>
    <w:p>
      <w:pPr>
        <w:spacing w:before="60" w:after="60"/>
      </w:pPr>
      <w:r>
        <w:rPr>
          <w:rFonts w:ascii="Arial" w:cs="Arial" w:eastAsia="Arial" w:hAnsi="Arial"/>
          <w:color w:val="2C3E50"/>
          <w:sz w:val="22"/>
          <w:szCs w:val="22"/>
        </w:rPr>
        <w:t xml:space="preserve">Mr. Cooper 인수의 가장 중요한 전략적 가치는 '고객 재포획(Recapture)' 능력입니다.</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2200"/>
        <w:gridCol w:w="400"/>
        <w:gridCol w:w="2200"/>
        <w:gridCol w:w="400"/>
        <w:gridCol w:w="1560"/>
      </w:tblGrid>
      <w:tr>
        <w:tc>
          <w:tcPr>
            <w:tcW w:type="dxa" w:w="2200"/>
            <w:tcBorders>
              <w:top w:val="none" w:color="FFFFFF" w:sz="0"/>
              <w:left w:val="none" w:color="FFFFFF" w:sz="0"/>
              <w:bottom w:val="none" w:color="FFFFFF" w:sz="0"/>
              <w:right w:val="none" w:color="FFFFFF" w:sz="0"/>
            </w:tcBorders>
            <w:shd w:fill="1A2E42"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금리 하락</w:t>
            </w:r>
          </w:p>
        </w:tc>
        <w:tc>
          <w:tcPr>
            <w:tcW w:type="dxa" w:w="4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vAlign w:val="center"/>
          </w:tcPr>
          <w:p>
            <w:pPr>
              <w:jc w:val="center"/>
            </w:pPr>
            <w:r>
              <w:rPr>
                <w:rFonts w:ascii="Arial" w:cs="Arial" w:eastAsia="Arial" w:hAnsi="Arial"/>
                <w:b/>
                <w:bCs/>
                <w:color w:val="C0392B"/>
                <w:sz w:val="20"/>
                <w:szCs w:val="20"/>
              </w:rPr>
              <w:t xml:space="preserve">→</w:t>
            </w:r>
          </w:p>
        </w:tc>
        <w:tc>
          <w:tcPr>
            <w:tcW w:type="dxa" w:w="2200"/>
            <w:tcBorders>
              <w:top w:val="none" w:color="FFFFFF" w:sz="0"/>
              <w:left w:val="none" w:color="FFFFFF" w:sz="0"/>
              <w:bottom w:val="none" w:color="FFFFFF" w:sz="0"/>
              <w:right w:val="none" w:color="FFFFFF" w:sz="0"/>
            </w:tcBorders>
            <w:shd w:fill="1A2E42"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고객 리파이낸싱 원함</w:t>
            </w:r>
          </w:p>
        </w:tc>
        <w:tc>
          <w:tcPr>
            <w:tcW w:type="dxa" w:w="4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vAlign w:val="center"/>
          </w:tcPr>
          <w:p>
            <w:pPr>
              <w:jc w:val="center"/>
            </w:pPr>
            <w:r>
              <w:rPr>
                <w:rFonts w:ascii="Arial" w:cs="Arial" w:eastAsia="Arial" w:hAnsi="Arial"/>
                <w:b/>
                <w:bCs/>
                <w:color w:val="C0392B"/>
                <w:sz w:val="20"/>
                <w:szCs w:val="20"/>
              </w:rPr>
              <w:t xml:space="preserve">→</w:t>
            </w:r>
          </w:p>
        </w:tc>
        <w:tc>
          <w:tcPr>
            <w:tcW w:type="dxa" w:w="22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Rocket Mortgage 대출</w:t>
            </w:r>
          </w:p>
        </w:tc>
        <w:tc>
          <w:tcPr>
            <w:tcW w:type="dxa" w:w="40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vAlign w:val="center"/>
          </w:tcPr>
          <w:p>
            <w:pPr>
              <w:jc w:val="center"/>
            </w:pPr>
            <w:r>
              <w:rPr>
                <w:rFonts w:ascii="Arial" w:cs="Arial" w:eastAsia="Arial" w:hAnsi="Arial"/>
                <w:b/>
                <w:bCs/>
                <w:color w:val="C0392B"/>
                <w:sz w:val="20"/>
                <w:szCs w:val="20"/>
              </w:rPr>
              <w:t xml:space="preserve">→</w:t>
            </w:r>
          </w:p>
        </w:tc>
        <w:tc>
          <w:tcPr>
            <w:tcW w:type="dxa" w:w="1560"/>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vAlign w:val="center"/>
          </w:tcPr>
          <w:p>
            <w:pPr>
              <w:jc w:val="center"/>
            </w:pPr>
            <w:r>
              <w:rPr>
                <w:rFonts w:ascii="Arial" w:cs="Arial" w:eastAsia="Arial" w:hAnsi="Arial"/>
                <w:b/>
                <w:bCs/>
                <w:color w:val="FFFFFF"/>
                <w:sz w:val="20"/>
                <w:szCs w:val="20"/>
              </w:rPr>
              <w:t xml:space="preserve">내부 수익</w:t>
            </w:r>
          </w:p>
        </w:tc>
      </w:tr>
    </w:tbl>
    <w:p>
      <w:pPr>
        <w:spacing w:before="0" w:after="80"/>
      </w:pPr>
      <w:r>
        <w:rPr>
          <w:rFonts w:ascii="Arial" w:cs="Arial" w:eastAsia="Arial" w:hAnsi="Arial"/>
        </w:rPr>
        <w:t xml:space="preserve"/>
      </w:r>
    </w:p>
    <w:p>
      <w:pPr>
        <w:spacing w:before="60" w:after="60"/>
      </w:pPr>
      <w:r>
        <w:rPr>
          <w:rFonts w:ascii="Arial" w:cs="Arial" w:eastAsia="Arial" w:hAnsi="Arial"/>
          <w:color w:val="2C3E50"/>
          <w:sz w:val="22"/>
          <w:szCs w:val="22"/>
        </w:rPr>
        <w:t xml:space="preserve">기존에는 Mr. Cooper가 관리하던 고객이 리파이낸싱을 원할 때 Wells Fargo, JPMorgan 등 경쟁사로 이탈했습니다. 이제는 Rocket Mortgage가 즉시 대출을 제공하며 $2.1조 규모의 고객을 내부에서 순환시킬 수 있습니다. 이것이 진정한 의미의 경제적 해자(Moat)입니다.</w:t>
      </w:r>
    </w:p>
    <w:p>
      <w:pPr>
        <w:spacing w:before="0" w:after="16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매크로 환경 분석</w:t>
      </w:r>
    </w:p>
    <w:p>
      <w:pPr>
        <w:spacing w:before="120" w:after="60"/>
      </w:pPr>
      <w:r>
        <w:rPr>
          <w:rFonts w:ascii="Arial" w:cs="Arial" w:eastAsia="Arial" w:hAnsi="Arial"/>
          <w:b/>
          <w:bCs/>
          <w:color w:val="C0392B"/>
          <w:spacing w:val="80"/>
          <w:sz w:val="18"/>
          <w:szCs w:val="18"/>
        </w:rPr>
        <w:t xml:space="preserve">THE TURNING POINT — 2026</w:t>
      </w:r>
    </w:p>
    <w:p>
      <w:pPr>
        <w:pStyle w:val="Heading2"/>
        <w:spacing w:before="320" w:after="120"/>
      </w:pPr>
      <w:r>
        <w:rPr>
          <w:rFonts w:ascii="Arial" w:cs="Arial" w:eastAsia="Arial" w:hAnsi="Arial"/>
          <w:b/>
          <w:bCs/>
          <w:color w:val="1A2E42"/>
          <w:sz w:val="28"/>
          <w:szCs w:val="28"/>
        </w:rPr>
        <w:t xml:space="preserve">미국 30년 모기지 금리 추이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c>
          <w:tcPr>
            <w:tcW w:type="dxa" w:w="24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시점</w:t>
            </w:r>
          </w:p>
        </w:tc>
        <w:tc>
          <w:tcPr>
            <w:tcW w:type="dxa" w:w="20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30년 모기지 금리</w:t>
            </w:r>
          </w:p>
        </w:tc>
        <w:tc>
          <w:tcPr>
            <w:tcW w:type="dxa" w:w="236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전년 대비</w:t>
            </w:r>
          </w:p>
        </w:tc>
        <w:tc>
          <w:tcPr>
            <w:tcW w:type="dxa" w:w="26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시장 영향</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2022년 말 (고점)</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7.08%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+400bp YoY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주택 시장 급랭</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2024년 초</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6.6~6.8%</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-40bp YoY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거래 부진 지속</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2025년 평균</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6.7%</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보합</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제한적 회복</w:t>
            </w:r>
          </w:p>
        </w:tc>
      </w:tr>
      <w:tr>
        <w:tc>
          <w:tcPr>
            <w:tcW w:type="dxa" w:w="2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2E42"/>
                <w:sz w:val="20"/>
                <w:szCs w:val="20"/>
              </w:rPr>
              <w:t xml:space="preserve">2026년 2월 26일 ★</w:t>
            </w:r>
          </w:p>
        </w:tc>
        <w:tc>
          <w:tcPr>
            <w:tcW w:type="dxa" w:w="20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5.98%</w:t>
            </w:r>
          </w:p>
        </w:tc>
        <w:tc>
          <w:tcPr>
            <w:tcW w:type="dxa" w:w="236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2E42"/>
                <w:sz w:val="20"/>
                <w:szCs w:val="20"/>
              </w:rPr>
              <w:t xml:space="preserve">-78bp YoY</w:t>
            </w:r>
          </w:p>
        </w:tc>
        <w:tc>
          <w:tcPr>
            <w:tcW w:type="dxa" w:w="26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2E42"/>
                <w:sz w:val="20"/>
                <w:szCs w:val="20"/>
              </w:rPr>
              <w:t xml:space="preserve">3.5년만 6% 하회</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6"/>
              <w:bottom w:val="single" w:color="CCCCCC" w:sz="4"/>
              <w:right w:val="single" w:color="CCCCCC" w:sz="4"/>
            </w:tcBorders>
            <w:shd w:fill="EAFAF1" w:val="clear"/>
            <w:tcMar>
              <w:top w:type="dxa" w:w="120"/>
              <w:left w:type="dxa" w:w="200"/>
              <w:bottom w:type="dxa" w:w="120"/>
              <w:right w:type="dxa" w:w="200"/>
            </w:tcMar>
          </w:tcPr>
          <w:p>
            <w:pPr>
              <w:spacing w:before="0" w:after="80"/>
            </w:pPr>
            <w:r>
              <w:rPr>
                <w:rFonts w:ascii="Arial" w:cs="Arial" w:eastAsia="Arial" w:hAnsi="Arial"/>
                <w:b/>
                <w:bCs/>
                <w:color w:val="1E8449"/>
                <w:sz w:val="22"/>
                <w:szCs w:val="22"/>
              </w:rPr>
              <w:t xml:space="preserve">🎯 핵심 포인트</w:t>
            </w:r>
          </w:p>
          <w:p>
            <w:pPr>
              <w:spacing w:before="0" w:after="0"/>
            </w:pPr>
            <w:r>
              <w:rPr>
                <w:rFonts w:ascii="Arial" w:cs="Arial" w:eastAsia="Arial" w:hAnsi="Arial"/>
                <w:color w:val="2C3E50"/>
                <w:sz w:val="20"/>
                <w:szCs w:val="20"/>
              </w:rPr>
              <w:t xml:space="preserve">2026년 2월 26일, Freddie Mac 기준 30년 모기지 금리가 5.98%로 2022년 9월 이후 처음으로 6% 아래로 하락했습니다. 이는 심리적 저항선 붕괴로, 주택 구매자와 리파이낸싱 수요를 동시에 자극하는 강력한 촉매입니다. 1년 전 6.76% 대비 78bp 하락은 월 상환금 기준으로 $100,000 대출 당 약 $55 감소 효과입니다.</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주택 시장 사이클 위치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8449" w:sz="4"/>
              <w:left w:val="single" w:color="1E8449" w:sz="4"/>
              <w:bottom w:val="single" w:color="1E8449" w:sz="4"/>
              <w:right w:val="single" w:color="1E8449" w:sz="4"/>
            </w:tcBorders>
            <w:shd w:fill="EAFAF1" w:val="clear"/>
            <w:tcMar>
              <w:top w:type="dxa" w:w="120"/>
              <w:left w:type="dxa" w:w="160"/>
              <w:bottom w:type="dxa" w:w="120"/>
              <w:right w:type="dxa" w:w="160"/>
            </w:tcMar>
          </w:tcPr>
          <w:p>
            <w:pPr>
              <w:spacing w:before="0" w:after="80"/>
            </w:pPr>
            <w:r>
              <w:rPr>
                <w:rFonts w:ascii="Arial" w:cs="Arial" w:eastAsia="Arial" w:hAnsi="Arial"/>
                <w:b/>
                <w:bCs/>
                <w:color w:val="1E8449"/>
                <w:sz w:val="20"/>
                <w:szCs w:val="20"/>
              </w:rPr>
              <w:t xml:space="preserve">긍정 요인 ✅</w:t>
            </w:r>
          </w:p>
          <w:p>
            <w:pPr>
              <w:pStyle w:val="ListParagraph"/>
              <w:numPr>
                <w:ilvl w:val="0"/>
                <w:numId w:val="2"/>
              </w:numPr>
              <w:spacing w:before="20" w:after="20"/>
            </w:pPr>
            <w:r>
              <w:rPr>
                <w:rFonts w:ascii="Arial" w:cs="Arial" w:eastAsia="Arial" w:hAnsi="Arial"/>
                <w:color w:val="445566"/>
                <w:sz w:val="19"/>
                <w:szCs w:val="19"/>
              </w:rPr>
              <w:t xml:space="preserve">모기지 금리 6% 이하 진입</w:t>
            </w:r>
          </w:p>
          <w:p>
            <w:pPr>
              <w:pStyle w:val="ListParagraph"/>
              <w:numPr>
                <w:ilvl w:val="0"/>
                <w:numId w:val="2"/>
              </w:numPr>
              <w:spacing w:before="20" w:after="20"/>
            </w:pPr>
            <w:r>
              <w:rPr>
                <w:rFonts w:ascii="Arial" w:cs="Arial" w:eastAsia="Arial" w:hAnsi="Arial"/>
                <w:color w:val="445566"/>
                <w:sz w:val="19"/>
                <w:szCs w:val="19"/>
              </w:rPr>
              <w:t xml:space="preserve">집값 여전히 높음</w:t>
            </w:r>
          </w:p>
          <w:p>
            <w:pPr>
              <w:pStyle w:val="ListParagraph"/>
              <w:numPr>
                <w:ilvl w:val="0"/>
                <w:numId w:val="2"/>
              </w:numPr>
              <w:spacing w:before="20" w:after="20"/>
            </w:pPr>
            <w:r>
              <w:rPr>
                <w:rFonts w:ascii="Arial" w:cs="Arial" w:eastAsia="Arial" w:hAnsi="Arial"/>
                <w:color w:val="445566"/>
                <w:sz w:val="19"/>
                <w:szCs w:val="19"/>
              </w:rPr>
              <w:t xml:space="preserve">Fed 금리 동결 기조</w:t>
            </w:r>
          </w:p>
        </w:tc>
        <w:tc>
          <w:tcPr>
            <w:tcW w:type="dxa" w:w="3000"/>
            <w:tcBorders>
              <w:top w:val="single" w:color="C0392B" w:sz="4"/>
              <w:left w:val="single" w:color="C0392B" w:sz="4"/>
              <w:bottom w:val="single" w:color="C0392B" w:sz="4"/>
              <w:right w:val="single" w:color="C0392B" w:sz="4"/>
            </w:tcBorders>
            <w:shd w:fill="FDECEA" w:val="clear"/>
            <w:tcMar>
              <w:top w:type="dxa" w:w="120"/>
              <w:left w:type="dxa" w:w="160"/>
              <w:bottom w:type="dxa" w:w="120"/>
              <w:right w:type="dxa" w:w="160"/>
            </w:tcMar>
          </w:tcPr>
          <w:p>
            <w:pPr>
              <w:spacing w:before="0" w:after="80"/>
            </w:pPr>
            <w:r>
              <w:rPr>
                <w:rFonts w:ascii="Arial" w:cs="Arial" w:eastAsia="Arial" w:hAnsi="Arial"/>
                <w:b/>
                <w:bCs/>
                <w:color w:val="C0392B"/>
                <w:sz w:val="20"/>
                <w:szCs w:val="20"/>
              </w:rPr>
              <w:t xml:space="preserve">부정 요인 ⚠️</w:t>
            </w:r>
          </w:p>
          <w:p>
            <w:pPr>
              <w:pStyle w:val="ListParagraph"/>
              <w:numPr>
                <w:ilvl w:val="0"/>
                <w:numId w:val="2"/>
              </w:numPr>
              <w:spacing w:before="20" w:after="20"/>
            </w:pPr>
            <w:r>
              <w:rPr>
                <w:rFonts w:ascii="Arial" w:cs="Arial" w:eastAsia="Arial" w:hAnsi="Arial"/>
                <w:color w:val="445566"/>
                <w:sz w:val="19"/>
                <w:szCs w:val="19"/>
              </w:rPr>
              <w:t xml:space="preserve">봄 주택 시즌 도래</w:t>
            </w:r>
          </w:p>
          <w:p>
            <w:pPr>
              <w:pStyle w:val="ListParagraph"/>
              <w:numPr>
                <w:ilvl w:val="0"/>
                <w:numId w:val="2"/>
              </w:numPr>
              <w:spacing w:before="20" w:after="20"/>
            </w:pPr>
            <w:r>
              <w:rPr>
                <w:rFonts w:ascii="Arial" w:cs="Arial" w:eastAsia="Arial" w:hAnsi="Arial"/>
                <w:color w:val="445566"/>
                <w:sz w:val="19"/>
                <w:szCs w:val="19"/>
              </w:rPr>
              <w:t xml:space="preserve">1월 판매 -8.4% MoM</w:t>
            </w:r>
          </w:p>
          <w:p>
            <w:pPr>
              <w:pStyle w:val="ListParagraph"/>
              <w:numPr>
                <w:ilvl w:val="0"/>
                <w:numId w:val="2"/>
              </w:numPr>
              <w:spacing w:before="20" w:after="20"/>
            </w:pPr>
            <w:r>
              <w:rPr>
                <w:rFonts w:ascii="Arial" w:cs="Arial" w:eastAsia="Arial" w:hAnsi="Arial"/>
                <w:color w:val="445566"/>
                <w:sz w:val="19"/>
                <w:szCs w:val="19"/>
              </w:rPr>
              <w:t xml:space="preserve">경기 불확실성</w:t>
            </w:r>
          </w:p>
        </w:tc>
        <w:tc>
          <w:tcPr>
            <w:tcW w:type="dxa" w:w="3360"/>
            <w:tcBorders>
              <w:top w:val="single" w:color="D4A017" w:sz="4"/>
              <w:left w:val="single" w:color="D4A017" w:sz="4"/>
              <w:bottom w:val="single" w:color="D4A017" w:sz="4"/>
              <w:right w:val="single" w:color="D4A017" w:sz="4"/>
            </w:tcBorders>
            <w:shd w:fill="FEF9E7" w:val="clear"/>
            <w:tcMar>
              <w:top w:type="dxa" w:w="120"/>
              <w:left w:type="dxa" w:w="160"/>
              <w:bottom w:type="dxa" w:w="120"/>
              <w:right w:type="dxa" w:w="160"/>
            </w:tcMar>
          </w:tcPr>
          <w:p>
            <w:pPr>
              <w:spacing w:before="0" w:after="80"/>
            </w:pPr>
            <w:r>
              <w:rPr>
                <w:rFonts w:ascii="Arial" w:cs="Arial" w:eastAsia="Arial" w:hAnsi="Arial"/>
                <w:b/>
                <w:bCs/>
                <w:color w:val="D4A017"/>
                <w:sz w:val="20"/>
                <w:szCs w:val="20"/>
              </w:rPr>
              <w:t xml:space="preserve">중립 요인 →</w:t>
            </w:r>
          </w:p>
          <w:p>
            <w:pPr>
              <w:pStyle w:val="ListParagraph"/>
              <w:numPr>
                <w:ilvl w:val="0"/>
                <w:numId w:val="2"/>
              </w:numPr>
              <w:spacing w:before="20" w:after="20"/>
            </w:pPr>
            <w:r>
              <w:rPr>
                <w:rFonts w:ascii="Arial" w:cs="Arial" w:eastAsia="Arial" w:hAnsi="Arial"/>
                <w:color w:val="445566"/>
                <w:sz w:val="19"/>
                <w:szCs w:val="19"/>
              </w:rPr>
              <w:t xml:space="preserve">매물 공급 증가 추세</w:t>
            </w:r>
          </w:p>
          <w:p>
            <w:pPr>
              <w:pStyle w:val="ListParagraph"/>
              <w:numPr>
                <w:ilvl w:val="0"/>
                <w:numId w:val="2"/>
              </w:numPr>
              <w:spacing w:before="20" w:after="20"/>
            </w:pPr>
            <w:r>
              <w:rPr>
                <w:rFonts w:ascii="Arial" w:cs="Arial" w:eastAsia="Arial" w:hAnsi="Arial"/>
                <w:color w:val="445566"/>
                <w:sz w:val="19"/>
                <w:szCs w:val="19"/>
              </w:rPr>
              <w:t xml:space="preserve">바이어 심리 위축</w:t>
            </w:r>
          </w:p>
          <w:p>
            <w:pPr>
              <w:pStyle w:val="ListParagraph"/>
              <w:numPr>
                <w:ilvl w:val="0"/>
                <w:numId w:val="2"/>
              </w:numPr>
              <w:spacing w:before="20" w:after="20"/>
            </w:pPr>
            <w:r>
              <w:rPr>
                <w:rFonts w:ascii="Arial" w:cs="Arial" w:eastAsia="Arial" w:hAnsi="Arial"/>
                <w:color w:val="445566"/>
                <w:sz w:val="19"/>
                <w:szCs w:val="19"/>
              </w:rPr>
              <w:t xml:space="preserve">고용 시장 안정</w:t>
            </w:r>
          </w:p>
        </w:tc>
      </w:tr>
    </w:tbl>
    <w:p>
      <w:pPr>
        <w:spacing w:before="0" w:after="16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재무 분석</w:t>
      </w:r>
    </w:p>
    <w:p>
      <w:pPr>
        <w:spacing w:before="120" w:after="60"/>
      </w:pPr>
      <w:r>
        <w:rPr>
          <w:rFonts w:ascii="Arial" w:cs="Arial" w:eastAsia="Arial" w:hAnsi="Arial"/>
          <w:b/>
          <w:bCs/>
          <w:color w:val="C0392B"/>
          <w:spacing w:val="80"/>
          <w:sz w:val="18"/>
          <w:szCs w:val="18"/>
        </w:rPr>
        <w:t xml:space="preserve">FINANCIAL PERFORMANCE 2022–2025</w:t>
      </w:r>
    </w:p>
    <w:p>
      <w:pPr>
        <w:pStyle w:val="Heading2"/>
        <w:spacing w:before="320" w:after="120"/>
      </w:pPr>
      <w:r>
        <w:rPr>
          <w:rFonts w:ascii="Arial" w:cs="Arial" w:eastAsia="Arial" w:hAnsi="Arial"/>
          <w:b/>
          <w:bCs/>
          <w:color w:val="1A2E42"/>
          <w:sz w:val="28"/>
          <w:szCs w:val="28"/>
        </w:rPr>
        <w:t xml:space="preserve">연간 매출 추이 (조정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2022</w:t>
            </w:r>
          </w:p>
        </w:tc>
        <w:tc>
          <w:tcPr>
            <w:tcW w:type="dxa" w:w="234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2023</w:t>
            </w:r>
          </w:p>
        </w:tc>
        <w:tc>
          <w:tcPr>
            <w:tcW w:type="dxa" w:w="234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w:t>
            </w:r>
          </w:p>
        </w:tc>
        <w:tc>
          <w:tcPr>
            <w:tcW w:type="dxa" w:w="234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(FY)</w:t>
            </w:r>
          </w:p>
        </w:tc>
      </w:tr>
      <w:tr>
        <w:tc>
          <w:tcPr>
            <w:tcW w:type="dxa" w:w="2340"/>
            <w:tcBorders>
              <w:top w:val="single" w:color="CCCCCC" w:sz="4"/>
              <w:left w:val="single" w:color="CCCCCC" w:sz="4"/>
              <w:bottom w:val="single" w:color="CCCCCC" w:sz="4"/>
              <w:right w:val="single" w:color="CCCCCC" w:sz="4"/>
            </w:tcBorders>
            <w:shd w:fill="FDECEA" w:val="clear"/>
            <w:tcMar>
              <w:top w:type="dxa" w:w="100"/>
              <w:left w:type="dxa" w:w="120"/>
              <w:bottom w:type="dxa" w:w="100"/>
              <w:right w:type="dxa" w:w="120"/>
            </w:tcMar>
          </w:tcPr>
          <w:p>
            <w:pPr>
              <w:jc w:val="center"/>
            </w:pPr>
            <w:r>
              <w:rPr>
                <w:rFonts w:ascii="Arial" w:cs="Arial" w:eastAsia="Arial" w:hAnsi="Arial"/>
                <w:b/>
                <w:bCs/>
                <w:color w:val="1A2E42"/>
                <w:sz w:val="26"/>
                <w:szCs w:val="26"/>
              </w:rPr>
              <w:t xml:space="preserve">$38억</w:t>
            </w:r>
          </w:p>
        </w:tc>
        <w:tc>
          <w:tcPr>
            <w:tcW w:type="dxa" w:w="2340"/>
            <w:tcBorders>
              <w:top w:val="single" w:color="CCCCCC" w:sz="4"/>
              <w:left w:val="single" w:color="CCCCCC" w:sz="4"/>
              <w:bottom w:val="single" w:color="CCCCCC" w:sz="4"/>
              <w:right w:val="single" w:color="CCCCCC" w:sz="4"/>
            </w:tcBorders>
            <w:shd w:fill="FDECEA" w:val="clear"/>
            <w:tcMar>
              <w:top w:type="dxa" w:w="100"/>
              <w:left w:type="dxa" w:w="120"/>
              <w:bottom w:type="dxa" w:w="100"/>
              <w:right w:type="dxa" w:w="120"/>
            </w:tcMar>
          </w:tcPr>
          <w:p>
            <w:pPr>
              <w:jc w:val="center"/>
            </w:pPr>
            <w:r>
              <w:rPr>
                <w:rFonts w:ascii="Arial" w:cs="Arial" w:eastAsia="Arial" w:hAnsi="Arial"/>
                <w:b/>
                <w:bCs/>
                <w:color w:val="1A2E42"/>
                <w:sz w:val="26"/>
                <w:szCs w:val="26"/>
              </w:rPr>
              <w:t xml:space="preserve">$31억</w:t>
            </w:r>
          </w:p>
          <w:p>
            <w:pPr>
              <w:jc w:val="center"/>
            </w:pPr>
            <w:r>
              <w:rPr>
                <w:rFonts w:ascii="Arial" w:cs="Arial" w:eastAsia="Arial" w:hAnsi="Arial"/>
                <w:color w:val="C0392B"/>
                <w:sz w:val="18"/>
                <w:szCs w:val="18"/>
              </w:rPr>
              <w:t xml:space="preserve">▼ -18%</w:t>
            </w:r>
          </w:p>
        </w:tc>
        <w:tc>
          <w:tcPr>
            <w:tcW w:type="dxa" w:w="2340"/>
            <w:tcBorders>
              <w:top w:val="single" w:color="CCCCCC" w:sz="4"/>
              <w:left w:val="single" w:color="CCCCCC" w:sz="4"/>
              <w:bottom w:val="single" w:color="CCCCCC" w:sz="4"/>
              <w:right w:val="single" w:color="CCCCCC" w:sz="4"/>
            </w:tcBorders>
            <w:shd w:fill="EAFAF1" w:val="clear"/>
            <w:tcMar>
              <w:top w:type="dxa" w:w="100"/>
              <w:left w:type="dxa" w:w="120"/>
              <w:bottom w:type="dxa" w:w="100"/>
              <w:right w:type="dxa" w:w="120"/>
            </w:tcMar>
          </w:tcPr>
          <w:p>
            <w:pPr>
              <w:jc w:val="center"/>
            </w:pPr>
            <w:r>
              <w:rPr>
                <w:rFonts w:ascii="Arial" w:cs="Arial" w:eastAsia="Arial" w:hAnsi="Arial"/>
                <w:b/>
                <w:bCs/>
                <w:color w:val="1A2E42"/>
                <w:sz w:val="26"/>
                <w:szCs w:val="26"/>
              </w:rPr>
              <w:t xml:space="preserve">$45억</w:t>
            </w:r>
          </w:p>
          <w:p>
            <w:pPr>
              <w:jc w:val="center"/>
            </w:pPr>
            <w:r>
              <w:rPr>
                <w:rFonts w:ascii="Arial" w:cs="Arial" w:eastAsia="Arial" w:hAnsi="Arial"/>
                <w:color w:val="1E8449"/>
                <w:sz w:val="18"/>
                <w:szCs w:val="18"/>
              </w:rPr>
              <w:t xml:space="preserve">▲ +45%</w:t>
            </w:r>
          </w:p>
        </w:tc>
        <w:tc>
          <w:tcPr>
            <w:tcW w:type="dxa" w:w="2340"/>
            <w:tcBorders>
              <w:top w:val="single" w:color="CCCCCC" w:sz="4"/>
              <w:left w:val="single" w:color="CCCCCC" w:sz="4"/>
              <w:bottom w:val="single" w:color="CCCCCC" w:sz="4"/>
              <w:right w:val="single" w:color="CCCCCC" w:sz="4"/>
            </w:tcBorders>
            <w:shd w:fill="EAFAF1" w:val="clear"/>
            <w:tcMar>
              <w:top w:type="dxa" w:w="100"/>
              <w:left w:type="dxa" w:w="120"/>
              <w:bottom w:type="dxa" w:w="100"/>
              <w:right w:type="dxa" w:w="120"/>
            </w:tcMar>
          </w:tcPr>
          <w:p>
            <w:pPr>
              <w:jc w:val="center"/>
            </w:pPr>
            <w:r>
              <w:rPr>
                <w:rFonts w:ascii="Arial" w:cs="Arial" w:eastAsia="Arial" w:hAnsi="Arial"/>
                <w:b/>
                <w:bCs/>
                <w:color w:val="1A2E42"/>
                <w:sz w:val="26"/>
                <w:szCs w:val="26"/>
              </w:rPr>
              <w:t xml:space="preserve">$69억</w:t>
            </w:r>
          </w:p>
          <w:p>
            <w:pPr>
              <w:jc w:val="center"/>
            </w:pPr>
            <w:r>
              <w:rPr>
                <w:rFonts w:ascii="Arial" w:cs="Arial" w:eastAsia="Arial" w:hAnsi="Arial"/>
                <w:color w:val="1E8449"/>
                <w:sz w:val="18"/>
                <w:szCs w:val="18"/>
              </w:rPr>
              <w:t xml:space="preserve">▲ +53%</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Q4 2025 실적 — 어닝 서프라이즈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2000"/>
        <w:gridCol w:w="2240"/>
      </w:tblGrid>
      <w:tr>
        <w:tc>
          <w:tcPr>
            <w:tcW w:type="dxa" w:w="312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지표</w:t>
            </w:r>
          </w:p>
        </w:tc>
        <w:tc>
          <w:tcPr>
            <w:tcW w:type="dxa" w:w="20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컨센서스</w:t>
            </w:r>
          </w:p>
        </w:tc>
        <w:tc>
          <w:tcPr>
            <w:tcW w:type="dxa" w:w="20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실제</w:t>
            </w:r>
          </w:p>
        </w:tc>
        <w:tc>
          <w:tcPr>
            <w:tcW w:type="dxa" w:w="224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서프라이즈</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조정 매출 (Q4)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$2.29B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$2.44B</w:t>
            </w:r>
          </w:p>
        </w:tc>
        <w:tc>
          <w:tcPr>
            <w:tcW w:type="dxa" w:w="224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+6.6%</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조정 EPS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$0.09</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$0.11</w:t>
            </w:r>
          </w:p>
        </w:tc>
        <w:tc>
          <w:tcPr>
            <w:tcW w:type="dxa" w:w="224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+22%</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Q1 2026 가이던스</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$2.33B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42"/>
                <w:sz w:val="20"/>
                <w:szCs w:val="20"/>
              </w:rPr>
              <w:t xml:space="preserve">$2.7B (중간값)</w:t>
            </w:r>
          </w:p>
        </w:tc>
        <w:tc>
          <w:tcPr>
            <w:tcW w:type="dxa" w:w="224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+16% 상회</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클로즈드 론 볼륨</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1A2E42"/>
                <w:sz w:val="20"/>
                <w:szCs w:val="20"/>
              </w:rPr>
              <w:t xml:space="preserve">$410억</w:t>
            </w:r>
          </w:p>
        </w:tc>
        <w:tc>
          <w:tcPr>
            <w:tcW w:type="dxa" w:w="224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 4년 최고</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한국 주요 금융사와 규모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기업</w:t>
            </w:r>
          </w:p>
        </w:tc>
        <w:tc>
          <w:tcPr>
            <w:tcW w:type="dxa" w:w="22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시가총액</w:t>
            </w:r>
          </w:p>
        </w:tc>
        <w:tc>
          <w:tcPr>
            <w:tcW w:type="dxa" w:w="220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비즈니스 성격</w:t>
            </w:r>
          </w:p>
        </w:tc>
        <w:tc>
          <w:tcPr>
            <w:tcW w:type="dxa" w:w="2160"/>
            <w:tcBorders>
              <w:top w:val="single" w:color="1A2E42" w:sz="4"/>
              <w:left w:val="single" w:color="1A2E42" w:sz="4"/>
              <w:bottom w:val="single" w:color="1A2E42" w:sz="4"/>
              <w:right w:val="single" w:color="1A2E42" w:sz="4"/>
            </w:tcBorders>
            <w:shd w:fill="1A2E42" w:val="clear"/>
            <w:tcMar>
              <w:top w:type="dxa" w:w="80"/>
              <w:left w:type="dxa" w:w="120"/>
              <w:bottom w:type="dxa" w:w="80"/>
              <w:right w:type="dxa" w:w="120"/>
            </w:tcMar>
          </w:tcPr>
          <w:p>
            <w:r>
              <w:rPr>
                <w:rFonts w:ascii="Arial" w:cs="Arial" w:eastAsia="Arial" w:hAnsi="Arial"/>
                <w:b/>
                <w:bCs/>
                <w:color w:val="FFFFFF"/>
                <w:sz w:val="20"/>
                <w:szCs w:val="20"/>
              </w:rPr>
              <w:t xml:space="preserve">수익성</w:t>
            </w:r>
          </w:p>
        </w:tc>
      </w:tr>
      <w:tr>
        <w:tc>
          <w:tcPr>
            <w:tcW w:type="dxa" w:w="28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2E42"/>
                <w:sz w:val="20"/>
                <w:szCs w:val="20"/>
              </w:rPr>
              <w:t xml:space="preserve">RKT (Rocket Companies)</w:t>
            </w:r>
          </w:p>
        </w:tc>
        <w:tc>
          <w:tcPr>
            <w:tcW w:type="dxa" w:w="22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2E42"/>
                <w:sz w:val="20"/>
                <w:szCs w:val="20"/>
              </w:rPr>
              <w:t xml:space="preserve">~$500억 (72조원)</w:t>
            </w:r>
          </w:p>
        </w:tc>
        <w:tc>
          <w:tcPr>
            <w:tcW w:type="dxa" w:w="220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2E42"/>
                <w:sz w:val="20"/>
                <w:szCs w:val="20"/>
              </w:rPr>
              <w:t xml:space="preserve">디지털 모기지 특화</w:t>
            </w:r>
          </w:p>
        </w:tc>
        <w:tc>
          <w:tcPr>
            <w:tcW w:type="dxa" w:w="2160"/>
            <w:tcBorders>
              <w:top w:val="single" w:color="CCCCCC" w:sz="4"/>
              <w:left w:val="single" w:color="CCCCCC" w:sz="4"/>
              <w:bottom w:val="single" w:color="CCCCCC" w:sz="4"/>
              <w:right w:val="single" w:color="CCCCCC" w:sz="4"/>
            </w:tcBorders>
            <w:shd w:fill="EEF4FF" w:val="clear"/>
            <w:tcMar>
              <w:top w:type="dxa" w:w="80"/>
              <w:left w:type="dxa" w:w="120"/>
              <w:bottom w:type="dxa" w:w="80"/>
              <w:right w:type="dxa" w:w="120"/>
            </w:tcMar>
          </w:tcPr>
          <w:p>
            <w:r>
              <w:rPr>
                <w:rFonts w:ascii="Arial" w:cs="Arial" w:eastAsia="Arial" w:hAnsi="Arial"/>
                <w:b/>
                <w:bCs/>
                <w:color w:val="1A2E42"/>
                <w:sz w:val="20"/>
                <w:szCs w:val="20"/>
              </w:rPr>
              <w:t xml:space="preserve">GAAP 적자, 조정 흑자</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KB금융지주</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~63조원</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종합 금융지주</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순이익 5.8조 (흑자)</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5566"/>
                <w:sz w:val="20"/>
                <w:szCs w:val="20"/>
              </w:rPr>
              <w:t xml:space="preserve">신한금융지주</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5566"/>
                <w:sz w:val="20"/>
                <w:szCs w:val="20"/>
              </w:rPr>
              <w:t xml:space="preserve">~38조원</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5566"/>
                <w:sz w:val="20"/>
                <w:szCs w:val="20"/>
              </w:rPr>
              <w:t xml:space="preserve">종합 금융지주</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5566"/>
                <w:sz w:val="20"/>
                <w:szCs w:val="20"/>
              </w:rPr>
              <w:t xml:space="preserve">순이익 4.9조 (흑자)</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카카오뱅크</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~12조원</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인터넷전문은행</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45566"/>
                <w:sz w:val="20"/>
                <w:szCs w:val="20"/>
              </w:rPr>
              <w:t xml:space="preserve">흑자 전환</w:t>
            </w:r>
          </w:p>
        </w:tc>
      </w:tr>
    </w:tbl>
    <w:p>
      <w:pPr>
        <w:spacing w:before="0" w:after="16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장기 시나리오 분석</w:t>
      </w:r>
    </w:p>
    <w:p>
      <w:pPr>
        <w:spacing w:before="120" w:after="60"/>
      </w:pPr>
      <w:r>
        <w:rPr>
          <w:rFonts w:ascii="Arial" w:cs="Arial" w:eastAsia="Arial" w:hAnsi="Arial"/>
          <w:b/>
          <w:bCs/>
          <w:color w:val="C0392B"/>
          <w:spacing w:val="80"/>
          <w:sz w:val="18"/>
          <w:szCs w:val="18"/>
        </w:rPr>
        <w:t xml:space="preserve">3-YEAR PRICE TARGET SCENARIOS</w:t>
      </w:r>
    </w:p>
    <w:p>
      <w:pPr>
        <w:spacing w:before="60" w:after="60"/>
      </w:pPr>
      <w:r>
        <w:rPr>
          <w:rFonts w:ascii="Arial" w:cs="Arial" w:eastAsia="Arial" w:hAnsi="Arial"/>
          <w:color w:val="2C3E50"/>
          <w:sz w:val="22"/>
          <w:szCs w:val="22"/>
        </w:rPr>
        <w:t xml:space="preserve">아래 세 가지 시나리오는 3년(2026~2028) 기준 목표주가 및 투자 가정을 정리한 것입니다.</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4"/>
              <w:left w:val="single" w:color="1E8449" w:sz="4"/>
              <w:bottom w:val="single" w:color="1E8449" w:sz="4"/>
              <w:right w:val="single" w:color="1E8449" w:sz="4"/>
            </w:tcBorders>
            <w:shd w:fill="1E8449" w:val="clear"/>
            <w:tcMar>
              <w:top w:type="dxa" w:w="80"/>
              <w:left w:type="dxa" w:w="160"/>
              <w:bottom w:type="dxa" w:w="80"/>
              <w:right w:type="dxa" w:w="160"/>
            </w:tcMar>
          </w:tcPr>
          <w:p>
            <w:pPr>
              <w:spacing w:before="0" w:after="40"/>
              <w:jc w:val="center"/>
            </w:pPr>
            <w:r>
              <w:rPr>
                <w:rFonts w:ascii="Arial" w:cs="Arial" w:eastAsia="Arial" w:hAnsi="Arial"/>
                <w:b/>
                <w:bCs/>
                <w:color w:val="FFFFFF"/>
                <w:sz w:val="24"/>
                <w:szCs w:val="24"/>
              </w:rPr>
              <w:t xml:space="preserve">🐂 Bull Case</w:t>
            </w:r>
          </w:p>
          <w:p>
            <w:pPr>
              <w:spacing w:before="0" w:after="0"/>
              <w:jc w:val="center"/>
            </w:pPr>
            <w:r>
              <w:rPr>
                <w:rFonts w:ascii="Arial" w:cs="Arial" w:eastAsia="Arial" w:hAnsi="Arial"/>
                <w:color w:val="FFFFFF"/>
                <w:sz w:val="18"/>
                <w:szCs w:val="18"/>
              </w:rPr>
              <w:t xml:space="preserve">확률 30%</w:t>
            </w:r>
          </w:p>
        </w:tc>
        <w:tc>
          <w:tcPr>
            <w:tcW w:type="dxa" w:w="3120"/>
            <w:tcBorders>
              <w:top w:val="single" w:color="D4A017" w:sz="4"/>
              <w:left w:val="single" w:color="D4A017" w:sz="4"/>
              <w:bottom w:val="single" w:color="D4A017" w:sz="4"/>
              <w:right w:val="single" w:color="D4A017" w:sz="4"/>
            </w:tcBorders>
            <w:shd w:fill="D4A017" w:val="clear"/>
            <w:tcMar>
              <w:top w:type="dxa" w:w="80"/>
              <w:left w:type="dxa" w:w="160"/>
              <w:bottom w:type="dxa" w:w="80"/>
              <w:right w:type="dxa" w:w="160"/>
            </w:tcMar>
          </w:tcPr>
          <w:p>
            <w:pPr>
              <w:spacing w:before="0" w:after="40"/>
              <w:jc w:val="center"/>
            </w:pPr>
            <w:r>
              <w:rPr>
                <w:rFonts w:ascii="Arial" w:cs="Arial" w:eastAsia="Arial" w:hAnsi="Arial"/>
                <w:b/>
                <w:bCs/>
                <w:color w:val="FFFFFF"/>
                <w:sz w:val="24"/>
                <w:szCs w:val="24"/>
              </w:rPr>
              <w:t xml:space="preserve">📊 Base Case</w:t>
            </w:r>
          </w:p>
          <w:p>
            <w:pPr>
              <w:spacing w:before="0" w:after="0"/>
              <w:jc w:val="center"/>
            </w:pPr>
            <w:r>
              <w:rPr>
                <w:rFonts w:ascii="Arial" w:cs="Arial" w:eastAsia="Arial" w:hAnsi="Arial"/>
                <w:color w:val="FFFFFF"/>
                <w:sz w:val="18"/>
                <w:szCs w:val="18"/>
              </w:rPr>
              <w:t xml:space="preserve">확률 50%</w:t>
            </w:r>
          </w:p>
        </w:tc>
        <w:tc>
          <w:tcPr>
            <w:tcW w:type="dxa" w:w="3120"/>
            <w:tcBorders>
              <w:top w:val="single" w:color="C0392B" w:sz="4"/>
              <w:left w:val="single" w:color="C0392B" w:sz="4"/>
              <w:bottom w:val="single" w:color="C0392B" w:sz="4"/>
              <w:right w:val="single" w:color="C0392B" w:sz="4"/>
            </w:tcBorders>
            <w:shd w:fill="C0392B" w:val="clear"/>
            <w:tcMar>
              <w:top w:type="dxa" w:w="80"/>
              <w:left w:type="dxa" w:w="160"/>
              <w:bottom w:type="dxa" w:w="80"/>
              <w:right w:type="dxa" w:w="160"/>
            </w:tcMar>
          </w:tcPr>
          <w:p>
            <w:pPr>
              <w:spacing w:before="0" w:after="40"/>
              <w:jc w:val="center"/>
            </w:pPr>
            <w:r>
              <w:rPr>
                <w:rFonts w:ascii="Arial" w:cs="Arial" w:eastAsia="Arial" w:hAnsi="Arial"/>
                <w:b/>
                <w:bCs/>
                <w:color w:val="FFFFFF"/>
                <w:sz w:val="24"/>
                <w:szCs w:val="24"/>
              </w:rPr>
              <w:t xml:space="preserve">🐻 Bear Case</w:t>
            </w:r>
          </w:p>
          <w:p>
            <w:pPr>
              <w:spacing w:before="0" w:after="0"/>
              <w:jc w:val="center"/>
            </w:pPr>
            <w:r>
              <w:rPr>
                <w:rFonts w:ascii="Arial" w:cs="Arial" w:eastAsia="Arial" w:hAnsi="Arial"/>
                <w:color w:val="FFFFFF"/>
                <w:sz w:val="18"/>
                <w:szCs w:val="18"/>
              </w:rPr>
              <w:t xml:space="preserve">확률 20%</w:t>
            </w:r>
          </w:p>
        </w:tc>
      </w:tr>
      <w:tr>
        <w:tc>
          <w:tcPr>
            <w:tcW w:type="dxa" w:w="3120"/>
            <w:tcBorders>
              <w:top w:val="single" w:color="CCCCCC" w:sz="4"/>
              <w:left w:val="single" w:color="CCCCCC" w:sz="4"/>
              <w:bottom w:val="single" w:color="CCCCCC" w:sz="4"/>
              <w:right w:val="single" w:color="CCCCCC" w:sz="4"/>
            </w:tcBorders>
            <w:shd w:fill="EAFAF1" w:val="clear"/>
            <w:tcMar>
              <w:top w:type="dxa" w:w="100"/>
              <w:left w:type="dxa" w:w="160"/>
              <w:bottom w:type="dxa" w:w="100"/>
              <w:right w:type="dxa" w:w="160"/>
            </w:tcMar>
          </w:tcPr>
          <w:p>
            <w:pPr>
              <w:spacing w:before="0" w:after="40"/>
              <w:jc w:val="center"/>
            </w:pPr>
            <w:r>
              <w:rPr>
                <w:rFonts w:ascii="Arial" w:cs="Arial" w:eastAsia="Arial" w:hAnsi="Arial"/>
                <w:color w:val="666666"/>
                <w:sz w:val="18"/>
                <w:szCs w:val="18"/>
              </w:rPr>
              <w:t xml:space="preserve">목표가</w:t>
            </w:r>
          </w:p>
          <w:p>
            <w:pPr>
              <w:spacing w:before="0" w:after="40"/>
              <w:jc w:val="center"/>
            </w:pPr>
            <w:r>
              <w:rPr>
                <w:rFonts w:ascii="Arial" w:cs="Arial" w:eastAsia="Arial" w:hAnsi="Arial"/>
                <w:b/>
                <w:bCs/>
                <w:color w:val="1E8449"/>
                <w:sz w:val="32"/>
                <w:szCs w:val="32"/>
              </w:rPr>
              <w:t xml:space="preserve">$32~38</w:t>
            </w:r>
          </w:p>
          <w:p>
            <w:pPr>
              <w:spacing w:before="0" w:after="0"/>
              <w:jc w:val="center"/>
            </w:pPr>
            <w:r>
              <w:rPr>
                <w:rFonts w:ascii="Arial" w:cs="Arial" w:eastAsia="Arial" w:hAnsi="Arial"/>
                <w:b/>
                <w:bCs/>
                <w:color w:val="1E8449"/>
                <w:sz w:val="20"/>
                <w:szCs w:val="20"/>
              </w:rPr>
              <w:t xml:space="preserve">+80~113%</w:t>
            </w:r>
          </w:p>
        </w:tc>
        <w:tc>
          <w:tcPr>
            <w:tcW w:type="dxa" w:w="3120"/>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spacing w:before="0" w:after="40"/>
              <w:jc w:val="center"/>
            </w:pPr>
            <w:r>
              <w:rPr>
                <w:rFonts w:ascii="Arial" w:cs="Arial" w:eastAsia="Arial" w:hAnsi="Arial"/>
                <w:color w:val="666666"/>
                <w:sz w:val="18"/>
                <w:szCs w:val="18"/>
              </w:rPr>
              <w:t xml:space="preserve">목표가</w:t>
            </w:r>
          </w:p>
          <w:p>
            <w:pPr>
              <w:spacing w:before="0" w:after="40"/>
              <w:jc w:val="center"/>
            </w:pPr>
            <w:r>
              <w:rPr>
                <w:rFonts w:ascii="Arial" w:cs="Arial" w:eastAsia="Arial" w:hAnsi="Arial"/>
                <w:b/>
                <w:bCs/>
                <w:color w:val="9A7200"/>
                <w:sz w:val="32"/>
                <w:szCs w:val="32"/>
              </w:rPr>
              <w:t xml:space="preserve">$24~28</w:t>
            </w:r>
          </w:p>
          <w:p>
            <w:pPr>
              <w:spacing w:before="0" w:after="0"/>
              <w:jc w:val="center"/>
            </w:pPr>
            <w:r>
              <w:rPr>
                <w:rFonts w:ascii="Arial" w:cs="Arial" w:eastAsia="Arial" w:hAnsi="Arial"/>
                <w:b/>
                <w:bCs/>
                <w:color w:val="9A7200"/>
                <w:sz w:val="20"/>
                <w:szCs w:val="20"/>
              </w:rPr>
              <w:t xml:space="preserve">+35~57%</w:t>
            </w:r>
          </w:p>
        </w:tc>
        <w:tc>
          <w:tcPr>
            <w:tcW w:type="dxa" w:w="3120"/>
            <w:tcBorders>
              <w:top w:val="single" w:color="CCCCCC" w:sz="4"/>
              <w:left w:val="single" w:color="CCCCCC" w:sz="4"/>
              <w:bottom w:val="single" w:color="CCCCCC" w:sz="4"/>
              <w:right w:val="single" w:color="CCCCCC" w:sz="4"/>
            </w:tcBorders>
            <w:shd w:fill="FDECEA" w:val="clear"/>
            <w:tcMar>
              <w:top w:type="dxa" w:w="100"/>
              <w:left w:type="dxa" w:w="160"/>
              <w:bottom w:type="dxa" w:w="100"/>
              <w:right w:type="dxa" w:w="160"/>
            </w:tcMar>
          </w:tcPr>
          <w:p>
            <w:pPr>
              <w:spacing w:before="0" w:after="40"/>
              <w:jc w:val="center"/>
            </w:pPr>
            <w:r>
              <w:rPr>
                <w:rFonts w:ascii="Arial" w:cs="Arial" w:eastAsia="Arial" w:hAnsi="Arial"/>
                <w:color w:val="666666"/>
                <w:sz w:val="18"/>
                <w:szCs w:val="18"/>
              </w:rPr>
              <w:t xml:space="preserve">목표가</w:t>
            </w:r>
          </w:p>
          <w:p>
            <w:pPr>
              <w:spacing w:before="0" w:after="40"/>
              <w:jc w:val="center"/>
            </w:pPr>
            <w:r>
              <w:rPr>
                <w:rFonts w:ascii="Arial" w:cs="Arial" w:eastAsia="Arial" w:hAnsi="Arial"/>
                <w:b/>
                <w:bCs/>
                <w:color w:val="C0392B"/>
                <w:sz w:val="32"/>
                <w:szCs w:val="32"/>
              </w:rPr>
              <w:t xml:space="preserve">$10~14</w:t>
            </w:r>
          </w:p>
          <w:p>
            <w:pPr>
              <w:spacing w:before="0" w:after="0"/>
              <w:jc w:val="center"/>
            </w:pPr>
            <w:r>
              <w:rPr>
                <w:rFonts w:ascii="Arial" w:cs="Arial" w:eastAsia="Arial" w:hAnsi="Arial"/>
                <w:b/>
                <w:bCs/>
                <w:color w:val="C0392B"/>
                <w:sz w:val="20"/>
                <w:szCs w:val="20"/>
              </w:rPr>
              <w:t xml:space="preserve">-21~44%</w:t>
            </w:r>
          </w:p>
        </w:tc>
      </w:tr>
      <w:tr>
        <w:tc>
          <w:tcPr>
            <w:tcW w:type="dxa" w:w="3120"/>
            <w:tcBorders>
              <w:top w:val="single" w:color="CCCCCC" w:sz="4"/>
              <w:left w:val="single" w:color="CCCCCC" w:sz="4"/>
              <w:bottom w:val="single" w:color="CCCCCC" w:sz="4"/>
              <w:right w:val="single" w:color="CCCCCC" w:sz="4"/>
            </w:tcBorders>
            <w:shd w:fill="EAFAF1" w:val="clear"/>
            <w:tcMar>
              <w:top w:type="dxa" w:w="100"/>
              <w:left w:type="dxa" w:w="160"/>
              <w:bottom w:type="dxa" w:w="100"/>
              <w:right w:type="dxa" w:w="160"/>
            </w:tcMar>
          </w:tcPr>
          <w:p>
            <w:pPr>
              <w:pStyle w:val="ListParagraph"/>
              <w:numPr>
                <w:ilvl w:val="0"/>
                <w:numId w:val="2"/>
              </w:numPr>
              <w:spacing w:before="20" w:after="20"/>
            </w:pPr>
            <w:r>
              <w:rPr>
                <w:rFonts w:ascii="Arial" w:cs="Arial" w:eastAsia="Arial" w:hAnsi="Arial"/>
                <w:color w:val="445566"/>
                <w:sz w:val="18"/>
                <w:szCs w:val="18"/>
              </w:rPr>
              <w:t xml:space="preserve">모기지 금리 5% 이하 하락</w:t>
            </w:r>
          </w:p>
          <w:p>
            <w:pPr>
              <w:pStyle w:val="ListParagraph"/>
              <w:numPr>
                <w:ilvl w:val="0"/>
                <w:numId w:val="2"/>
              </w:numPr>
              <w:spacing w:before="20" w:after="20"/>
            </w:pPr>
            <w:r>
              <w:rPr>
                <w:rFonts w:ascii="Arial" w:cs="Arial" w:eastAsia="Arial" w:hAnsi="Arial"/>
                <w:color w:val="445566"/>
                <w:sz w:val="18"/>
                <w:szCs w:val="18"/>
              </w:rPr>
              <w:t xml:space="preserve">부동산 거래 V자 반등</w:t>
            </w:r>
          </w:p>
          <w:p>
            <w:pPr>
              <w:pStyle w:val="ListParagraph"/>
              <w:numPr>
                <w:ilvl w:val="0"/>
                <w:numId w:val="2"/>
              </w:numPr>
              <w:spacing w:before="20" w:after="20"/>
            </w:pPr>
            <w:r>
              <w:rPr>
                <w:rFonts w:ascii="Arial" w:cs="Arial" w:eastAsia="Arial" w:hAnsi="Arial"/>
                <w:color w:val="445566"/>
                <w:sz w:val="18"/>
                <w:szCs w:val="18"/>
              </w:rPr>
              <w:t xml:space="preserve">리파이낸싱 붐 재현</w:t>
            </w:r>
          </w:p>
          <w:p>
            <w:pPr>
              <w:pStyle w:val="ListParagraph"/>
              <w:numPr>
                <w:ilvl w:val="0"/>
                <w:numId w:val="2"/>
              </w:numPr>
              <w:spacing w:before="20" w:after="20"/>
            </w:pPr>
            <w:r>
              <w:rPr>
                <w:rFonts w:ascii="Arial" w:cs="Arial" w:eastAsia="Arial" w:hAnsi="Arial"/>
                <w:color w:val="445566"/>
                <w:sz w:val="18"/>
                <w:szCs w:val="18"/>
              </w:rPr>
              <w:t xml:space="preserve">Mr. Cooper 시너지 조기 실현</w:t>
            </w:r>
          </w:p>
        </w:tc>
        <w:tc>
          <w:tcPr>
            <w:tcW w:type="dxa" w:w="3120"/>
            <w:tcBorders>
              <w:top w:val="single" w:color="CCCCCC" w:sz="4"/>
              <w:left w:val="single" w:color="CCCCCC" w:sz="4"/>
              <w:bottom w:val="single" w:color="CCCCCC" w:sz="4"/>
              <w:right w:val="single" w:color="CCCCCC" w:sz="4"/>
            </w:tcBorders>
            <w:shd w:fill="FEF9E7" w:val="clear"/>
            <w:tcMar>
              <w:top w:type="dxa" w:w="100"/>
              <w:left w:type="dxa" w:w="160"/>
              <w:bottom w:type="dxa" w:w="100"/>
              <w:right w:type="dxa" w:w="160"/>
            </w:tcMar>
          </w:tcPr>
          <w:p>
            <w:pPr>
              <w:pStyle w:val="ListParagraph"/>
              <w:numPr>
                <w:ilvl w:val="0"/>
                <w:numId w:val="2"/>
              </w:numPr>
              <w:spacing w:before="20" w:after="20"/>
            </w:pPr>
            <w:r>
              <w:rPr>
                <w:rFonts w:ascii="Arial" w:cs="Arial" w:eastAsia="Arial" w:hAnsi="Arial"/>
                <w:color w:val="445566"/>
                <w:sz w:val="18"/>
                <w:szCs w:val="18"/>
              </w:rPr>
              <w:t xml:space="preserve">모기지 금리 5.5~6.5% 유지</w:t>
            </w:r>
          </w:p>
          <w:p>
            <w:pPr>
              <w:pStyle w:val="ListParagraph"/>
              <w:numPr>
                <w:ilvl w:val="0"/>
                <w:numId w:val="2"/>
              </w:numPr>
              <w:spacing w:before="20" w:after="20"/>
            </w:pPr>
            <w:r>
              <w:rPr>
                <w:rFonts w:ascii="Arial" w:cs="Arial" w:eastAsia="Arial" w:hAnsi="Arial"/>
                <w:color w:val="445566"/>
                <w:sz w:val="18"/>
                <w:szCs w:val="18"/>
              </w:rPr>
              <w:t xml:space="preserve">점진적 주택 시장 회복</w:t>
            </w:r>
          </w:p>
          <w:p>
            <w:pPr>
              <w:pStyle w:val="ListParagraph"/>
              <w:numPr>
                <w:ilvl w:val="0"/>
                <w:numId w:val="2"/>
              </w:numPr>
              <w:spacing w:before="20" w:after="20"/>
            </w:pPr>
            <w:r>
              <w:rPr>
                <w:rFonts w:ascii="Arial" w:cs="Arial" w:eastAsia="Arial" w:hAnsi="Arial"/>
                <w:color w:val="445566"/>
                <w:sz w:val="18"/>
                <w:szCs w:val="18"/>
              </w:rPr>
              <w:t xml:space="preserve">서비싱 수익으로 안정적 성장</w:t>
            </w:r>
          </w:p>
          <w:p>
            <w:pPr>
              <w:pStyle w:val="ListParagraph"/>
              <w:numPr>
                <w:ilvl w:val="0"/>
                <w:numId w:val="2"/>
              </w:numPr>
              <w:spacing w:before="20" w:after="20"/>
            </w:pPr>
            <w:r>
              <w:rPr>
                <w:rFonts w:ascii="Arial" w:cs="Arial" w:eastAsia="Arial" w:hAnsi="Arial"/>
                <w:color w:val="445566"/>
                <w:sz w:val="18"/>
                <w:szCs w:val="18"/>
              </w:rPr>
              <w:t xml:space="preserve">통합 비용 정상화</w:t>
            </w:r>
          </w:p>
        </w:tc>
        <w:tc>
          <w:tcPr>
            <w:tcW w:type="dxa" w:w="3120"/>
            <w:tcBorders>
              <w:top w:val="single" w:color="CCCCCC" w:sz="4"/>
              <w:left w:val="single" w:color="CCCCCC" w:sz="4"/>
              <w:bottom w:val="single" w:color="CCCCCC" w:sz="4"/>
              <w:right w:val="single" w:color="CCCCCC" w:sz="4"/>
            </w:tcBorders>
            <w:shd w:fill="FDECEA" w:val="clear"/>
            <w:tcMar>
              <w:top w:type="dxa" w:w="100"/>
              <w:left w:type="dxa" w:w="160"/>
              <w:bottom w:type="dxa" w:w="100"/>
              <w:right w:type="dxa" w:w="160"/>
            </w:tcMar>
          </w:tcPr>
          <w:p>
            <w:pPr>
              <w:pStyle w:val="ListParagraph"/>
              <w:numPr>
                <w:ilvl w:val="0"/>
                <w:numId w:val="2"/>
              </w:numPr>
              <w:spacing w:before="20" w:after="20"/>
            </w:pPr>
            <w:r>
              <w:rPr>
                <w:rFonts w:ascii="Arial" w:cs="Arial" w:eastAsia="Arial" w:hAnsi="Arial"/>
                <w:color w:val="445566"/>
                <w:sz w:val="18"/>
                <w:szCs w:val="18"/>
              </w:rPr>
              <w:t xml:space="preserve">금리 재상승 (7%+)</w:t>
            </w:r>
          </w:p>
          <w:p>
            <w:pPr>
              <w:pStyle w:val="ListParagraph"/>
              <w:numPr>
                <w:ilvl w:val="0"/>
                <w:numId w:val="2"/>
              </w:numPr>
              <w:spacing w:before="20" w:after="20"/>
            </w:pPr>
            <w:r>
              <w:rPr>
                <w:rFonts w:ascii="Arial" w:cs="Arial" w:eastAsia="Arial" w:hAnsi="Arial"/>
                <w:color w:val="445566"/>
                <w:sz w:val="18"/>
                <w:szCs w:val="18"/>
              </w:rPr>
              <w:t xml:space="preserve">주택 경기 재침체</w:t>
            </w:r>
          </w:p>
          <w:p>
            <w:pPr>
              <w:pStyle w:val="ListParagraph"/>
              <w:numPr>
                <w:ilvl w:val="0"/>
                <w:numId w:val="2"/>
              </w:numPr>
              <w:spacing w:before="20" w:after="20"/>
            </w:pPr>
            <w:r>
              <w:rPr>
                <w:rFonts w:ascii="Arial" w:cs="Arial" w:eastAsia="Arial" w:hAnsi="Arial"/>
                <w:color w:val="445566"/>
                <w:sz w:val="18"/>
                <w:szCs w:val="18"/>
              </w:rPr>
              <w:t xml:space="preserve">통합 실패/비용 초과</w:t>
            </w:r>
          </w:p>
          <w:p>
            <w:pPr>
              <w:pStyle w:val="ListParagraph"/>
              <w:numPr>
                <w:ilvl w:val="0"/>
                <w:numId w:val="2"/>
              </w:numPr>
              <w:spacing w:before="20" w:after="20"/>
            </w:pPr>
            <w:r>
              <w:rPr>
                <w:rFonts w:ascii="Arial" w:cs="Arial" w:eastAsia="Arial" w:hAnsi="Arial"/>
                <w:color w:val="445566"/>
                <w:sz w:val="18"/>
                <w:szCs w:val="18"/>
              </w:rPr>
              <w:t xml:space="preserve">GAAP 적자 지속 확대</w:t>
            </w:r>
          </w:p>
        </w:tc>
      </w:tr>
    </w:tbl>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CCCCCC" w:sz="4"/>
              <w:right w:val="single" w:color="CCCCCC" w:sz="4"/>
            </w:tcBorders>
            <w:shd w:fill="FEF9E7" w:val="clear"/>
            <w:tcMar>
              <w:top w:type="dxa" w:w="120"/>
              <w:left w:type="dxa" w:w="200"/>
              <w:bottom w:type="dxa" w:w="120"/>
              <w:right w:type="dxa" w:w="200"/>
            </w:tcMar>
          </w:tcPr>
          <w:p>
            <w:pPr>
              <w:spacing w:before="0" w:after="80"/>
            </w:pPr>
            <w:r>
              <w:rPr>
                <w:rFonts w:ascii="Arial" w:cs="Arial" w:eastAsia="Arial" w:hAnsi="Arial"/>
                <w:b/>
                <w:bCs/>
                <w:color w:val="9A7200"/>
                <w:sz w:val="22"/>
                <w:szCs w:val="22"/>
              </w:rPr>
              <w:t xml:space="preserve">확률 가중 기대수익률 (3년)</w:t>
            </w:r>
          </w:p>
          <w:p>
            <w:pPr>
              <w:spacing w:before="0" w:after="60"/>
            </w:pPr>
            <w:r>
              <w:rPr>
                <w:rFonts w:ascii="Arial" w:cs="Arial" w:eastAsia="Arial" w:hAnsi="Arial"/>
                <w:color w:val="445566"/>
                <w:sz w:val="20"/>
                <w:szCs w:val="20"/>
              </w:rPr>
              <w:t xml:space="preserve">= (Bull 80% × 30%) + (Base 46% × 50%) + (Bear -32% × 20%)</w:t>
            </w:r>
          </w:p>
          <w:p>
            <w:pPr>
              <w:spacing w:before="0" w:after="0"/>
            </w:pPr>
            <w:r>
              <w:rPr>
                <w:rFonts w:ascii="Arial" w:cs="Arial" w:eastAsia="Arial" w:hAnsi="Arial"/>
                <w:b/>
                <w:bCs/>
                <w:color w:val="1A2E42"/>
                <w:sz w:val="22"/>
                <w:szCs w:val="22"/>
              </w:rPr>
              <w:t xml:space="preserve">= 24% + 23% - 6.4%  =  약 +40.6% (연환산 약 +12%)</w:t>
            </w:r>
          </w:p>
        </w:tc>
      </w:tr>
    </w:tbl>
    <w:p>
      <w:pPr>
        <w:spacing w:before="0" w:after="160"/>
      </w:pPr>
      <w:r>
        <w:rPr>
          <w:rFonts w:ascii="Arial" w:cs="Arial" w:eastAsia="Arial" w:hAnsi="Arial"/>
        </w:rPr>
        <w:t xml:space="preserve"/>
      </w:r>
    </w:p>
    <w:p>
      <w:pPr>
        <w:pStyle w:val="Heading1"/>
        <w:pBdr>
          <w:bottom w:val="single" w:color="C0392B" w:sz="8" w:space="4"/>
        </w:pBdr>
        <w:spacing w:before="400" w:after="160"/>
      </w:pPr>
      <w:r>
        <w:rPr>
          <w:rFonts w:ascii="Arial" w:cs="Arial" w:eastAsia="Arial" w:hAnsi="Arial"/>
          <w:b/>
          <w:bCs/>
          <w:color w:val="1A2E42"/>
          <w:sz w:val="36"/>
          <w:szCs w:val="36"/>
        </w:rPr>
        <w:t xml:space="preserve">⚠️ 리스크 및 투자 시 주의사항</w:t>
      </w:r>
    </w:p>
    <w:p>
      <w:pPr>
        <w:spacing w:before="120" w:after="60"/>
      </w:pPr>
      <w:r>
        <w:rPr>
          <w:rFonts w:ascii="Arial" w:cs="Arial" w:eastAsia="Arial" w:hAnsi="Arial"/>
          <w:b/>
          <w:bCs/>
          <w:color w:val="C0392B"/>
          <w:spacing w:val="80"/>
          <w:sz w:val="18"/>
          <w:szCs w:val="18"/>
        </w:rPr>
        <w:t xml:space="preserve">RISK FACTORS</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1A2E42" w:sz="4"/>
              <w:left w:val="single" w:color="1A2E42" w:sz="4"/>
              <w:bottom w:val="single" w:color="1A2E42" w:sz="4"/>
              <w:right w:val="single" w:color="1A2E42" w:sz="4"/>
            </w:tcBorders>
            <w:shd w:fill="1A2E42" w:val="clear"/>
            <w:tcMar>
              <w:top w:type="dxa" w:w="80"/>
              <w:left w:type="dxa" w:w="80"/>
              <w:bottom w:type="dxa" w:w="80"/>
              <w:right w:type="dxa" w:w="80"/>
            </w:tcMar>
          </w:tcPr>
          <w:p>
            <w:r>
              <w:rPr>
                <w:rFonts w:ascii="Arial" w:cs="Arial" w:eastAsia="Arial" w:hAnsi="Arial"/>
                <w:b/>
                <w:bCs/>
                <w:color w:val="FFFFFF"/>
                <w:sz w:val="19"/>
                <w:szCs w:val="19"/>
              </w:rPr>
              <w:t xml:space="preserve">등급</w:t>
            </w:r>
          </w:p>
        </w:tc>
        <w:tc>
          <w:tcPr>
            <w:tcW w:type="dxa" w:w="2800"/>
            <w:tcBorders>
              <w:top w:val="single" w:color="1A2E42" w:sz="4"/>
              <w:left w:val="single" w:color="1A2E42" w:sz="4"/>
              <w:bottom w:val="single" w:color="1A2E42" w:sz="4"/>
              <w:right w:val="single" w:color="1A2E42" w:sz="4"/>
            </w:tcBorders>
            <w:shd w:fill="1A2E42" w:val="clear"/>
            <w:tcMar>
              <w:top w:type="dxa" w:w="80"/>
              <w:left w:type="dxa" w:w="80"/>
              <w:bottom w:type="dxa" w:w="80"/>
              <w:right w:type="dxa" w:w="80"/>
            </w:tcMar>
          </w:tcPr>
          <w:p>
            <w:r>
              <w:rPr>
                <w:rFonts w:ascii="Arial" w:cs="Arial" w:eastAsia="Arial" w:hAnsi="Arial"/>
                <w:b/>
                <w:bCs/>
                <w:color w:val="FFFFFF"/>
                <w:sz w:val="19"/>
                <w:szCs w:val="19"/>
              </w:rPr>
              <w:t xml:space="preserve">리스크 요인</w:t>
            </w:r>
          </w:p>
        </w:tc>
        <w:tc>
          <w:tcPr>
            <w:tcW w:type="dxa" w:w="3200"/>
            <w:tcBorders>
              <w:top w:val="single" w:color="1A2E42" w:sz="4"/>
              <w:left w:val="single" w:color="1A2E42" w:sz="4"/>
              <w:bottom w:val="single" w:color="1A2E42" w:sz="4"/>
              <w:right w:val="single" w:color="1A2E42" w:sz="4"/>
            </w:tcBorders>
            <w:shd w:fill="1A2E42" w:val="clear"/>
            <w:tcMar>
              <w:top w:type="dxa" w:w="80"/>
              <w:left w:type="dxa" w:w="80"/>
              <w:bottom w:type="dxa" w:w="80"/>
              <w:right w:type="dxa" w:w="80"/>
            </w:tcMar>
          </w:tcPr>
          <w:p>
            <w:r>
              <w:rPr>
                <w:rFonts w:ascii="Arial" w:cs="Arial" w:eastAsia="Arial" w:hAnsi="Arial"/>
                <w:b/>
                <w:bCs/>
                <w:color w:val="FFFFFF"/>
                <w:sz w:val="19"/>
                <w:szCs w:val="19"/>
              </w:rPr>
              <w:t xml:space="preserve">설명</w:t>
            </w:r>
          </w:p>
        </w:tc>
        <w:tc>
          <w:tcPr>
            <w:tcW w:type="dxa" w:w="2960"/>
            <w:tcBorders>
              <w:top w:val="single" w:color="1A2E42" w:sz="4"/>
              <w:left w:val="single" w:color="1A2E42" w:sz="4"/>
              <w:bottom w:val="single" w:color="1A2E42" w:sz="4"/>
              <w:right w:val="single" w:color="1A2E42" w:sz="4"/>
            </w:tcBorders>
            <w:shd w:fill="1A2E42" w:val="clear"/>
            <w:tcMar>
              <w:top w:type="dxa" w:w="80"/>
              <w:left w:type="dxa" w:w="80"/>
              <w:bottom w:type="dxa" w:w="80"/>
              <w:right w:type="dxa" w:w="80"/>
            </w:tcMar>
          </w:tcPr>
          <w:p>
            <w:r>
              <w:rPr>
                <w:rFonts w:ascii="Arial" w:cs="Arial" w:eastAsia="Arial" w:hAnsi="Arial"/>
                <w:b/>
                <w:bCs/>
                <w:color w:val="FFFFFF"/>
                <w:sz w:val="19"/>
                <w:szCs w:val="19"/>
              </w:rPr>
              <w:t xml:space="preserve">완화 요인</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금리 재상승</w:t>
            </w:r>
          </w:p>
        </w:tc>
        <w:tc>
          <w:tcPr>
            <w:tcW w:type="dxa" w:w="3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금리가 다시 7%+ 회귀 시 모기지 수요 급락</w:t>
            </w:r>
          </w:p>
        </w:tc>
        <w:tc>
          <w:tcPr>
            <w:tcW w:type="dxa" w:w="29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서비싱 수익이 하방 방어</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w:t>
            </w:r>
          </w:p>
        </w:tc>
        <w:tc>
          <w:tcPr>
            <w:tcW w:type="dxa" w:w="28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GAAP 지속 적자</w:t>
            </w:r>
          </w:p>
        </w:tc>
        <w:tc>
          <w:tcPr>
            <w:tcW w:type="dxa" w:w="32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통합 비용으로 GAAP 순손실 지속</w:t>
            </w:r>
          </w:p>
        </w:tc>
        <w:tc>
          <w:tcPr>
            <w:tcW w:type="dxa" w:w="29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조정 기준 흑자, 현금 흐름 양호</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주가 희석 리스크</w:t>
            </w:r>
          </w:p>
        </w:tc>
        <w:tc>
          <w:tcPr>
            <w:tcW w:type="dxa" w:w="3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Mr. Cooper 인수로 Float 35% 확대</w:t>
            </w:r>
          </w:p>
        </w:tc>
        <w:tc>
          <w:tcPr>
            <w:tcW w:type="dxa" w:w="29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Cash 지출 없는 인수 구조</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w:t>
            </w:r>
          </w:p>
        </w:tc>
        <w:tc>
          <w:tcPr>
            <w:tcW w:type="dxa" w:w="28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주택 거래 부진</w:t>
            </w:r>
          </w:p>
        </w:tc>
        <w:tc>
          <w:tcPr>
            <w:tcW w:type="dxa" w:w="320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집값 고점 + 바이어 심리 위축</w:t>
            </w:r>
          </w:p>
        </w:tc>
        <w:tc>
          <w:tcPr>
            <w:tcW w:type="dxa" w:w="2960"/>
            <w:tcBorders>
              <w:top w:val="single" w:color="CCCCCC" w:sz="4"/>
              <w:left w:val="single" w:color="CCCCCC" w:sz="4"/>
              <w:bottom w:val="single" w:color="CCCCCC" w:sz="4"/>
              <w:right w:val="single" w:color="CCCCCC" w:sz="4"/>
            </w:tcBorders>
            <w:shd w:fill="F2F2F2" w:val="clear"/>
            <w:tcMar>
              <w:top w:type="dxa" w:w="80"/>
              <w:left w:type="dxa" w:w="80"/>
              <w:bottom w:type="dxa" w:w="80"/>
              <w:right w:type="dxa" w:w="80"/>
            </w:tcMar>
          </w:tcPr>
          <w:p>
            <w:r>
              <w:rPr>
                <w:rFonts w:ascii="Arial" w:cs="Arial" w:eastAsia="Arial" w:hAnsi="Arial"/>
                <w:color w:val="1A2E42"/>
                <w:sz w:val="19"/>
                <w:szCs w:val="19"/>
              </w:rPr>
              <w:t xml:space="preserve">금리 하락이 점진적 개선 유도</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w:t>
            </w:r>
          </w:p>
        </w:tc>
        <w:tc>
          <w:tcPr>
            <w:tcW w:type="dxa" w:w="28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경쟁 심화</w:t>
            </w:r>
          </w:p>
        </w:tc>
        <w:tc>
          <w:tcPr>
            <w:tcW w:type="dxa" w:w="320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UWM, loanDepot 등 경쟁사 가격 압박</w:t>
            </w:r>
          </w:p>
        </w:tc>
        <w:tc>
          <w:tcPr>
            <w:tcW w:type="dxa" w:w="2960"/>
            <w:tcBorders>
              <w:top w:val="single" w:color="CCCCCC" w:sz="4"/>
              <w:left w:val="single" w:color="CCCCCC" w:sz="4"/>
              <w:bottom w:val="single" w:color="CCCCCC" w:sz="4"/>
              <w:right w:val="single" w:color="CCCCCC" w:sz="4"/>
            </w:tcBorders>
            <w:shd w:fill="FFFFFF" w:val="clear"/>
            <w:tcMar>
              <w:top w:type="dxa" w:w="80"/>
              <w:left w:type="dxa" w:w="80"/>
              <w:bottom w:type="dxa" w:w="80"/>
              <w:right w:type="dxa" w:w="80"/>
            </w:tcMar>
          </w:tcPr>
          <w:p>
            <w:r>
              <w:rPr>
                <w:rFonts w:ascii="Arial" w:cs="Arial" w:eastAsia="Arial" w:hAnsi="Arial"/>
                <w:color w:val="1A2E42"/>
                <w:sz w:val="19"/>
                <w:szCs w:val="19"/>
              </w:rPr>
              <w:t xml:space="preserve">규모 경제 + 디지털 효율성 우위</w:t>
            </w:r>
          </w:p>
        </w:tc>
      </w:tr>
    </w:tbl>
    <w:p>
      <w:pPr>
        <w:spacing w:before="0" w:after="160"/>
      </w:pPr>
      <w:r>
        <w:rPr>
          <w:rFonts w:ascii="Arial" w:cs="Arial" w:eastAsia="Arial" w:hAnsi="Arial"/>
        </w:rPr>
        <w:t xml:space="preserve"/>
      </w:r>
    </w:p>
    <w:p>
      <w:r>
        <w:br w:type="page"/>
      </w:r>
    </w:p>
    <w:p>
      <w:pPr>
        <w:pStyle w:val="Heading1"/>
        <w:pBdr>
          <w:bottom w:val="single" w:color="C0392B" w:sz="8" w:space="4"/>
        </w:pBdr>
        <w:spacing w:before="400" w:after="160"/>
      </w:pPr>
      <w:r>
        <w:rPr>
          <w:rFonts w:ascii="Arial" w:cs="Arial" w:eastAsia="Arial" w:hAnsi="Arial"/>
          <w:b/>
          <w:bCs/>
          <w:color w:val="1A2E42"/>
          <w:sz w:val="36"/>
          <w:szCs w:val="36"/>
        </w:rPr>
        <w:t xml:space="preserve">✅ 투자 결론</w:t>
      </w:r>
    </w:p>
    <w:p>
      <w:pPr>
        <w:spacing w:before="120" w:after="60"/>
      </w:pPr>
      <w:r>
        <w:rPr>
          <w:rFonts w:ascii="Arial" w:cs="Arial" w:eastAsia="Arial" w:hAnsi="Arial"/>
          <w:b/>
          <w:bCs/>
          <w:color w:val="C0392B"/>
          <w:spacing w:val="80"/>
          <w:sz w:val="18"/>
          <w:szCs w:val="18"/>
        </w:rPr>
        <w:t xml:space="preserve">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6"/>
              <w:left w:val="single" w:color="CCCCCC" w:sz="4"/>
              <w:bottom w:val="single" w:color="CCCCCC" w:sz="4"/>
              <w:right w:val="single" w:color="CCCCCC" w:sz="4"/>
            </w:tcBorders>
            <w:shd w:fill="1A2E42" w:val="clear"/>
            <w:tcMar>
              <w:top w:type="dxa" w:w="200"/>
              <w:left w:type="dxa" w:w="240"/>
              <w:bottom w:type="dxa" w:w="200"/>
              <w:right w:type="dxa" w:w="240"/>
            </w:tcMar>
          </w:tcPr>
          <w:p>
            <w:pPr>
              <w:spacing w:before="0" w:after="80"/>
              <w:jc w:val="center"/>
            </w:pPr>
            <w:r>
              <w:rPr>
                <w:rFonts w:ascii="Arial" w:cs="Arial" w:eastAsia="Arial" w:hAnsi="Arial"/>
                <w:color w:val="AABBCC"/>
                <w:spacing w:val="80"/>
                <w:sz w:val="20"/>
                <w:szCs w:val="20"/>
              </w:rPr>
              <w:t xml:space="preserve">투자 의견</w:t>
            </w:r>
          </w:p>
          <w:p>
            <w:pPr>
              <w:spacing w:before="0" w:after="80"/>
              <w:jc w:val="center"/>
            </w:pPr>
            <w:r>
              <w:rPr>
                <w:rFonts w:ascii="Arial" w:cs="Arial" w:eastAsia="Arial" w:hAnsi="Arial"/>
                <w:b/>
                <w:bCs/>
                <w:color w:val="C0392B"/>
                <w:sz w:val="56"/>
                <w:szCs w:val="56"/>
              </w:rPr>
              <w:t xml:space="preserve">★ BUY</w:t>
            </w:r>
          </w:p>
          <w:p>
            <w:pPr>
              <w:spacing w:before="0" w:after="0"/>
              <w:jc w:val="center"/>
            </w:pPr>
            <w:r>
              <w:rPr>
                <w:rFonts w:ascii="Arial" w:cs="Arial" w:eastAsia="Arial" w:hAnsi="Arial"/>
                <w:color w:val="FFFFFF"/>
                <w:sz w:val="22"/>
                <w:szCs w:val="22"/>
              </w:rPr>
              <w:t xml:space="preserve">목표 주가: $24~28 (Base) / $32~38 (Bull)  |  현재가: $17.81</w:t>
            </w:r>
          </w:p>
        </w:tc>
      </w:tr>
    </w:tbl>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BUY 판단 근거 요약</w:t>
      </w:r>
    </w:p>
    <w:p>
      <w:pPr>
        <w:pStyle w:val="ListParagraph"/>
        <w:numPr>
          <w:ilvl w:val="0"/>
          <w:numId w:val="2"/>
        </w:numPr>
        <w:spacing w:before="40" w:after="40"/>
      </w:pPr>
      <w:r>
        <w:rPr>
          <w:rFonts w:ascii="Arial" w:cs="Arial" w:eastAsia="Arial" w:hAnsi="Arial"/>
          <w:b/>
          <w:bCs/>
          <w:color w:val="1A2E42"/>
          <w:sz w:val="22"/>
          <w:szCs w:val="22"/>
        </w:rPr>
        <w:t xml:space="preserve">① </w:t>
      </w:r>
      <w:r>
        <w:rPr>
          <w:rFonts w:ascii="Arial" w:cs="Arial" w:eastAsia="Arial" w:hAnsi="Arial"/>
          <w:color w:val="2C3E50"/>
          <w:sz w:val="22"/>
          <w:szCs w:val="22"/>
        </w:rPr>
        <w:t xml:space="preserve">모기지 금리 5.98% — 3.5년 만의 6% 하회, 구조적 전환점 진입</w:t>
      </w:r>
    </w:p>
    <w:p>
      <w:pPr>
        <w:pStyle w:val="ListParagraph"/>
        <w:numPr>
          <w:ilvl w:val="0"/>
          <w:numId w:val="2"/>
        </w:numPr>
        <w:spacing w:before="40" w:after="40"/>
      </w:pPr>
      <w:r>
        <w:rPr>
          <w:rFonts w:ascii="Arial" w:cs="Arial" w:eastAsia="Arial" w:hAnsi="Arial"/>
          <w:b/>
          <w:bCs/>
          <w:color w:val="1A2E42"/>
          <w:sz w:val="22"/>
          <w:szCs w:val="22"/>
        </w:rPr>
        <w:t xml:space="preserve">② </w:t>
      </w:r>
      <w:r>
        <w:rPr>
          <w:rFonts w:ascii="Arial" w:cs="Arial" w:eastAsia="Arial" w:hAnsi="Arial"/>
          <w:color w:val="2C3E50"/>
          <w:sz w:val="22"/>
          <w:szCs w:val="22"/>
        </w:rPr>
        <w:t xml:space="preserve">Mr. Cooper 인수로 $2.1조 서비싱 포트폴리오 확보 → 수익 안정성 대폭 향상</w:t>
      </w:r>
    </w:p>
    <w:p>
      <w:pPr>
        <w:pStyle w:val="ListParagraph"/>
        <w:numPr>
          <w:ilvl w:val="0"/>
          <w:numId w:val="2"/>
        </w:numPr>
        <w:spacing w:before="40" w:after="40"/>
      </w:pPr>
      <w:r>
        <w:rPr>
          <w:rFonts w:ascii="Arial" w:cs="Arial" w:eastAsia="Arial" w:hAnsi="Arial"/>
          <w:b/>
          <w:bCs/>
          <w:color w:val="1A2E42"/>
          <w:sz w:val="22"/>
          <w:szCs w:val="22"/>
        </w:rPr>
        <w:t xml:space="preserve">③ </w:t>
      </w:r>
      <w:r>
        <w:rPr>
          <w:rFonts w:ascii="Arial" w:cs="Arial" w:eastAsia="Arial" w:hAnsi="Arial"/>
          <w:color w:val="2C3E50"/>
          <w:sz w:val="22"/>
          <w:szCs w:val="22"/>
        </w:rPr>
        <w:t xml:space="preserve">수직계열화 완성 (Redfin → Rocket Mortgage → Mr. Cooper) → 고객 생애주기 포획</w:t>
      </w:r>
    </w:p>
    <w:p>
      <w:pPr>
        <w:pStyle w:val="ListParagraph"/>
        <w:numPr>
          <w:ilvl w:val="0"/>
          <w:numId w:val="2"/>
        </w:numPr>
        <w:spacing w:before="40" w:after="40"/>
      </w:pPr>
      <w:r>
        <w:rPr>
          <w:rFonts w:ascii="Arial" w:cs="Arial" w:eastAsia="Arial" w:hAnsi="Arial"/>
          <w:b/>
          <w:bCs/>
          <w:color w:val="1A2E42"/>
          <w:sz w:val="22"/>
          <w:szCs w:val="22"/>
        </w:rPr>
        <w:t xml:space="preserve">④ </w:t>
      </w:r>
      <w:r>
        <w:rPr>
          <w:rFonts w:ascii="Arial" w:cs="Arial" w:eastAsia="Arial" w:hAnsi="Arial"/>
          <w:color w:val="2C3E50"/>
          <w:sz w:val="22"/>
          <w:szCs w:val="22"/>
        </w:rPr>
        <w:t xml:space="preserve">Q4 2025 실적 어닝 서프라이즈 + Q1 2026 가이던스 컨센서스 16% 상회</w:t>
      </w:r>
    </w:p>
    <w:p>
      <w:pPr>
        <w:pStyle w:val="ListParagraph"/>
        <w:numPr>
          <w:ilvl w:val="0"/>
          <w:numId w:val="2"/>
        </w:numPr>
        <w:spacing w:before="40" w:after="40"/>
      </w:pPr>
      <w:r>
        <w:rPr>
          <w:rFonts w:ascii="Arial" w:cs="Arial" w:eastAsia="Arial" w:hAnsi="Arial"/>
          <w:b/>
          <w:bCs/>
          <w:color w:val="1A2E42"/>
          <w:sz w:val="22"/>
          <w:szCs w:val="22"/>
        </w:rPr>
        <w:t xml:space="preserve">⑤ </w:t>
      </w:r>
      <w:r>
        <w:rPr>
          <w:rFonts w:ascii="Arial" w:cs="Arial" w:eastAsia="Arial" w:hAnsi="Arial"/>
          <w:color w:val="2C3E50"/>
          <w:sz w:val="22"/>
          <w:szCs w:val="22"/>
        </w:rPr>
        <w:t xml:space="preserve">확률 가중 기대수익률 약 +41% (3년 기준), 연환산 약 +12%</w:t>
      </w:r>
    </w:p>
    <w:p>
      <w:pPr>
        <w:spacing w:before="0" w:after="80"/>
      </w:pPr>
      <w:r>
        <w:rPr>
          <w:rFonts w:ascii="Arial" w:cs="Arial" w:eastAsia="Arial" w:hAnsi="Arial"/>
        </w:rPr>
        <w:t xml:space="preserve"/>
      </w:r>
    </w:p>
    <w:p>
      <w:pPr>
        <w:pStyle w:val="Heading2"/>
        <w:spacing w:before="320" w:after="120"/>
      </w:pPr>
      <w:r>
        <w:rPr>
          <w:rFonts w:ascii="Arial" w:cs="Arial" w:eastAsia="Arial" w:hAnsi="Arial"/>
          <w:b/>
          <w:bCs/>
          <w:color w:val="1A2E42"/>
          <w:sz w:val="28"/>
          <w:szCs w:val="28"/>
        </w:rPr>
        <w:t xml:space="preserve">장기 투자자에게 적합한 이유</w:t>
      </w:r>
    </w:p>
    <w:p>
      <w:pPr>
        <w:spacing w:before="60" w:after="60"/>
      </w:pPr>
      <w:r>
        <w:rPr>
          <w:rFonts w:ascii="Arial" w:cs="Arial" w:eastAsia="Arial" w:hAnsi="Arial"/>
          <w:color w:val="2C3E50"/>
          <w:sz w:val="22"/>
          <w:szCs w:val="22"/>
        </w:rPr>
        <w:t xml:space="preserve">RKT는 단기 트레이딩 종목이 아닙니다. 미국 주택 시장의 구조적 회복, 금리 인하 사이클, 그리고 Mr. Cooper 통합 시너지가 2~3년에 걸쳐 복합적으로 실현될 때 진정한 가치가 드러나는 종목입니다. 카카오뱅크가 한국 디지털 금융 플랫폼의 대표주자로 성장했듯, RKT는 미국 디지털 주택 금융의 절대 강자 포지션을 구축하고 있습니다.</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CCCCC" w:sz="4"/>
              <w:bottom w:val="single" w:color="CCCCCC" w:sz="4"/>
              <w:right w:val="single" w:color="CCCCCC" w:sz="4"/>
            </w:tcBorders>
            <w:shd w:fill="FDECEA" w:val="clear"/>
            <w:tcMar>
              <w:top w:type="dxa" w:w="120"/>
              <w:left w:type="dxa" w:w="200"/>
              <w:bottom w:type="dxa" w:w="120"/>
              <w:right w:type="dxa" w:w="200"/>
            </w:tcMar>
          </w:tcPr>
          <w:p>
            <w:pPr>
              <w:spacing w:before="0" w:after="80"/>
            </w:pPr>
            <w:r>
              <w:rPr>
                <w:rFonts w:ascii="Arial" w:cs="Arial" w:eastAsia="Arial" w:hAnsi="Arial"/>
                <w:b/>
                <w:bCs/>
                <w:color w:val="C0392B"/>
                <w:sz w:val="20"/>
                <w:szCs w:val="20"/>
              </w:rPr>
              <w:t xml:space="preserve">⚠️ 면책 조항</w:t>
            </w:r>
          </w:p>
          <w:p>
            <w:pPr>
              <w:spacing w:before="0" w:after="0"/>
            </w:pPr>
            <w:r>
              <w:rPr>
                <w:rFonts w:ascii="Arial" w:cs="Arial" w:eastAsia="Arial" w:hAnsi="Arial"/>
                <w:i/>
                <w:iCs/>
                <w:color w:val="666666"/>
                <w:sz w:val="18"/>
                <w:szCs w:val="18"/>
              </w:rPr>
              <w:t xml:space="preserve">본 보고서는 교육 및 정보 제공 목적으로 작성된 분석 자료이며, 투자 권유 또는 금융 조언이 아닙니다. 모든 투자에는 원금 손실 위험이 있으며, 투자 결정은 본인 판단하에 이루어져야 합니다. 본 자료의 수치 및 가격 정보는 2026년 2월 28일 기준이며 변경될 수 있습니다.</w:t>
            </w:r>
          </w:p>
        </w:tc>
      </w:tr>
    </w:tbl>
    <w:p>
      <w:pPr>
        <w:spacing w:before="0" w:after="80"/>
      </w:pPr>
      <w:r>
        <w:rPr>
          <w:rFonts w:ascii="Arial" w:cs="Arial" w:eastAsia="Arial" w:hAnsi="Arial"/>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AAAAAA"/>
        <w:sz w:val="16"/>
        <w:szCs w:val="16"/>
      </w:rPr>
      <w:t xml:space="preserve">본 자료는 투자 조언이 아닙니다.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before="0" w:after="80"/>
    </w:pPr>
    <w:r>
      <w:rPr>
        <w:rFonts w:ascii="Arial" w:cs="Arial" w:eastAsia="Arial" w:hAnsi="Arial"/>
        <w:color w:val="888888"/>
        <w:sz w:val="18"/>
        <w:szCs w:val="18"/>
      </w:rPr>
      <w:t xml:space="preserve">Rocket Companies (NYSE: RKT)  |  장기 투자 분석 보고서  |  2026.02.28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2"/>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2026-02-27T15:46:37.237Z</dcterms:created>
  <dcterms:modified xsi:type="dcterms:W3CDTF">2026-02-27T15:46:37.238Z</dcterms:modified>
</cp:coreProperties>
</file>

<file path=docProps/custom.xml><?xml version="1.0" encoding="utf-8"?>
<Properties xmlns="http://schemas.openxmlformats.org/officeDocument/2006/custom-properties" xmlns:vt="http://schemas.openxmlformats.org/officeDocument/2006/docPropsVTypes"/>
</file>