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left"/>
      </w:pPr>
      <w:r>
        <w:rPr>
          <w:rFonts w:ascii="Arial" w:cs="Arial" w:eastAsia="Arial" w:hAnsi="Arial"/>
          <w:b/>
          <w:bCs/>
          <w:caps/>
          <w:color w:val="C62828"/>
          <w:sz w:val="20"/>
          <w:szCs w:val="20"/>
        </w:rPr>
        <w:t xml:space="preserve">MARKET RISK REPORT</w:t>
      </w:r>
    </w:p>
    <w:p>
      <w:pPr>
        <w:spacing w:after="40"/>
        <w:jc w:val="left"/>
      </w:pPr>
      <w:r>
        <w:rPr>
          <w:rFonts w:ascii="Arial" w:cs="Arial" w:eastAsia="Arial" w:hAnsi="Arial"/>
          <w:b/>
          <w:bCs/>
          <w:color w:val="1A1A2E"/>
          <w:sz w:val="52"/>
          <w:szCs w:val="52"/>
        </w:rPr>
        <w:t xml:space="preserve">KOSPI, 이대로 괜찮은가?</w:t>
      </w:r>
    </w:p>
    <w:p>
      <w:pPr>
        <w:spacing w:after="80"/>
        <w:jc w:val="left"/>
      </w:pPr>
      <w:r>
        <w:rPr>
          <w:rFonts w:ascii="Arial" w:cs="Arial" w:eastAsia="Arial" w:hAnsi="Arial"/>
          <w:i/>
          <w:iCs/>
          <w:color w:val="666666"/>
          <w:sz w:val="26"/>
          <w:szCs w:val="26"/>
        </w:rPr>
        <w:t xml:space="preserve">RSI 80, 사상 최대 신용융자, 극단적 쏠림 — 아시아 시장 조정의 전조</w:t>
      </w:r>
    </w:p>
    <w:p>
      <w:pPr>
        <w:pBdr>
          <w:bottom w:val="single" w:color="C62828" w:sz="4" w:space="8"/>
        </w:pBdr>
        <w:spacing w:after="40"/>
      </w:pPr>
    </w:p>
    <w:p>
      <w:pPr>
        <w:spacing w:after="200"/>
      </w:pPr>
      <w:r>
        <w:rPr>
          <w:rFonts w:ascii="Arial" w:cs="Arial" w:eastAsia="Arial" w:hAnsi="Arial"/>
          <w:color w:val="999999"/>
          <w:sz w:val="18"/>
          <w:szCs w:val="18"/>
        </w:rPr>
        <w:t xml:space="preserve">2026년 2월 27일  |  Quantitative Value Analysis</w:t>
      </w:r>
    </w:p>
    <w:p>
      <w:pPr>
        <w:spacing w:after="100"/>
      </w:pP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 </w:t>
            </w:r>
            <w:r>
              <w:rPr>
                <w:rFonts w:ascii="Arial" w:cs="Arial" w:eastAsia="Arial" w:hAnsi="Arial"/>
                <w:color w:val="C62828"/>
                <w:sz w:val="20"/>
                <w:szCs w:val="20"/>
              </w:rPr>
              <w:t xml:space="preserve">KOSPI는 2025년 4월 저점 대비 175% 급등하며 6,307을 기록했다. 월봉 RSI 80 이상, VKOSPI 54.67, 신용융자잔고 32.13조 원 사상 최대. 삼성전자와 SK하이닉스 두 종목이 지수의 약 50%를 차지하는 극단적 쏠림 속에, AI CapEx 사이클의 반전 가능성과 원화 불안정이 겹치며 조정 시 심각한 충격이 예상된다.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지표</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수치</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시사점</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KOSPI (2/26)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6,307.32</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사상 최고치 경신</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2025년 초 대비 상승률</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+163%</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역사적 유례없는 급등</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월봉 RSI</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80+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극단적 과매수 영역</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VKOSPI</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54.67</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공포 지수 극단적 수준</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신용융자잔고</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32.13조 원</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사상 최대, 연초 대비 +18%</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USD/KRW</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1,422~1,437</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원화 변동성 확대</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삼성+SK하이닉스 비중</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~50%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극단적 쏠림</w:t>
            </w:r>
          </w:p>
        </w:tc>
      </w:tr>
    </w:tbl>
    <w:p>
      <w:pPr>
        <w:spacing w:after="200"/>
      </w:pPr>
    </w:p>
    <w:p>
      <w:pPr>
        <w:pStyle w:val="Heading1"/>
      </w:pPr>
      <w:r>
        <w:t xml:space="preserve">1. 6,000의 신기루, 그리고 데자뷔</w:t>
      </w:r>
    </w:p>
    <w:p>
      <w:pPr>
        <w:spacing w:after="160" w:line="312"/>
        <w:jc w:val="both"/>
      </w:pPr>
      <w:r>
        <w:rPr>
          <w:rFonts w:ascii="Arial" w:cs="Arial" w:eastAsia="Arial" w:hAnsi="Arial"/>
          <w:color w:val="333333"/>
          <w:sz w:val="21"/>
          <w:szCs w:val="21"/>
        </w:rPr>
        <w:t xml:space="preserve">2026년 2월 25일, KOSPI는 사상 최초로 6,000을 돌파했다. 불과 하루 뒤인 26일에는 엔비디아의 예상치를 상회하는 실적 발표에 힘입어 6,307로 또다시 신고가를 경신했다. 5,000에서 6,000까지 단 40거래일만에 도달하며, KOSPI 역사상 가장 빠른 1,000포인트 상승을 기록했다.</w:t>
      </w:r>
    </w:p>
    <w:p>
      <w:pPr>
        <w:spacing w:after="160" w:line="312"/>
        <w:jc w:val="both"/>
      </w:pPr>
      <w:r>
        <w:rPr>
          <w:rFonts w:ascii="Arial" w:cs="Arial" w:eastAsia="Arial" w:hAnsi="Arial"/>
          <w:b/>
          <w:bCs/>
          <w:i w:val="false"/>
          <w:iCs w:val="false"/>
          <w:color w:val="333333"/>
          <w:sz w:val="21"/>
          <w:szCs w:val="21"/>
        </w:rPr>
        <w:t xml:space="preserve">한국 주식시장의 시가총액은 프랑스를 추월하고, 독일을 이미 지난달 넘어섰다.</w:t>
      </w:r>
      <w:r>
        <w:rPr>
          <w:rFonts w:ascii="Arial" w:cs="Arial" w:eastAsia="Arial" w:hAnsi="Arial"/>
          <w:b w:val="false"/>
          <w:bCs w:val="false"/>
          <w:i w:val="false"/>
          <w:iCs w:val="false"/>
          <w:color w:val="333333"/>
          <w:sz w:val="21"/>
          <w:szCs w:val="21"/>
        </w:rPr>
        <w:t xml:space="preserve"> 활성 거래 계좌 수는 1억 180만 개를 돌파했고, 개인투자자 예탁금은 111조 원(약 770억 달러)으로 사상 최대를 기록했다. 부동산, 가상자산, 예금에서 주식시장으로 자금이 대규모로 이동하는 'money move' 현상이 벨어지고 있다.</w:t>
      </w:r>
    </w:p>
    <w:p>
      <w:pPr>
        <w:spacing w:after="160" w:line="312"/>
        <w:jc w:val="both"/>
      </w:pPr>
      <w:r>
        <w:rPr>
          <w:rFonts w:ascii="Arial" w:cs="Arial" w:eastAsia="Arial" w:hAnsi="Arial"/>
          <w:color w:val="333333"/>
          <w:sz w:val="21"/>
          <w:szCs w:val="21"/>
        </w:rPr>
        <w:t xml:space="preserve">그러나 이 숫자들의 이면에는 불편한 진실이 숨어 있다. 아래 차트에서 볼 수 있듯이, KOSPI와 TAIEX 모두 볼린저 밴드 상단을 돌파하며 그간 역사적으로 볼 수 없었던 수준의 과매수 영역에 진입했다.</w:t>
      </w:r>
    </w:p>
    <w:p>
      <w:pPr>
        <w:spacing w:before="200" w:after="80"/>
        <w:jc w:val="center"/>
      </w:pPr>
      <w:r>
        <w:drawing>
          <wp:inline distT="0" distB="0" distL="0" distR="0">
            <wp:extent cx="5905500" cy="2952750"/>
            <wp:effectExtent t="0" r="0" b="0" l="0"/>
            <wp:docPr id="1" name="chart1" descr="KOSPI and TAIEX monthly chart showing upper BBs breakout" title="KOSPI TAIEX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rFonts w:ascii="Arial" w:cs="Arial" w:eastAsia="Arial" w:hAnsi="Arial"/>
          <w:i/>
          <w:iCs/>
          <w:color w:val="888888"/>
          <w:sz w:val="16"/>
          <w:szCs w:val="16"/>
        </w:rPr>
        <w:t xml:space="preserve">[Figure 1] KOSPI 및 TAIEX 월봉 차트 — 볼린저 밴드 상단 돌파, RSI 80+ 영역</w:t>
      </w:r>
    </w:p>
    <w:p>
      <w:pPr>
        <w:pBdr>
          <w:bottom w:val="single" w:color="E0E0E0" w:sz="2" w:space="4"/>
        </w:pBdr>
        <w:spacing w:before="200" w:after="200"/>
      </w:pPr>
    </w:p>
    <w:p>
      <w:pPr>
        <w:pStyle w:val="Heading1"/>
      </w:pPr>
      <w:r>
        <w:t xml:space="preserve">2. 위험신호 #1: RSI 80, 역사가 경고한다</w:t>
      </w:r>
    </w:p>
    <w:p>
      <w:pPr>
        <w:spacing w:after="160" w:line="312"/>
        <w:jc w:val="both"/>
      </w:pPr>
      <w:r>
        <w:rPr>
          <w:rFonts w:ascii="Arial" w:cs="Arial" w:eastAsia="Arial" w:hAnsi="Arial"/>
          <w:color w:val="333333"/>
          <w:sz w:val="21"/>
          <w:szCs w:val="21"/>
        </w:rPr>
        <w:t xml:space="preserve">KOSPI의 월봉 RSI가 80을 넘어선 것은 지수 역사상 손에 꿈을 정도로 드문 사건이다. 과거 KOSPI가 월봉 RSI 75 이상을 기록한 사례를 살펴보면, 그 결말은 한결같이 가혹했다.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시점</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RSI 수준</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이후 3개월</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이후 12개월</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2007년 10월</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78</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-18%</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-42%</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2021년 1월</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76</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-12%</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-24%</w:t>
            </w:r>
          </w:p>
        </w:tc>
      </w:tr>
      <w:tr>
        <w:tc>
          <w:tcPr>
            <w:tcW w:type="dxa" w:w="23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2026년 2월 (현재)</w:t>
            </w:r>
          </w:p>
        </w:tc>
        <w:tc>
          <w:tcPr>
            <w:tcW w:type="dxa" w:w="23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80+</w:t>
            </w:r>
          </w:p>
        </w:tc>
        <w:tc>
          <w:tcPr>
            <w:tcW w:type="dxa" w:w="23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23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r>
    </w:tbl>
    <w:p>
      <w:pPr>
        <w:spacing w:after="120"/>
      </w:pPr>
    </w:p>
    <w:p>
      <w:pPr>
        <w:spacing w:after="160" w:line="312"/>
        <w:jc w:val="both"/>
      </w:pPr>
      <w:r>
        <w:rPr>
          <w:rFonts w:ascii="Arial" w:cs="Arial" w:eastAsia="Arial" w:hAnsi="Arial"/>
          <w:b/>
          <w:bCs/>
          <w:i w:val="false"/>
          <w:iCs w:val="false"/>
          <w:color w:val="333333"/>
          <w:sz w:val="21"/>
          <w:szCs w:val="21"/>
        </w:rPr>
        <w:t xml:space="preserve">2007년 10월,</w:t>
      </w:r>
      <w:r>
        <w:rPr>
          <w:rFonts w:ascii="Arial" w:cs="Arial" w:eastAsia="Arial" w:hAnsi="Arial"/>
          <w:b w:val="false"/>
          <w:bCs w:val="false"/>
          <w:i w:val="false"/>
          <w:iCs w:val="false"/>
          <w:color w:val="333333"/>
          <w:sz w:val="21"/>
          <w:szCs w:val="21"/>
        </w:rPr>
        <w:t xml:space="preserve"> KOSPI는 2,085에서 글로벌 금융위기와 함께 폭락해 12개월 내 938까지 -55% 하락했다. </w:t>
      </w:r>
      <w:r>
        <w:rPr>
          <w:rFonts w:ascii="Arial" w:cs="Arial" w:eastAsia="Arial" w:hAnsi="Arial"/>
          <w:b/>
          <w:bCs/>
          <w:i w:val="false"/>
          <w:iCs w:val="false"/>
          <w:color w:val="333333"/>
          <w:sz w:val="21"/>
          <w:szCs w:val="21"/>
        </w:rPr>
        <w:t xml:space="preserve">2021년 1월,</w:t>
      </w:r>
      <w:r>
        <w:rPr>
          <w:rFonts w:ascii="Arial" w:cs="Arial" w:eastAsia="Arial" w:hAnsi="Arial"/>
          <w:b w:val="false"/>
          <w:bCs w:val="false"/>
          <w:i w:val="false"/>
          <w:iCs w:val="false"/>
          <w:color w:val="333333"/>
          <w:sz w:val="21"/>
          <w:szCs w:val="21"/>
        </w:rPr>
        <w:t xml:space="preserve"> 코로나 유동성 랠리 끝에 3,266까지 치솔은 후 관성이 꺼지며 2년간 하락 추세에 접어들었다. 공통점은 명확하다: </w:t>
      </w:r>
      <w:r>
        <w:rPr>
          <w:rFonts w:ascii="Arial" w:cs="Arial" w:eastAsia="Arial" w:hAnsi="Arial"/>
          <w:b/>
          <w:bCs/>
          <w:i w:val="false"/>
          <w:iCs w:val="false"/>
          <w:color w:val="C62828"/>
          <w:sz w:val="21"/>
          <w:szCs w:val="21"/>
        </w:rPr>
        <w:t xml:space="preserve">RSI가 그렇게까지 치솔는 것은 패닉 바잉의 신호이지, 건강한 상승장의 증거가 아니다.</w:t>
      </w:r>
    </w:p>
    <w:p>
      <w:pPr>
        <w:spacing w:after="160" w:line="312"/>
        <w:jc w:val="both"/>
      </w:pPr>
      <w:r>
        <w:rPr>
          <w:rFonts w:ascii="Arial" w:cs="Arial" w:eastAsia="Arial" w:hAnsi="Arial"/>
          <w:color w:val="333333"/>
          <w:sz w:val="21"/>
          <w:szCs w:val="21"/>
        </w:rPr>
        <w:t xml:space="preserve">ADX가 84에 달하며 상승 추세의 강도는 그 어느 때보다 강력하지만, 바로 그것이 문제다. 와이코프 이론(Wyckoff Theory)의 프레임워크로 보면, KOSPI는 현재 선명한 'Markup Phase'의 후반부에 있으며, 이는 불가피하게 'Distribution Phase'로의 전환을 예고한다.</w:t>
      </w:r>
    </w:p>
    <w:p>
      <w:pPr>
        <w:pBdr>
          <w:bottom w:val="single" w:color="E0E0E0" w:sz="2" w:space="4"/>
        </w:pBdr>
        <w:spacing w:before="200" w:after="200"/>
      </w:pPr>
    </w:p>
    <w:p>
      <w:pPr>
        <w:pStyle w:val="Heading1"/>
      </w:pPr>
      <w:r>
        <w:t xml:space="preserve">3. 위험신호 #2: 그들만의 장세 — 삼성과 하이닉스의 쏠림</w:t>
      </w:r>
    </w:p>
    <w:p>
      <w:pPr>
        <w:spacing w:after="160" w:line="312"/>
        <w:jc w:val="both"/>
      </w:pPr>
      <w:r>
        <w:rPr>
          <w:rFonts w:ascii="Arial" w:cs="Arial" w:eastAsia="Arial" w:hAnsi="Arial"/>
          <w:color w:val="333333"/>
          <w:sz w:val="21"/>
          <w:szCs w:val="21"/>
        </w:rPr>
        <w:t xml:space="preserve">KOSPI 6,307이라는 숫자는 화려하지만, 이 지수의 실체를 해부하면 풀기 어려운 구조적 문제가 드러난다.</w:t>
      </w:r>
    </w:p>
    <w:p>
      <w:pPr>
        <w:spacing w:after="160" w:line="312"/>
        <w:jc w:val="both"/>
      </w:pPr>
      <w:r>
        <w:rPr>
          <w:rFonts w:ascii="Arial" w:cs="Arial" w:eastAsia="Arial" w:hAnsi="Arial"/>
          <w:b/>
          <w:bCs/>
          <w:i w:val="false"/>
          <w:iCs w:val="false"/>
          <w:color w:val="333333"/>
          <w:sz w:val="21"/>
          <w:szCs w:val="21"/>
        </w:rPr>
        <w:t xml:space="preserve">삼성전자와 SK하이닉스, 단 두 종목이 KOSPI의 약 50%를 차지한다.</w:t>
      </w:r>
      <w:r>
        <w:rPr>
          <w:rFonts w:ascii="Arial" w:cs="Arial" w:eastAsia="Arial" w:hAnsi="Arial"/>
          <w:b w:val="false"/>
          <w:bCs w:val="false"/>
          <w:i w:val="false"/>
          <w:iCs w:val="false"/>
          <w:color w:val="333333"/>
          <w:sz w:val="21"/>
          <w:szCs w:val="21"/>
        </w:rPr>
        <w:t xml:space="preserve"> 삼성전자는 2025년 초 대비 약 4배, SK하이닉스는 약 6배 상승했다. 그러나 이 두 기업을 제외한 187개 상장 전자기업의 2026년 예상 영업이익 성장률은 게우 2.05%에 불과하다.</w:t>
      </w:r>
    </w:p>
    <w:p>
      <w:pPr>
        <w:spacing w:after="160" w:line="312"/>
        <w:jc w:val="both"/>
      </w:pPr>
      <w:r>
        <w:rPr>
          <w:rFonts w:ascii="Arial" w:cs="Arial" w:eastAsia="Arial" w:hAnsi="Arial"/>
          <w:color w:val="333333"/>
          <w:sz w:val="21"/>
          <w:szCs w:val="21"/>
        </w:rPr>
        <w:t xml:space="preserve">시장 참여자들 사이에서는 "체감 지수는 3,900~4,000이지, 6,000이 아니다"라는 자조적 평가가 나온다. 이는 지수의 상승이 실물 경제의 회복을 반영하는 것이 아니라, 소수 대형주에 대한 외국인 수급이 만들어낸 착시 현상임을 시사한다.</w:t>
      </w:r>
    </w:p>
    <w:p>
      <w:pPr>
        <w:spacing w:before="280" w:after="120"/>
      </w:pPr>
      <w:r>
        <w:rPr>
          <w:rFonts w:ascii="Arial" w:cs="Arial" w:eastAsia="Arial" w:hAnsi="Arial"/>
          <w:b/>
          <w:bCs/>
          <w:color w:val="1A1A2E"/>
          <w:sz w:val="24"/>
          <w:szCs w:val="24"/>
        </w:rPr>
        <w:t xml:space="preserve">EWY를 통한 외국인 매수의 역설</w:t>
      </w:r>
    </w:p>
    <w:p>
      <w:pPr>
        <w:spacing w:after="160" w:line="312"/>
        <w:jc w:val="both"/>
      </w:pPr>
      <w:r>
        <w:rPr>
          <w:rFonts w:ascii="Arial" w:cs="Arial" w:eastAsia="Arial" w:hAnsi="Arial"/>
          <w:color w:val="333333"/>
          <w:sz w:val="21"/>
          <w:szCs w:val="21"/>
        </w:rPr>
        <w:t xml:space="preserve">EWY(아이셸어즈 MSCI 한국 ETF)는 해외 헤지펀드들이 한국 시장에 접근하는 가장 유동적인 채널이다. 문제는 EWY 포트폴리오의 약 50%가 삼성과 하이닉스에 집중되어 있다는 점이다. 해외 자금이 EWY를 통해 유입될 때, 이 자금은 자동으로 삼성과 하이닉스에 집중되며, 이것이 지수를 끌어올리는 핵심 메커니즘이다.</w:t>
      </w:r>
    </w:p>
    <w:p>
      <w:pPr>
        <w:spacing w:after="160" w:line="312"/>
        <w:jc w:val="both"/>
      </w:pPr>
      <w:r>
        <w:rPr>
          <w:rFonts w:ascii="Arial" w:cs="Arial" w:eastAsia="Arial" w:hAnsi="Arial"/>
          <w:b/>
          <w:bCs/>
          <w:i w:val="false"/>
          <w:iCs w:val="false"/>
          <w:color w:val="333333"/>
          <w:sz w:val="21"/>
          <w:szCs w:val="21"/>
        </w:rPr>
        <w:t xml:space="preserve">JPMorgan은 3분기에 EWY 보유량을 13.3% 증가시켜 120만 주 이상을 보유하고 있으며, Schroder는 31,122%라는 경이로운 보유량 증가율을 기록했다.</w:t>
      </w:r>
      <w:r>
        <w:rPr>
          <w:rFonts w:ascii="Arial" w:cs="Arial" w:eastAsia="Arial" w:hAnsi="Arial"/>
          <w:b w:val="false"/>
          <w:bCs w:val="false"/>
          <w:i w:val="false"/>
          <w:iCs w:val="false"/>
          <w:color w:val="333333"/>
          <w:sz w:val="21"/>
          <w:szCs w:val="21"/>
        </w:rPr>
        <w:t xml:space="preserve"> 그러나 이 자금의 속성을 이해해야 한다: 핵심은 </w:t>
      </w:r>
      <w:r>
        <w:rPr>
          <w:rFonts w:ascii="Arial" w:cs="Arial" w:eastAsia="Arial" w:hAnsi="Arial"/>
          <w:b/>
          <w:bCs/>
          <w:i w:val="false"/>
          <w:iCs w:val="false"/>
          <w:color w:val="333333"/>
          <w:sz w:val="21"/>
          <w:szCs w:val="21"/>
        </w:rPr>
        <w:t xml:space="preserve">AI/메모리 반도체 사이클 테시스(thesis)</w:t>
      </w:r>
      <w:r>
        <w:rPr>
          <w:rFonts w:ascii="Arial" w:cs="Arial" w:eastAsia="Arial" w:hAnsi="Arial"/>
          <w:b w:val="false"/>
          <w:bCs w:val="false"/>
          <w:i w:val="false"/>
          <w:iCs w:val="false"/>
          <w:color w:val="333333"/>
          <w:sz w:val="21"/>
          <w:szCs w:val="21"/>
        </w:rPr>
        <w:t xml:space="preserve">이지, 한국 경제 편더멘털에 대한 신뢰가 아니다. 이 테시스가 흔들리는 순간, 자금은 들어오던 속도보다 더 빠르게 빠져나간다.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ℹ </w:t>
            </w:r>
            <w:r>
              <w:rPr>
                <w:rFonts w:ascii="Arial" w:cs="Arial" w:eastAsia="Arial" w:hAnsi="Arial"/>
                <w:color w:val="E65100"/>
                <w:sz w:val="20"/>
                <w:szCs w:val="20"/>
              </w:rPr>
              <w:t xml:space="preserve">2월 기준 외국인은 약 12조 원 순매도 기록. 리테일 투자자들이 13조 원을 순매수하며 바톤을 받았지만, 이는 건강한 구조가 아니다. 스마트 마니가 팔고, 리테일이 받아내는 전형적인 'Distribution' 패턴이다.</w:t>
            </w:r>
          </w:p>
        </w:tc>
      </w:tr>
    </w:tbl>
    <w:p>
      <w:pPr>
        <w:pBdr>
          <w:bottom w:val="single" w:color="E0E0E0" w:sz="2" w:space="4"/>
        </w:pBdr>
        <w:spacing w:before="200" w:after="200"/>
      </w:pPr>
    </w:p>
    <w:p>
      <w:pPr>
        <w:pStyle w:val="Heading1"/>
      </w:pPr>
      <w:r>
        <w:t xml:space="preserve">4. 위험신호 #3: 레버리지의 시한폭탄</w:t>
      </w:r>
    </w:p>
    <w:p>
      <w:pPr>
        <w:spacing w:after="160" w:line="312"/>
        <w:jc w:val="both"/>
      </w:pPr>
      <w:r>
        <w:rPr>
          <w:rFonts w:ascii="Arial" w:cs="Arial" w:eastAsia="Arial" w:hAnsi="Arial"/>
          <w:color w:val="333333"/>
          <w:sz w:val="21"/>
          <w:szCs w:val="21"/>
        </w:rPr>
        <w:t xml:space="preserve">한국 주식시장의 신용융자잔고는 2026년 2월 26일 기준 32.13조 원으로 사상 최대를 기록했다. 연초 대비 18% 증가한 수치다. 여기에 증권대차잔고까지 합치면 149.17조 원으로, 연초 대비 31.9% 급증했다.</w:t>
      </w:r>
    </w:p>
    <w:p>
      <w:pPr>
        <w:spacing w:after="160" w:line="312"/>
        <w:jc w:val="both"/>
      </w:pPr>
      <w:r>
        <w:rPr>
          <w:rFonts w:ascii="Arial" w:cs="Arial" w:eastAsia="Arial" w:hAnsi="Arial"/>
          <w:b/>
          <w:bCs/>
          <w:i w:val="false"/>
          <w:iCs w:val="false"/>
          <w:color w:val="333333"/>
          <w:sz w:val="21"/>
          <w:szCs w:val="21"/>
        </w:rPr>
        <w:t xml:space="preserve">문제의 핵심은 반대대매 비율이다.</w:t>
      </w:r>
      <w:r>
        <w:rPr>
          <w:rFonts w:ascii="Arial" w:cs="Arial" w:eastAsia="Arial" w:hAnsi="Arial"/>
          <w:b w:val="false"/>
          <w:bCs w:val="false"/>
          <w:i w:val="false"/>
          <w:iCs w:val="false"/>
          <w:color w:val="333333"/>
          <w:sz w:val="21"/>
          <w:szCs w:val="21"/>
        </w:rPr>
        <w:t xml:space="preserve"> 신용융자 대비 반대매매 비율은 2025년 1월 0.52%에서 11월 1.47%로 상승했으며, 최근에는 평균 1.27% 수준을 유지하고 있다. KOSPI가 4월 2일 약 300포인트 급락했을 때, 다음 날 반대매매 금액은 159억 원에 달했고, 4월 2일부터 5일까지 매일 100억 원 이상의 강제 청산이 발생했다.</w:t>
      </w:r>
    </w:p>
    <w:p>
      <w:pPr>
        <w:spacing w:after="160" w:line="312"/>
        <w:jc w:val="both"/>
      </w:pPr>
      <w:r>
        <w:rPr>
          <w:rFonts w:ascii="Arial" w:cs="Arial" w:eastAsia="Arial" w:hAnsi="Arial"/>
          <w:color w:val="333333"/>
          <w:sz w:val="21"/>
          <w:szCs w:val="21"/>
        </w:rPr>
        <w:t xml:space="preserve">이는 레버리지의 시한폭탄이다. 시장이 상승할 때는 신용이 수익을 극대화하지만, 하락 전환 시에는 강제 청산 → 추가 하락 → 추가 강제 청산이라는 악순환이 발생한다. 2024년 8월 5일 엔 캐리 트레이드 청산 당시 KOSPI가 -8.77% 폭락하며 대규모 마진 콜이 발생한 선례가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 </w:t>
            </w:r>
            <w:r>
              <w:rPr>
                <w:rFonts w:ascii="Arial" w:cs="Arial" w:eastAsia="Arial" w:hAnsi="Arial"/>
                <w:color w:val="C62828"/>
                <w:sz w:val="20"/>
                <w:szCs w:val="20"/>
              </w:rPr>
              <w:t xml:space="preserve">현재 레버리지 규모: 신용융자 32.13조 원 + 증권대차 149조 원. 전년 대비 3배 이상 증가. 10% 조정만으로도 수조 원 규모의 강제 청산 압력이 발생할 수 있다.</w:t>
            </w:r>
          </w:p>
        </w:tc>
      </w:tr>
    </w:tbl>
    <w:p>
      <w:pPr>
        <w:pBdr>
          <w:bottom w:val="single" w:color="E0E0E0" w:sz="2" w:space="4"/>
        </w:pBdr>
        <w:spacing w:before="200" w:after="200"/>
      </w:pPr>
    </w:p>
    <w:p>
      <w:pPr>
        <w:pStyle w:val="Heading1"/>
      </w:pPr>
      <w:r>
        <w:t xml:space="preserve">5. 위험신호 #4: AI CapEx 사이클의 균열</w:t>
      </w:r>
    </w:p>
    <w:p>
      <w:pPr>
        <w:spacing w:after="160" w:line="312"/>
        <w:jc w:val="both"/>
      </w:pPr>
      <w:r>
        <w:rPr>
          <w:rFonts w:ascii="Arial" w:cs="Arial" w:eastAsia="Arial" w:hAnsi="Arial"/>
          <w:color w:val="333333"/>
          <w:sz w:val="21"/>
          <w:szCs w:val="21"/>
        </w:rPr>
        <w:t xml:space="preserve">KOSPI 랠리의 근본적 드라이버는 AI 반도체 수요이다. 그리고 그 수요의 출처는 명확하다: Magnificent 7의 AI 인프라 투자다.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기업</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2025 CapEx</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2026E CapEx</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YoY 변동</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Amazon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$131B</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$200B</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+53%</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Alphabet</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$91~93B</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$175~185B</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+93%</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Microsoft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~$80B</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~$144B (연환산)</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+80%</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Meta</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~$40B</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$60~65B</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+55%</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합계 (Mag7)</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8"/>
                <w:szCs w:val="18"/>
              </w:rPr>
              <w:t xml:space="preserve">~$400B</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8"/>
                <w:szCs w:val="18"/>
              </w:rPr>
              <w:t xml:space="preserve">$680B+</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62828"/>
                <w:sz w:val="18"/>
                <w:szCs w:val="18"/>
              </w:rPr>
              <w:t xml:space="preserve">+70%</w:t>
            </w:r>
          </w:p>
        </w:tc>
      </w:tr>
    </w:tbl>
    <w:p>
      <w:pPr>
        <w:spacing w:after="120"/>
      </w:pPr>
    </w:p>
    <w:p>
      <w:pPr>
        <w:spacing w:after="160" w:line="312"/>
        <w:jc w:val="both"/>
      </w:pPr>
      <w:r>
        <w:rPr>
          <w:rFonts w:ascii="Arial" w:cs="Arial" w:eastAsia="Arial" w:hAnsi="Arial"/>
          <w:b/>
          <w:bCs/>
          <w:i w:val="false"/>
          <w:iCs w:val="false"/>
          <w:color w:val="333333"/>
          <w:sz w:val="21"/>
          <w:szCs w:val="21"/>
        </w:rPr>
        <w:t xml:space="preserve">Mag7의 2026년 총 CapEx는 6,800억 달러를 초과하며, 2025년 대비 70% 이상 증가했다.</w:t>
      </w:r>
      <w:r>
        <w:rPr>
          <w:rFonts w:ascii="Arial" w:cs="Arial" w:eastAsia="Arial" w:hAnsi="Arial"/>
          <w:b w:val="false"/>
          <w:bCs w:val="false"/>
          <w:i w:val="false"/>
          <w:iCs w:val="false"/>
          <w:color w:val="333333"/>
          <w:sz w:val="21"/>
          <w:szCs w:val="21"/>
        </w:rPr>
        <w:t xml:space="preserve"> 그러나 시장의 반응은 달라졌다. 2024년에는 CapEx 증가 발표가 주가 상승으로 이어졌지만, 2026년 초 4개 대형 CapEx 발표는 3,200억 달러의 추가 투자 가이든스에도 불구하고 </w:t>
      </w:r>
      <w:r>
        <w:rPr>
          <w:rFonts w:ascii="Arial" w:cs="Arial" w:eastAsia="Arial" w:hAnsi="Arial"/>
          <w:b/>
          <w:bCs/>
          <w:i w:val="false"/>
          <w:iCs w:val="false"/>
          <w:color w:val="C62828"/>
          <w:sz w:val="21"/>
          <w:szCs w:val="21"/>
        </w:rPr>
        <w:t xml:space="preserve">4,750억 달러의 시가총액 파괴를 초래했다.</w:t>
      </w:r>
    </w:p>
    <w:p>
      <w:pPr>
        <w:spacing w:after="160" w:line="312"/>
        <w:jc w:val="both"/>
      </w:pPr>
      <w:r>
        <w:rPr>
          <w:rFonts w:ascii="Arial" w:cs="Arial" w:eastAsia="Arial" w:hAnsi="Arial"/>
          <w:color w:val="333333"/>
          <w:sz w:val="21"/>
          <w:szCs w:val="21"/>
        </w:rPr>
        <w:t xml:space="preserve">CapEx 배수가 마이너스로 전환된 것이다. 시장은 더 이상 AI 투자 규모 자체에 보상하지 않으며, 구체적인 수익 증거를 요구하고 있다. Hyperscaler들의 CapEx가 현금흐름의 92%에 달하며, Amazon의 FCF가 올해 마이너스로 전환될 수 있다는 전망은 심각한 경고 신호다.</w:t>
      </w:r>
    </w:p>
    <w:p>
      <w:pPr>
        <w:spacing w:after="160" w:line="312"/>
        <w:jc w:val="both"/>
      </w:pPr>
      <w:r>
        <w:rPr>
          <w:rFonts w:ascii="Arial" w:cs="Arial" w:eastAsia="Arial" w:hAnsi="Arial"/>
          <w:b/>
          <w:bCs/>
          <w:i w:val="false"/>
          <w:iCs w:val="false"/>
          <w:color w:val="333333"/>
          <w:sz w:val="21"/>
          <w:szCs w:val="21"/>
        </w:rPr>
        <w:t xml:space="preserve">이것이 한국에 의미하는 바는 명확하다.</w:t>
      </w:r>
      <w:r>
        <w:rPr>
          <w:rFonts w:ascii="Arial" w:cs="Arial" w:eastAsia="Arial" w:hAnsi="Arial"/>
          <w:b w:val="false"/>
          <w:bCs w:val="false"/>
          <w:i w:val="false"/>
          <w:iCs w:val="false"/>
          <w:color w:val="333333"/>
          <w:sz w:val="21"/>
          <w:szCs w:val="21"/>
        </w:rPr>
        <w:t xml:space="preserve"> Mag7이 CapEx를 줄이거나, 투자 대비 수익이 부진하다는 신호가 나오면, 메모리 반도체 수요 전망은 급격히 악화된다. 이는 삼성과 SK하이닉스의 실적 전망을 직격하며, KOSPI의 근간을 흔들 수 있다.</w:t>
      </w:r>
    </w:p>
    <w:p>
      <w:pPr>
        <w:pStyle w:val="Heading2"/>
        <w:spacing w:before="240" w:after="120"/>
      </w:pPr>
      <w:r>
        <w:rPr>
          <w:rFonts w:ascii="Arial" w:cs="Arial" w:eastAsia="Arial" w:hAnsi="Arial"/>
          <w:b/>
          <w:color w:val="C0392B"/>
          <w:sz w:val="24"/>
          <w:szCs w:val="24"/>
        </w:rPr>
        <w:t xml:space="preserve">5-1. AI CapEx 하락 전환 시나리오 — 슈퍼사이클의 균열</w:t>
      </w:r>
    </w:p>
    <w:p>
      <w:pPr>
        <w:spacing w:after="160" w:line="312"/>
        <w:jc w:val="both"/>
      </w:pPr>
      <w:r>
        <w:rPr>
          <w:rFonts w:ascii="Arial" w:cs="Arial" w:eastAsia="Arial" w:hAnsi="Arial"/>
          <w:color w:val="333333"/>
          <w:sz w:val="21"/>
          <w:szCs w:val="21"/>
        </w:rPr>
        <w:t xml:space="preserve">현재의 AI CapEx 슈퍼사이클은 “영원히 지속되는 상승”이라는 서사에 기반하고 있지만, 정량적 데이터는 이미 피크아웃 신호를 보내고 있다. Goldman Sachs는 2026년 하반기부터 Hyperscaler들의 CapEx 성장률이 전년 대비 +70%에서 +15~20% 수준으로 급감할 것으로 전망하며, Morgan Stanley는 2027년부터 절대 금액 기준 감소 전환 가능성을 경고했다.</w:t>
      </w:r>
    </w:p>
    <w:p>
      <w:pPr>
        <w:spacing w:after="160" w:line="312"/>
        <w:jc w:val="both"/>
      </w:pPr>
      <w:r>
        <w:rPr>
          <w:rFonts w:ascii="Arial" w:cs="Arial" w:eastAsia="Arial" w:hAnsi="Arial"/>
          <w:color w:val="333333"/>
          <w:sz w:val="21"/>
          <w:szCs w:val="21"/>
        </w:rPr>
        <w:t xml:space="preserve">핵심 구조적 문제는 세 가지다. </w:t>
      </w:r>
      <w:r>
        <w:rPr>
          <w:rFonts w:ascii="Arial" w:cs="Arial" w:eastAsia="Arial" w:hAnsi="Arial"/>
          <w:b/>
          <w:color w:val="333333"/>
          <w:sz w:val="21"/>
          <w:szCs w:val="21"/>
        </w:rPr>
        <w:t xml:space="preserve">통째, ROI 미실현 압력:</w:t>
      </w:r>
      <w:r>
        <w:rPr>
          <w:rFonts w:ascii="Arial" w:cs="Arial" w:eastAsia="Arial" w:hAnsi="Arial"/>
          <w:color w:val="333333"/>
          <w:sz w:val="21"/>
          <w:szCs w:val="21"/>
        </w:rPr>
        <w:t xml:space="preserve"> Sequoia Capital 분석에 따르면 AI 산업의 연간 수익(~$600B)이 인프라 투자비용을 회수하려면 수익이 현재의 5배 이상 증가해야 한다. 이 간극이 메워지지 않는 한 주주 압력으로 인한 CapEx 삭감은 시간의 문제다. </w:t>
      </w:r>
      <w:r>
        <w:rPr>
          <w:rFonts w:ascii="Arial" w:cs="Arial" w:eastAsia="Arial" w:hAnsi="Arial"/>
          <w:b/>
          <w:color w:val="333333"/>
          <w:sz w:val="21"/>
          <w:szCs w:val="21"/>
        </w:rPr>
        <w:t xml:space="preserve">둘째, 전력 및 물리적 제약:</w:t>
      </w:r>
      <w:r>
        <w:rPr>
          <w:rFonts w:ascii="Arial" w:cs="Arial" w:eastAsia="Arial" w:hAnsi="Arial"/>
          <w:color w:val="333333"/>
          <w:sz w:val="21"/>
          <w:szCs w:val="21"/>
        </w:rPr>
        <w:t xml:space="preserve"> 미국 데이터센터의 전력 수요가 전체 전력망의 8%를 초과하며, 신규 데이터센터 허가가 최장 36개월 지연되고 있다. 물리적 공급 병목이 CapEx 집행 자체를 제약하기 시작했다. </w:t>
      </w:r>
      <w:r>
        <w:rPr>
          <w:rFonts w:ascii="Arial" w:cs="Arial" w:eastAsia="Arial" w:hAnsi="Arial"/>
          <w:b/>
          <w:color w:val="333333"/>
          <w:sz w:val="21"/>
          <w:szCs w:val="21"/>
        </w:rPr>
        <w:t xml:space="preserve">셋째, 효율화 기술 충격:</w:t>
      </w:r>
      <w:r>
        <w:rPr>
          <w:rFonts w:ascii="Arial" w:cs="Arial" w:eastAsia="Arial" w:hAnsi="Arial"/>
          <w:color w:val="333333"/>
          <w:sz w:val="21"/>
          <w:szCs w:val="21"/>
        </w:rPr>
        <w:t xml:space="preserve"> DeepSeek R1 등 저비용 고효율 모델의 등장은 “더 많은 컴퓨팅 = 더 좋은 AI”라는 스케일링 법칙의 한계를 실증적으로 보여줬다. 추론(Inference) 비용이 훈련(Training) 비용 대비 10배 이상 저렴해지면서, 신규 GPU 클러스터 투자의 경제적 정당성이 약화되고 있다.</w:t>
      </w:r>
    </w:p>
    <w:p>
      <w:pPr>
        <w:spacing w:after="160" w:line="312"/>
        <w:jc w:val="both"/>
      </w:pPr>
      <w:r>
        <w:rPr>
          <w:rFonts w:ascii="Arial" w:cs="Arial" w:eastAsia="Arial" w:hAnsi="Arial"/>
          <w:b/>
          <w:color w:val="C0392B"/>
          <w:sz w:val="21"/>
          <w:szCs w:val="21"/>
        </w:rPr>
        <w:t xml:space="preserve">HBM 수요 타격 차단기: CapEx 10% 삭감 시 SK하이닉스와 삼성전자의 수익 추정치는 각각 23%, 18% 하락할 것으로 분석된다.</w:t>
      </w:r>
      <w:r>
        <w:rPr>
          <w:rFonts w:ascii="Arial" w:cs="Arial" w:eastAsia="Arial" w:hAnsi="Arial"/>
          <w:color w:val="333333"/>
          <w:sz w:val="21"/>
          <w:szCs w:val="21"/>
        </w:rPr>
        <w:t xml:space="preserve"> CapEx 사이클의 반전은 단순한 실적 하락이 아니라, KOSPI 랠리의 근간 테시스 자체가 붕괴되는 이벤트다.</w:t>
      </w:r>
    </w:p>
    <w:p>
      <w:pPr>
        <w:pStyle w:val="Heading2"/>
        <w:spacing w:before="240" w:after="120"/>
      </w:pPr>
      <w:r>
        <w:rPr>
          <w:rFonts w:ascii="Arial" w:cs="Arial" w:eastAsia="Arial" w:hAnsi="Arial"/>
          <w:b/>
          <w:color w:val="C0392B"/>
          <w:sz w:val="24"/>
          <w:szCs w:val="24"/>
        </w:rPr>
        <w:t xml:space="preserve">5-2. 사모펀드 리스크 — ‘블루아월’ 사태와 AI 투자 군의 취약성</w:t>
      </w:r>
    </w:p>
    <w:p>
      <w:pPr>
        <w:spacing w:after="160" w:line="312"/>
        <w:jc w:val="both"/>
      </w:pPr>
      <w:r>
        <w:rPr>
          <w:rFonts w:ascii="Arial" w:cs="Arial" w:eastAsia="Arial" w:hAnsi="Arial"/>
          <w:color w:val="333333"/>
          <w:sz w:val="21"/>
          <w:szCs w:val="21"/>
        </w:rPr>
        <w:t xml:space="preserve">2025년 10월 발생한 </w:t>
      </w:r>
      <w:r>
        <w:rPr>
          <w:rFonts w:ascii="Arial" w:cs="Arial" w:eastAsia="Arial" w:hAnsi="Arial"/>
          <w:b/>
          <w:color w:val="333333"/>
          <w:sz w:val="21"/>
          <w:szCs w:val="21"/>
        </w:rPr>
        <w:t xml:space="preserve">블루아월(Blueawal) 사태</w:t>
      </w:r>
      <w:r>
        <w:rPr>
          <w:rFonts w:ascii="Arial" w:cs="Arial" w:eastAsia="Arial" w:hAnsi="Arial"/>
          <w:color w:val="333333"/>
          <w:sz w:val="21"/>
          <w:szCs w:val="21"/>
        </w:rPr>
        <w:t xml:space="preserve">는 AI 인프라에 집중 투자한 사모펀드(PE) 생태계의 구조적 취약성을 세계에 처음으로 노출시킨 사건이다. 미국 중견 PE 운용사인 블루아월 캐피털은 데이터센터 관련 비상장 AI 기업 포트폴리오의 평가손 처리를 지연시키다 투자자 환매 집중으로 유동성 위기에 빠졌으며, 이 과정에서 보유 자산을 헐값에 매각하며 관련 상장사 주가에 연쇄적 충격을 줬다.</w:t>
      </w:r>
    </w:p>
    <w:p>
      <w:pPr>
        <w:spacing w:after="160" w:line="312"/>
        <w:jc w:val="both"/>
      </w:pPr>
      <w:r>
        <w:rPr>
          <w:rFonts w:ascii="Arial" w:cs="Arial" w:eastAsia="Arial" w:hAnsi="Arial"/>
          <w:b/>
          <w:color w:val="333333"/>
          <w:sz w:val="21"/>
          <w:szCs w:val="21"/>
        </w:rPr>
        <w:t xml:space="preserve">사모펀드가 AI CapEx에 미치는 영향 경로는 세 가지다.</w:t>
      </w:r>
    </w:p>
    <w:p>
      <w:pPr>
        <w:spacing w:after="120" w:line="312"/>
        <w:ind w:left="480" w:hanging="240"/>
        <w:jc w:val="both"/>
      </w:pPr>
      <w:r>
        <w:rPr>
          <w:rFonts w:ascii="Arial" w:cs="Arial" w:eastAsia="Arial" w:hAnsi="Arial"/>
          <w:b/>
          <w:color w:val="C0392B"/>
          <w:sz w:val="21"/>
          <w:szCs w:val="21"/>
        </w:rPr>
        <w:t xml:space="preserve">① 비상장 AI 기업의 평가 거품 손실:</w:t>
      </w:r>
      <w:r>
        <w:rPr>
          <w:rFonts w:ascii="Arial" w:cs="Arial" w:eastAsia="Arial" w:hAnsi="Arial"/>
          <w:color w:val="333333"/>
          <w:sz w:val="21"/>
          <w:szCs w:val="21"/>
        </w:rPr>
        <w:t xml:space="preserve"> 글로벌 PE 및 VC가 2022~2025년간 AI 관련 비상장 기업에 투자한 자금은 누계 약 $2.1조로 추정된다(PitchBook 추산). 이들 포트폴리오 기업 다수의 수익화가 지연되면서, 펀드 만기 도래 시 강제 매각 및 평가 절하가 CapEx 공급망 전반에 충격을 줄 수 있다.</w:t>
      </w:r>
    </w:p>
    <w:p>
      <w:pPr>
        <w:spacing w:after="120" w:line="312"/>
        <w:ind w:left="480" w:hanging="240"/>
        <w:jc w:val="both"/>
      </w:pPr>
      <w:r>
        <w:rPr>
          <w:rFonts w:ascii="Arial" w:cs="Arial" w:eastAsia="Arial" w:hAnsi="Arial"/>
          <w:b/>
          <w:color w:val="C0392B"/>
          <w:sz w:val="21"/>
          <w:szCs w:val="21"/>
        </w:rPr>
        <w:t xml:space="preserve">② PE 바잇 파이낸싱 경직성:</w:t>
      </w:r>
      <w:r>
        <w:rPr>
          <w:rFonts w:ascii="Arial" w:cs="Arial" w:eastAsia="Arial" w:hAnsi="Arial"/>
          <w:color w:val="333333"/>
          <w:sz w:val="21"/>
          <w:szCs w:val="21"/>
        </w:rPr>
        <w:t xml:space="preserve"> AI 데이터센터 건설의 약 35~40%는 PE 바이아웃 또는 인프라 펀드 자금으로 조달된다. 고금리 지속으로 PE 차입비용이 상승(평균 LBO 금리 9.2%, 2021년 대비 +4.5%p)하면서, 신규 데이터센터 프로젝트 파이낸싱이 위축되고 있다. 이는 HBM 등 메모리 반도체의 실질 수요 기반을 잠식한다.</w:t>
      </w:r>
    </w:p>
    <w:p>
      <w:pPr>
        <w:spacing w:after="160" w:line="312"/>
        <w:ind w:left="480" w:hanging="240"/>
        <w:jc w:val="both"/>
      </w:pPr>
      <w:r>
        <w:rPr>
          <w:rFonts w:ascii="Arial" w:cs="Arial" w:eastAsia="Arial" w:hAnsi="Arial"/>
          <w:b/>
          <w:color w:val="C0392B"/>
          <w:sz w:val="21"/>
          <w:szCs w:val="21"/>
        </w:rPr>
        <w:t xml:space="preserve">③ 블루아월 유형 사태의 전염 가능성:</w:t>
      </w:r>
      <w:r>
        <w:rPr>
          <w:rFonts w:ascii="Arial" w:cs="Arial" w:eastAsia="Arial" w:hAnsi="Arial"/>
          <w:color w:val="333333"/>
          <w:sz w:val="21"/>
          <w:szCs w:val="21"/>
        </w:rPr>
        <w:t xml:space="preserve"> 블루아월 사태는 구조적으로 2006~2007년 서브프라임 CDO 유동성 위기의 축소판이다. “AI 버블 2.0” 시나리오하에서 유사한 사태가 복수의 PE 운용사에서 동시 발생할 경우, 투자자 환매 러시 → 헐값 자산 매각 → 관련 상장사(GPU 제조사, 서버 업체, HBM 공급사) 주가 급락 → KOSPI 연쇄 하락의 전염 경로가 형성된다.</w:t>
      </w:r>
    </w:p>
    <w:p>
      <w:pPr>
        <w:pBdr>
          <w:left w:val="single" w:color="E74C3C" w:sz="6" w:space="12"/>
        </w:pBdr>
        <w:shd w:val="clear" w:color="auto" w:fill="FDF2F2"/>
        <w:spacing w:before="160" w:after="160" w:line="312"/>
        <w:ind w:left="360"/>
        <w:jc w:val="both"/>
      </w:pPr>
      <w:r>
        <w:rPr>
          <w:rFonts w:ascii="Arial" w:cs="Arial" w:eastAsia="Arial" w:hAnsi="Arial"/>
          <w:b/>
          <w:color w:val="C0392B"/>
          <w:sz w:val="21"/>
          <w:szCs w:val="21"/>
        </w:rPr>
        <w:t xml:space="preserve">⚠ </w:t>
      </w:r>
      <w:r>
        <w:rPr>
          <w:rFonts w:ascii="Arial" w:cs="Arial" w:eastAsia="Arial" w:hAnsi="Arial"/>
          <w:color w:val="C0392B"/>
          <w:sz w:val="21"/>
          <w:szCs w:val="21"/>
        </w:rPr>
        <w:t xml:space="preserve">사모펀드발 충격 시나리오(추정 확률 15%): 2026년 하반기 AI PE 포트폴리오 평가손 본격화 → HBM 수요 추정치 20~30% 하향 → 삼성전자/SK하이닉스 합산 시총 약 120조 원 소멸 → KOSPI 단기 -8~12% 충격. 이 시나리오는 현재 시장 컨센서스에 전혀 반영되어 있지 않은 “테일 리스크”다.</w:t>
      </w:r>
    </w:p>
    <w:p>
      <w:pPr>
        <w:spacing w:before="200" w:after="80"/>
        <w:jc w:val="center"/>
      </w:pPr>
      <w:r>
        <w:drawing>
          <wp:inline xmlns:wp="http://schemas.openxmlformats.org/drawingml/2006/wordprocessingDrawing" distT="0" distB="0" distL="0" distR="0">
            <wp:extent cx="5943600" cy="2971800"/>
            <wp:effectExtent t="0" r="0" b="0" l="0"/>
            <wp:docPr id="20" name="capex_chart" descr="AI CapEx decline forecas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cstate="none"/>
                    <a:srcRect/>
                    <a:stretch>
                      <a:fillRect/>
                    </a:stretch>
                  </pic:blipFill>
                  <pic:spPr bwMode="auto">
                    <a:xfrm>
                      <a:off x="0" y="0"/>
                      <a:ext cx="5943600" cy="2971800"/>
                    </a:xfrm>
                    <a:prstGeom prst="rect">
                      <a:avLst/>
                    </a:prstGeom>
                  </pic:spPr>
                </pic:pic>
              </a:graphicData>
            </a:graphic>
          </wp:inline>
        </w:drawing>
      </w:r>
    </w:p>
    <w:p>
      <w:pPr>
        <w:spacing w:before="60" w:after="160"/>
        <w:jc w:val="center"/>
      </w:pPr>
      <w:r>
        <w:rPr>
          <w:rFonts w:ascii="Arial" w:cs="Arial" w:eastAsia="Arial" w:hAnsi="Arial"/>
          <w:i/>
          <w:color w:val="7F8C8D"/>
          <w:sz w:val="18"/>
          <w:szCs w:val="18"/>
        </w:rPr>
        <w:t xml:space="preserve">[Figure 4] AI CapEx YoY 성장률 — 2026년 하반기 급감, 2027년 절대 금액 감소 전환 전망</w:t>
      </w:r>
    </w:p>
    <w:p>
      <w:pPr>
        <w:spacing w:before="200" w:after="80"/>
        <w:jc w:val="center"/>
      </w:pPr>
      <w:r>
        <w:drawing>
          <wp:inline xmlns:wp="http://schemas.openxmlformats.org/drawingml/2006/wordprocessingDrawing" distT="0" distB="0" distL="0" distR="0">
            <wp:extent cx="5943600" cy="3200400"/>
            <wp:effectExtent t="0" r="0" b="0" l="0"/>
            <wp:docPr id="21" name="pe_risk_chart" descr="Private equity risk contagion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3" cstate="none"/>
                    <a:srcRect/>
                    <a:stretch>
                      <a:fillRect/>
                    </a:stretch>
                  </pic:blipFill>
                  <pic:spPr bwMode="auto">
                    <a:xfrm>
                      <a:off x="0" y="0"/>
                      <a:ext cx="5943600" cy="3200400"/>
                    </a:xfrm>
                    <a:prstGeom prst="rect">
                      <a:avLst/>
                    </a:prstGeom>
                  </pic:spPr>
                </pic:pic>
              </a:graphicData>
            </a:graphic>
          </wp:inline>
        </w:drawing>
      </w:r>
    </w:p>
    <w:p>
      <w:pPr>
        <w:spacing w:before="60" w:after="160"/>
        <w:jc w:val="center"/>
      </w:pPr>
      <w:r>
        <w:rPr>
          <w:rFonts w:ascii="Arial" w:cs="Arial" w:eastAsia="Arial" w:hAnsi="Arial"/>
          <w:i/>
          <w:color w:val="7F8C8D"/>
          <w:sz w:val="18"/>
          <w:szCs w:val="18"/>
        </w:rPr>
        <w:t xml:space="preserve">[Figure 5] 사모펀드 리스크 전염 경로 — 블루아월 유형 충격의 KOSPI 전달 메커니즘</w:t>
      </w:r>
    </w:p>
    <w:p>
      <w:pPr>
        <w:pBdr>
          <w:bottom w:val="single" w:color="E0E0E0" w:sz="2" w:space="4"/>
        </w:pBdr>
        <w:spacing w:before="200" w:after="200"/>
      </w:pPr>
    </w:p>
    <w:p>
      <w:pPr>
        <w:pStyle w:val="Heading1"/>
      </w:pPr>
      <w:r>
        <w:t xml:space="preserve">6. 아시아 전체의 경고등</w:t>
      </w:r>
    </w:p>
    <w:p>
      <w:pPr>
        <w:spacing w:after="160" w:line="312"/>
        <w:jc w:val="both"/>
      </w:pPr>
      <w:r>
        <w:rPr>
          <w:rFonts w:ascii="Arial" w:cs="Arial" w:eastAsia="Arial" w:hAnsi="Arial"/>
          <w:color w:val="333333"/>
          <w:sz w:val="21"/>
          <w:szCs w:val="21"/>
        </w:rPr>
        <w:t xml:space="preserve">이것은 KOSPI만의 문제가 아니다. 아시아 전체가 동시에 과열되어 있다.</w:t>
      </w:r>
    </w:p>
    <w:p>
      <w:pPr>
        <w:spacing w:before="200" w:after="80"/>
        <w:jc w:val="center"/>
      </w:pPr>
      <w:r>
        <w:drawing>
          <wp:inline distT="0" distB="0" distL="0" distR="0">
            <wp:extent cx="4762500" cy="3810000"/>
            <wp:effectExtent t="0" r="0" b="0" l="0"/>
            <wp:docPr id="1" name="chart2" descr="AIA ETF showing 2021-like pattern with MACD overheated" title="iShares Asia 50 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888888"/>
          <w:sz w:val="16"/>
          <w:szCs w:val="16"/>
        </w:rPr>
        <w:t xml:space="preserve">[Figure 2] iShares Asia 50 ETF (AIA) — 2021년 고점과 동일한 패턴, MACD 과열</w:t>
      </w:r>
    </w:p>
    <w:p>
      <w:pPr>
        <w:spacing w:after="160" w:line="312"/>
        <w:jc w:val="both"/>
      </w:pPr>
      <w:r>
        <w:rPr>
          <w:rFonts w:ascii="Arial" w:cs="Arial" w:eastAsia="Arial" w:hAnsi="Arial"/>
          <w:b/>
          <w:bCs/>
          <w:i w:val="false"/>
          <w:iCs w:val="false"/>
          <w:color w:val="333333"/>
          <w:sz w:val="21"/>
          <w:szCs w:val="21"/>
        </w:rPr>
        <w:t xml:space="preserve">iShares Asia 50 ETF(AIA)는 2021년 2월 고점과 놀라울 정도로 유사한 패턴을 보이고 있다.</w:t>
      </w:r>
      <w:r>
        <w:rPr>
          <w:rFonts w:ascii="Arial" w:cs="Arial" w:eastAsia="Arial" w:hAnsi="Arial"/>
          <w:b w:val="false"/>
          <w:bCs w:val="false"/>
          <w:i w:val="false"/>
          <w:iCs w:val="false"/>
          <w:color w:val="333333"/>
          <w:sz w:val="21"/>
          <w:szCs w:val="21"/>
        </w:rPr>
        <w:t xml:space="preserve"> RSI 67.97, %MACD가 빨간 점선(과열 구역) 바로 아래에 위치하며, 가격은 50일 및 200일 EMA를 크게 상회한 상태다. 2021년에는 이 패턴 이후 AIA가 약 40% 하락했다.</w:t>
      </w:r>
    </w:p>
    <w:p>
      <w:pPr>
        <w:spacing w:before="200" w:after="80"/>
        <w:jc w:val="center"/>
      </w:pPr>
      <w:r>
        <w:drawing>
          <wp:inline distT="0" distB="0" distL="0" distR="0">
            <wp:extent cx="5905500" cy="2952750"/>
            <wp:effectExtent t="0" r="0" b="0" l="0"/>
            <wp:docPr id="1" name="chart3" descr="Nikkei 225 monthly showing 40000 as key support, vertical surge" title="Nikkei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Arial" w:cs="Arial" w:eastAsia="Arial" w:hAnsi="Arial"/>
          <w:i/>
          <w:iCs/>
          <w:color w:val="888888"/>
          <w:sz w:val="16"/>
          <w:szCs w:val="16"/>
        </w:rPr>
        <w:t xml:space="preserve">[Figure 3] Nikkei 225 월봉 — 40,000 지지선, 급각도 상승 후 조정 시나리오</w:t>
      </w:r>
    </w:p>
    <w:p>
      <w:pPr>
        <w:spacing w:after="160" w:line="312"/>
        <w:jc w:val="both"/>
      </w:pPr>
      <w:r>
        <w:rPr>
          <w:rFonts w:ascii="Arial" w:cs="Arial" w:eastAsia="Arial" w:hAnsi="Arial"/>
          <w:color w:val="333333"/>
          <w:sz w:val="21"/>
          <w:szCs w:val="21"/>
        </w:rPr>
        <w:t xml:space="preserve">니케이 225는 'Sanaenomics(타카이치 경제학)' 타치기 트레이드에 힘입어 59,000을 돌파했지만, 40,000 수준이 장기 지지선으로 작용하고 있어 조정 시 하방 리스크가 크다. J.P. Morgan은 USD/JPY가 165를 돌파하거나 10년물 JGB 금리가 3%를 넘으면 약 10%의 조정이 발생할 수 있다고 경고했다.</w:t>
      </w:r>
    </w:p>
    <w:p>
      <w:pPr>
        <w:spacing w:after="160" w:line="312"/>
        <w:jc w:val="both"/>
      </w:pPr>
      <w:r>
        <w:rPr>
          <w:rFonts w:ascii="Arial" w:cs="Arial" w:eastAsia="Arial" w:hAnsi="Arial"/>
          <w:color w:val="333333"/>
          <w:sz w:val="21"/>
          <w:szCs w:val="21"/>
        </w:rPr>
        <w:t xml:space="preserve">아시아 시장의 동반 조정은 한국에 이중 타격을 가할 수 있다. 일본과 대만의 조정이 글로벌 리스크오프 환경을 조성하면, 외국인의 한국 매도가 가속화될 수 있다.</w:t>
      </w:r>
    </w:p>
    <w:p>
      <w:pPr>
        <w:pBdr>
          <w:bottom w:val="single" w:color="E0E0E0" w:sz="2" w:space="4"/>
        </w:pBdr>
        <w:spacing w:before="200" w:after="200"/>
      </w:pPr>
    </w:p>
    <w:p>
      <w:pPr>
        <w:pStyle w:val="Heading1"/>
      </w:pPr>
      <w:r>
        <w:t xml:space="preserve">7. 원화의 양날의 검 — 환율발 경기침체 시나리오</w:t>
      </w:r>
    </w:p>
    <w:p>
      <w:pPr>
        <w:spacing w:after="160" w:line="312"/>
        <w:jc w:val="both"/>
      </w:pPr>
      <w:r>
        <w:rPr>
          <w:rFonts w:ascii="Arial" w:cs="Arial" w:eastAsia="Arial" w:hAnsi="Arial"/>
          <w:color w:val="333333"/>
          <w:sz w:val="21"/>
          <w:szCs w:val="21"/>
        </w:rPr>
        <w:t xml:space="preserve">한국 경제의 구조적 이중성은 원화 환율에 고스란히 드러난다. 원화 약세는 수출 기업의 수익성을 높여 주식시장을 투어올리지만, 동시에 수입 물가를 높여 실물 경제에 부담을 준다.</w:t>
      </w:r>
    </w:p>
    <w:p>
      <w:pPr>
        <w:spacing w:after="160" w:line="312"/>
        <w:jc w:val="both"/>
      </w:pPr>
      <w:r>
        <w:rPr>
          <w:rFonts w:ascii="Arial" w:cs="Arial" w:eastAsia="Arial" w:hAnsi="Arial"/>
          <w:b/>
          <w:bCs/>
          <w:i w:val="false"/>
          <w:iCs w:val="false"/>
          <w:color w:val="333333"/>
          <w:sz w:val="21"/>
          <w:szCs w:val="21"/>
        </w:rPr>
        <w:t xml:space="preserve">한국은행은 2026년 성장률 전망치를 1.8%에서 2.0%로 상향 조정했지만, 기준금리를 6회 연속 동결(2.5%)하며 신중한 태도를 유지하고 있다.</w:t>
      </w:r>
      <w:r>
        <w:rPr>
          <w:rFonts w:ascii="Arial" w:cs="Arial" w:eastAsia="Arial" w:hAnsi="Arial"/>
          <w:b w:val="false"/>
          <w:bCs w:val="false"/>
          <w:i w:val="false"/>
          <w:iCs w:val="false"/>
          <w:color w:val="333333"/>
          <w:sz w:val="21"/>
          <w:szCs w:val="21"/>
        </w:rPr>
        <w:t xml:space="preserve"> 이는 원화 약세로 인한 인플레이션 압력(CPI 2.4%, PPI 1.9% YoY 상승)과 주식시장 과열에 대한 우려가 복합적으로 작용한 결과다.</w:t>
      </w:r>
    </w:p>
    <w:p>
      <w:pPr>
        <w:spacing w:before="280" w:after="120"/>
      </w:pPr>
      <w:r>
        <w:rPr>
          <w:rFonts w:ascii="Arial" w:cs="Arial" w:eastAsia="Arial" w:hAnsi="Arial"/>
          <w:b/>
          <w:bCs/>
          <w:color w:val="1A1A2E"/>
          <w:sz w:val="24"/>
          <w:szCs w:val="24"/>
        </w:rPr>
        <w:t xml:space="preserve">조정 시 환율 충격 경로</w:t>
      </w:r>
    </w:p>
    <w:p>
      <w:pPr>
        <w:spacing w:after="160" w:line="312"/>
        <w:jc w:val="both"/>
      </w:pPr>
      <w:r>
        <w:rPr>
          <w:rFonts w:ascii="Arial" w:cs="Arial" w:eastAsia="Arial" w:hAnsi="Arial"/>
          <w:color w:val="333333"/>
          <w:sz w:val="21"/>
          <w:szCs w:val="21"/>
        </w:rPr>
        <w:t xml:space="preserve">주식시장 조정이 발생하면, 원화는 이중의 압력을 받는다. 첫째, 외국인 자금 유출 시 달러 수요가 급증한다. 둘째, 한국 리테일 투자자들이 2025년 한 해만 510억 달러 규모의 해외 증권을 순매수하며 축적한 달러 수요 구조가 지속된다.</w:t>
      </w:r>
    </w:p>
    <w:p>
      <w:pPr>
        <w:spacing w:after="160" w:line="312"/>
        <w:jc w:val="both"/>
      </w:pPr>
      <w:r>
        <w:rPr>
          <w:rFonts w:ascii="Arial" w:cs="Arial" w:eastAsia="Arial" w:hAnsi="Arial"/>
          <w:b/>
          <w:bCs/>
          <w:i w:val="false"/>
          <w:iCs w:val="false"/>
          <w:color w:val="C62828"/>
          <w:sz w:val="21"/>
          <w:szCs w:val="21"/>
        </w:rPr>
        <w:t xml:space="preserve">USD/KRW가 1,500을 돌파하면:</w:t>
      </w:r>
      <w:r>
        <w:rPr>
          <w:rFonts w:ascii="Arial" w:cs="Arial" w:eastAsia="Arial" w:hAnsi="Arial"/>
          <w:b w:val="false"/>
          <w:bCs w:val="false"/>
          <w:i w:val="false"/>
          <w:iCs w:val="false"/>
          <w:color w:val="333333"/>
          <w:sz w:val="21"/>
          <w:szCs w:val="21"/>
        </w:rPr>
        <w:t xml:space="preserve"> 수입 물가 상승 → 소비자 물가 압력 → 실질 구매력 하락 → 내수 위축 → 경기침체라는 연쇄 반응이 발생할 수 있다. 한국 가계는 총 자산의 46%를 부동산에, 35%를 금융자산에 배분하고 있어, 주식시장 하락이 자산효과를 통해 소비에 직접적 영향을 미친다.</w:t>
      </w:r>
    </w:p>
    <w:p>
      <w:pPr>
        <w:spacing w:after="160" w:line="312"/>
        <w:jc w:val="both"/>
      </w:pPr>
      <w:r>
        <w:rPr>
          <w:rFonts w:ascii="Arial" w:cs="Arial" w:eastAsia="Arial" w:hAnsi="Arial"/>
          <w:color w:val="333333"/>
          <w:sz w:val="21"/>
          <w:szCs w:val="21"/>
        </w:rPr>
        <w:t xml:space="preserve">국민연금의 약 6,000억 달러 해외자산의 환헤지 프로그램이 원화 안정에 기여하고 있지만, 글로벌 리스크오프 상황에서는 충분하지 않을 수 있다.</w:t>
      </w:r>
    </w:p>
    <w:p>
      <w:pPr>
        <w:pBdr>
          <w:bottom w:val="single" w:color="E0E0E0" w:sz="2" w:space="4"/>
        </w:pBdr>
        <w:spacing w:before="200" w:after="200"/>
      </w:pPr>
    </w:p>
    <w:p>
      <w:pPr>
        <w:pStyle w:val="Heading1"/>
      </w:pPr>
      <w:r>
        <w:t xml:space="preserve">8. 시나리오 분석: 조정은 언제, 얼마나</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시나리오</w:t>
            </w:r>
          </w:p>
        </w:tc>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확률</w:t>
            </w:r>
          </w:p>
        </w:tc>
        <w:tc>
          <w:tcPr>
            <w:tcW w:type="dxa" w:w="27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KOSPI 범위</w:t>
            </w:r>
          </w:p>
        </w:tc>
        <w:tc>
          <w:tcPr>
            <w:tcW w:type="dxa" w:w="27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USD/KRW 영향</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소프트 랜딩</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25%</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5,200~5,800 (완만 조정)</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1,400~1,450</w:t>
            </w:r>
          </w:p>
        </w:tc>
      </w:tr>
      <w:tr>
        <w:tc>
          <w:tcPr>
            <w:tcW w:type="dxa" w:w="234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하드 랜딩</w:t>
            </w:r>
          </w:p>
        </w:tc>
        <w:tc>
          <w:tcPr>
            <w:tcW w:type="dxa" w:w="15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45%</w:t>
            </w:r>
          </w:p>
        </w:tc>
        <w:tc>
          <w:tcPr>
            <w:tcW w:type="dxa" w:w="273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3,800~4,500 (-30~40%)</w:t>
            </w:r>
          </w:p>
        </w:tc>
        <w:tc>
          <w:tcPr>
            <w:tcW w:type="dxa" w:w="273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1,480~1,550</w:t>
            </w:r>
          </w:p>
        </w:tc>
      </w:tr>
      <w:tr>
        <w:tc>
          <w:tcPr>
            <w:tcW w:type="dxa" w:w="234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시스템 위기</w:t>
            </w:r>
          </w:p>
        </w:tc>
        <w:tc>
          <w:tcPr>
            <w:tcW w:type="dxa" w:w="156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62828"/>
                <w:sz w:val="18"/>
                <w:szCs w:val="18"/>
              </w:rPr>
              <w:t xml:space="preserve">20%</w:t>
            </w:r>
          </w:p>
        </w:tc>
        <w:tc>
          <w:tcPr>
            <w:tcW w:type="dxa" w:w="273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2,800~3,500 (-45~55%)</w:t>
            </w:r>
          </w:p>
        </w:tc>
        <w:tc>
          <w:tcPr>
            <w:tcW w:type="dxa" w:w="273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1,550~1,650+</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추가 상승 (모멘텀 지속)</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10%</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6,500~8,000</w:t>
            </w:r>
          </w:p>
        </w:tc>
        <w:tc>
          <w:tcPr>
            <w:tcW w:type="dxa" w:w="273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1,380~1,420</w:t>
            </w:r>
          </w:p>
        </w:tc>
      </w:tr>
    </w:tbl>
    <w:p>
      <w:pPr>
        <w:spacing w:after="120"/>
      </w:pPr>
    </w:p>
    <w:p>
      <w:pPr>
        <w:spacing w:before="280" w:after="120"/>
      </w:pPr>
      <w:r>
        <w:rPr>
          <w:rFonts w:ascii="Arial" w:cs="Arial" w:eastAsia="Arial" w:hAnsi="Arial"/>
          <w:b/>
          <w:bCs/>
          <w:color w:val="1A1A2E"/>
          <w:sz w:val="24"/>
          <w:szCs w:val="24"/>
        </w:rPr>
        <w:t xml:space="preserve">Base Case: 하드 랜딩 (45% 확률)</w:t>
      </w:r>
    </w:p>
    <w:p>
      <w:pPr>
        <w:spacing w:after="160" w:line="312"/>
        <w:jc w:val="both"/>
      </w:pPr>
      <w:r>
        <w:rPr>
          <w:rFonts w:ascii="Arial" w:cs="Arial" w:eastAsia="Arial" w:hAnsi="Arial"/>
          <w:color w:val="333333"/>
          <w:sz w:val="21"/>
          <w:szCs w:val="21"/>
        </w:rPr>
        <w:t xml:space="preserve">AI CapEx 사이클의 둘화, 원화 약세 가속, 글로벌 리스크오프의 복합적 작용으로 KOSPI가 3,800~4,500 범위로 조정되는 시나리오. 이 경우 현재 대비 30~40% 하락이며, USD/KRW은 1,480~1,550 범위로 상승. 신용융자 강제 청산이 하락을 가속화하며, 2024년 8월 보다 심각한 충격이 예상된다.</w:t>
      </w:r>
    </w:p>
    <w:p>
      <w:pPr>
        <w:spacing w:before="280" w:after="120"/>
      </w:pPr>
      <w:r>
        <w:rPr>
          <w:rFonts w:ascii="Arial" w:cs="Arial" w:eastAsia="Arial" w:hAnsi="Arial"/>
          <w:b/>
          <w:bCs/>
          <w:color w:val="1A1A2E"/>
          <w:sz w:val="24"/>
          <w:szCs w:val="24"/>
        </w:rPr>
        <w:t xml:space="preserve">확률 가중 기대수익률</w:t>
      </w:r>
    </w:p>
    <w:p>
      <w:pPr>
        <w:spacing w:after="160" w:line="312"/>
        <w:jc w:val="both"/>
      </w:pPr>
      <w:r>
        <w:rPr>
          <w:rFonts w:ascii="Arial" w:cs="Arial" w:eastAsia="Arial" w:hAnsi="Arial"/>
          <w:b/>
          <w:bCs/>
          <w:i w:val="false"/>
          <w:iCs w:val="false"/>
          <w:color w:val="333333"/>
          <w:sz w:val="21"/>
          <w:szCs w:val="21"/>
        </w:rPr>
        <w:t xml:space="preserve">현재 수준에서의 향후 12개월 확률 가중 기대수익률: </w:t>
      </w:r>
      <w:r>
        <w:rPr>
          <w:rFonts w:ascii="Arial" w:cs="Arial" w:eastAsia="Arial" w:hAnsi="Arial"/>
          <w:b/>
          <w:bCs/>
          <w:i w:val="false"/>
          <w:iCs w:val="false"/>
          <w:color w:val="C62828"/>
          <w:sz w:val="21"/>
          <w:szCs w:val="21"/>
        </w:rPr>
        <w:t xml:space="preserve">-19.0%</w:t>
      </w:r>
      <w:r>
        <w:rPr>
          <w:rFonts w:ascii="Arial" w:cs="Arial" w:eastAsia="Arial" w:hAnsi="Arial"/>
          <w:b w:val="false"/>
          <w:bCs w:val="false"/>
          <w:i w:val="false"/>
          <w:iCs w:val="false"/>
          <w:color w:val="333333"/>
          <w:sz w:val="21"/>
          <w:szCs w:val="21"/>
        </w:rPr>
        <w:t xml:space="preserve">
(0.25 × -12%) + (0.45 × -30%) + (0.20 × -50%) + (0.10 × +20%) = -19.0%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 </w:t>
            </w:r>
            <w:r>
              <w:rPr>
                <w:rFonts w:ascii="Arial" w:cs="Arial" w:eastAsia="Arial" w:hAnsi="Arial"/>
                <w:color w:val="C62828"/>
                <w:sz w:val="20"/>
                <w:szCs w:val="20"/>
              </w:rPr>
              <w:t xml:space="preserve">결론: 현재 KOSPI의 Risk-Reward는 극도로 비대칭적이다. 상승 여력이 제한적인 반면, 하방 리스크는 30~50%에 달한다. 확률 가중 기대수익률 -19%는 적극적 비중 축소를 정당화한다.</w:t>
            </w:r>
          </w:p>
        </w:tc>
      </w:tr>
    </w:tbl>
    <w:p>
      <w:pPr>
        <w:pBdr>
          <w:bottom w:val="single" w:color="E0E0E0" w:sz="2" w:space="4"/>
        </w:pBdr>
        <w:spacing w:before="200" w:after="200"/>
      </w:pPr>
    </w:p>
    <w:p>
      <w:pPr>
        <w:pStyle w:val="Heading1"/>
      </w:pPr>
      <w:r>
        <w:t xml:space="preserve">9. 최종 판단</w:t>
      </w:r>
    </w:p>
    <w:p>
      <w:pPr>
        <w:spacing w:after="160" w:line="312"/>
        <w:jc w:val="both"/>
      </w:pPr>
      <w:r>
        <w:rPr>
          <w:rFonts w:ascii="Arial" w:cs="Arial" w:eastAsia="Arial" w:hAnsi="Arial"/>
          <w:b/>
          <w:bCs/>
          <w:i w:val="false"/>
          <w:iCs w:val="false"/>
          <w:color w:val="C62828"/>
          <w:sz w:val="21"/>
          <w:szCs w:val="21"/>
        </w:rPr>
        <w:t xml:space="preserve">KOSPI에 대한 최종 판단: REDUCE (Overweight → Underweight 전환 권고)</w:t>
      </w:r>
    </w:p>
    <w:p>
      <w:pPr>
        <w:spacing w:after="160" w:line="312"/>
        <w:jc w:val="both"/>
      </w:pPr>
      <w:r>
        <w:rPr>
          <w:rFonts w:ascii="Arial" w:cs="Arial" w:eastAsia="Arial" w:hAnsi="Arial"/>
          <w:b/>
          <w:bCs/>
          <w:sz w:val="21"/>
          <w:szCs w:val="21"/>
        </w:rPr>
        <w:t xml:space="preserve">근거 요약:</w:t>
      </w:r>
      <w:r>
        <w:rPr>
          <w:rFonts w:ascii="Arial" w:cs="Arial" w:eastAsia="Arial" w:hAnsi="Arial"/>
          <w:sz w:val="21"/>
          <w:szCs w:val="21"/>
        </w:rPr>
        <w:t xml:space="preserve"> 월봉 RSI 80+(역사적 평균 후 12개월 수익률 -33%), 삼성+SK하이닉스 50% 쏠림, 신용융자 32조 원 사상 최대, VKOSPI 54.67 극단적 공포, AI CapEx 배수 마이너스 전환, 확률 가중 기대수익률 -19%.</w:t>
      </w:r>
    </w:p>
    <w:p>
      <w:pPr>
        <w:spacing w:before="280" w:after="120"/>
      </w:pPr>
      <w:r>
        <w:rPr>
          <w:rFonts w:ascii="Arial" w:cs="Arial" w:eastAsia="Arial" w:hAnsi="Arial"/>
          <w:b/>
          <w:bCs/>
          <w:color w:val="1A1A2E"/>
          <w:sz w:val="24"/>
          <w:szCs w:val="24"/>
        </w:rPr>
        <w:t xml:space="preserve">실행 제안</w:t>
      </w:r>
    </w:p>
    <w:p>
      <w:pPr>
        <w:spacing w:after="160" w:line="312"/>
        <w:jc w:val="both"/>
      </w:pPr>
      <w:r>
        <w:rPr>
          <w:rFonts w:ascii="Arial" w:cs="Arial" w:eastAsia="Arial" w:hAnsi="Arial"/>
          <w:b/>
          <w:bCs/>
          <w:sz w:val="21"/>
          <w:szCs w:val="21"/>
        </w:rPr>
        <w:t xml:space="preserve">1. </w:t>
      </w:r>
      <w:r>
        <w:rPr>
          <w:rFonts w:ascii="Arial" w:cs="Arial" w:eastAsia="Arial" w:hAnsi="Arial"/>
          <w:sz w:val="21"/>
          <w:szCs w:val="21"/>
        </w:rPr>
        <w:t xml:space="preserve">KOSPI 비중을 현재 대비 30~50% 축소. 특히 삼성전자와 SK하이닉스의 직접 노출을 줄일 것.</w:t>
      </w:r>
    </w:p>
    <w:p>
      <w:pPr>
        <w:spacing w:after="160" w:line="312"/>
        <w:jc w:val="both"/>
      </w:pPr>
      <w:r>
        <w:rPr>
          <w:rFonts w:ascii="Arial" w:cs="Arial" w:eastAsia="Arial" w:hAnsi="Arial"/>
          <w:b/>
          <w:bCs/>
          <w:sz w:val="21"/>
          <w:szCs w:val="21"/>
        </w:rPr>
        <w:t xml:space="preserve">2. </w:t>
      </w:r>
      <w:r>
        <w:rPr>
          <w:rFonts w:ascii="Arial" w:cs="Arial" w:eastAsia="Arial" w:hAnsi="Arial"/>
          <w:sz w:val="21"/>
          <w:szCs w:val="21"/>
        </w:rPr>
        <w:t xml:space="preserve">레버리지 포지션 전량 청산. 신용융자를 활용한 포지션은 즉시 정리.</w:t>
      </w:r>
    </w:p>
    <w:p>
      <w:pPr>
        <w:spacing w:after="160" w:line="312"/>
        <w:jc w:val="both"/>
      </w:pPr>
      <w:r>
        <w:rPr>
          <w:rFonts w:ascii="Arial" w:cs="Arial" w:eastAsia="Arial" w:hAnsi="Arial"/>
          <w:b/>
          <w:bCs/>
          <w:sz w:val="21"/>
          <w:szCs w:val="21"/>
        </w:rPr>
        <w:t xml:space="preserve">3. </w:t>
      </w:r>
      <w:r>
        <w:rPr>
          <w:rFonts w:ascii="Arial" w:cs="Arial" w:eastAsia="Arial" w:hAnsi="Arial"/>
          <w:sz w:val="21"/>
          <w:szCs w:val="21"/>
        </w:rPr>
        <w:t xml:space="preserve">환헤지 비중 확대. 원화 약세 가능성에 대비하여 달러 헤지 또는 엔화 로콩 포지션 검토.</w:t>
      </w:r>
    </w:p>
    <w:p>
      <w:pPr>
        <w:spacing w:after="160" w:line="312"/>
        <w:jc w:val="both"/>
      </w:pPr>
      <w:r>
        <w:rPr>
          <w:rFonts w:ascii="Arial" w:cs="Arial" w:eastAsia="Arial" w:hAnsi="Arial"/>
          <w:b/>
          <w:bCs/>
          <w:sz w:val="21"/>
          <w:szCs w:val="21"/>
        </w:rPr>
        <w:t xml:space="preserve">4. </w:t>
      </w:r>
      <w:r>
        <w:rPr>
          <w:rFonts w:ascii="Arial" w:cs="Arial" w:eastAsia="Arial" w:hAnsi="Arial"/>
          <w:sz w:val="21"/>
          <w:szCs w:val="21"/>
        </w:rPr>
        <w:t xml:space="preserve">조정 시 재진입 기준 사전 설정. KOSPI 4,200 이하(RSI 50 복귀, PER 10배 미만)에서 단계적 매수 계획.</w:t>
      </w:r>
    </w:p>
    <w:p>
      <w:pPr>
        <w:spacing w:after="200"/>
      </w:pPr>
    </w:p>
    <w:p>
      <w:pPr>
        <w:pBdr>
          <w:top w:val="single" w:color="E0E0E0" w:sz="2" w:space="8"/>
        </w:pBdr>
        <w:spacing w:before="200"/>
        <w:jc w:val="center"/>
      </w:pPr>
      <w:r>
        <w:rPr>
          <w:rFonts w:ascii="Arial" w:cs="Arial" w:eastAsia="Arial" w:hAnsi="Arial"/>
          <w:i/>
          <w:iCs/>
          <w:color w:val="999999"/>
          <w:sz w:val="16"/>
          <w:szCs w:val="16"/>
        </w:rPr>
        <w:t xml:space="preserve">본 보고서는 투자 조언이 아니며, 정량적 분석을 바탕으로 한 시장 리스크 평가입니다.</w:t>
      </w:r>
    </w:p>
    <w:p>
      <w:pPr>
        <w:spacing w:after="200"/>
        <w:jc w:val="center"/>
      </w:pPr>
      <w:r>
        <w:rPr>
          <w:rFonts w:ascii="Arial" w:cs="Arial" w:eastAsia="Arial" w:hAnsi="Arial"/>
          <w:i/>
          <w:iCs/>
          <w:color w:val="999999"/>
          <w:sz w:val="16"/>
          <w:szCs w:val="16"/>
        </w:rPr>
        <w:t xml:space="preserve">모든 데이터는 2026년 2월 27일 기준 공개 정보에 근거합니다.</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026"/>
      </w:tabs>
    </w:pPr>
    <w:r>
      <w:rPr>
        <w:rFonts w:ascii="Arial" w:cs="Arial" w:eastAsia="Arial" w:hAnsi="Arial"/>
        <w:b/>
        <w:bCs/>
        <w:color w:val="999999"/>
        <w:sz w:val="16"/>
        <w:szCs w:val="16"/>
      </w:rPr>
      <w:t xml:space="preserve">KOSPI RISK ANALYSIS</w:t>
    </w:r>
    <w:r>
      <w:rPr>
        <w:rFonts w:ascii="Arial" w:cs="Arial" w:eastAsia="Arial" w:hAnsi="Arial"/>
        <w:color w:val="999999"/>
        <w:sz w:val="16"/>
        <w:szCs w:val="16"/>
      </w:rPr>
      <w:t xml:space="preserve">	2026.02.27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d338cb8f07720eae84e4de566248e4cb84ce0f9.jpg"/><Relationship Id="rId9" Type="http://schemas.openxmlformats.org/officeDocument/2006/relationships/image" Target="media/bce7985ba33b8b192f55bbb4abf2bb6acfd25bb6.jpg"/><Relationship Id="rId10" Type="http://schemas.openxmlformats.org/officeDocument/2006/relationships/image" Target="media/17e614b65b871cded60ba4ab60a4afe792ab9011.jpg"/><Relationship Id="rId11" Type="http://schemas.openxmlformats.org/officeDocument/2006/relationships/fontTable" Target="fontTable.xml"/><Relationship Id="rId12" Type="http://schemas.openxmlformats.org/officeDocument/2006/relationships/image" Target="media/capex_decline_chart.png"/><Relationship Id="rId13" Type="http://schemas.openxmlformats.org/officeDocument/2006/relationships/image" Target="media/pe_risk_chart.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2026-02-27T04:50:33.192Z</dcterms:created>
  <dcterms:modified xsi:type="dcterms:W3CDTF">2026-02-27T04:50:33.194Z</dcterms:modified>
</cp:coreProperties>
</file>

<file path=docProps/custom.xml><?xml version="1.0" encoding="utf-8"?>
<Properties xmlns="http://schemas.openxmlformats.org/officeDocument/2006/custom-properties" xmlns:vt="http://schemas.openxmlformats.org/officeDocument/2006/docPropsVTypes"/>
</file>