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Arial" w:cs="Arial" w:eastAsia="Arial" w:hAnsi="Arial"/>
        </w:rPr>
        <w:t xml:space="preserve"/>
      </w:r>
    </w:p>
    <w:p>
      <w:pPr>
        <w:spacing w:before="120" w:after="40"/>
        <w:jc w:val="center"/>
      </w:pPr>
      <w:r>
        <w:rPr>
          <w:rFonts w:ascii="Arial" w:cs="Arial" w:eastAsia="Arial" w:hAnsi="Arial"/>
          <w:b/>
          <w:bCs/>
          <w:caps/>
          <w:color w:val="1B2A4A"/>
          <w:sz w:val="52"/>
          <w:szCs w:val="52"/>
        </w:rPr>
        <w:t xml:space="preserve">OPENDOOR TECHNOLOGIES</w:t>
      </w:r>
    </w:p>
    <w:p>
      <w:pPr>
        <w:spacing w:before="0" w:after="60"/>
        <w:jc w:val="center"/>
      </w:pPr>
      <w:r>
        <w:rPr>
          <w:rFonts w:ascii="Arial" w:cs="Arial" w:eastAsia="Arial" w:hAnsi="Arial"/>
          <w:b w:val="false"/>
          <w:bCs w:val="false"/>
          <w:color w:val="4A90D9"/>
          <w:sz w:val="28"/>
          <w:szCs w:val="28"/>
        </w:rPr>
        <w:t xml:space="preserve">NASDAQ: OPEN</w:t>
      </w:r>
    </w:p>
    <w:p>
      <w:pPr>
        <w:spacing w:before="0" w:after="60"/>
        <w:jc w:val="center"/>
      </w:pPr>
      <w:r>
        <w:rPr>
          <w:rFonts w:ascii="Arial" w:cs="Arial" w:eastAsia="Arial" w:hAnsi="Arial"/>
          <w:color w:val="2E5FA3"/>
          <w:sz w:val="18"/>
          <w:szCs w:val="18"/>
        </w:rPr>
        <w:t xml:space="preserve">━━━━━━━━━━━━━━━━━━━━━━━━━━━━━━━━━━━━━━━━━━━━━━━━━━</w:t>
      </w:r>
    </w:p>
    <w:p>
      <w:pPr>
        <w:spacing w:before="0" w:after="40"/>
        <w:jc w:val="center"/>
      </w:pPr>
      <w:r>
        <w:rPr>
          <w:rFonts w:ascii="Arial" w:cs="Arial" w:eastAsia="Arial" w:hAnsi="Arial"/>
          <w:b/>
          <w:bCs/>
          <w:color w:val="1F2D3D"/>
          <w:sz w:val="32"/>
          <w:szCs w:val="32"/>
        </w:rPr>
        <w:t xml:space="preserve">투자 분석 보고서</w:t>
      </w:r>
    </w:p>
    <w:p>
      <w:pPr>
        <w:spacing w:before="0" w:after="100"/>
        <w:jc w:val="center"/>
      </w:pPr>
      <w:r>
        <w:rPr>
          <w:rFonts w:ascii="Arial" w:cs="Arial" w:eastAsia="Arial" w:hAnsi="Arial"/>
          <w:i/>
          <w:iCs/>
          <w:color w:val="6B7A8D"/>
          <w:sz w:val="22"/>
          <w:szCs w:val="22"/>
        </w:rPr>
        <w:t xml:space="preserve">불확실성 속 구조적 턴어라운드 — 정책·운영 개선의 교차점</w:t>
      </w:r>
    </w:p>
    <w:p>
      <w:pPr>
        <w:spacing w:before="0" w:after="80"/>
        <w:jc w:val="center"/>
      </w:pPr>
      <w:r>
        <w:rPr>
          <w:rFonts w:ascii="Arial" w:cs="Arial" w:eastAsia="Arial" w:hAnsi="Arial"/>
          <w:color w:val="2E5FA3"/>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6"/>
              <w:left w:val="single" w:color="BCC8D8" w:sz="1"/>
              <w:bottom w:val="single" w:color="BCC8D8" w:sz="1"/>
              <w:right w:val="single" w:color="BCC8D8" w:sz="1"/>
            </w:tcBorders>
            <w:shd w:fill="F5F7FA" w:val="clear"/>
            <w:tcMar>
              <w:top w:type="dxa" w:w="120"/>
              <w:left w:type="dxa" w:w="160"/>
              <w:bottom w:type="dxa" w:w="120"/>
              <w:right w:type="dxa" w:w="160"/>
            </w:tcMar>
          </w:tcPr>
          <w:p>
            <w:pPr>
              <w:spacing w:before="0" w:after="20"/>
              <w:jc w:val="center"/>
            </w:pPr>
            <w:r>
              <w:rPr>
                <w:rFonts w:ascii="Arial" w:cs="Arial" w:eastAsia="Arial" w:hAnsi="Arial"/>
                <w:b/>
                <w:bCs/>
                <w:color w:val="1B2A4A"/>
                <w:sz w:val="32"/>
                <w:szCs w:val="32"/>
              </w:rPr>
              <w:t xml:space="preserve">$4.97</w:t>
            </w:r>
          </w:p>
          <w:p>
            <w:pPr>
              <w:spacing w:before="0" w:after="8"/>
              <w:jc w:val="center"/>
            </w:pPr>
            <w:r>
              <w:rPr>
                <w:rFonts w:ascii="Arial" w:cs="Arial" w:eastAsia="Arial" w:hAnsi="Arial"/>
                <w:b/>
                <w:bCs/>
                <w:color w:val="1B2A4A"/>
                <w:sz w:val="17"/>
                <w:szCs w:val="17"/>
              </w:rPr>
              <w:t xml:space="preserve">현재 주가</w:t>
            </w:r>
          </w:p>
          <w:p>
            <w:pPr>
              <w:spacing w:before="0" w:after="0"/>
              <w:jc w:val="center"/>
            </w:pPr>
            <w:r>
              <w:rPr>
                <w:rFonts w:ascii="Arial" w:cs="Arial" w:eastAsia="Arial" w:hAnsi="Arial"/>
                <w:color w:val="6B7A8D"/>
                <w:sz w:val="16"/>
                <w:szCs w:val="16"/>
              </w:rPr>
              <w:t xml:space="preserve">2026.02.27 기준</w:t>
            </w:r>
          </w:p>
        </w:tc>
        <w:tc>
          <w:tcPr>
            <w:tcW w:type="dxa" w:w="3120"/>
            <w:tcBorders>
              <w:top w:val="single" w:color="2E5FA3" w:sz="6"/>
              <w:left w:val="single" w:color="BCC8D8" w:sz="1"/>
              <w:bottom w:val="single" w:color="BCC8D8" w:sz="1"/>
              <w:right w:val="single" w:color="BCC8D8" w:sz="1"/>
            </w:tcBorders>
            <w:shd w:fill="F5F7FA" w:val="clear"/>
            <w:tcMar>
              <w:top w:type="dxa" w:w="120"/>
              <w:left w:type="dxa" w:w="160"/>
              <w:bottom w:type="dxa" w:w="120"/>
              <w:right w:type="dxa" w:w="160"/>
            </w:tcMar>
          </w:tcPr>
          <w:p>
            <w:pPr>
              <w:spacing w:before="0" w:after="20"/>
              <w:jc w:val="center"/>
            </w:pPr>
            <w:r>
              <w:rPr>
                <w:rFonts w:ascii="Arial" w:cs="Arial" w:eastAsia="Arial" w:hAnsi="Arial"/>
                <w:b/>
                <w:bCs/>
                <w:color w:val="2E5FA3"/>
                <w:sz w:val="32"/>
                <w:szCs w:val="32"/>
              </w:rPr>
              <w:t xml:space="preserve">~$3.4B</w:t>
            </w:r>
          </w:p>
          <w:p>
            <w:pPr>
              <w:spacing w:before="0" w:after="8"/>
              <w:jc w:val="center"/>
            </w:pPr>
            <w:r>
              <w:rPr>
                <w:rFonts w:ascii="Arial" w:cs="Arial" w:eastAsia="Arial" w:hAnsi="Arial"/>
                <w:b/>
                <w:bCs/>
                <w:color w:val="1B2A4A"/>
                <w:sz w:val="17"/>
                <w:szCs w:val="17"/>
              </w:rPr>
              <w:t xml:space="preserve">시가총액</w:t>
            </w:r>
          </w:p>
          <w:p>
            <w:pPr>
              <w:spacing w:before="0" w:after="0"/>
              <w:jc w:val="center"/>
            </w:pPr>
            <w:r>
              <w:rPr>
                <w:rFonts w:ascii="Arial" w:cs="Arial" w:eastAsia="Arial" w:hAnsi="Arial"/>
                <w:color w:val="6B7A8D"/>
                <w:sz w:val="16"/>
                <w:szCs w:val="16"/>
              </w:rPr>
              <w:t xml:space="preserve">52주 범위: $0.51–$10.87</w:t>
            </w:r>
          </w:p>
        </w:tc>
        <w:tc>
          <w:tcPr>
            <w:tcW w:type="dxa" w:w="3120"/>
            <w:tcBorders>
              <w:top w:val="single" w:color="F0A500" w:sz="6"/>
              <w:left w:val="single" w:color="BCC8D8" w:sz="1"/>
              <w:bottom w:val="single" w:color="BCC8D8" w:sz="1"/>
              <w:right w:val="single" w:color="BCC8D8" w:sz="1"/>
            </w:tcBorders>
            <w:shd w:fill="F5F7FA" w:val="clear"/>
            <w:tcMar>
              <w:top w:type="dxa" w:w="120"/>
              <w:left w:type="dxa" w:w="160"/>
              <w:bottom w:type="dxa" w:w="120"/>
              <w:right w:type="dxa" w:w="160"/>
            </w:tcMar>
          </w:tcPr>
          <w:p>
            <w:pPr>
              <w:spacing w:before="0" w:after="20"/>
              <w:jc w:val="center"/>
            </w:pPr>
            <w:r>
              <w:rPr>
                <w:rFonts w:ascii="Arial" w:cs="Arial" w:eastAsia="Arial" w:hAnsi="Arial"/>
                <w:b/>
                <w:bCs/>
                <w:color w:val="F0A500"/>
                <w:sz w:val="32"/>
                <w:szCs w:val="32"/>
              </w:rPr>
              <w:t xml:space="preserve">HOLD</w:t>
            </w:r>
          </w:p>
          <w:p>
            <w:pPr>
              <w:spacing w:before="0" w:after="8"/>
              <w:jc w:val="center"/>
            </w:pPr>
            <w:r>
              <w:rPr>
                <w:rFonts w:ascii="Arial" w:cs="Arial" w:eastAsia="Arial" w:hAnsi="Arial"/>
                <w:b/>
                <w:bCs/>
                <w:color w:val="1B2A4A"/>
                <w:sz w:val="17"/>
                <w:szCs w:val="17"/>
              </w:rPr>
              <w:t xml:space="preserve">종합 의견</w:t>
            </w:r>
          </w:p>
          <w:p>
            <w:pPr>
              <w:spacing w:before="0" w:after="0"/>
              <w:jc w:val="center"/>
            </w:pPr>
            <w:r>
              <w:rPr>
                <w:rFonts w:ascii="Arial" w:cs="Arial" w:eastAsia="Arial" w:hAnsi="Arial"/>
                <w:color w:val="6B7A8D"/>
                <w:sz w:val="16"/>
                <w:szCs w:val="16"/>
              </w:rPr>
              <w:t xml:space="preserve">MOS 부재, 모니터링 유지</w:t>
            </w:r>
          </w:p>
        </w:tc>
      </w:tr>
    </w:tbl>
    <w:p>
      <w:pPr>
        <w:spacing w:before="120" w:after="0"/>
      </w:pPr>
      <w:r>
        <w:t xml:space="preserve"/>
      </w:r>
    </w:p>
    <w:p>
      <w:pPr>
        <w:spacing w:before="0" w:after="0"/>
        <w:jc w:val="center"/>
      </w:pPr>
      <w:r>
        <w:rPr>
          <w:rFonts w:ascii="Arial" w:cs="Arial" w:eastAsia="Arial" w:hAnsi="Arial"/>
          <w:b/>
          <w:bCs/>
          <w:color w:val="6B7A8D"/>
          <w:sz w:val="18"/>
          <w:szCs w:val="18"/>
        </w:rPr>
        <w:t xml:space="preserve">작성일: </w:t>
      </w:r>
      <w:r>
        <w:rPr>
          <w:rFonts w:ascii="Arial" w:cs="Arial" w:eastAsia="Arial" w:hAnsi="Arial"/>
          <w:color w:val="6B7A8D"/>
          <w:sz w:val="18"/>
          <w:szCs w:val="18"/>
        </w:rPr>
        <w:t xml:space="preserve">2026년 2월 27일</w:t>
      </w:r>
      <w:r>
        <w:rPr>
          <w:rFonts w:ascii="Arial" w:cs="Arial" w:eastAsia="Arial" w:hAnsi="Arial"/>
          <w:color w:val="BCC8D8"/>
          <w:sz w:val="18"/>
          <w:szCs w:val="18"/>
        </w:rPr>
        <w:t xml:space="preserve">   |   </w:t>
      </w:r>
      <w:r>
        <w:rPr>
          <w:rFonts w:ascii="Arial" w:cs="Arial" w:eastAsia="Arial" w:hAnsi="Arial"/>
          <w:b/>
          <w:bCs/>
          <w:color w:val="6B7A8D"/>
          <w:sz w:val="18"/>
          <w:szCs w:val="18"/>
        </w:rPr>
        <w:t xml:space="preserve">분석 방법론: </w:t>
      </w:r>
      <w:r>
        <w:rPr>
          <w:rFonts w:ascii="Arial" w:cs="Arial" w:eastAsia="Arial" w:hAnsi="Arial"/>
          <w:color w:val="6B7A8D"/>
          <w:sz w:val="18"/>
          <w:szCs w:val="18"/>
        </w:rPr>
        <w:t xml:space="preserve">Graham-Buffett-Greenblatt 가치 퀀트 프레임워크</w:t>
      </w:r>
    </w:p>
    <w:p>
      <w:pPr>
        <w:spacing w:before="200" w:after="0"/>
      </w:pPr>
      <w:r>
        <w:t xml:space="preserve"/>
      </w:r>
    </w:p>
    <w:p>
      <w:pPr>
        <w:pStyle w:val="Heading1"/>
        <w:shd w:fill="1B2A4A" w:val="clear"/>
        <w:spacing w:before="320" w:after="120"/>
        <w:ind w:left="200" w:right="200"/>
      </w:pPr>
      <w:r>
        <w:rPr>
          <w:rFonts w:ascii="Arial" w:cs="Arial" w:eastAsia="Arial" w:hAnsi="Arial"/>
          <w:b/>
          <w:bCs/>
          <w:color w:val="FFFFFF"/>
          <w:sz w:val="32"/>
          <w:szCs w:val="32"/>
        </w:rPr>
        <w:t xml:space="preserve">1.  핵심 요약 (Executive Summary)</w:t>
      </w:r>
    </w:p>
    <w:p>
      <w:pPr>
        <w:spacing w:before="60" w:after="60"/>
      </w:pPr>
      <w:r>
        <w:rPr>
          <w:rFonts w:ascii="Arial" w:cs="Arial" w:eastAsia="Arial" w:hAnsi="Arial"/>
          <w:color w:val="1F2D3D"/>
          <w:sz w:val="20"/>
          <w:szCs w:val="20"/>
        </w:rPr>
        <w:t xml:space="preserve">Opendoor Technologies(OPEN)는 미국 주택 즉시 매입·재판매(iBuying) 플랫폼의 선구자로, 2013년 설립 이후 10년간의 운영 데이터와 수십억 달러 규모의 AI 인프라를 구축했습니다. 2025년 9월 Kaz Nejatian(전 Shopify COO) 영입과 공동창업자 복귀를 계기로 "Opendoor 2.0" 전략 전환이 본격화되었습니다.</w:t>
      </w:r>
    </w:p>
    <w:p>
      <w:pPr>
        <w:spacing w:before="60" w:after="0"/>
      </w:pPr>
      <w:r>
        <w:t xml:space="preserve"/>
      </w:r>
    </w:p>
    <w:p>
      <w:pPr>
        <w:pStyle w:val="Heading3"/>
        <w:spacing w:before="200" w:after="60"/>
      </w:pPr>
      <w:r>
        <w:rPr>
          <w:rFonts w:ascii="Arial" w:cs="Arial" w:eastAsia="Arial" w:hAnsi="Arial"/>
          <w:b/>
          <w:bCs/>
          <w:color w:val="2E5FA3"/>
          <w:sz w:val="22"/>
          <w:szCs w:val="22"/>
        </w:rPr>
        <w:t xml:space="preserve">투자 핵심 논점</w:t>
      </w:r>
    </w:p>
    <w:p>
      <w:pPr>
        <w:pStyle w:val="ListParagraph"/>
        <w:numPr>
          <w:ilvl w:val="0"/>
          <w:numId w:val="2"/>
        </w:numPr>
        <w:spacing w:before="40" w:after="40"/>
      </w:pPr>
      <w:r>
        <w:rPr>
          <w:rFonts w:ascii="Arial" w:cs="Arial" w:eastAsia="Arial" w:hAnsi="Arial"/>
          <w:color w:val="1F2D3D"/>
          <w:sz w:val="20"/>
          <w:szCs w:val="20"/>
        </w:rPr>
        <w:t xml:space="preserve">현재 주가($4.97)는 MOS(Margin of Safety) 기준 Strong Buy 또는 Buy 영역이 아님 — 장부가 지속 훼손, 수익성 미확인</w:t>
      </w:r>
    </w:p>
    <w:p>
      <w:pPr>
        <w:pStyle w:val="ListParagraph"/>
        <w:numPr>
          <w:ilvl w:val="0"/>
          <w:numId w:val="2"/>
        </w:numPr>
        <w:spacing w:before="40" w:after="40"/>
      </w:pPr>
      <w:r>
        <w:rPr>
          <w:rFonts w:ascii="Arial" w:cs="Arial" w:eastAsia="Arial" w:hAnsi="Arial"/>
          <w:color w:val="1F2D3D"/>
          <w:sz w:val="20"/>
          <w:szCs w:val="20"/>
        </w:rPr>
        <w:t xml:space="preserve">그러나 단순한 가치 투자 대상이 아닌 고위험·고수익 '특수 상황(Special Situation)' 베팅으로 분류 적합</w:t>
      </w:r>
    </w:p>
    <w:p>
      <w:pPr>
        <w:pStyle w:val="ListParagraph"/>
        <w:numPr>
          <w:ilvl w:val="0"/>
          <w:numId w:val="2"/>
        </w:numPr>
        <w:spacing w:before="40" w:after="40"/>
      </w:pPr>
      <w:r>
        <w:rPr>
          <w:rFonts w:ascii="Arial" w:cs="Arial" w:eastAsia="Arial" w:hAnsi="Arial"/>
          <w:color w:val="1F2D3D"/>
          <w:sz w:val="20"/>
          <w:szCs w:val="20"/>
        </w:rPr>
        <w:t xml:space="preserve">모기지금리 하락, 트럼프 MBS 매입, 주택 거래량 회복 등 매크로 환경이 구조적으로 유리한 방향으로 전환 중</w:t>
      </w:r>
    </w:p>
    <w:p>
      <w:pPr>
        <w:pStyle w:val="ListParagraph"/>
        <w:numPr>
          <w:ilvl w:val="0"/>
          <w:numId w:val="2"/>
        </w:numPr>
        <w:spacing w:before="40" w:after="40"/>
      </w:pPr>
      <w:r>
        <w:rPr>
          <w:rFonts w:ascii="Arial" w:cs="Arial" w:eastAsia="Arial" w:hAnsi="Arial"/>
          <w:color w:val="1F2D3D"/>
          <w:sz w:val="20"/>
          <w:szCs w:val="20"/>
        </w:rPr>
        <w:t xml:space="preserve">2026년 Q2 실적(5월 발표) — 2025년 4Q 폭발적 매입 증가세의 매출 전환 여부 — 가 핵심 변곡점</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구분</w:t>
            </w:r>
          </w:p>
        </w:tc>
        <w:tc>
          <w:tcPr>
            <w:tcW w:type="dxa" w:w="696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내용</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현재 주가</w:t>
            </w:r>
          </w:p>
        </w:tc>
        <w:tc>
          <w:tcPr>
            <w:tcW w:type="dxa" w:w="6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$4.97  |  52주: $0.51 ~ $10.87  |  시가총액 ~$3.4B</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밸류에이션</w:t>
            </w:r>
          </w:p>
        </w:tc>
        <w:tc>
          <w:tcPr>
            <w:tcW w:type="dxa" w:w="6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P/B 0.63x (역사적 중앙값 1.88x)  |  EV/Sales ~0.78x  |  적자 지속 (P/E 없음)</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투자 의견</w:t>
            </w:r>
          </w:p>
        </w:tc>
        <w:tc>
          <w:tcPr>
            <w:tcW w:type="dxa" w:w="6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F0A500"/>
                <w:sz w:val="19"/>
                <w:szCs w:val="19"/>
              </w:rPr>
              <w:t xml:space="preserve">HOLD  —  5~10% 포트폴리오 벤처형 베팅으로는 유효, 핵심 가치주로는 부적합</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핵심 촉매</w:t>
            </w:r>
          </w:p>
        </w:tc>
        <w:tc>
          <w:tcPr>
            <w:tcW w:type="dxa" w:w="6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2026 Q2 실적 (매출 반등 확인 여부)  |  기관투자자 금지령 최종 범위 확정</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기대수익률</w:t>
            </w:r>
          </w:p>
        </w:tc>
        <w:tc>
          <w:tcPr>
            <w:tcW w:type="dxa" w:w="6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확률 가중 +83%  |  Bull +220~330%  /  Bear -57~78%</w:t>
            </w:r>
          </w:p>
        </w:tc>
      </w:tr>
    </w:tbl>
    <w:p>
      <w:pPr>
        <w:spacing w:before="160" w:after="0"/>
      </w:pPr>
      <w:r>
        <w:t xml:space="preserve"/>
      </w:r>
    </w:p>
    <w:p>
      <w:pPr>
        <w:pStyle w:val="Heading1"/>
        <w:shd w:fill="1B2A4A" w:val="clear"/>
        <w:spacing w:before="320" w:after="120"/>
        <w:ind w:left="200" w:right="200"/>
      </w:pPr>
      <w:r>
        <w:rPr>
          <w:rFonts w:ascii="Arial" w:cs="Arial" w:eastAsia="Arial" w:hAnsi="Arial"/>
          <w:b/>
          <w:bCs/>
          <w:color w:val="FFFFFF"/>
          <w:sz w:val="32"/>
          <w:szCs w:val="32"/>
        </w:rPr>
        <w:t xml:space="preserve">2.  매크로 환경 분석</w:t>
      </w:r>
    </w:p>
    <w:p>
      <w:pPr>
        <w:pStyle w:val="Heading2"/>
        <w:pBdr>
          <w:bottom w:val="single" w:color="2E5FA3" w:sz="4" w:space="4"/>
        </w:pBdr>
        <w:spacing w:before="280" w:after="80"/>
      </w:pPr>
      <w:r>
        <w:rPr>
          <w:rFonts w:ascii="Arial" w:cs="Arial" w:eastAsia="Arial" w:hAnsi="Arial"/>
          <w:b/>
          <w:bCs/>
          <w:color w:val="1B2A4A"/>
          <w:sz w:val="26"/>
          <w:szCs w:val="26"/>
        </w:rPr>
        <w:t xml:space="preserve">2-1.  미국 주택 시장 현황 (2026년 2월 기준)</w:t>
      </w:r>
    </w:p>
    <w:p>
      <w:pPr>
        <w:spacing w:before="60" w:after="60"/>
      </w:pPr>
      <w:r>
        <w:rPr>
          <w:rFonts w:ascii="Arial" w:cs="Arial" w:eastAsia="Arial" w:hAnsi="Arial"/>
          <w:color w:val="1F2D3D"/>
          <w:sz w:val="20"/>
          <w:szCs w:val="20"/>
        </w:rPr>
        <w:t xml:space="preserve">미국 주택 시장은 2022~2024년의 '동결 저거래 불황'에서 벗어나 점진적 회복 궤도 진입 중입니다. 핵심 지표들은 여전히 정상화되지 않았으나, 모기지금리 하락과 '잠금 효과(Lock-in Effect)' 완화가 동시에 진행되고 있습니다.</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지표</w:t>
            </w:r>
          </w:p>
        </w:tc>
        <w:tc>
          <w:tcPr>
            <w:tcW w:type="dxa" w:w="208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2024년 초</w:t>
            </w:r>
          </w:p>
        </w:tc>
        <w:tc>
          <w:tcPr>
            <w:tcW w:type="dxa" w:w="208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2025년 말</w:t>
            </w:r>
          </w:p>
        </w:tc>
        <w:tc>
          <w:tcPr>
            <w:tcW w:type="dxa" w:w="20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2026년 2월</w:t>
            </w:r>
          </w:p>
        </w:tc>
      </w:tr>
      <w:tr>
        <w:tc>
          <w:tcPr>
            <w:tcW w:type="dxa" w:w="3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30년 고정 모기지 금리</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7.04%</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6.85%</w:t>
            </w:r>
          </w:p>
        </w:tc>
        <w:tc>
          <w:tcPr>
            <w:tcW w:type="dxa" w:w="20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6.01% ▼</w:t>
            </w:r>
          </w:p>
        </w:tc>
      </w:tr>
      <w:tr>
        <w:tc>
          <w:tcPr>
            <w:tcW w:type="dxa" w:w="3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기존주택 판매 (연율)</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~400만 건</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384만 건</w:t>
            </w:r>
          </w:p>
        </w:tc>
        <w:tc>
          <w:tcPr>
            <w:tcW w:type="dxa" w:w="20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2E5FA3"/>
                <w:sz w:val="19"/>
                <w:szCs w:val="19"/>
              </w:rPr>
              <w:t xml:space="preserve">+14% 전망 (NAR)</w:t>
            </w:r>
          </w:p>
        </w:tc>
      </w:tr>
      <w:tr>
        <w:tc>
          <w:tcPr>
            <w:tcW w:type="dxa" w:w="3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주택 가격 전망 (YoY)</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+1~2%</w:t>
            </w:r>
          </w:p>
        </w:tc>
        <w:tc>
          <w:tcPr>
            <w:tcW w:type="dxa" w:w="20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A7A4A"/>
                <w:sz w:val="19"/>
                <w:szCs w:val="19"/>
              </w:rPr>
              <w:t xml:space="preserve">+1~4% (기관 컨센서스)</w:t>
            </w:r>
          </w:p>
        </w:tc>
      </w:tr>
      <w:tr>
        <w:tc>
          <w:tcPr>
            <w:tcW w:type="dxa" w:w="3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매물 재고 (YoY)</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+12.6%</w:t>
            </w:r>
          </w:p>
        </w:tc>
        <w:tc>
          <w:tcPr>
            <w:tcW w:type="dxa" w:w="20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6B7A8D"/>
                <w:sz w:val="19"/>
                <w:szCs w:val="19"/>
              </w:rPr>
              <w:t xml:space="preserve">코로나 이전比 여전히 부족</w:t>
            </w:r>
          </w:p>
        </w:tc>
      </w:tr>
      <w:tr>
        <w:tc>
          <w:tcPr>
            <w:tcW w:type="dxa" w:w="3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주택구매부담지수</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최저 수준</w:t>
            </w:r>
          </w:p>
        </w:tc>
        <w:tc>
          <w:tcPr>
            <w:tcW w:type="dxa" w:w="20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점진 회복</w:t>
            </w:r>
          </w:p>
        </w:tc>
        <w:tc>
          <w:tcPr>
            <w:tcW w:type="dxa" w:w="20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A7A4A"/>
                <w:sz w:val="19"/>
                <w:szCs w:val="19"/>
              </w:rPr>
              <w:t xml:space="preserve">3년래 최고 (Affordability↑)</w:t>
            </w:r>
          </w:p>
        </w:tc>
      </w:tr>
    </w:tbl>
    <w:p>
      <w:pPr>
        <w:spacing w:before="100" w:after="0"/>
      </w:pPr>
      <w:r>
        <w:t xml:space="preserve"/>
      </w:r>
    </w:p>
    <w:p>
      <w:pPr>
        <w:pStyle w:val="Heading2"/>
        <w:pBdr>
          <w:bottom w:val="single" w:color="2E5FA3" w:sz="4" w:space="4"/>
        </w:pBdr>
        <w:spacing w:before="280" w:after="80"/>
      </w:pPr>
      <w:r>
        <w:rPr>
          <w:rFonts w:ascii="Arial" w:cs="Arial" w:eastAsia="Arial" w:hAnsi="Arial"/>
          <w:b/>
          <w:bCs/>
          <w:color w:val="1B2A4A"/>
          <w:sz w:val="26"/>
          <w:szCs w:val="26"/>
        </w:rPr>
        <w:t xml:space="preserve">2-2.  트럼프 행정부 주택 정책 분석</w:t>
      </w:r>
    </w:p>
    <w:p>
      <w:pPr>
        <w:spacing w:before="60" w:after="60"/>
      </w:pPr>
      <w:r>
        <w:rPr>
          <w:rFonts w:ascii="Arial" w:cs="Arial" w:eastAsia="Arial" w:hAnsi="Arial"/>
          <w:color w:val="1F2D3D"/>
          <w:sz w:val="20"/>
          <w:szCs w:val="20"/>
        </w:rPr>
        <w:t xml:space="preserve">2026년 1월 이후 트럼프 행정부가 주택 시장 활성화를 명시적 정책 목표로 설정하면서 Opendoor에 대한 정책 환경이 빠르게 변화하고 있습니다. 다만 일부 정책은 상반된 영향을 미칠 수 있어 면밀한 모니터링이 필요합니다.</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정책</w:t>
            </w:r>
          </w:p>
        </w:tc>
        <w:tc>
          <w:tcPr>
            <w:tcW w:type="dxa" w:w="14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OPEN 영향</w:t>
            </w:r>
          </w:p>
        </w:tc>
        <w:tc>
          <w:tcPr>
            <w:tcW w:type="dxa" w:w="496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세부 내용</w:t>
            </w:r>
          </w:p>
        </w:tc>
      </w:tr>
      <w:tr>
        <w:tc>
          <w:tcPr>
            <w:tcW w:type="dxa" w:w="30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패니메이·프레디맥 MBS $2,000억 매입</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긍정 ▲</w:t>
            </w:r>
          </w:p>
        </w:tc>
        <w:tc>
          <w:tcPr>
            <w:tcW w:type="dxa" w:w="4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모기지금리 10~15bp 추가 하락 유도 기대. 2025.01 7.04% → 2026.02 6.01% (103bp 하락)</w:t>
            </w:r>
          </w:p>
        </w:tc>
      </w:tr>
      <w:tr>
        <w:tc>
          <w:tcPr>
            <w:tcW w:type="dxa" w:w="30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기관투자자 주택 매입 금지령</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C0392B"/>
                <w:sz w:val="19"/>
                <w:szCs w:val="19"/>
              </w:rPr>
              <w:t xml:space="preserve">불확실 !</w:t>
            </w:r>
          </w:p>
        </w:tc>
        <w:tc>
          <w:tcPr>
            <w:tcW w:type="dxa" w:w="4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대규모 기관투자자의 단독주택 매입 제한. iBuyer 포함 여부 미확정 (재무부 정의 검토 중) — 잠재적 실존 위협</w:t>
            </w:r>
          </w:p>
        </w:tc>
      </w:tr>
      <w:tr>
        <w:tc>
          <w:tcPr>
            <w:tcW w:type="dxa" w:w="30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연준 의장 Kevin Warsh 교체 시사</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긍정 ▲</w:t>
            </w:r>
          </w:p>
        </w:tc>
        <w:tc>
          <w:tcPr>
            <w:tcW w:type="dxa" w:w="4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비둘기파 피벗 기대감 → 장기 모기지 금리 추가 하락 시나리오 가능성 확대</w:t>
            </w:r>
          </w:p>
        </w:tc>
      </w:tr>
      <w:tr>
        <w:tc>
          <w:tcPr>
            <w:tcW w:type="dxa" w:w="30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50년 만기 모기지 (검토 중)</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2E5FA3"/>
                <w:sz w:val="19"/>
                <w:szCs w:val="19"/>
              </w:rPr>
              <w:t xml:space="preserve">긍정 ▲</w:t>
            </w:r>
          </w:p>
        </w:tc>
        <w:tc>
          <w:tcPr>
            <w:tcW w:type="dxa" w:w="4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월 납입금 감소 → 잠재 바이어 풀 확대 → 거래량 증가 → Opendoor 재판매 용이성 향상</w:t>
            </w:r>
          </w:p>
        </w:tc>
      </w:tr>
      <w:tr>
        <w:tc>
          <w:tcPr>
            <w:tcW w:type="dxa" w:w="30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401(k)/학자금 계좌 계약금 활용 허용 (제안)</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2E5FA3"/>
                <w:sz w:val="19"/>
                <w:szCs w:val="19"/>
              </w:rPr>
              <w:t xml:space="preserve">긍정 ▲</w:t>
            </w:r>
          </w:p>
        </w:tc>
        <w:tc>
          <w:tcPr>
            <w:tcW w:type="dxa" w:w="49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첫 주택 구매자 수요 자극 → 중저가 주택 거래 활성화 기대</w:t>
            </w:r>
          </w:p>
        </w:tc>
      </w:tr>
    </w:tbl>
    <w:p>
      <w:pPr>
        <w:spacing w:before="100" w:after="0"/>
      </w:pPr>
      <w:r>
        <w:t xml:space="preserve"/>
      </w:r>
    </w:p>
    <w:p>
      <w:pPr>
        <w:pBdr>
          <w:left w:val="single" w:color="C0392B" w:sz="12" w:space="8"/>
        </w:pBdr>
        <w:shd w:fill="FFF3F3" w:val="clear"/>
        <w:spacing w:before="60" w:after="60"/>
        <w:ind w:left="200"/>
      </w:pPr>
      <w:r>
        <w:rPr>
          <w:rFonts w:ascii="Arial" w:cs="Arial" w:eastAsia="Arial" w:hAnsi="Arial"/>
          <w:b/>
          <w:bCs/>
          <w:color w:val="C0392B"/>
          <w:sz w:val="20"/>
          <w:szCs w:val="20"/>
        </w:rPr>
        <w:t xml:space="preserve">⚠  핵심 리스크: </w:t>
      </w:r>
      <w:r>
        <w:rPr>
          <w:rFonts w:ascii="Arial" w:cs="Arial" w:eastAsia="Arial" w:hAnsi="Arial"/>
          <w:color w:val="1F2D3D"/>
          <w:sz w:val="20"/>
          <w:szCs w:val="20"/>
        </w:rPr>
        <w:t xml:space="preserve">기관투자자 금지령의 'iBuyer 포함 여부'는 현재 재무부 정의 검토 중으로 미확정 상태입니다. 최악의 경우 Opendoor의 핵심 비즈니스 모델(주택 직매입) 자체에 대한 법적 제약이 발생할 수 있으며, 이는 주가에 결정적 하방 압력으로 작용할 수 있습니다.</w:t>
      </w:r>
    </w:p>
    <w:p>
      <w:pPr>
        <w:spacing w:before="160" w:after="0"/>
      </w:pPr>
      <w:r>
        <w:t xml:space="preserve"/>
      </w:r>
    </w:p>
    <w:p>
      <w:pPr>
        <w:pStyle w:val="Heading1"/>
        <w:shd w:fill="1B2A4A" w:val="clear"/>
        <w:spacing w:before="320" w:after="120"/>
        <w:ind w:left="200" w:right="200"/>
      </w:pPr>
      <w:r>
        <w:rPr>
          <w:rFonts w:ascii="Arial" w:cs="Arial" w:eastAsia="Arial" w:hAnsi="Arial"/>
          <w:b/>
          <w:bCs/>
          <w:color w:val="FFFFFF"/>
          <w:sz w:val="32"/>
          <w:szCs w:val="32"/>
        </w:rPr>
        <w:t xml:space="preserve">3.  사업 모델 및 Opendoor 2.0 전략</w:t>
      </w:r>
    </w:p>
    <w:p>
      <w:pPr>
        <w:pStyle w:val="Heading2"/>
        <w:pBdr>
          <w:bottom w:val="single" w:color="2E5FA3" w:sz="4" w:space="4"/>
        </w:pBdr>
        <w:spacing w:before="280" w:after="80"/>
      </w:pPr>
      <w:r>
        <w:rPr>
          <w:rFonts w:ascii="Arial" w:cs="Arial" w:eastAsia="Arial" w:hAnsi="Arial"/>
          <w:b/>
          <w:bCs/>
          <w:color w:val="1B2A4A"/>
          <w:sz w:val="26"/>
          <w:szCs w:val="26"/>
        </w:rPr>
        <w:t xml:space="preserve">3-1.  iBuying 비즈니스 모델 구조</w:t>
      </w:r>
    </w:p>
    <w:p>
      <w:pPr>
        <w:spacing w:before="60" w:after="60"/>
      </w:pPr>
      <w:r>
        <w:rPr>
          <w:rFonts w:ascii="Arial" w:cs="Arial" w:eastAsia="Arial" w:hAnsi="Arial"/>
          <w:color w:val="1F2D3D"/>
          <w:sz w:val="20"/>
          <w:szCs w:val="20"/>
        </w:rPr>
        <w:t xml:space="preserve">Opendoor는 알고리즘 기반 즉시 매매 플랫폼으로, 매도자에게 수수료(편의비) 대신 즉각적인 현금 오퍼를 제공합니다. 수익은 매입-매도 스프레드와 부가 서비스 수수료에서 발생합니다.</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구분</w:t>
            </w:r>
          </w:p>
        </w:tc>
        <w:tc>
          <w:tcPr>
            <w:tcW w:type="dxa" w:w="358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내용</w:t>
            </w:r>
          </w:p>
        </w:tc>
        <w:tc>
          <w:tcPr>
            <w:tcW w:type="dxa" w:w="358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핵심 지표 (2025년 기준)</w:t>
            </w:r>
          </w:p>
        </w:tc>
      </w:tr>
      <w:tr>
        <w:tc>
          <w:tcPr>
            <w:tcW w:type="dxa" w:w="2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주수익원 (95%)</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주택 매입 후 수리·리스팅·재판매 스프레드</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목표 기여이익률(Contribution Margin) 5~7%</w:t>
            </w:r>
          </w:p>
        </w:tc>
      </w:tr>
      <w:tr>
        <w:tc>
          <w:tcPr>
            <w:tcW w:type="dxa" w:w="2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비용 구조</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보유비용(세금·보험·이자) + 수리·리노베이션 + 마케팅</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주당 수리비 $10K~25K | 고정비 ~$35M/분기</w:t>
            </w:r>
          </w:p>
        </w:tc>
      </w:tr>
      <w:tr>
        <w:tc>
          <w:tcPr>
            <w:tcW w:type="dxa" w:w="2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자본 구조</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비소구 자산담보부채(ABS)로 재고 금융 조달</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총 차입한도 $7.2B | 약정 $1.6B | 현금 $559M (Q1 2025)</w:t>
            </w:r>
          </w:p>
        </w:tc>
      </w:tr>
      <w:tr>
        <w:tc>
          <w:tcPr>
            <w:tcW w:type="dxa" w:w="22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주요 리스크</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금리 인상 + 주택가격 하락 동시 발생 시 재고 손실 급증</w:t>
            </w:r>
          </w:p>
        </w:tc>
        <w:tc>
          <w:tcPr>
            <w:tcW w:type="dxa" w:w="358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C0392B"/>
                <w:sz w:val="19"/>
                <w:szCs w:val="19"/>
              </w:rPr>
              <w:t xml:space="preserve">2022~23년: 금리 폭등으로 $627M Adj.EBITDA 손실 경험</w:t>
            </w:r>
          </w:p>
        </w:tc>
      </w:tr>
    </w:tbl>
    <w:p>
      <w:pPr>
        <w:spacing w:before="100" w:after="0"/>
      </w:pPr>
      <w:r>
        <w:t xml:space="preserve"/>
      </w:r>
    </w:p>
    <w:p>
      <w:pPr>
        <w:pStyle w:val="Heading2"/>
        <w:pBdr>
          <w:bottom w:val="single" w:color="2E5FA3" w:sz="4" w:space="4"/>
        </w:pBdr>
        <w:spacing w:before="280" w:after="80"/>
      </w:pPr>
      <w:r>
        <w:rPr>
          <w:rFonts w:ascii="Arial" w:cs="Arial" w:eastAsia="Arial" w:hAnsi="Arial"/>
          <w:b/>
          <w:bCs/>
          <w:color w:val="1B2A4A"/>
          <w:sz w:val="26"/>
          <w:szCs w:val="26"/>
        </w:rPr>
        <w:t xml:space="preserve">3-2.  Opendoor 2.0 — 전략 전환 핵심 지표</w:t>
      </w:r>
    </w:p>
    <w:p>
      <w:pPr>
        <w:spacing w:before="60" w:after="60"/>
      </w:pPr>
      <w:r>
        <w:rPr>
          <w:rFonts w:ascii="Arial" w:cs="Arial" w:eastAsia="Arial" w:hAnsi="Arial"/>
          <w:color w:val="1F2D3D"/>
          <w:sz w:val="20"/>
          <w:szCs w:val="20"/>
        </w:rPr>
        <w:t xml:space="preserve">2025년 9월 CEO 교체를 계기로 '운영 효율화 + 직접 소비자 채널 확대(D2C) + 자산경량화 마켓플레이스 장기 비전'으로의 전략 피벗이 진행 중입니다. 수치로 확인된 진전은 주목할 만합니다.</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4A" w:sz="6"/>
              <w:left w:val="single" w:color="BCC8D8" w:sz="1"/>
              <w:bottom w:val="single" w:color="BCC8D8" w:sz="1"/>
              <w:right w:val="single" w:color="BCC8D8" w:sz="1"/>
            </w:tcBorders>
            <w:shd w:fill="F5F7FA" w:val="clear"/>
            <w:tcMar>
              <w:top w:type="dxa" w:w="120"/>
              <w:left w:type="dxa" w:w="160"/>
              <w:bottom w:type="dxa" w:w="120"/>
              <w:right w:type="dxa" w:w="160"/>
            </w:tcMar>
          </w:tcPr>
          <w:p>
            <w:pPr>
              <w:spacing w:before="0" w:after="20"/>
              <w:jc w:val="center"/>
            </w:pPr>
            <w:r>
              <w:rPr>
                <w:rFonts w:ascii="Arial" w:cs="Arial" w:eastAsia="Arial" w:hAnsi="Arial"/>
                <w:b/>
                <w:bCs/>
                <w:color w:val="1A7A4A"/>
                <w:sz w:val="32"/>
                <w:szCs w:val="32"/>
              </w:rPr>
              <w:t xml:space="preserve">537채/주</w:t>
            </w:r>
          </w:p>
          <w:p>
            <w:pPr>
              <w:spacing w:before="0" w:after="8"/>
              <w:jc w:val="center"/>
            </w:pPr>
            <w:r>
              <w:rPr>
                <w:rFonts w:ascii="Arial" w:cs="Arial" w:eastAsia="Arial" w:hAnsi="Arial"/>
                <w:b/>
                <w:bCs/>
                <w:color w:val="1B2A4A"/>
                <w:sz w:val="17"/>
                <w:szCs w:val="17"/>
              </w:rPr>
              <w:t xml:space="preserve">주간 주택 매입</w:t>
            </w:r>
          </w:p>
          <w:p>
            <w:pPr>
              <w:spacing w:before="0" w:after="0"/>
              <w:jc w:val="center"/>
            </w:pPr>
            <w:r>
              <w:rPr>
                <w:rFonts w:ascii="Arial" w:cs="Arial" w:eastAsia="Arial" w:hAnsi="Arial"/>
                <w:color w:val="6B7A8D"/>
                <w:sz w:val="16"/>
                <w:szCs w:val="16"/>
              </w:rPr>
              <w:t xml:space="preserve">CEO 취임 후 +300%</w:t>
            </w:r>
          </w:p>
        </w:tc>
        <w:tc>
          <w:tcPr>
            <w:tcW w:type="dxa" w:w="3120"/>
            <w:tcBorders>
              <w:top w:val="single" w:color="2E5FA3" w:sz="6"/>
              <w:left w:val="single" w:color="BCC8D8" w:sz="1"/>
              <w:bottom w:val="single" w:color="BCC8D8" w:sz="1"/>
              <w:right w:val="single" w:color="BCC8D8" w:sz="1"/>
            </w:tcBorders>
            <w:shd w:fill="F5F7FA" w:val="clear"/>
            <w:tcMar>
              <w:top w:type="dxa" w:w="120"/>
              <w:left w:type="dxa" w:w="160"/>
              <w:bottom w:type="dxa" w:w="120"/>
              <w:right w:type="dxa" w:w="160"/>
            </w:tcMar>
          </w:tcPr>
          <w:p>
            <w:pPr>
              <w:spacing w:before="0" w:after="20"/>
              <w:jc w:val="center"/>
            </w:pPr>
            <w:r>
              <w:rPr>
                <w:rFonts w:ascii="Arial" w:cs="Arial" w:eastAsia="Arial" w:hAnsi="Arial"/>
                <w:b/>
                <w:bCs/>
                <w:color w:val="2E5FA3"/>
                <w:sz w:val="32"/>
                <w:szCs w:val="32"/>
              </w:rPr>
              <w:t xml:space="preserve">+700%</w:t>
            </w:r>
          </w:p>
          <w:p>
            <w:pPr>
              <w:spacing w:before="0" w:after="8"/>
              <w:jc w:val="center"/>
            </w:pPr>
            <w:r>
              <w:rPr>
                <w:rFonts w:ascii="Arial" w:cs="Arial" w:eastAsia="Arial" w:hAnsi="Arial"/>
                <w:b/>
                <w:bCs/>
                <w:color w:val="1B2A4A"/>
                <w:sz w:val="17"/>
                <w:szCs w:val="17"/>
              </w:rPr>
              <w:t xml:space="preserve">D2C 계약</w:t>
            </w:r>
          </w:p>
          <w:p>
            <w:pPr>
              <w:spacing w:before="0" w:after="0"/>
              <w:jc w:val="center"/>
            </w:pPr>
            <w:r>
              <w:rPr>
                <w:rFonts w:ascii="Arial" w:cs="Arial" w:eastAsia="Arial" w:hAnsi="Arial"/>
                <w:color w:val="6B7A8D"/>
                <w:sz w:val="16"/>
                <w:szCs w:val="16"/>
              </w:rPr>
              <w:t xml:space="preserve">직접 소비자 채널</w:t>
            </w:r>
          </w:p>
        </w:tc>
        <w:tc>
          <w:tcPr>
            <w:tcW w:type="dxa" w:w="3120"/>
            <w:tcBorders>
              <w:top w:val="single" w:color="1B2A4A" w:sz="6"/>
              <w:left w:val="single" w:color="BCC8D8" w:sz="1"/>
              <w:bottom w:val="single" w:color="BCC8D8" w:sz="1"/>
              <w:right w:val="single" w:color="BCC8D8" w:sz="1"/>
            </w:tcBorders>
            <w:shd w:fill="F5F7FA" w:val="clear"/>
            <w:tcMar>
              <w:top w:type="dxa" w:w="120"/>
              <w:left w:type="dxa" w:w="160"/>
              <w:bottom w:type="dxa" w:w="120"/>
              <w:right w:type="dxa" w:w="160"/>
            </w:tcMar>
          </w:tcPr>
          <w:p>
            <w:pPr>
              <w:spacing w:before="0" w:after="20"/>
              <w:jc w:val="center"/>
            </w:pPr>
            <w:r>
              <w:rPr>
                <w:rFonts w:ascii="Arial" w:cs="Arial" w:eastAsia="Arial" w:hAnsi="Arial"/>
                <w:b/>
                <w:bCs/>
                <w:color w:val="1B2A4A"/>
                <w:sz w:val="32"/>
                <w:szCs w:val="32"/>
              </w:rPr>
              <w:t xml:space="preserve">-25%</w:t>
            </w:r>
          </w:p>
          <w:p>
            <w:pPr>
              <w:spacing w:before="0" w:after="8"/>
              <w:jc w:val="center"/>
            </w:pPr>
            <w:r>
              <w:rPr>
                <w:rFonts w:ascii="Arial" w:cs="Arial" w:eastAsia="Arial" w:hAnsi="Arial"/>
                <w:b/>
                <w:bCs/>
                <w:color w:val="1B2A4A"/>
                <w:sz w:val="17"/>
                <w:szCs w:val="17"/>
              </w:rPr>
              <w:t xml:space="preserve">평균 보유 기간</w:t>
            </w:r>
          </w:p>
          <w:p>
            <w:pPr>
              <w:spacing w:before="0" w:after="0"/>
              <w:jc w:val="center"/>
            </w:pPr>
            <w:r>
              <w:rPr>
                <w:rFonts w:ascii="Arial" w:cs="Arial" w:eastAsia="Arial" w:hAnsi="Arial"/>
                <w:color w:val="6B7A8D"/>
                <w:sz w:val="16"/>
                <w:szCs w:val="16"/>
              </w:rPr>
              <w:t xml:space="preserve">인벤토리 회전 가속화</w:t>
            </w:r>
          </w:p>
        </w:tc>
      </w:tr>
    </w:tbl>
    <w:p>
      <w:pPr>
        <w:spacing w:before="80" w:after="0"/>
      </w:pPr>
      <w:r>
        <w:t xml:space="preserve"/>
      </w:r>
    </w:p>
    <w:p>
      <w:pPr>
        <w:pStyle w:val="ListParagraph"/>
        <w:numPr>
          <w:ilvl w:val="0"/>
          <w:numId w:val="2"/>
        </w:numPr>
        <w:spacing w:before="40" w:after="40"/>
      </w:pPr>
      <w:r>
        <w:rPr>
          <w:rFonts w:ascii="Arial" w:cs="Arial" w:eastAsia="Arial" w:hAnsi="Arial"/>
          <w:color w:val="1F2D3D"/>
          <w:sz w:val="20"/>
          <w:szCs w:val="20"/>
        </w:rPr>
        <w:t xml:space="preserve">지리적 커버리지: 10주 만에 3배 확장, 미국 48개 주 거의 전 지역 커버</w:t>
      </w:r>
    </w:p>
    <w:p>
      <w:pPr>
        <w:pStyle w:val="ListParagraph"/>
        <w:numPr>
          <w:ilvl w:val="0"/>
          <w:numId w:val="2"/>
        </w:numPr>
        <w:spacing w:before="40" w:after="40"/>
      </w:pPr>
      <w:r>
        <w:rPr>
          <w:rFonts w:ascii="Arial" w:cs="Arial" w:eastAsia="Arial" w:hAnsi="Arial"/>
          <w:color w:val="1F2D3D"/>
          <w:sz w:val="20"/>
          <w:szCs w:val="20"/>
        </w:rPr>
        <w:t xml:space="preserve">2025년 10월 코호트: 회사 역사상 최고 기여이익률 기록. 2024년 10월 대비 2배 빠른 판매 속도, 50% 이상 이미 판매 완료</w:t>
      </w:r>
    </w:p>
    <w:p>
      <w:pPr>
        <w:pStyle w:val="ListParagraph"/>
        <w:numPr>
          <w:ilvl w:val="0"/>
          <w:numId w:val="2"/>
        </w:numPr>
        <w:spacing w:before="40" w:after="40"/>
      </w:pPr>
      <w:r>
        <w:rPr>
          <w:rFonts w:ascii="Arial" w:cs="Arial" w:eastAsia="Arial" w:hAnsi="Arial"/>
          <w:color w:val="1F2D3D"/>
          <w:sz w:val="20"/>
          <w:szCs w:val="20"/>
        </w:rPr>
        <w:t xml:space="preserve">CEO 보상 구조: 기본급 $1. 주가 목표($9/$13/$17/$21/$25/$33) 달성 시에만 성과보상 — 최대 $27.8억 잠재가치 (CEO 인센티브 완벽 정렬)</w:t>
      </w:r>
    </w:p>
    <w:p>
      <w:pPr>
        <w:pStyle w:val="ListParagraph"/>
        <w:numPr>
          <w:ilvl w:val="0"/>
          <w:numId w:val="2"/>
        </w:numPr>
        <w:spacing w:before="40" w:after="40"/>
      </w:pPr>
      <w:r>
        <w:rPr>
          <w:rFonts w:ascii="Arial" w:cs="Arial" w:eastAsia="Arial" w:hAnsi="Arial"/>
          <w:color w:val="1F2D3D"/>
          <w:sz w:val="20"/>
          <w:szCs w:val="20"/>
        </w:rPr>
        <w:t xml:space="preserve">2025년 고정비: 분기 $35M 수준으로 안정. 조정순이익 흑자전환 목표: 2026년 말</w:t>
      </w:r>
    </w:p>
    <w:p>
      <w:pPr>
        <w:spacing w:before="80" w:after="0"/>
      </w:pPr>
      <w:r>
        <w:t xml:space="preserve"/>
      </w:r>
    </w:p>
    <w:p>
      <w:pPr>
        <w:pBdr>
          <w:left w:val="single" w:color="2E5FA3" w:sz="12" w:space="8"/>
        </w:pBdr>
        <w:shd w:fill="F5F7FA" w:val="clear"/>
        <w:spacing w:before="60" w:after="60"/>
        <w:ind w:left="200"/>
      </w:pPr>
      <w:r>
        <w:rPr>
          <w:rFonts w:ascii="Arial" w:cs="Arial" w:eastAsia="Arial" w:hAnsi="Arial"/>
          <w:b/>
          <w:bCs/>
          <w:color w:val="2E5FA3"/>
          <w:sz w:val="20"/>
          <w:szCs w:val="20"/>
        </w:rPr>
        <w:t xml:space="preserve">✦  주목할 점: </w:t>
      </w:r>
      <w:r>
        <w:rPr>
          <w:rFonts w:ascii="Arial" w:cs="Arial" w:eastAsia="Arial" w:hAnsi="Arial"/>
          <w:color w:val="1F2D3D"/>
          <w:sz w:val="20"/>
          <w:szCs w:val="20"/>
        </w:rPr>
        <w:t xml:space="preserve">현재 수익성은 미확보 상태이나, 운영 지표의 방향성은 전략 전환 이후 일관되게 개선 중입니다. 재무제표에 반영되기까지 1~2분기 시차가 있으며, 2026년 Q2(5월 발표)가 이를 검증하는 첫 번째 공식 관문입니다.</w:t>
      </w:r>
    </w:p>
    <w:p>
      <w:pPr>
        <w:spacing w:before="160" w:after="0"/>
      </w:pPr>
      <w:r>
        <w:t xml:space="preserve"/>
      </w:r>
    </w:p>
    <w:p>
      <w:pPr>
        <w:pStyle w:val="Heading1"/>
        <w:shd w:fill="1B2A4A" w:val="clear"/>
        <w:spacing w:before="320" w:after="120"/>
        <w:ind w:left="200" w:right="200"/>
      </w:pPr>
      <w:r>
        <w:rPr>
          <w:rFonts w:ascii="Arial" w:cs="Arial" w:eastAsia="Arial" w:hAnsi="Arial"/>
          <w:b/>
          <w:bCs/>
          <w:color w:val="FFFFFF"/>
          <w:sz w:val="32"/>
          <w:szCs w:val="32"/>
        </w:rPr>
        <w:t xml:space="preserve">4.  재무 성과 분석</w:t>
      </w:r>
    </w:p>
    <w:p>
      <w:pPr>
        <w:pStyle w:val="Heading2"/>
        <w:pBdr>
          <w:bottom w:val="single" w:color="2E5FA3" w:sz="4" w:space="4"/>
        </w:pBdr>
        <w:spacing w:before="280" w:after="80"/>
      </w:pPr>
      <w:r>
        <w:rPr>
          <w:rFonts w:ascii="Arial" w:cs="Arial" w:eastAsia="Arial" w:hAnsi="Arial"/>
          <w:b/>
          <w:bCs/>
          <w:color w:val="1B2A4A"/>
          <w:sz w:val="26"/>
          <w:szCs w:val="26"/>
        </w:rPr>
        <w:t xml:space="preserve">4-1.  분기별 핵심 재무 추이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항목</w:t>
            </w:r>
          </w:p>
        </w:tc>
        <w:tc>
          <w:tcPr>
            <w:tcW w:type="dxa" w:w="144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Q4 2024</w:t>
            </w:r>
          </w:p>
        </w:tc>
        <w:tc>
          <w:tcPr>
            <w:tcW w:type="dxa" w:w="144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Q1 2025</w:t>
            </w:r>
          </w:p>
        </w:tc>
        <w:tc>
          <w:tcPr>
            <w:tcW w:type="dxa" w:w="144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Q2 2025</w:t>
            </w:r>
          </w:p>
        </w:tc>
        <w:tc>
          <w:tcPr>
            <w:tcW w:type="dxa" w:w="144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Q3 2025</w:t>
            </w:r>
          </w:p>
        </w:tc>
        <w:tc>
          <w:tcPr>
            <w:tcW w:type="dxa" w:w="144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Q4 2025</w:t>
            </w:r>
          </w:p>
        </w:tc>
      </w:tr>
      <w:tr>
        <w:tc>
          <w:tcPr>
            <w:tcW w:type="dxa" w:w="216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매출</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$1.08B</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$1.20B</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$1.60B</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$0.92B</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$0.74B</w:t>
            </w:r>
          </w:p>
        </w:tc>
      </w:tr>
      <w:tr>
        <w:tc>
          <w:tcPr>
            <w:tcW w:type="dxa" w:w="216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YoY 매출 성장률</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-26%</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6B7A8D"/>
                <w:sz w:val="19"/>
                <w:szCs w:val="19"/>
              </w:rPr>
              <w:t xml:space="preserve">0%</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A7A4A"/>
                <w:sz w:val="19"/>
                <w:szCs w:val="19"/>
              </w:rPr>
              <w:t xml:space="preserve">+7%</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-34%</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-32%</w:t>
            </w:r>
          </w:p>
        </w:tc>
      </w:tr>
      <w:tr>
        <w:tc>
          <w:tcPr>
            <w:tcW w:type="dxa" w:w="216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기여이익률</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4.7%</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4.7%</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4.4%</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2.2%</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A7A4A"/>
                <w:sz w:val="19"/>
                <w:szCs w:val="19"/>
              </w:rPr>
              <w:t xml:space="preserve">개선 중▲</w:t>
            </w:r>
          </w:p>
        </w:tc>
      </w:tr>
      <w:tr>
        <w:tc>
          <w:tcPr>
            <w:tcW w:type="dxa" w:w="216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Adj. EBITDA</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-$142M</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-$30M</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+$23M ★</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-$33M</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6B7A8D"/>
                <w:sz w:val="19"/>
                <w:szCs w:val="19"/>
              </w:rPr>
              <w:t xml:space="preserve">-저30M대</w:t>
            </w:r>
          </w:p>
        </w:tc>
      </w:tr>
      <w:tr>
        <w:tc>
          <w:tcPr>
            <w:tcW w:type="dxa" w:w="216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순손실</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-$392M</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-$90M</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-$1.1B*</w:t>
            </w:r>
          </w:p>
        </w:tc>
      </w:tr>
      <w:tr>
        <w:tc>
          <w:tcPr>
            <w:tcW w:type="dxa" w:w="216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매입 주택 수</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3,609채</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1,757채</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4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+46% QoQ▲</w:t>
            </w:r>
          </w:p>
        </w:tc>
      </w:tr>
    </w:tbl>
    <w:p>
      <w:pPr>
        <w:spacing w:before="60" w:after="0"/>
      </w:pPr>
      <w:r>
        <w:t xml:space="preserve"/>
      </w:r>
    </w:p>
    <w:p>
      <w:pPr>
        <w:spacing w:before="40" w:after="40"/>
      </w:pPr>
      <w:r>
        <w:rPr>
          <w:rFonts w:ascii="Arial" w:cs="Arial" w:eastAsia="Arial" w:hAnsi="Arial"/>
          <w:color w:val="6B7A8D"/>
          <w:sz w:val="16"/>
          <w:szCs w:val="16"/>
        </w:rPr>
        <w:t xml:space="preserve">* Q4 2025 순손실 $1.1B 중 $933M은 전환사채 재조정 관련 비현금 항목으로 실질적 영업 손실과 구분 필요.</w:t>
      </w:r>
    </w:p>
    <w:p>
      <w:pPr>
        <w:spacing w:before="100" w:after="0"/>
      </w:pPr>
      <w:r>
        <w:t xml:space="preserve"/>
      </w:r>
    </w:p>
    <w:p>
      <w:pPr>
        <w:pStyle w:val="Heading2"/>
        <w:pBdr>
          <w:bottom w:val="single" w:color="2E5FA3" w:sz="4" w:space="4"/>
        </w:pBdr>
        <w:spacing w:before="280" w:after="80"/>
      </w:pPr>
      <w:r>
        <w:rPr>
          <w:rFonts w:ascii="Arial" w:cs="Arial" w:eastAsia="Arial" w:hAnsi="Arial"/>
          <w:b/>
          <w:bCs/>
          <w:color w:val="1B2A4A"/>
          <w:sz w:val="26"/>
          <w:szCs w:val="26"/>
        </w:rPr>
        <w:t xml:space="preserve">4-2.  주가-매출 추이 차트</w:t>
      </w:r>
    </w:p>
    <w:p>
      <w:pPr>
        <w:spacing w:before="60" w:after="60"/>
      </w:pPr>
      <w:r>
        <w:rPr>
          <w:rFonts w:ascii="Arial" w:cs="Arial" w:eastAsia="Arial" w:hAnsi="Arial"/>
          <w:color w:val="1F2D3D"/>
          <w:sz w:val="20"/>
          <w:szCs w:val="20"/>
        </w:rPr>
        <w:t xml:space="preserve">아래 차트는 2025년 7월~2026년 2월의 주가(좌축)와 분기 매출(우축)의 디커플링 구조를 보여줍니다. CEO 선임 이후 주가는 폭등했으나 매출은 여전히 감소 중 — 시장은 운영 지표 개선을 6~9개월 선행 반영 중입니다.</w:t>
      </w:r>
    </w:p>
    <w:p>
      <w:pPr>
        <w:spacing w:before="60" w:after="0"/>
      </w:pPr>
      <w:r>
        <w:t xml:space="preserve"/>
      </w:r>
    </w:p>
    <w:p>
      <w:pPr>
        <w:spacing w:before="60" w:after="6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9875"/>
                    </a:xfrm>
                    <a:prstGeom prst="rect">
                      <a:avLst/>
                    </a:prstGeom>
                  </pic:spPr>
                </pic:pic>
              </a:graphicData>
            </a:graphic>
          </wp:inline>
        </w:drawing>
      </w:r>
    </w:p>
    <w:p>
      <w:pPr>
        <w:spacing w:before="60" w:after="0"/>
      </w:pPr>
      <w:r>
        <w:t xml:space="preserve"/>
      </w:r>
    </w:p>
    <w:p>
      <w:pPr>
        <w:spacing w:before="0" w:after="80"/>
        <w:jc w:val="center"/>
      </w:pPr>
      <w:r>
        <w:rPr>
          <w:rFonts w:ascii="Arial" w:cs="Arial" w:eastAsia="Arial" w:hAnsi="Arial"/>
          <w:color w:val="6B7A8D"/>
          <w:sz w:val="16"/>
          <w:szCs w:val="16"/>
        </w:rPr>
        <w:t xml:space="preserve">[그림 1] OPEN 주가(황색 선, 좌축) vs 분기 매출(적색 바, 우축) — 수치 차이로 이중 Y축 적용. 출처: TradingView, Opendoor IR</w:t>
      </w:r>
    </w:p>
    <w:p>
      <w:pPr>
        <w:spacing w:before="160" w:after="0"/>
      </w:pPr>
      <w:r>
        <w:t xml:space="preserve"/>
      </w:r>
    </w:p>
    <w:p>
      <w:pPr>
        <w:pStyle w:val="Heading1"/>
        <w:shd w:fill="1B2A4A" w:val="clear"/>
        <w:spacing w:before="320" w:after="120"/>
        <w:ind w:left="200" w:right="200"/>
      </w:pPr>
      <w:r>
        <w:rPr>
          <w:rFonts w:ascii="Arial" w:cs="Arial" w:eastAsia="Arial" w:hAnsi="Arial"/>
          <w:b/>
          <w:bCs/>
          <w:color w:val="FFFFFF"/>
          <w:sz w:val="32"/>
          <w:szCs w:val="32"/>
        </w:rPr>
        <w:t xml:space="preserve">5.  밸류에이션 분석</w:t>
      </w:r>
    </w:p>
    <w:p>
      <w:pPr>
        <w:pStyle w:val="Heading2"/>
        <w:pBdr>
          <w:bottom w:val="single" w:color="2E5FA3" w:sz="4" w:space="4"/>
        </w:pBdr>
        <w:spacing w:before="280" w:after="80"/>
      </w:pPr>
      <w:r>
        <w:rPr>
          <w:rFonts w:ascii="Arial" w:cs="Arial" w:eastAsia="Arial" w:hAnsi="Arial"/>
          <w:b/>
          <w:bCs/>
          <w:color w:val="1B2A4A"/>
          <w:sz w:val="26"/>
          <w:szCs w:val="26"/>
        </w:rPr>
        <w:t xml:space="preserve">5-1.  현재 밸류에이션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920"/>
        <w:gridCol w:w="1200"/>
      </w:tblGrid>
      <w:tr>
        <w:tc>
          <w:tcPr>
            <w:tcW w:type="dxa" w:w="24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지표</w:t>
            </w:r>
          </w:p>
        </w:tc>
        <w:tc>
          <w:tcPr>
            <w:tcW w:type="dxa" w:w="192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현재</w:t>
            </w:r>
          </w:p>
        </w:tc>
        <w:tc>
          <w:tcPr>
            <w:tcW w:type="dxa" w:w="192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역사 중앙값</w:t>
            </w:r>
          </w:p>
        </w:tc>
        <w:tc>
          <w:tcPr>
            <w:tcW w:type="dxa" w:w="192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업종 평균</w:t>
            </w:r>
          </w:p>
        </w:tc>
        <w:tc>
          <w:tcPr>
            <w:tcW w:type="dxa" w:w="12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백분위</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P/B Ratio</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0.63x</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1.88x</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~1.5x</w:t>
            </w:r>
          </w:p>
        </w:tc>
        <w:tc>
          <w:tcPr>
            <w:tcW w:type="dxa" w:w="12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A7A4A"/>
                <w:sz w:val="19"/>
                <w:szCs w:val="19"/>
              </w:rPr>
              <w:t xml:space="preserve">~20%ile</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EV / Sales</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~0.78x</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2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P/E Ratio</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N/A (적자)</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2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Adj. EBITDA Margin</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-5.2% (TTM)</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2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r>
      <w:tr>
        <w:tc>
          <w:tcPr>
            <w:tcW w:type="dxa" w:w="240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장부가 하락률 (YoY)</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C0392B"/>
                <w:sz w:val="19"/>
                <w:szCs w:val="19"/>
              </w:rPr>
              <w:t xml:space="preserve">-26.2%</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92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w:t>
            </w:r>
          </w:p>
        </w:tc>
        <w:tc>
          <w:tcPr>
            <w:tcW w:type="dxa" w:w="12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C0392B"/>
                <w:sz w:val="19"/>
                <w:szCs w:val="19"/>
              </w:rPr>
              <w:t xml:space="preserve">위험 구간</w:t>
            </w:r>
          </w:p>
        </w:tc>
      </w:tr>
    </w:tbl>
    <w:p>
      <w:pPr>
        <w:spacing w:before="80" w:after="0"/>
      </w:pPr>
      <w:r>
        <w:t xml:space="preserve"/>
      </w:r>
    </w:p>
    <w:p>
      <w:pPr>
        <w:spacing w:before="60" w:after="60"/>
      </w:pPr>
      <w:r>
        <w:rPr>
          <w:rFonts w:ascii="Arial" w:cs="Arial" w:eastAsia="Arial" w:hAnsi="Arial"/>
          <w:color w:val="1F2D3D"/>
          <w:sz w:val="20"/>
          <w:szCs w:val="20"/>
        </w:rPr>
        <w:t xml:space="preserve">P/B 0.63x는 표면상 저평가처럼 보이나, 장부가가 연간 -20%+ 속도로 훼손되고 있어 가치 함정(Value Trap) 가능성 존재. 전통적 그레이엄식 안전마진(MOS) 기준으로는 현재 매수 조건 미충족.</w:t>
      </w:r>
    </w:p>
    <w:p>
      <w:pPr>
        <w:spacing w:before="100" w:after="0"/>
      </w:pPr>
      <w:r>
        <w:t xml:space="preserve"/>
      </w:r>
    </w:p>
    <w:p>
      <w:pPr>
        <w:pStyle w:val="Heading2"/>
        <w:pBdr>
          <w:bottom w:val="single" w:color="2E5FA3" w:sz="4" w:space="4"/>
        </w:pBdr>
        <w:spacing w:before="280" w:after="80"/>
      </w:pPr>
      <w:r>
        <w:rPr>
          <w:rFonts w:ascii="Arial" w:cs="Arial" w:eastAsia="Arial" w:hAnsi="Arial"/>
          <w:b/>
          <w:bCs/>
          <w:color w:val="1B2A4A"/>
          <w:sz w:val="26"/>
          <w:szCs w:val="26"/>
        </w:rPr>
        <w:t xml:space="preserve">5-2.  시나리오별 기대수익률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400"/>
        <w:gridCol w:w="2760"/>
      </w:tblGrid>
      <w:tr>
        <w:tc>
          <w:tcPr>
            <w:tcW w:type="dxa" w:w="16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시나리오</w:t>
            </w:r>
          </w:p>
        </w:tc>
        <w:tc>
          <w:tcPr>
            <w:tcW w:type="dxa" w:w="18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주가 범위</w:t>
            </w:r>
          </w:p>
        </w:tc>
        <w:tc>
          <w:tcPr>
            <w:tcW w:type="dxa" w:w="18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수익률</w:t>
            </w:r>
          </w:p>
        </w:tc>
        <w:tc>
          <w:tcPr>
            <w:tcW w:type="dxa" w:w="14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확률</w:t>
            </w:r>
          </w:p>
        </w:tc>
        <w:tc>
          <w:tcPr>
            <w:tcW w:type="dxa" w:w="276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핵심 조건</w:t>
            </w:r>
          </w:p>
        </w:tc>
      </w:tr>
      <w:tr>
        <w:tc>
          <w:tcPr>
            <w:tcW w:type="dxa" w:w="16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Bull</w:t>
            </w:r>
          </w:p>
        </w:tc>
        <w:tc>
          <w:tcPr>
            <w:tcW w:type="dxa" w:w="18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A7A4A"/>
                <w:sz w:val="19"/>
                <w:szCs w:val="19"/>
              </w:rPr>
              <w:t xml:space="preserve">$15 ~ $20</w:t>
            </w:r>
          </w:p>
        </w:tc>
        <w:tc>
          <w:tcPr>
            <w:tcW w:type="dxa" w:w="18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1A7A4A"/>
                <w:sz w:val="19"/>
                <w:szCs w:val="19"/>
              </w:rPr>
              <w:t xml:space="preserve">+220 ~ +330%</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30%</w:t>
            </w:r>
          </w:p>
        </w:tc>
        <w:tc>
          <w:tcPr>
            <w:tcW w:type="dxa" w:w="27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모기지 5%대 하락 + 매출 반등 + 흑자전환 + 기관 금지령 면제</w:t>
            </w:r>
          </w:p>
        </w:tc>
      </w:tr>
      <w:tr>
        <w:tc>
          <w:tcPr>
            <w:tcW w:type="dxa" w:w="16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2E5FA3"/>
                <w:sz w:val="19"/>
                <w:szCs w:val="19"/>
              </w:rPr>
              <w:t xml:space="preserve">Base</w:t>
            </w:r>
          </w:p>
        </w:tc>
        <w:tc>
          <w:tcPr>
            <w:tcW w:type="dxa" w:w="18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2E5FA3"/>
                <w:sz w:val="19"/>
                <w:szCs w:val="19"/>
              </w:rPr>
              <w:t xml:space="preserve">$6 ~ $8</w:t>
            </w:r>
          </w:p>
        </w:tc>
        <w:tc>
          <w:tcPr>
            <w:tcW w:type="dxa" w:w="18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2E5FA3"/>
                <w:sz w:val="19"/>
                <w:szCs w:val="19"/>
              </w:rPr>
              <w:t xml:space="preserve">+30 ~ +70%</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40%</w:t>
            </w:r>
          </w:p>
        </w:tc>
        <w:tc>
          <w:tcPr>
            <w:tcW w:type="dxa" w:w="27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완만한 거래량 회복 + 단계적 마진 개선 + 2026년 말 손익분기</w:t>
            </w:r>
          </w:p>
        </w:tc>
      </w:tr>
      <w:tr>
        <w:tc>
          <w:tcPr>
            <w:tcW w:type="dxa" w:w="16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C0392B"/>
                <w:sz w:val="19"/>
                <w:szCs w:val="19"/>
              </w:rPr>
              <w:t xml:space="preserve">Bear</w:t>
            </w:r>
          </w:p>
        </w:tc>
        <w:tc>
          <w:tcPr>
            <w:tcW w:type="dxa" w:w="18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C0392B"/>
                <w:sz w:val="19"/>
                <w:szCs w:val="19"/>
              </w:rPr>
              <w:t xml:space="preserve">$1 ~ $2</w:t>
            </w:r>
          </w:p>
        </w:tc>
        <w:tc>
          <w:tcPr>
            <w:tcW w:type="dxa" w:w="18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C0392B"/>
                <w:sz w:val="19"/>
                <w:szCs w:val="19"/>
              </w:rPr>
              <w:t xml:space="preserve">-57 ~ -78%</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val="false"/>
                <w:bCs w:val="false"/>
                <w:color w:val="1F2D3D"/>
                <w:sz w:val="19"/>
                <w:szCs w:val="19"/>
              </w:rPr>
              <w:t xml:space="preserve">30%</w:t>
            </w:r>
          </w:p>
        </w:tc>
        <w:tc>
          <w:tcPr>
            <w:tcW w:type="dxa" w:w="276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경기침체 + 주택가격 하락 + 기관 금지령 적용 또는 자본조달 위기</w:t>
            </w:r>
          </w:p>
        </w:tc>
      </w:tr>
      <w:tr>
        <w:tc>
          <w:tcPr>
            <w:tcW w:type="dxa" w:w="460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확률 가중 기대수익률</w:t>
            </w:r>
          </w:p>
        </w:tc>
        <w:tc>
          <w:tcPr>
            <w:tcW w:type="dxa" w:w="140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center"/>
            </w:pPr>
            <w:r>
              <w:rPr>
                <w:rFonts w:ascii="Arial" w:cs="Arial" w:eastAsia="Arial" w:hAnsi="Arial"/>
                <w:b/>
                <w:bCs/>
                <w:color w:val="F0A500"/>
                <w:sz w:val="19"/>
                <w:szCs w:val="19"/>
              </w:rPr>
              <w:t xml:space="preserve">~+83%</w:t>
            </w:r>
          </w:p>
        </w:tc>
        <w:tc>
          <w:tcPr>
            <w:tcW w:type="dxa" w:w="3360"/>
            <w:tcBorders>
              <w:top w:val="single" w:color="BCC8D8" w:sz="1"/>
              <w:left w:val="single" w:color="BCC8D8" w:sz="1"/>
              <w:bottom w:val="single" w:color="BCC8D8" w:sz="1"/>
              <w:right w:val="single" w:color="BCC8D8" w:sz="1"/>
            </w:tcBorders>
            <w:shd w:fill="F5F7FA"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6B7A8D"/>
                <w:sz w:val="19"/>
                <w:szCs w:val="19"/>
              </w:rPr>
              <w:t xml:space="preserve">(0.3×275% + 0.4×50% + 0.3×-67.5%)</w:t>
            </w:r>
          </w:p>
        </w:tc>
      </w:tr>
    </w:tbl>
    <w:p>
      <w:pPr>
        <w:spacing w:before="80" w:after="0"/>
      </w:pPr>
      <w:r>
        <w:t xml:space="preserve"/>
      </w:r>
    </w:p>
    <w:p>
      <w:pPr>
        <w:spacing w:before="60" w:after="60"/>
      </w:pPr>
      <w:r>
        <w:rPr>
          <w:rFonts w:ascii="Arial" w:cs="Arial" w:eastAsia="Arial" w:hAnsi="Arial"/>
          <w:color w:val="1F2D3D"/>
          <w:sz w:val="20"/>
          <w:szCs w:val="20"/>
        </w:rPr>
        <w:t xml:space="preserve">주의: 확률 가중 기대수익률 +83%는 높아 보이나, Bear 시나리오에서 -57~78%의 큰 손실 가능성을 내포합니다. 기대값이 높더라도 위험 조정 수익률과 포지션 사이징이 중요합니다.</w:t>
      </w:r>
    </w:p>
    <w:p>
      <w:pPr>
        <w:spacing w:before="160" w:after="0"/>
      </w:pPr>
      <w:r>
        <w:t xml:space="preserve"/>
      </w:r>
    </w:p>
    <w:p>
      <w:pPr>
        <w:pStyle w:val="Heading1"/>
        <w:shd w:fill="1B2A4A" w:val="clear"/>
        <w:spacing w:before="320" w:after="120"/>
        <w:ind w:left="200" w:right="200"/>
      </w:pPr>
      <w:r>
        <w:rPr>
          <w:rFonts w:ascii="Arial" w:cs="Arial" w:eastAsia="Arial" w:hAnsi="Arial"/>
          <w:b/>
          <w:bCs/>
          <w:color w:val="FFFFFF"/>
          <w:sz w:val="32"/>
          <w:szCs w:val="32"/>
        </w:rPr>
        <w:t xml:space="preserve">6.  종합 투자 결론</w:t>
      </w:r>
    </w:p>
    <w:p>
      <w:pPr>
        <w:pStyle w:val="Heading2"/>
        <w:pBdr>
          <w:bottom w:val="single" w:color="2E5FA3" w:sz="4" w:space="4"/>
        </w:pBdr>
        <w:spacing w:before="280" w:after="80"/>
      </w:pPr>
      <w:r>
        <w:rPr>
          <w:rFonts w:ascii="Arial" w:cs="Arial" w:eastAsia="Arial" w:hAnsi="Arial"/>
          <w:b/>
          <w:bCs/>
          <w:color w:val="1B2A4A"/>
          <w:sz w:val="26"/>
          <w:szCs w:val="26"/>
        </w:rPr>
        <w:t xml:space="preserve">6-1.  핵심 투자 논거 요약</w:t>
      </w:r>
    </w:p>
    <w:p>
      <w:pPr>
        <w:pStyle w:val="Heading3"/>
        <w:spacing w:before="200" w:after="60"/>
      </w:pPr>
      <w:r>
        <w:rPr>
          <w:rFonts w:ascii="Arial" w:cs="Arial" w:eastAsia="Arial" w:hAnsi="Arial"/>
          <w:b/>
          <w:bCs/>
          <w:color w:val="2E5FA3"/>
          <w:sz w:val="22"/>
          <w:szCs w:val="22"/>
        </w:rPr>
        <w:t xml:space="preserve">강점 (긍정 요인)</w:t>
      </w:r>
    </w:p>
    <w:p>
      <w:pPr>
        <w:pStyle w:val="ListParagraph"/>
        <w:numPr>
          <w:ilvl w:val="0"/>
          <w:numId w:val="2"/>
        </w:numPr>
        <w:spacing w:before="40" w:after="40"/>
      </w:pPr>
      <w:r>
        <w:rPr>
          <w:rFonts w:ascii="Arial" w:cs="Arial" w:eastAsia="Arial" w:hAnsi="Arial"/>
          <w:b/>
          <w:bCs/>
          <w:color w:val="1B2A4A"/>
          <w:sz w:val="20"/>
          <w:szCs w:val="20"/>
        </w:rPr>
        <w:t xml:space="preserve">CEO 선임 이후 주택 매입 +300%, D2C +700% — 수치로 확인된 실행력 </w:t>
      </w:r>
      <w:r>
        <w:rPr>
          <w:rFonts w:ascii="Arial" w:cs="Arial" w:eastAsia="Arial" w:hAnsi="Arial"/>
          <w:color w:val="1F2D3D"/>
          <w:sz w:val="20"/>
          <w:szCs w:val="20"/>
        </w:rPr>
        <w:t xml:space="preserve">운영 모멘텀 전환</w:t>
      </w:r>
    </w:p>
    <w:p>
      <w:pPr>
        <w:pStyle w:val="ListParagraph"/>
        <w:numPr>
          <w:ilvl w:val="0"/>
          <w:numId w:val="2"/>
        </w:numPr>
        <w:spacing w:before="40" w:after="40"/>
      </w:pPr>
      <w:r>
        <w:rPr>
          <w:rFonts w:ascii="Arial" w:cs="Arial" w:eastAsia="Arial" w:hAnsi="Arial"/>
          <w:b/>
          <w:bCs/>
          <w:color w:val="1B2A4A"/>
          <w:sz w:val="20"/>
          <w:szCs w:val="20"/>
        </w:rPr>
        <w:t xml:space="preserve">모기지금리 6.01% (3년래 최저), NAR +14% 거래량 성장 전망, 잠금 효과 완화 </w:t>
      </w:r>
      <w:r>
        <w:rPr>
          <w:rFonts w:ascii="Arial" w:cs="Arial" w:eastAsia="Arial" w:hAnsi="Arial"/>
          <w:color w:val="1F2D3D"/>
          <w:sz w:val="20"/>
          <w:szCs w:val="20"/>
        </w:rPr>
        <w:t xml:space="preserve">매크로 전환점</w:t>
      </w:r>
    </w:p>
    <w:p>
      <w:pPr>
        <w:pStyle w:val="ListParagraph"/>
        <w:numPr>
          <w:ilvl w:val="0"/>
          <w:numId w:val="2"/>
        </w:numPr>
        <w:spacing w:before="40" w:after="40"/>
      </w:pPr>
      <w:r>
        <w:rPr>
          <w:rFonts w:ascii="Arial" w:cs="Arial" w:eastAsia="Arial" w:hAnsi="Arial"/>
          <w:b/>
          <w:bCs/>
          <w:color w:val="1B2A4A"/>
          <w:sz w:val="20"/>
          <w:szCs w:val="20"/>
        </w:rPr>
        <w:t xml:space="preserve">트럼프 MBS $2,000억 매입 + 금리 인하 압력 + 50년 모기지 검토 </w:t>
      </w:r>
      <w:r>
        <w:rPr>
          <w:rFonts w:ascii="Arial" w:cs="Arial" w:eastAsia="Arial" w:hAnsi="Arial"/>
          <w:color w:val="1F2D3D"/>
          <w:sz w:val="20"/>
          <w:szCs w:val="20"/>
        </w:rPr>
        <w:t xml:space="preserve">정책 지원</w:t>
      </w:r>
    </w:p>
    <w:p>
      <w:pPr>
        <w:pStyle w:val="ListParagraph"/>
        <w:numPr>
          <w:ilvl w:val="0"/>
          <w:numId w:val="2"/>
        </w:numPr>
        <w:spacing w:before="40" w:after="40"/>
      </w:pPr>
      <w:r>
        <w:rPr>
          <w:rFonts w:ascii="Arial" w:cs="Arial" w:eastAsia="Arial" w:hAnsi="Arial"/>
          <w:b/>
          <w:bCs/>
          <w:color w:val="1B2A4A"/>
          <w:sz w:val="20"/>
          <w:szCs w:val="20"/>
        </w:rPr>
        <w:t xml:space="preserve">기본급 $1, 주가 목표 도달시만 보상 — 경영진-주주 이해관계 일치 </w:t>
      </w:r>
      <w:r>
        <w:rPr>
          <w:rFonts w:ascii="Arial" w:cs="Arial" w:eastAsia="Arial" w:hAnsi="Arial"/>
          <w:color w:val="1F2D3D"/>
          <w:sz w:val="20"/>
          <w:szCs w:val="20"/>
        </w:rPr>
        <w:t xml:space="preserve">CEO 인센티브 완벽 정렬</w:t>
      </w:r>
    </w:p>
    <w:p>
      <w:pPr>
        <w:pStyle w:val="ListParagraph"/>
        <w:numPr>
          <w:ilvl w:val="0"/>
          <w:numId w:val="2"/>
        </w:numPr>
        <w:spacing w:before="40" w:after="40"/>
      </w:pPr>
      <w:r>
        <w:rPr>
          <w:rFonts w:ascii="Arial" w:cs="Arial" w:eastAsia="Arial" w:hAnsi="Arial"/>
          <w:b/>
          <w:bCs/>
          <w:color w:val="1B2A4A"/>
          <w:sz w:val="20"/>
          <w:szCs w:val="20"/>
        </w:rPr>
        <w:t xml:space="preserve">10년 운영 데이터 + AI 가격 산정 인프라 — 진입장벽으로 기능 </w:t>
      </w:r>
      <w:r>
        <w:rPr>
          <w:rFonts w:ascii="Arial" w:cs="Arial" w:eastAsia="Arial" w:hAnsi="Arial"/>
          <w:color w:val="1F2D3D"/>
          <w:sz w:val="20"/>
          <w:szCs w:val="20"/>
        </w:rPr>
        <w:t xml:space="preserve">시장 지위</w:t>
      </w:r>
    </w:p>
    <w:p>
      <w:pPr>
        <w:pStyle w:val="ListParagraph"/>
        <w:numPr>
          <w:ilvl w:val="0"/>
          <w:numId w:val="2"/>
        </w:numPr>
        <w:spacing w:before="40" w:after="40"/>
      </w:pPr>
      <w:r>
        <w:rPr>
          <w:rFonts w:ascii="Arial" w:cs="Arial" w:eastAsia="Arial" w:hAnsi="Arial"/>
          <w:b/>
          <w:bCs/>
          <w:color w:val="1B2A4A"/>
          <w:sz w:val="20"/>
          <w:szCs w:val="20"/>
        </w:rPr>
        <w:t xml:space="preserve">제한 없는 현금 $559M (Q1 2025) + 비소구 부채 구조로 유동성 방어선 존재 </w:t>
      </w:r>
      <w:r>
        <w:rPr>
          <w:rFonts w:ascii="Arial" w:cs="Arial" w:eastAsia="Arial" w:hAnsi="Arial"/>
          <w:color w:val="1F2D3D"/>
          <w:sz w:val="20"/>
          <w:szCs w:val="20"/>
        </w:rPr>
        <w:t xml:space="preserve">현금 보유</w:t>
      </w:r>
    </w:p>
    <w:p>
      <w:pPr>
        <w:spacing w:before="60" w:after="0"/>
      </w:pPr>
      <w:r>
        <w:t xml:space="preserve"/>
      </w:r>
    </w:p>
    <w:p>
      <w:pPr>
        <w:pStyle w:val="Heading3"/>
        <w:spacing w:before="200" w:after="60"/>
      </w:pPr>
      <w:r>
        <w:rPr>
          <w:rFonts w:ascii="Arial" w:cs="Arial" w:eastAsia="Arial" w:hAnsi="Arial"/>
          <w:b/>
          <w:bCs/>
          <w:color w:val="2E5FA3"/>
          <w:sz w:val="22"/>
          <w:szCs w:val="22"/>
        </w:rPr>
        <w:t xml:space="preserve">약점 및 리스크 (부정 요인)</w:t>
      </w:r>
    </w:p>
    <w:p>
      <w:pPr>
        <w:pStyle w:val="ListParagraph"/>
        <w:numPr>
          <w:ilvl w:val="0"/>
          <w:numId w:val="2"/>
        </w:numPr>
        <w:spacing w:before="40" w:after="40"/>
      </w:pPr>
      <w:r>
        <w:rPr>
          <w:rFonts w:ascii="Arial" w:cs="Arial" w:eastAsia="Arial" w:hAnsi="Arial"/>
          <w:b/>
          <w:bCs/>
          <w:color w:val="1B2A4A"/>
          <w:sz w:val="20"/>
          <w:szCs w:val="20"/>
        </w:rPr>
        <w:t xml:space="preserve">P/B 0.63x이나 BPS 연간 -20%+ 하락 — 전통적 가치투자 기준 미충족 </w:t>
      </w:r>
      <w:r>
        <w:rPr>
          <w:rFonts w:ascii="Arial" w:cs="Arial" w:eastAsia="Arial" w:hAnsi="Arial"/>
          <w:color w:val="1F2D3D"/>
          <w:sz w:val="20"/>
          <w:szCs w:val="20"/>
        </w:rPr>
        <w:t xml:space="preserve">장부가 훼손</w:t>
      </w:r>
    </w:p>
    <w:p>
      <w:pPr>
        <w:pStyle w:val="ListParagraph"/>
        <w:numPr>
          <w:ilvl w:val="0"/>
          <w:numId w:val="2"/>
        </w:numPr>
        <w:spacing w:before="40" w:after="40"/>
      </w:pPr>
      <w:r>
        <w:rPr>
          <w:rFonts w:ascii="Arial" w:cs="Arial" w:eastAsia="Arial" w:hAnsi="Arial"/>
          <w:b/>
          <w:bCs/>
          <w:color w:val="1B2A4A"/>
          <w:sz w:val="20"/>
          <w:szCs w:val="20"/>
        </w:rPr>
        <w:t xml:space="preserve">2025년 전체 순손실 -$1.30B, Adj. EBITDA 여전히 적자 </w:t>
      </w:r>
      <w:r>
        <w:rPr>
          <w:rFonts w:ascii="Arial" w:cs="Arial" w:eastAsia="Arial" w:hAnsi="Arial"/>
          <w:color w:val="1F2D3D"/>
          <w:sz w:val="20"/>
          <w:szCs w:val="20"/>
        </w:rPr>
        <w:t xml:space="preserve">수익성 미확보</w:t>
      </w:r>
    </w:p>
    <w:p>
      <w:pPr>
        <w:pStyle w:val="ListParagraph"/>
        <w:numPr>
          <w:ilvl w:val="0"/>
          <w:numId w:val="2"/>
        </w:numPr>
        <w:spacing w:before="40" w:after="40"/>
      </w:pPr>
      <w:r>
        <w:rPr>
          <w:rFonts w:ascii="Arial" w:cs="Arial" w:eastAsia="Arial" w:hAnsi="Arial"/>
          <w:b/>
          <w:bCs/>
          <w:color w:val="1B2A4A"/>
          <w:sz w:val="20"/>
          <w:szCs w:val="20"/>
        </w:rPr>
        <w:t xml:space="preserve">재무부 정의에 iBuyer 포함시 핵심 비즈니스 직격 </w:t>
      </w:r>
      <w:r>
        <w:rPr>
          <w:rFonts w:ascii="Arial" w:cs="Arial" w:eastAsia="Arial" w:hAnsi="Arial"/>
          <w:color w:val="1F2D3D"/>
          <w:sz w:val="20"/>
          <w:szCs w:val="20"/>
        </w:rPr>
        <w:t xml:space="preserve">기관투자자 금지령 불확실성</w:t>
      </w:r>
    </w:p>
    <w:p>
      <w:pPr>
        <w:pStyle w:val="ListParagraph"/>
        <w:numPr>
          <w:ilvl w:val="0"/>
          <w:numId w:val="2"/>
        </w:numPr>
        <w:spacing w:before="40" w:after="40"/>
      </w:pPr>
      <w:r>
        <w:rPr>
          <w:rFonts w:ascii="Arial" w:cs="Arial" w:eastAsia="Arial" w:hAnsi="Arial"/>
          <w:b/>
          <w:bCs/>
          <w:color w:val="1B2A4A"/>
          <w:sz w:val="20"/>
          <w:szCs w:val="20"/>
        </w:rPr>
        <w:t xml:space="preserve">Q3 -34%, Q4 -32% YoY — 운영 개선의 재무 반영 아직 미확인 </w:t>
      </w:r>
      <w:r>
        <w:rPr>
          <w:rFonts w:ascii="Arial" w:cs="Arial" w:eastAsia="Arial" w:hAnsi="Arial"/>
          <w:color w:val="1F2D3D"/>
          <w:sz w:val="20"/>
          <w:szCs w:val="20"/>
        </w:rPr>
        <w:t xml:space="preserve">매출 지속 하락</w:t>
      </w:r>
    </w:p>
    <w:p>
      <w:pPr>
        <w:pStyle w:val="ListParagraph"/>
        <w:numPr>
          <w:ilvl w:val="0"/>
          <w:numId w:val="2"/>
        </w:numPr>
        <w:spacing w:before="40" w:after="40"/>
      </w:pPr>
      <w:r>
        <w:rPr>
          <w:rFonts w:ascii="Arial" w:cs="Arial" w:eastAsia="Arial" w:hAnsi="Arial"/>
          <w:b/>
          <w:bCs/>
          <w:color w:val="1B2A4A"/>
          <w:sz w:val="20"/>
          <w:szCs w:val="20"/>
        </w:rPr>
        <w:t xml:space="preserve">금리 상승 + 주택가격 하락 동시 발생시 2022~23년 재현 가능 </w:t>
      </w:r>
      <w:r>
        <w:rPr>
          <w:rFonts w:ascii="Arial" w:cs="Arial" w:eastAsia="Arial" w:hAnsi="Arial"/>
          <w:color w:val="1F2D3D"/>
          <w:sz w:val="20"/>
          <w:szCs w:val="20"/>
        </w:rPr>
        <w:t xml:space="preserve">레버리지 모델 취약성</w:t>
      </w:r>
    </w:p>
    <w:p>
      <w:pPr>
        <w:spacing w:before="80" w:after="0"/>
      </w:pPr>
      <w:r>
        <w:t xml:space="preserve"/>
      </w:r>
    </w:p>
    <w:p>
      <w:pPr>
        <w:pStyle w:val="Heading2"/>
        <w:pBdr>
          <w:bottom w:val="single" w:color="2E5FA3" w:sz="4" w:space="4"/>
        </w:pBdr>
        <w:spacing w:before="280" w:after="80"/>
      </w:pPr>
      <w:r>
        <w:rPr>
          <w:rFonts w:ascii="Arial" w:cs="Arial" w:eastAsia="Arial" w:hAnsi="Arial"/>
          <w:b/>
          <w:bCs/>
          <w:color w:val="1B2A4A"/>
          <w:sz w:val="26"/>
          <w:szCs w:val="26"/>
        </w:rPr>
        <w:t xml:space="preserve">6-2.  최종 투자 의견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80"/>
              <w:jc w:val="center"/>
            </w:pPr>
            <w:r>
              <w:rPr>
                <w:rFonts w:ascii="Arial" w:cs="Arial" w:eastAsia="Arial" w:hAnsi="Arial"/>
                <w:b/>
                <w:bCs/>
                <w:color w:val="F0A500"/>
                <w:sz w:val="40"/>
                <w:szCs w:val="40"/>
              </w:rPr>
              <w:t xml:space="preserve">HOLD  —  모니터링 유지</w:t>
            </w:r>
          </w:p>
          <w:p>
            <w:pPr>
              <w:spacing w:before="0" w:after="0"/>
              <w:jc w:val="center"/>
            </w:pPr>
            <w:r>
              <w:rPr>
                <w:rFonts w:ascii="Arial" w:cs="Arial" w:eastAsia="Arial" w:hAnsi="Arial"/>
                <w:color w:val="FFFFFF"/>
                <w:sz w:val="22"/>
                <w:szCs w:val="22"/>
              </w:rPr>
              <w:t xml:space="preserve">포트폴리오 내 5~10% 이하 벤처형 베팅으로 유효. 핵심 가치주 포지션으로는 부적합.</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기준</w:t>
            </w:r>
          </w:p>
        </w:tc>
        <w:tc>
          <w:tcPr>
            <w:tcW w:type="dxa" w:w="6240"/>
            <w:tcBorders>
              <w:top w:val="single" w:color="BCC8D8" w:sz="1"/>
              <w:left w:val="single" w:color="BCC8D8" w:sz="1"/>
              <w:bottom w:val="single" w:color="BCC8D8" w:sz="1"/>
              <w:right w:val="single" w:color="BCC8D8" w:sz="1"/>
            </w:tcBorders>
            <w:shd w:fill="1B2A4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판단</w:t>
            </w:r>
          </w:p>
        </w:tc>
      </w:tr>
      <w:tr>
        <w:tc>
          <w:tcPr>
            <w:tcW w:type="dxa" w:w="312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MOS &gt; 30% → Strong Buy</w:t>
            </w:r>
          </w:p>
        </w:tc>
        <w:tc>
          <w:tcPr>
            <w:tcW w:type="dxa" w:w="62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C0392B"/>
                <w:sz w:val="19"/>
                <w:szCs w:val="19"/>
              </w:rPr>
              <w:t xml:space="preserve">미충족 (장부가 훼손, 수익성 없음)</w:t>
            </w:r>
          </w:p>
        </w:tc>
      </w:tr>
      <w:tr>
        <w:tc>
          <w:tcPr>
            <w:tcW w:type="dxa" w:w="312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MOS 15~30% → Buy</w:t>
            </w:r>
          </w:p>
        </w:tc>
        <w:tc>
          <w:tcPr>
            <w:tcW w:type="dxa" w:w="62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C0392B"/>
                <w:sz w:val="19"/>
                <w:szCs w:val="19"/>
              </w:rPr>
              <w:t xml:space="preserve">미충족</w:t>
            </w:r>
          </w:p>
        </w:tc>
      </w:tr>
      <w:tr>
        <w:tc>
          <w:tcPr>
            <w:tcW w:type="dxa" w:w="312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확률 가중 기대수익률</w:t>
            </w:r>
          </w:p>
        </w:tc>
        <w:tc>
          <w:tcPr>
            <w:tcW w:type="dxa" w:w="62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2E5FA3"/>
                <w:sz w:val="19"/>
                <w:szCs w:val="19"/>
              </w:rPr>
              <w:t xml:space="preserve">+83% (리스크 대비 충분히 높으나 분산 투자 필수)</w:t>
            </w:r>
          </w:p>
        </w:tc>
      </w:tr>
      <w:tr>
        <w:tc>
          <w:tcPr>
            <w:tcW w:type="dxa" w:w="312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포지션 제안</w:t>
            </w:r>
          </w:p>
        </w:tc>
        <w:tc>
          <w:tcPr>
            <w:tcW w:type="dxa" w:w="62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1F2D3D"/>
                <w:sz w:val="19"/>
                <w:szCs w:val="19"/>
              </w:rPr>
              <w:t xml:space="preserve">전체 포트폴리오 5~10% 이하로 제한. 전고점 $10.87 대비 현재 -54% 수준에서 진입은 고려 가능</w:t>
            </w:r>
          </w:p>
        </w:tc>
      </w:tr>
      <w:tr>
        <w:tc>
          <w:tcPr>
            <w:tcW w:type="dxa" w:w="312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핵심 변곡점 (Trigger)</w:t>
            </w:r>
          </w:p>
        </w:tc>
        <w:tc>
          <w:tcPr>
            <w:tcW w:type="dxa" w:w="62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2026 Q2 실적 (5월 발표) — 매출 반등 + 기여이익률 5%+ 회복 여부 확인 후 Buy 격상 검토</w:t>
            </w:r>
          </w:p>
        </w:tc>
      </w:tr>
      <w:tr>
        <w:tc>
          <w:tcPr>
            <w:tcW w:type="dxa" w:w="3120"/>
            <w:tcBorders>
              <w:top w:val="single" w:color="BCC8D8" w:sz="1"/>
              <w:left w:val="single" w:color="BCC8D8" w:sz="1"/>
              <w:bottom w:val="single" w:color="BCC8D8" w:sz="1"/>
              <w:right w:val="single" w:color="BCC8D8" w:sz="1"/>
            </w:tcBorders>
            <w:shd w:fill="E8EDF4" w:val="clear"/>
            <w:tcMar>
              <w:top w:type="dxa" w:w="60"/>
              <w:left w:type="dxa" w:w="120"/>
              <w:bottom w:type="dxa" w:w="60"/>
              <w:right w:type="dxa" w:w="120"/>
            </w:tcMar>
            <w:vAlign w:val="center"/>
          </w:tcPr>
          <w:p>
            <w:pPr>
              <w:spacing w:before="0" w:after="0"/>
              <w:jc w:val="left"/>
            </w:pPr>
            <w:r>
              <w:rPr>
                <w:rFonts w:ascii="Arial" w:cs="Arial" w:eastAsia="Arial" w:hAnsi="Arial"/>
                <w:b/>
                <w:bCs/>
                <w:color w:val="1B2A4A"/>
                <w:sz w:val="19"/>
                <w:szCs w:val="19"/>
              </w:rPr>
              <w:t xml:space="preserve">손절 기준</w:t>
            </w:r>
          </w:p>
        </w:tc>
        <w:tc>
          <w:tcPr>
            <w:tcW w:type="dxa" w:w="6240"/>
            <w:tcBorders>
              <w:top w:val="single" w:color="BCC8D8" w:sz="1"/>
              <w:left w:val="single" w:color="BCC8D8" w:sz="1"/>
              <w:bottom w:val="single" w:color="BCC8D8" w:sz="1"/>
              <w:right w:val="single" w:color="BCC8D8"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b w:val="false"/>
                <w:bCs w:val="false"/>
                <w:color w:val="C0392B"/>
                <w:sz w:val="19"/>
                <w:szCs w:val="19"/>
              </w:rPr>
              <w:t xml:space="preserve">기관투자자 금지령에 iBuyer 명시 포함 → 즉시 손절 검토</w:t>
            </w:r>
          </w:p>
        </w:tc>
      </w:tr>
    </w:tbl>
    <w:p>
      <w:pPr>
        <w:spacing w:before="120" w:after="0"/>
      </w:pPr>
      <w:r>
        <w:t xml:space="preserve"/>
      </w:r>
    </w:p>
    <w:p>
      <w:pPr>
        <w:spacing w:before="60" w:after="60"/>
      </w:pPr>
      <w:r>
        <w:rPr>
          <w:rFonts w:ascii="Arial" w:cs="Arial" w:eastAsia="Arial" w:hAnsi="Arial"/>
          <w:color w:val="1F2D3D"/>
          <w:sz w:val="20"/>
          <w:szCs w:val="20"/>
        </w:rPr>
        <w:t xml:space="preserve">결론적으로 Opendoor는 '불확실성과 기회가 공존하는 구조적 전환점'에 위치해 있습니다. 전통적 가치투자 체크리스트에서는 낙제이지만, 10년간 축적된 운영 인프라 + 정책 지원 + CEO 전략 전환이라는 세 가지 요소가 교차하는 지점에서 비대칭적 위험-보상 프로파일이 형성되어 있습니다. 포지션 사이징과 모니터링 규율을 지킨다면, 계산된 리스크로서 유효한 투자 기회입니다.</w:t>
      </w:r>
    </w:p>
    <w:p>
      <w:pPr>
        <w:spacing w:before="200" w:after="0"/>
      </w:pPr>
      <w:r>
        <w:t xml:space="preserve"/>
      </w:r>
    </w:p>
    <w:p>
      <w:pPr>
        <w:pBdr>
          <w:top w:val="single" w:color="BCC8D8" w:sz="2" w:space="6"/>
        </w:pBdr>
        <w:spacing w:before="120" w:after="40"/>
      </w:pPr>
      <w:r>
        <w:rPr>
          <w:rFonts w:ascii="Arial" w:cs="Arial" w:eastAsia="Arial" w:hAnsi="Arial"/>
          <w:b/>
          <w:bCs/>
          <w:color w:val="6B7A8D"/>
          <w:sz w:val="18"/>
          <w:szCs w:val="18"/>
        </w:rPr>
        <w:t xml:space="preserve">면책 조항  |  Disclaimer</w:t>
      </w:r>
    </w:p>
    <w:p>
      <w:pPr>
        <w:spacing w:before="60" w:after="60"/>
      </w:pPr>
      <w:r>
        <w:rPr>
          <w:rFonts w:ascii="Arial" w:cs="Arial" w:eastAsia="Arial" w:hAnsi="Arial"/>
          <w:color w:val="6B7A8D"/>
          <w:sz w:val="16"/>
          <w:szCs w:val="16"/>
        </w:rPr>
        <w:t xml:space="preserve">본 보고서는 공개된 정보와 정량적 분석을 기반으로 작성된 투자 참고 자료이며, 특정 증권의 매수·매도를 권유하지 않습니다. 투자 결정은 투자자 본인의 판단과 책임 하에 이루어져야 하며, 과거 실적이 미래 수익을 보장하지 않습니다. 기준일: 2026년 2월 27일.</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C8D8" w:sz="2" w:space="4"/>
      </w:pBdr>
      <w:tabs>
        <w:tab w:val="right" w:pos="9026"/>
      </w:tabs>
      <w:spacing w:before="80" w:after="0"/>
    </w:pPr>
    <w:r>
      <w:rPr>
        <w:rFonts w:ascii="Arial" w:cs="Arial" w:eastAsia="Arial" w:hAnsi="Arial"/>
        <w:color w:val="6B7A8D"/>
        <w:sz w:val="14"/>
        <w:szCs w:val="14"/>
      </w:rPr>
      <w:t xml:space="preserve">본 보고서는 투자 권유가 아니며 투자 판단은 본인 책임입니다.</w:t>
    </w:r>
    <w:r>
      <w:rPr>
        <w:rFonts w:ascii="Arial" w:cs="Arial" w:eastAsia="Arial" w:hAnsi="Arial"/>
        <w:sz w:val="14"/>
        <w:szCs w:val="14"/>
      </w:rPr>
      <w:t xml:space="preserve">	</w:t>
    </w:r>
    <w:r>
      <w:rPr>
        <w:rFonts w:ascii="Arial" w:cs="Arial" w:eastAsia="Arial" w:hAnsi="Arial"/>
        <w:color w:val="6B7A8D"/>
        <w:sz w:val="14"/>
        <w:szCs w:val="14"/>
      </w:rPr>
      <w:t xml:space="preserve">P. </w:t>
    </w:r>
    <w:r>
      <w:rPr>
        <w:rFonts w:ascii="Arial" w:cs="Arial" w:eastAsia="Arial" w:hAnsi="Arial"/>
        <w:color w:val="6B7A8D"/>
        <w:sz w:val="14"/>
        <w:szCs w:val="14"/>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before="0" w:after="100"/>
    </w:pPr>
    <w:r>
      <w:rPr>
        <w:rFonts w:ascii="Arial" w:cs="Arial" w:eastAsia="Arial" w:hAnsi="Arial"/>
        <w:b/>
        <w:bCs/>
        <w:color w:val="1B2A4A"/>
        <w:sz w:val="16"/>
        <w:szCs w:val="16"/>
      </w:rPr>
      <w:t xml:space="preserve">OPENDOOR TECHNOLOGIES (NASDAQ: OPEN)</w:t>
    </w:r>
    <w:r>
      <w:rPr>
        <w:rFonts w:ascii="Arial" w:cs="Arial" w:eastAsia="Arial" w:hAnsi="Arial"/>
        <w:color w:val="6B7A8D"/>
        <w:sz w:val="16"/>
        <w:szCs w:val="16"/>
      </w:rPr>
      <w:t xml:space="preserve">	투자 분석 보고서  |  2026.02.27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cbefef92d7d69cda1c15d58f3c3709fc0ca1e7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2026-02-26T16:56:42.490Z</dcterms:created>
  <dcterms:modified xsi:type="dcterms:W3CDTF">2026-02-26T16:56:42.491Z</dcterms:modified>
</cp:coreProperties>
</file>

<file path=docProps/custom.xml><?xml version="1.0" encoding="utf-8"?>
<Properties xmlns="http://schemas.openxmlformats.org/officeDocument/2006/custom-properties" xmlns:vt="http://schemas.openxmlformats.org/officeDocument/2006/docPropsVTypes"/>
</file>