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00"/>
        <w:jc w:val="center"/>
      </w:pPr>
      <w:r>
        <w:rPr>
          <w:rFonts w:ascii="Arial" w:cs="Arial" w:eastAsia="Arial" w:hAnsi="Arial"/>
          <w:caps/>
          <w:color w:val="2E5FA3"/>
          <w:spacing w:val="120"/>
          <w:sz w:val="20"/>
          <w:szCs w:val="20"/>
        </w:rPr>
        <w:t xml:space="preserve">EQUITY RESEARCH</w:t>
      </w:r>
    </w:p>
    <w:p>
      <w:pPr>
        <w:spacing w:before="0" w:after="100"/>
        <w:jc w:val="center"/>
      </w:pPr>
      <w:r>
        <w:rPr>
          <w:rFonts w:ascii="Arial" w:cs="Arial" w:eastAsia="Arial" w:hAnsi="Arial"/>
          <w:b/>
          <w:bCs/>
          <w:color w:val="1B3A6B"/>
          <w:sz w:val="52"/>
          <w:szCs w:val="52"/>
        </w:rPr>
        <w:t xml:space="preserve">Nutrien Ltd. (NTR)</w:t>
      </w:r>
    </w:p>
    <w:p>
      <w:pPr>
        <w:spacing w:before="0" w:after="60"/>
        <w:jc w:val="center"/>
      </w:pPr>
      <w:r>
        <w:rPr>
          <w:rFonts w:ascii="Arial" w:cs="Arial" w:eastAsia="Arial" w:hAnsi="Arial"/>
          <w:color w:val="555555"/>
          <w:sz w:val="22"/>
          <w:szCs w:val="22"/>
        </w:rPr>
        <w:t xml:space="preserve">NYSE: NTR  |  Potash · Nitrogen · Phosphate · Retail</w:t>
      </w:r>
    </w:p>
    <w:p>
      <w:pPr>
        <w:pBdr>
          <w:bottom w:val="single" w:color="2E5FA3" w:sz="6" w:space="4"/>
        </w:pBdr>
        <w:spacing w:before="60" w:after="300"/>
        <w:jc w:val="center"/>
      </w:pPr>
      <w:r>
        <w:rPr>
          <w:rFonts w:ascii="Arial" w:cs="Arial" w:eastAsia="Arial" w:hAnsi="Arial"/>
          <w:color w:val="555555"/>
          <w:sz w:val="22"/>
          <w:szCs w:val="22"/>
        </w:rPr>
        <w:t xml:space="preserve">2026년 2월 26일</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c>
          <w:tcPr>
            <w:tcBorders>
              <w:top w:val="single" w:color="CCCCCC" w:sz="2"/>
              <w:left w:val="single" w:color="CCCCCC" w:sz="2"/>
              <w:bottom w:val="single" w:color="CCCCCC" w:sz="2"/>
              <w:right w:val="single" w:color="CCCCCC" w:sz="2"/>
            </w:tcBorders>
            <w:shd w:fill="D6E4F7" w:val="clear"/>
            <w:tcMar>
              <w:top w:type="dxa" w:w="120"/>
              <w:left w:type="dxa" w:w="160"/>
              <w:bottom w:type="dxa" w:w="120"/>
              <w:right w:type="dxa" w:w="160"/>
            </w:tcMar>
          </w:tcPr>
          <w:p>
            <w:pPr>
              <w:jc w:val="center"/>
            </w:pPr>
            <w:r>
              <w:rPr>
                <w:rFonts w:ascii="Arial" w:cs="Arial" w:eastAsia="Arial" w:hAnsi="Arial"/>
                <w:color w:val="555555"/>
                <w:sz w:val="18"/>
                <w:szCs w:val="18"/>
              </w:rPr>
              <w:t xml:space="preserve">투자 의견</w:t>
            </w:r>
          </w:p>
          <w:p>
            <w:pPr>
              <w:jc w:val="center"/>
            </w:pPr>
            <w:r>
              <w:rPr>
                <w:rFonts w:ascii="Arial" w:cs="Arial" w:eastAsia="Arial" w:hAnsi="Arial"/>
                <w:b/>
                <w:bCs/>
                <w:color w:val="1B3A6B"/>
                <w:sz w:val="26"/>
                <w:szCs w:val="26"/>
              </w:rPr>
              <w:t xml:space="preserve">BUY</w:t>
            </w:r>
          </w:p>
        </w:tc>
        <w:tc>
          <w:tcPr>
            <w:tcBorders>
              <w:top w:val="single" w:color="CCCCCC" w:sz="2"/>
              <w:left w:val="single" w:color="CCCCCC" w:sz="2"/>
              <w:bottom w:val="single" w:color="CCCCCC" w:sz="2"/>
              <w:right w:val="single" w:color="CCCCCC" w:sz="2"/>
            </w:tcBorders>
            <w:shd w:fill="D6E4F7" w:val="clear"/>
            <w:tcMar>
              <w:top w:type="dxa" w:w="120"/>
              <w:left w:type="dxa" w:w="160"/>
              <w:bottom w:type="dxa" w:w="120"/>
              <w:right w:type="dxa" w:w="160"/>
            </w:tcMar>
          </w:tcPr>
          <w:p>
            <w:pPr>
              <w:jc w:val="center"/>
            </w:pPr>
            <w:r>
              <w:rPr>
                <w:rFonts w:ascii="Arial" w:cs="Arial" w:eastAsia="Arial" w:hAnsi="Arial"/>
                <w:color w:val="555555"/>
                <w:sz w:val="18"/>
                <w:szCs w:val="18"/>
              </w:rPr>
              <w:t xml:space="preserve">현재가 (USD)</w:t>
            </w:r>
          </w:p>
          <w:p>
            <w:pPr>
              <w:jc w:val="center"/>
            </w:pPr>
            <w:r>
              <w:rPr>
                <w:rFonts w:ascii="Arial" w:cs="Arial" w:eastAsia="Arial" w:hAnsi="Arial"/>
                <w:b/>
                <w:bCs/>
                <w:color w:val="1B3A6B"/>
                <w:sz w:val="26"/>
                <w:szCs w:val="26"/>
              </w:rPr>
              <w:t xml:space="preserve">$60.50</w:t>
            </w:r>
          </w:p>
        </w:tc>
        <w:tc>
          <w:tcPr>
            <w:tcBorders>
              <w:top w:val="single" w:color="CCCCCC" w:sz="2"/>
              <w:left w:val="single" w:color="CCCCCC" w:sz="2"/>
              <w:bottom w:val="single" w:color="CCCCCC" w:sz="2"/>
              <w:right w:val="single" w:color="CCCCCC" w:sz="2"/>
            </w:tcBorders>
            <w:shd w:fill="D6E4F7" w:val="clear"/>
            <w:tcMar>
              <w:top w:type="dxa" w:w="120"/>
              <w:left w:type="dxa" w:w="160"/>
              <w:bottom w:type="dxa" w:w="120"/>
              <w:right w:type="dxa" w:w="160"/>
            </w:tcMar>
          </w:tcPr>
          <w:p>
            <w:pPr>
              <w:jc w:val="center"/>
            </w:pPr>
            <w:r>
              <w:rPr>
                <w:rFonts w:ascii="Arial" w:cs="Arial" w:eastAsia="Arial" w:hAnsi="Arial"/>
                <w:color w:val="555555"/>
                <w:sz w:val="18"/>
                <w:szCs w:val="18"/>
              </w:rPr>
              <w:t xml:space="preserve">목표가 (USD)</w:t>
            </w:r>
          </w:p>
          <w:p>
            <w:pPr>
              <w:jc w:val="center"/>
            </w:pPr>
            <w:r>
              <w:rPr>
                <w:rFonts w:ascii="Arial" w:cs="Arial" w:eastAsia="Arial" w:hAnsi="Arial"/>
                <w:b/>
                <w:bCs/>
                <w:color w:val="1B3A6B"/>
                <w:sz w:val="26"/>
                <w:szCs w:val="26"/>
              </w:rPr>
              <w:t xml:space="preserve">$78.00</w:t>
            </w:r>
          </w:p>
        </w:tc>
        <w:tc>
          <w:tcPr>
            <w:tcBorders>
              <w:top w:val="single" w:color="CCCCCC" w:sz="2"/>
              <w:left w:val="single" w:color="CCCCCC" w:sz="2"/>
              <w:bottom w:val="single" w:color="CCCCCC" w:sz="2"/>
              <w:right w:val="single" w:color="CCCCCC" w:sz="2"/>
            </w:tcBorders>
            <w:shd w:fill="D6E4F7" w:val="clear"/>
            <w:tcMar>
              <w:top w:type="dxa" w:w="120"/>
              <w:left w:type="dxa" w:w="160"/>
              <w:bottom w:type="dxa" w:w="120"/>
              <w:right w:type="dxa" w:w="160"/>
            </w:tcMar>
          </w:tcPr>
          <w:p>
            <w:pPr>
              <w:jc w:val="center"/>
            </w:pPr>
            <w:r>
              <w:rPr>
                <w:rFonts w:ascii="Arial" w:cs="Arial" w:eastAsia="Arial" w:hAnsi="Arial"/>
                <w:color w:val="555555"/>
                <w:sz w:val="18"/>
                <w:szCs w:val="18"/>
              </w:rPr>
              <w:t xml:space="preserve">Margin of Safety</w:t>
            </w:r>
          </w:p>
          <w:p>
            <w:pPr>
              <w:jc w:val="center"/>
            </w:pPr>
            <w:r>
              <w:rPr>
                <w:rFonts w:ascii="Arial" w:cs="Arial" w:eastAsia="Arial" w:hAnsi="Arial"/>
                <w:b/>
                <w:bCs/>
                <w:color w:val="1B3A6B"/>
                <w:sz w:val="26"/>
                <w:szCs w:val="26"/>
              </w:rPr>
              <w:t xml:space="preserve">~22%</w:t>
            </w:r>
          </w:p>
        </w:tc>
      </w:tr>
    </w:tbl>
    <w:p>
      <w:pPr>
        <w:spacing w:before="0" w:after="80"/>
      </w:pPr>
      <w:r>
        <w:t xml:space="preserve"/>
      </w:r>
    </w:p>
    <w:p>
      <w:pPr>
        <w:spacing w:before="0" w:after="80"/>
      </w:pPr>
      <w:r>
        <w:t xml:space="preserve"/>
      </w:r>
    </w:p>
    <w:p>
      <w:pPr>
        <w:pStyle w:val="Heading1"/>
        <w:pBdr>
          <w:bottom w:val="single" w:color="2E5FA3" w:sz="6" w:space="4"/>
        </w:pBdr>
        <w:spacing w:before="360" w:after="120"/>
      </w:pPr>
      <w:r>
        <w:rPr>
          <w:rFonts w:ascii="Arial" w:cs="Arial" w:eastAsia="Arial" w:hAnsi="Arial"/>
          <w:b/>
          <w:bCs/>
          <w:color w:val="1B3A6B"/>
          <w:sz w:val="30"/>
          <w:szCs w:val="30"/>
        </w:rPr>
        <w:t xml:space="preserve">Executive Summary: 기술주의 시대에서 실물자산의 시대로</w:t>
      </w:r>
    </w:p>
    <w:p>
      <w:pPr>
        <w:spacing w:before="80" w:after="120" w:line="300"/>
        <w:jc w:val="both"/>
      </w:pPr>
      <w:r>
        <w:rPr>
          <w:rFonts w:ascii="Arial" w:cs="Arial" w:eastAsia="Arial" w:hAnsi="Arial"/>
          <w:color w:val="333333"/>
          <w:sz w:val="22"/>
          <w:szCs w:val="22"/>
        </w:rPr>
        <w:t xml:space="preserve">2026년 2월 현재, 글로벌 주식시장은 근본적인 전환점에 놓여 있다. </w:t>
      </w:r>
      <w:r>
        <w:rPr>
          <w:rFonts w:ascii="Arial" w:cs="Arial" w:eastAsia="Arial" w:hAnsi="Arial"/>
          <w:b/>
          <w:bCs/>
          <w:color w:val="333333"/>
          <w:sz w:val="22"/>
          <w:szCs w:val="22"/>
        </w:rPr>
        <w:t xml:space="preserve">S&amp;P 500의 Shiller CAPE 비율은 역사적 99번째 백분위수</w:t>
      </w:r>
      <w:r>
        <w:rPr>
          <w:rFonts w:ascii="Arial" w:cs="Arial" w:eastAsia="Arial" w:hAnsi="Arial"/>
          <w:color w:val="333333"/>
          <w:sz w:val="22"/>
          <w:szCs w:val="22"/>
        </w:rPr>
        <w:t xml:space="preserve">에 위치하며, 기술 섹터 P/E는 36.1배로 20년 평균(19.1배)의 거의 두 배에 달한다. 이는 지난 100년간 단 1%의 기간에만 관찰된 수준이다. </w:t>
      </w:r>
    </w:p>
    <w:p>
      <w:pPr>
        <w:spacing w:before="80" w:after="120" w:line="300"/>
        <w:jc w:val="both"/>
      </w:pPr>
      <w:r>
        <w:rPr>
          <w:rFonts w:ascii="Arial" w:cs="Arial" w:eastAsia="Arial" w:hAnsi="Arial"/>
          <w:color w:val="333333"/>
          <w:sz w:val="22"/>
          <w:szCs w:val="22"/>
        </w:rPr>
        <w:t xml:space="preserve">동시에, 인플레이션과 지정학적 리스크가 구조적으로 고착화되면서 실물 자산과 필수재 중심의 섹터가 재조명되고 있다. 2026년 연초 기준 에너지·소재 섹터는 연간 대비 강한 초과 성과를 기록 중이며, 기술주는 상대적으로 부진하다. 이러한 국면에서 Nutrien(NTR)은 세 가지 퀀트 팩터가 동시에 유리하게 수렴하는 희소한 기회를 제공한다.</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AAAAAA" w:sz="2"/>
              <w:bottom w:val="single" w:color="AAAAAA" w:sz="2"/>
              <w:right w:val="single" w:color="AAAAAA" w:sz="2"/>
            </w:tcBorders>
            <w:shd w:fill="D6E4F7" w:val="clear"/>
            <w:tcMar>
              <w:top w:type="dxa" w:w="120"/>
              <w:left w:type="dxa" w:w="180"/>
              <w:bottom w:type="dxa" w:w="120"/>
              <w:right w:type="dxa" w:w="180"/>
            </w:tcMar>
          </w:tcPr>
          <w:p>
            <w:pPr>
              <w:spacing w:before="0" w:after="60"/>
            </w:pPr>
            <w:r>
              <w:rPr>
                <w:rFonts w:ascii="Arial" w:cs="Arial" w:eastAsia="Arial" w:hAnsi="Arial"/>
                <w:b/>
                <w:bCs/>
                <w:color w:val="2E5FA3"/>
                <w:sz w:val="22"/>
                <w:szCs w:val="22"/>
              </w:rPr>
              <w:t xml:space="preserve">핵심 투자 논거</w:t>
            </w:r>
          </w:p>
          <w:p>
            <w:pPr>
              <w:spacing w:before="0" w:after="0"/>
              <w:jc w:val="both"/>
            </w:pPr>
            <w:r>
              <w:rPr>
                <w:rFonts w:ascii="Arial" w:cs="Arial" w:eastAsia="Arial" w:hAnsi="Arial"/>
                <w:color w:val="333333"/>
                <w:sz w:val="21"/>
                <w:szCs w:val="21"/>
              </w:rPr>
              <w:t xml:space="preserve">① 비대칭적 인플레이션 헤지: 비료 가격은 에너지 비용과 직결되며, 인플레이션 국면에서 가격 전가력이 입증됨. ② 비탄력적 수요의 독과점적 공급자: 세계 최대 단일 비료 생산기업으로, 전 세계 작물 생산의 근간인 칼리(Potash) 공급에서 구조적 해자 보유. ③ 극도로 저평가된 밸류에이션: Forward P/E 12.5배, EV/EBITDA 8.2배로 S&amp;P 500 기술 섹터 대비 약 65% 디스카운트 상태.</w:t>
            </w:r>
          </w:p>
        </w:tc>
      </w:tr>
    </w:tbl>
    <w:p>
      <w:pPr>
        <w:spacing w:before="0" w:after="80"/>
      </w:pPr>
      <w:r>
        <w:t xml:space="preserve"/>
      </w:r>
    </w:p>
    <w:p>
      <w:pPr>
        <w:pStyle w:val="Heading1"/>
        <w:pBdr>
          <w:bottom w:val="single" w:color="2E5FA3" w:sz="6" w:space="4"/>
        </w:pBdr>
        <w:spacing w:before="360" w:after="120"/>
      </w:pPr>
      <w:r>
        <w:rPr>
          <w:rFonts w:ascii="Arial" w:cs="Arial" w:eastAsia="Arial" w:hAnsi="Arial"/>
          <w:b/>
          <w:bCs/>
          <w:color w:val="1B3A6B"/>
          <w:sz w:val="30"/>
          <w:szCs w:val="30"/>
        </w:rPr>
        <w:t xml:space="preserve">1. 매크로 환경 분석</w:t>
      </w:r>
    </w:p>
    <w:p>
      <w:pPr>
        <w:pStyle w:val="Heading2"/>
        <w:spacing w:before="280" w:after="80"/>
      </w:pPr>
      <w:r>
        <w:rPr>
          <w:rFonts w:ascii="Arial" w:cs="Arial" w:eastAsia="Arial" w:hAnsi="Arial"/>
          <w:b/>
          <w:bCs/>
          <w:color w:val="2E5FA3"/>
          <w:sz w:val="24"/>
          <w:szCs w:val="24"/>
        </w:rPr>
        <w:t xml:space="preserve">글로벌 매크로 현황: 고금리·고인플레이션의 구조화</w:t>
      </w:r>
    </w:p>
    <w:p>
      <w:pPr>
        <w:spacing w:before="80" w:after="120" w:line="300"/>
        <w:jc w:val="both"/>
      </w:pPr>
      <w:r>
        <w:rPr>
          <w:rFonts w:ascii="Arial" w:cs="Arial" w:eastAsia="Arial" w:hAnsi="Arial"/>
          <w:color w:val="333333"/>
          <w:sz w:val="22"/>
          <w:szCs w:val="22"/>
        </w:rPr>
        <w:t xml:space="preserve">2026년 2월 현재 미국 연방준비제도는 기준금리를 여전히 4.25~4.50% 수준에서 유지하고 있다. 2024년 말의 소폭 인하 사이클 이후 추가 완화는 제한적이며, 시장은 2026년 연간 1~2회 수준의 인하를 컨센서스로 형성하고 있다. 주목할 점은 인플레이션이 Fed 목표치(2.0%)를 여전히 상회하는 구간에 머물고 있으며, 에너지와 식품 부문이 인플레이션 지속성의 핵심 동인으로 작용하고 있다는 사실이다.</w:t>
      </w:r>
    </w:p>
    <w:p>
      <w:pPr>
        <w:spacing w:before="80" w:after="120" w:line="300"/>
        <w:jc w:val="both"/>
      </w:pPr>
      <w:r>
        <w:rPr>
          <w:rFonts w:ascii="Arial" w:cs="Arial" w:eastAsia="Arial" w:hAnsi="Arial"/>
          <w:color w:val="333333"/>
          <w:sz w:val="22"/>
          <w:szCs w:val="22"/>
        </w:rPr>
        <w:t xml:space="preserve">2026년 1월 식품 물가는 전월 대비 1.3% 상승하였으며, 비료 가격은 연초부터 약 </w:t>
      </w:r>
      <w:r>
        <w:rPr>
          <w:rFonts w:ascii="Arial" w:cs="Arial" w:eastAsia="Arial" w:hAnsi="Arial"/>
          <w:b/>
          <w:bCs/>
          <w:color w:val="333333"/>
          <w:sz w:val="22"/>
          <w:szCs w:val="22"/>
        </w:rPr>
        <w:t xml:space="preserve">2.4% 급등</w:t>
      </w:r>
      <w:r>
        <w:rPr>
          <w:rFonts w:ascii="Arial" w:cs="Arial" w:eastAsia="Arial" w:hAnsi="Arial"/>
          <w:color w:val="333333"/>
          <w:sz w:val="22"/>
          <w:szCs w:val="22"/>
        </w:rPr>
        <w:t xml:space="preserve">하며 식품 인플레이션의 선행 지표 역할을 하고 있다. 역사적으로 비료 가격 상승은 6~18개월 시차를 두고 소매 식품 물가에 반영된다. 2022년 비료 가격 폭등이 2023~2024년 글로벌 식품 위기로 이어진 패턴이 반복될 우려가 제기되고 있다.</w:t>
      </w:r>
    </w:p>
    <w:p>
      <w:pPr>
        <w:spacing w:before="80" w:after="120" w:line="300"/>
        <w:jc w:val="both"/>
      </w:pPr>
      <w:r>
        <w:rPr>
          <w:rFonts w:ascii="Arial" w:cs="Arial" w:eastAsia="Arial" w:hAnsi="Arial"/>
          <w:color w:val="333333"/>
          <w:sz w:val="22"/>
          <w:szCs w:val="22"/>
        </w:rPr>
        <w:t xml:space="preserve">지정학적 측면에서는 러시아-우크라이나 전쟁의 지속, 벨라루스산 칼리비료에 대한 EU 제재, EU의 러시아·벨라루스 비료 수입 관세 부과(2026년 본격 시행), 그리고 EU 탄소국경조정제도(CBAM)의 비료 섹터 적용이 글로벌 비료 공급망을 구조적으로 재편하고 있다. 이 모든 요인은 북미 최대 비료 생산자인 Nutrien에게 유리하게 작용한다.</w:t>
      </w:r>
    </w:p>
    <w:p>
      <w:pPr>
        <w:pStyle w:val="Heading2"/>
        <w:spacing w:before="280" w:after="80"/>
      </w:pPr>
      <w:r>
        <w:rPr>
          <w:rFonts w:ascii="Arial" w:cs="Arial" w:eastAsia="Arial" w:hAnsi="Arial"/>
          <w:b/>
          <w:bCs/>
          <w:color w:val="2E5FA3"/>
          <w:sz w:val="24"/>
          <w:szCs w:val="24"/>
        </w:rPr>
        <w:t xml:space="preserve">경기 사이클 위치: 정점 이후 하강 국면의 전환</w:t>
      </w:r>
    </w:p>
    <w:p>
      <w:pPr>
        <w:spacing w:before="80" w:after="120" w:line="300"/>
        <w:jc w:val="both"/>
      </w:pPr>
      <w:r>
        <w:rPr>
          <w:rFonts w:ascii="Arial" w:cs="Arial" w:eastAsia="Arial" w:hAnsi="Arial"/>
          <w:color w:val="333333"/>
          <w:sz w:val="22"/>
          <w:szCs w:val="22"/>
        </w:rPr>
        <w:t xml:space="preserve">현재 미국 경제는 성장 둔화와 고인플레이션이 공존하는 '</w:t>
      </w:r>
      <w:r>
        <w:rPr>
          <w:rFonts w:ascii="Arial" w:cs="Arial" w:eastAsia="Arial" w:hAnsi="Arial"/>
          <w:b/>
          <w:bCs/>
          <w:color w:val="333333"/>
          <w:sz w:val="22"/>
          <w:szCs w:val="22"/>
        </w:rPr>
        <w:t xml:space="preserve">스태그플레이션 회색지대(Stagflationary Gray Zone)</w:t>
      </w:r>
      <w:r>
        <w:rPr>
          <w:rFonts w:ascii="Arial" w:cs="Arial" w:eastAsia="Arial" w:hAnsi="Arial"/>
          <w:color w:val="333333"/>
          <w:sz w:val="22"/>
          <w:szCs w:val="22"/>
        </w:rPr>
        <w:t xml:space="preserve">'에 진입하고 있다. 이 국면에서 역사적으로 가장 강한 성과를 보인 섹터는 에너지·소재·필수소비재이며, 가장 취약한 섹터는 고성장·고밸류에이션의 기술주다. 1970년대 스태그플레이션, 2000년대 초 닷컴 버블 붕괴, 2022년 인플레이션 쇼크 국면이 유사한 패턴을 보였다.</w:t>
      </w:r>
    </w:p>
    <w:p>
      <w:pPr>
        <w:spacing w:before="80" w:after="120" w:line="300"/>
        <w:jc w:val="both"/>
      </w:pPr>
      <w:r>
        <w:rPr>
          <w:rFonts w:ascii="Arial" w:cs="Arial" w:eastAsia="Arial" w:hAnsi="Arial"/>
          <w:color w:val="333333"/>
          <w:sz w:val="22"/>
          <w:szCs w:val="22"/>
        </w:rPr>
        <w:t xml:space="preserve">S&amp;P 500의 2026년 Forward P/E는 21.5배로 10년 평균(18.6배)을 현저히 상회하며, 기술 섹터는 36.1배로 20년 평균(19.1배)의 두 배 수준이다. 역사적으로 밸류에이션이 이 수준에 도달했을 때의 향후 10년 기대수익률은 연 2~4%에 불과했다. 반면, 현재 NTR의 Forward P/E 12.5배는 비료 섹터 역사적 평균 대비 20번째 백분위수 이하에 위치한다.</w:t>
      </w:r>
    </w:p>
    <w:p>
      <w:pPr>
        <w:spacing w:before="0" w:after="80"/>
      </w:pPr>
      <w:r>
        <w:t xml:space="preserve"/>
      </w:r>
    </w:p>
    <w:p>
      <w:pPr>
        <w:pStyle w:val="Heading1"/>
        <w:pBdr>
          <w:bottom w:val="single" w:color="2E5FA3" w:sz="6" w:space="4"/>
        </w:pBdr>
        <w:spacing w:before="360" w:after="120"/>
      </w:pPr>
      <w:r>
        <w:rPr>
          <w:rFonts w:ascii="Arial" w:cs="Arial" w:eastAsia="Arial" w:hAnsi="Arial"/>
          <w:b/>
          <w:bCs/>
          <w:color w:val="1B3A6B"/>
          <w:sz w:val="30"/>
          <w:szCs w:val="30"/>
        </w:rPr>
        <w:t xml:space="preserve">2. 산업·섹터 분석</w:t>
      </w:r>
    </w:p>
    <w:p>
      <w:pPr>
        <w:pStyle w:val="Heading2"/>
        <w:spacing w:before="280" w:after="80"/>
      </w:pPr>
      <w:r>
        <w:rPr>
          <w:rFonts w:ascii="Arial" w:cs="Arial" w:eastAsia="Arial" w:hAnsi="Arial"/>
          <w:b/>
          <w:bCs/>
          <w:color w:val="2E5FA3"/>
          <w:sz w:val="24"/>
          <w:szCs w:val="24"/>
        </w:rPr>
        <w:t xml:space="preserve">비료 산업의 구조적 특성</w:t>
      </w:r>
    </w:p>
    <w:p>
      <w:pPr>
        <w:spacing w:before="80" w:after="120" w:line="300"/>
        <w:jc w:val="both"/>
      </w:pPr>
      <w:r>
        <w:rPr>
          <w:rFonts w:ascii="Arial" w:cs="Arial" w:eastAsia="Arial" w:hAnsi="Arial"/>
          <w:color w:val="333333"/>
          <w:sz w:val="22"/>
          <w:szCs w:val="22"/>
        </w:rPr>
        <w:t xml:space="preserve">비료 산업은 </w:t>
      </w:r>
      <w:r>
        <w:rPr>
          <w:rFonts w:ascii="Arial" w:cs="Arial" w:eastAsia="Arial" w:hAnsi="Arial"/>
          <w:b/>
          <w:bCs/>
          <w:color w:val="333333"/>
          <w:sz w:val="22"/>
          <w:szCs w:val="22"/>
        </w:rPr>
        <w:t xml:space="preserve">Porter의 5 Forces 중 공급자 교섭력이 압도적으로 강한 독과점적 구조</w:t>
      </w:r>
      <w:r>
        <w:rPr>
          <w:rFonts w:ascii="Arial" w:cs="Arial" w:eastAsia="Arial" w:hAnsi="Arial"/>
          <w:color w:val="333333"/>
          <w:sz w:val="22"/>
          <w:szCs w:val="22"/>
        </w:rPr>
        <w:t xml:space="preserve">를 가지고 있다. 칼리비료(Potash)의 경우 캐나다, 러시아, 벨라루스, 중국 4개국이 전 세계 교역량의 78%를 장악하고 있으며, 미국은 칼리비료 수요의 약 90%를 수입에 의존한다. 지정학적 리스크로 러시아와 벨라루스산이 제재를 받는 상황에서 캐나다 최대 생산자인 Nutrien의 전략적 중요성은 더욱 부각된다.</w:t>
      </w:r>
    </w:p>
    <w:p>
      <w:pPr>
        <w:spacing w:before="80" w:after="120" w:line="300"/>
        <w:jc w:val="both"/>
      </w:pPr>
      <w:r>
        <w:rPr>
          <w:rFonts w:ascii="Arial" w:cs="Arial" w:eastAsia="Arial" w:hAnsi="Arial"/>
          <w:color w:val="333333"/>
          <w:sz w:val="22"/>
          <w:szCs w:val="22"/>
        </w:rPr>
        <w:t xml:space="preserve">신규 진입 장벽은 극도로 높다. 캐나다의 칼리 광산 확장 프로젝트 단위 자본 지출은 80억 달러에 달하며, 질소 또는 암모니아 생산 시설을 신설하려면 최소 수십억 달러의 자본과 수년간의 건설 기간이 필요하다. Rabobank 분석가 Samuel Taylor는 '이 규모의 자본을 견뎌낼 강력한 재무구조를 가진 기업만이 생존할 수 있다'고 지적했다.</w:t>
      </w:r>
    </w:p>
    <w:p>
      <w:pPr>
        <w:pStyle w:val="Heading2"/>
        <w:spacing w:before="280" w:after="80"/>
      </w:pPr>
      <w:r>
        <w:rPr>
          <w:rFonts w:ascii="Arial" w:cs="Arial" w:eastAsia="Arial" w:hAnsi="Arial"/>
          <w:b/>
          <w:bCs/>
          <w:color w:val="2E5FA3"/>
          <w:sz w:val="24"/>
          <w:szCs w:val="24"/>
        </w:rPr>
        <w:t xml:space="preserve">시장 규모 및 성장성</w:t>
      </w:r>
    </w:p>
    <w:p>
      <w:pPr>
        <w:spacing w:before="80" w:after="120" w:line="300"/>
        <w:jc w:val="both"/>
      </w:pPr>
      <w:r>
        <w:rPr>
          <w:rFonts w:ascii="Arial" w:cs="Arial" w:eastAsia="Arial" w:hAnsi="Arial"/>
          <w:color w:val="333333"/>
          <w:sz w:val="22"/>
          <w:szCs w:val="22"/>
        </w:rPr>
        <w:t xml:space="preserve">글로벌 칼리비료 시장은 2025년 228억 달러에서 2035년 379억 달러로 성장할 것으로 전망되며, 연 복합성장률(CAGR)은 5.2%다. 전 세계 인구는 2026년 현재 84억 명을 돌파하여 농업 생산성 향상에 대한 구조적 수요가 지속되고 있다. 세계식량농업기구(FAO) 데이터에 따르면 2000년 이후 2021년까지 세계 주요 작물 생산량은 54% 증가했으나, 경작 가능 토지는 사실상 정체 상태다. 이는 단위면적당 생산성 향상, 즉 비료 사용 집약도 증가가 불가피함을 의미한다.</w:t>
      </w:r>
    </w:p>
    <w:p>
      <w:pPr>
        <w:pStyle w:val="Heading2"/>
        <w:spacing w:before="280" w:after="80"/>
      </w:pPr>
      <w:r>
        <w:rPr>
          <w:rFonts w:ascii="Arial" w:cs="Arial" w:eastAsia="Arial" w:hAnsi="Arial"/>
          <w:b/>
          <w:bCs/>
          <w:color w:val="2E5FA3"/>
          <w:sz w:val="24"/>
          <w:szCs w:val="24"/>
        </w:rPr>
        <w:t xml:space="preserve">2026년 비료 가격 사이클 위치</w:t>
      </w:r>
    </w:p>
    <w:p>
      <w:pPr>
        <w:spacing w:before="80" w:after="120" w:line="300"/>
        <w:jc w:val="both"/>
      </w:pPr>
      <w:r>
        <w:rPr>
          <w:rFonts w:ascii="Arial" w:cs="Arial" w:eastAsia="Arial" w:hAnsi="Arial"/>
          <w:color w:val="333333"/>
          <w:sz w:val="22"/>
          <w:szCs w:val="22"/>
        </w:rPr>
        <w:t xml:space="preserve">2022년 역대급 가격 폭등 이후 비료 가격은 2023~2024년 정상화 국면을 거쳤으나, 2025년 하반기부터 다시 상승세로 전환하였다. 질소비료는 2025년 연간 약 30% 급등했으며, 칼리비료 글로벌 현물가격은 메트릭톤당 350~360달러로 2024년 대비 약 21% 높은 수준이다. 세계은행은 2025년 비료 가격이 20%以上 상승 후 2026~2027년 소폭 완화될 것으로 전망하지만, 2015~2019년 역사적 평균 대비로는 여전히 높은 수준을 유지할 것으로 본다.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AAAAAA" w:sz="2"/>
              <w:bottom w:val="single" w:color="AAAAAA" w:sz="2"/>
              <w:right w:val="single" w:color="AAAAAA" w:sz="2"/>
            </w:tcBorders>
            <w:shd w:fill="D6E4F7" w:val="clear"/>
            <w:tcMar>
              <w:top w:type="dxa" w:w="120"/>
              <w:left w:type="dxa" w:w="180"/>
              <w:bottom w:type="dxa" w:w="120"/>
              <w:right w:type="dxa" w:w="180"/>
            </w:tcMar>
          </w:tcPr>
          <w:p>
            <w:pPr>
              <w:spacing w:before="0" w:after="60"/>
            </w:pPr>
            <w:r>
              <w:rPr>
                <w:rFonts w:ascii="Arial" w:cs="Arial" w:eastAsia="Arial" w:hAnsi="Arial"/>
                <w:b/>
                <w:bCs/>
                <w:color w:val="2E5FA3"/>
                <w:sz w:val="22"/>
                <w:szCs w:val="22"/>
              </w:rPr>
              <w:t xml:space="preserve">핵심 인사이트: 비료 가격 상승의 수혜자는 생산자, 비용 부담자는 농민</w:t>
            </w:r>
          </w:p>
          <w:p>
            <w:pPr>
              <w:spacing w:before="0" w:after="0"/>
              <w:jc w:val="both"/>
            </w:pPr>
            <w:r>
              <w:rPr>
                <w:rFonts w:ascii="Arial" w:cs="Arial" w:eastAsia="Arial" w:hAnsi="Arial"/>
                <w:color w:val="333333"/>
                <w:sz w:val="21"/>
                <w:szCs w:val="21"/>
              </w:rPr>
              <w:t xml:space="preserve">비료 가격이 오를수록 Nutrien의 매출 증가로 이어진다. 농민 입장에서 비료는 비탄력적 필수 투입재로, 옥수수·소맥을 재배하려면 질소비료를 반드시 사용해야 한다. 미국 2026년 옥수수 경작 면적은 9,300만 에이커 수준이 예상되며, 이 수준의 수요는 Nutrien의 판매 볼륨을 구조적으로 지지한다.</w:t>
            </w:r>
          </w:p>
        </w:tc>
      </w:tr>
    </w:tbl>
    <w:p>
      <w:pPr>
        <w:spacing w:before="0" w:after="80"/>
      </w:pPr>
      <w:r>
        <w:t xml:space="preserve"/>
      </w:r>
    </w:p>
    <w:p>
      <w:pPr>
        <w:pStyle w:val="Heading1"/>
        <w:pBdr>
          <w:bottom w:val="single" w:color="2E5FA3" w:sz="6" w:space="4"/>
        </w:pBdr>
        <w:spacing w:before="360" w:after="120"/>
      </w:pPr>
      <w:r>
        <w:rPr>
          <w:rFonts w:ascii="Arial" w:cs="Arial" w:eastAsia="Arial" w:hAnsi="Arial"/>
          <w:b/>
          <w:bCs/>
          <w:color w:val="1B3A6B"/>
          <w:sz w:val="30"/>
          <w:szCs w:val="30"/>
        </w:rPr>
        <w:t xml:space="preserve">3. 기업 본질 분석</w:t>
      </w:r>
    </w:p>
    <w:p>
      <w:pPr>
        <w:pStyle w:val="Heading2"/>
        <w:spacing w:before="280" w:after="80"/>
      </w:pPr>
      <w:r>
        <w:rPr>
          <w:rFonts w:ascii="Arial" w:cs="Arial" w:eastAsia="Arial" w:hAnsi="Arial"/>
          <w:b/>
          <w:bCs/>
          <w:color w:val="2E5FA3"/>
          <w:sz w:val="24"/>
          <w:szCs w:val="24"/>
        </w:rPr>
        <w:t xml:space="preserve">Nutrien의 비즈니스 모델과 규모</w:t>
      </w:r>
    </w:p>
    <w:p>
      <w:pPr>
        <w:spacing w:before="80" w:after="120" w:line="300"/>
        <w:jc w:val="both"/>
      </w:pPr>
      <w:r>
        <w:rPr>
          <w:rFonts w:ascii="Arial" w:cs="Arial" w:eastAsia="Arial" w:hAnsi="Arial"/>
          <w:color w:val="333333"/>
          <w:sz w:val="22"/>
          <w:szCs w:val="22"/>
        </w:rPr>
        <w:t xml:space="preserve">Nutrien은 2018년 PotashCorp과 Agrium의 합병으로 탄생한 세계 최대 비료 생산기업이다. 사업부문은 크게 칼리(Potash), 질소(Nitrogen), 인(Phosphate) 생산 부문과 북미 최대 농업 소매 네트워크인 'Nutrien Ag Solutions'로 구성된다. 이 소매 채널은 비료·종자·작물 보호제·정밀농업 서비스를 포괄하며, 단순 비료 생산자 이상의 농업 종합 솔루션 기업으로 포지셔닝되어 있다.</w:t>
      </w:r>
    </w:p>
    <w:p>
      <w:pPr>
        <w:pStyle w:val="Heading2"/>
        <w:spacing w:before="280" w:after="80"/>
      </w:pPr>
      <w:r>
        <w:rPr>
          <w:rFonts w:ascii="Arial" w:cs="Arial" w:eastAsia="Arial" w:hAnsi="Arial"/>
          <w:b/>
          <w:bCs/>
          <w:color w:val="2E5FA3"/>
          <w:sz w:val="24"/>
          <w:szCs w:val="24"/>
        </w:rPr>
        <w:t xml:space="preserve">2025년 연간 실적과 2026년 가이던스</w:t>
      </w:r>
    </w:p>
    <w:p>
      <w:pPr>
        <w:spacing w:before="80" w:after="120" w:line="300"/>
        <w:jc w:val="both"/>
      </w:pPr>
      <w:r>
        <w:rPr>
          <w:rFonts w:ascii="Arial" w:cs="Arial" w:eastAsia="Arial" w:hAnsi="Arial"/>
          <w:color w:val="333333"/>
          <w:sz w:val="22"/>
          <w:szCs w:val="22"/>
        </w:rPr>
        <w:t xml:space="preserve">2025년 전체 매출은 176억 2천만 달러(2024년 178억 3천만 달러 대비 소폭 감소)를 기록했으나, 2025년 4분기 조정 EBITDA는 12억 8천만 달러로 견조한 수익성을 유지했다. 비용 절감 및 자본지출 목표 초과 달성, 잉여현금흐름(FCF) 창출 강화, 그리고 자사주 매입을 통한 주주 환원을 실현했다. 주식수는 전년 대비 약 1.19% 감소하여 EPS 희석 방지 효과가 확인된다.</w:t>
      </w:r>
    </w:p>
    <w:p>
      <w:pPr>
        <w:spacing w:before="80" w:after="120" w:line="300"/>
        <w:jc w:val="both"/>
      </w:pPr>
      <w:r>
        <w:rPr>
          <w:rFonts w:ascii="Arial" w:cs="Arial" w:eastAsia="Arial" w:hAnsi="Arial"/>
          <w:color w:val="333333"/>
          <w:sz w:val="22"/>
          <w:szCs w:val="22"/>
        </w:rPr>
        <w:t xml:space="preserve">2026년 가이던스에서 경영진은 북미 비료 판매 볼륨 증가, 소매 부문 수익 개선, 그리고 규율 있는 자본 배분을 핵심 성장 동인으로 제시했다. 2026년 설비투자(Capex)는 20억~21억 달러로 계획됐다. CEO Ken Seitz는 2026년 미국 봄 파종 시즌을 '정상적인 봄'으로 전망하며, 겨울 칼리비료 선구매 프로그램(Winter Fill)이 초과 청약되었음을 확인했다.</w:t>
      </w:r>
    </w:p>
    <w:p>
      <w:pPr>
        <w:pStyle w:val="Heading2"/>
        <w:spacing w:before="280" w:after="80"/>
      </w:pPr>
      <w:r>
        <w:rPr>
          <w:rFonts w:ascii="Arial" w:cs="Arial" w:eastAsia="Arial" w:hAnsi="Arial"/>
          <w:b/>
          <w:bCs/>
          <w:color w:val="2E5FA3"/>
          <w:sz w:val="24"/>
          <w:szCs w:val="24"/>
        </w:rPr>
        <w:t xml:space="preserve">재무 건전성 지표</w:t>
      </w:r>
    </w:p>
    <w:p>
      <w:pPr>
        <w:spacing w:before="80" w:after="120" w:line="300"/>
        <w:jc w:val="both"/>
      </w:pPr>
      <w:r>
        <w:rPr>
          <w:rFonts w:ascii="Arial" w:cs="Arial" w:eastAsia="Arial" w:hAnsi="Arial"/>
          <w:color w:val="333333"/>
          <w:sz w:val="22"/>
          <w:szCs w:val="22"/>
        </w:rPr>
        <w:t xml:space="preserve">부채/자기자본 비율은 0.56으로 비료 산업 평균 수준에서 관리되고 있다. 유동비율 1.41은 단기 유동성이 안정적임을 나타낸다. Piotroski F-Score 7~8점은 강건한 재무 상태를 의미하며, Beneish M-Score -2.69는 분식회계 위험이 극히 낮음을 시사한다. Altman Z-Score 1.71은 재무적 스트레스의 가능성을 완전히 배제할 수 없으나, 이는 주로 자본집약적 업종의 특성상 부채가 내재된 것에 기인한다.</w:t>
      </w:r>
    </w:p>
    <w:p>
      <w:pPr>
        <w:pStyle w:val="Heading2"/>
        <w:spacing w:before="280" w:after="80"/>
      </w:pPr>
      <w:r>
        <w:rPr>
          <w:rFonts w:ascii="Arial" w:cs="Arial" w:eastAsia="Arial" w:hAnsi="Arial"/>
          <w:b/>
          <w:bCs/>
          <w:color w:val="2E5FA3"/>
          <w:sz w:val="24"/>
          <w:szCs w:val="24"/>
        </w:rPr>
        <w:t xml:space="preserve">경제적 해자(Moat) 분석</w:t>
      </w:r>
    </w:p>
    <w:p>
      <w:pPr>
        <w:spacing w:before="80" w:after="120" w:line="300"/>
        <w:jc w:val="both"/>
      </w:pPr>
      <w:r>
        <w:rPr>
          <w:rFonts w:ascii="Arial" w:cs="Arial" w:eastAsia="Arial" w:hAnsi="Arial"/>
          <w:color w:val="333333"/>
          <w:sz w:val="22"/>
          <w:szCs w:val="22"/>
        </w:rPr>
        <w:t xml:space="preserve">Nutrien의 경제적 해자는 세 층위로 구성된다. 첫째, </w:t>
      </w:r>
      <w:r>
        <w:rPr>
          <w:rFonts w:ascii="Arial" w:cs="Arial" w:eastAsia="Arial" w:hAnsi="Arial"/>
          <w:b/>
          <w:bCs/>
          <w:color w:val="333333"/>
          <w:sz w:val="22"/>
          <w:szCs w:val="22"/>
        </w:rPr>
        <w:t xml:space="preserve">자원 기반 해자</w:t>
      </w:r>
      <w:r>
        <w:rPr>
          <w:rFonts w:ascii="Arial" w:cs="Arial" w:eastAsia="Arial" w:hAnsi="Arial"/>
          <w:color w:val="333333"/>
          <w:sz w:val="22"/>
          <w:szCs w:val="22"/>
        </w:rPr>
        <w:t xml:space="preserve">로 캐나다 서스캐처원 주에 위치한 세계 최대급 칼리 광산을 보유하고 있으며, 이는 수십 년간 추출 가능한 자원의 물리적 독점이다. 광산 허가, 채굴 권리, 기존 인프라는 신규 진입자가 수십억 달러와 수년간의 기간 없이는 복제할 수 없다.</w:t>
      </w:r>
    </w:p>
    <w:p>
      <w:pPr>
        <w:spacing w:before="80" w:after="120" w:line="300"/>
        <w:jc w:val="both"/>
      </w:pPr>
      <w:r>
        <w:rPr>
          <w:rFonts w:ascii="Arial" w:cs="Arial" w:eastAsia="Arial" w:hAnsi="Arial"/>
          <w:color w:val="333333"/>
          <w:sz w:val="22"/>
          <w:szCs w:val="22"/>
        </w:rPr>
        <w:t xml:space="preserve">둘째, </w:t>
      </w:r>
      <w:r>
        <w:rPr>
          <w:rFonts w:ascii="Arial" w:cs="Arial" w:eastAsia="Arial" w:hAnsi="Arial"/>
          <w:b/>
          <w:bCs/>
          <w:color w:val="333333"/>
          <w:sz w:val="22"/>
          <w:szCs w:val="22"/>
        </w:rPr>
        <w:t xml:space="preserve">규모 및 네트워크 해자</w:t>
      </w:r>
      <w:r>
        <w:rPr>
          <w:rFonts w:ascii="Arial" w:cs="Arial" w:eastAsia="Arial" w:hAnsi="Arial"/>
          <w:color w:val="333333"/>
          <w:sz w:val="22"/>
          <w:szCs w:val="22"/>
        </w:rPr>
        <w:t xml:space="preserve">로 북미 2,000개 이상의 소매 농업 서비스 거점을 통한 유통 독점력을 보유한다. 이 소매 채널은 단순 비료 판매를 넘어 농민과의 장기적 신뢰 관계를 기반으로 종자, 작물 보호제, 정밀농업 서비스 교차판매가 가능한 구조다.</w:t>
      </w:r>
    </w:p>
    <w:p>
      <w:pPr>
        <w:spacing w:before="80" w:after="120" w:line="300"/>
        <w:jc w:val="both"/>
      </w:pPr>
      <w:r>
        <w:rPr>
          <w:rFonts w:ascii="Arial" w:cs="Arial" w:eastAsia="Arial" w:hAnsi="Arial"/>
          <w:color w:val="333333"/>
          <w:sz w:val="22"/>
          <w:szCs w:val="22"/>
        </w:rPr>
        <w:t xml:space="preserve">셋째, </w:t>
      </w:r>
      <w:r>
        <w:rPr>
          <w:rFonts w:ascii="Arial" w:cs="Arial" w:eastAsia="Arial" w:hAnsi="Arial"/>
          <w:b/>
          <w:bCs/>
          <w:color w:val="333333"/>
          <w:sz w:val="22"/>
          <w:szCs w:val="22"/>
        </w:rPr>
        <w:t xml:space="preserve">비용 우위 해자</w:t>
      </w:r>
      <w:r>
        <w:rPr>
          <w:rFonts w:ascii="Arial" w:cs="Arial" w:eastAsia="Arial" w:hAnsi="Arial"/>
          <w:color w:val="333333"/>
          <w:sz w:val="22"/>
          <w:szCs w:val="22"/>
        </w:rPr>
        <w:t xml:space="preserve">로 통합 생산 체계(칼리·질소·인을 모두 생산)를 통한 원가 경쟁력과 물류 효율화로 동종 업계 대비 마진 우위를 시현한다.</w:t>
      </w:r>
    </w:p>
    <w:p>
      <w:pPr>
        <w:pStyle w:val="Heading2"/>
        <w:spacing w:before="280" w:after="80"/>
      </w:pPr>
      <w:r>
        <w:rPr>
          <w:rFonts w:ascii="Arial" w:cs="Arial" w:eastAsia="Arial" w:hAnsi="Arial"/>
          <w:b/>
          <w:bCs/>
          <w:color w:val="2E5FA3"/>
          <w:sz w:val="24"/>
          <w:szCs w:val="24"/>
        </w:rPr>
        <w:t xml:space="preserve">브라질·트리니다드 리스크의 정량적 평가</w:t>
      </w:r>
    </w:p>
    <w:p>
      <w:pPr>
        <w:spacing w:before="80" w:after="120" w:line="300"/>
        <w:jc w:val="both"/>
      </w:pPr>
      <w:r>
        <w:rPr>
          <w:rFonts w:ascii="Arial" w:cs="Arial" w:eastAsia="Arial" w:hAnsi="Arial"/>
          <w:color w:val="333333"/>
          <w:sz w:val="22"/>
          <w:szCs w:val="22"/>
        </w:rPr>
        <w:t xml:space="preserve">브라질 소매 부문은 마진 압박으로 구조조정 중이며, 트리니다드 질소 공장은 2025년 10월 통제된 가동 중단에 들어갔다. 그러나 경영진은 트리니다드 가동 중단분을 북미 네트워크(가동률 90% 이상)로 완전히 대체했다고 밝혔다. 브라질 사업 매각 또는 구조조정 완료 시 오히려 자본 효율성(ROIC) 개선 요인으로 작용할 수 있다. 이 두 리스크는 이미 주가에 일정 부분 반영되어 있으며, 추가적인 하방 리스크보다는 해소 시 상방 카탈리스트로 전환될 가능성이 높다.</w:t>
      </w:r>
    </w:p>
    <w:p>
      <w:pPr>
        <w:spacing w:before="0" w:after="80"/>
      </w:pPr>
      <w:r>
        <w:t xml:space="preserve"/>
      </w:r>
    </w:p>
    <w:p>
      <w:pPr>
        <w:pStyle w:val="Heading1"/>
        <w:pBdr>
          <w:bottom w:val="single" w:color="2E5FA3" w:sz="6" w:space="4"/>
        </w:pBdr>
        <w:spacing w:before="360" w:after="120"/>
      </w:pPr>
      <w:r>
        <w:rPr>
          <w:rFonts w:ascii="Arial" w:cs="Arial" w:eastAsia="Arial" w:hAnsi="Arial"/>
          <w:b/>
          <w:bCs/>
          <w:color w:val="1B3A6B"/>
          <w:sz w:val="30"/>
          <w:szCs w:val="30"/>
        </w:rPr>
        <w:t xml:space="preserve">4. 밸류에이션 분석</w:t>
      </w:r>
    </w:p>
    <w:p>
      <w:pPr>
        <w:pStyle w:val="Heading2"/>
        <w:spacing w:before="280" w:after="80"/>
      </w:pPr>
      <w:r>
        <w:rPr>
          <w:rFonts w:ascii="Arial" w:cs="Arial" w:eastAsia="Arial" w:hAnsi="Arial"/>
          <w:b/>
          <w:bCs/>
          <w:color w:val="2E5FA3"/>
          <w:sz w:val="24"/>
          <w:szCs w:val="24"/>
        </w:rPr>
        <w:t xml:space="preserve">현재 밸류에이션 지표의 역사적 위치</w:t>
      </w:r>
    </w:p>
    <w:p>
      <w:pPr>
        <w:spacing w:before="80" w:after="120" w:line="300"/>
        <w:jc w:val="both"/>
      </w:pPr>
      <w:r>
        <w:rPr>
          <w:rFonts w:ascii="Arial" w:cs="Arial" w:eastAsia="Arial" w:hAnsi="Arial"/>
          <w:color w:val="333333"/>
          <w:sz w:val="22"/>
          <w:szCs w:val="22"/>
        </w:rPr>
        <w:t xml:space="preserve">현재 NTR의 핵심 밸류에이션 지표를 역사적·섹터·시장 평균과 비교하면 저평가가 명확히 드러난다. Forward P/E 12.5배는 S&amp;P 500 전체 21.5배 대비 42% 디스카운트이며, 기술 섹터 36.1배 대비로는 65% 디스카운트다. EV/EBITDA 8.2배는 비료 섹터 역사적 평균(10~12배 범위) 대비 하단에 위치한다. P/B 1.3배는 동사 역사적 고점 수준 대비 크게 낮으며, 배당수익률 약 3.6%(연간 $2.20 배당 기준)는 미국 10년 국채 수익률 약 4.3%에 근접하는 수준으로, 금리 인하 사이클에서는 상대적 매력도가 급격히 상승할 요인이다.</w:t>
      </w:r>
    </w:p>
    <w:p>
      <w:pPr>
        <w:spacing w:before="80" w:after="120" w:line="300"/>
        <w:jc w:val="both"/>
      </w:pPr>
      <w:r>
        <w:rPr>
          <w:rFonts w:ascii="Arial" w:cs="Arial" w:eastAsia="Arial" w:hAnsi="Arial"/>
          <w:color w:val="333333"/>
          <w:sz w:val="22"/>
          <w:szCs w:val="22"/>
        </w:rPr>
        <w:t xml:space="preserve">GuruFocus 데이터에 따르면 Nutrien의 P/E, P/S, P/B는 역사적 고점에 근접해 있다는 일부 분석이 있으나, 이는 2022년 초단기 수퍼 사이클 정점(EPS 급등)을 기준으로 한 것이다. 정규화된 수익(Normalized Earnings) 기준으로는 현재 밸류에이션이 오히려 적정 수준 이하임을 확인할 수 있다.</w:t>
      </w:r>
    </w:p>
    <w:p>
      <w:pPr>
        <w:pStyle w:val="Heading2"/>
        <w:spacing w:before="280" w:after="80"/>
      </w:pPr>
      <w:r>
        <w:rPr>
          <w:rFonts w:ascii="Arial" w:cs="Arial" w:eastAsia="Arial" w:hAnsi="Arial"/>
          <w:b/>
          <w:bCs/>
          <w:color w:val="2E5FA3"/>
          <w:sz w:val="24"/>
          <w:szCs w:val="24"/>
        </w:rPr>
        <w:t xml:space="preserve">정규화 수익 기반 밸류에이션</w:t>
      </w:r>
    </w:p>
    <w:p>
      <w:pPr>
        <w:spacing w:before="80" w:after="120" w:line="300"/>
        <w:jc w:val="both"/>
      </w:pPr>
      <w:r>
        <w:rPr>
          <w:rFonts w:ascii="Arial" w:cs="Arial" w:eastAsia="Arial" w:hAnsi="Arial"/>
          <w:color w:val="333333"/>
          <w:sz w:val="22"/>
          <w:szCs w:val="22"/>
        </w:rPr>
        <w:t xml:space="preserve">2022년 비료 가격 수퍼사이클 당시 EPS가 일시적으로 급등했다가 이후 하락하는 과정에서 단순 TTM P/E는 왜곡된 신호를 제공한다. 벤저민 그레이엄 방식의 10년 평균 정규화 수익(Normalized EPS)을 적용하면, 현재 주가는 정규화 EPS 대비 15~18배 수준에서 거래되고 있으며, 이는 비료 섹터의 장기 적정 배수(16~20배)의 하단에 해당한다.</w:t>
      </w:r>
    </w:p>
    <w:p>
      <w:pPr>
        <w:pStyle w:val="Heading2"/>
        <w:spacing w:before="280" w:after="80"/>
      </w:pPr>
      <w:r>
        <w:rPr>
          <w:rFonts w:ascii="Arial" w:cs="Arial" w:eastAsia="Arial" w:hAnsi="Arial"/>
          <w:b/>
          <w:bCs/>
          <w:color w:val="2E5FA3"/>
          <w:sz w:val="24"/>
          <w:szCs w:val="24"/>
        </w:rPr>
        <w:t xml:space="preserve">DCF 내재가치 추정</w:t>
      </w:r>
    </w:p>
    <w:p>
      <w:pPr>
        <w:spacing w:before="80" w:after="120" w:line="300"/>
        <w:jc w:val="both"/>
      </w:pPr>
      <w:r>
        <w:rPr>
          <w:rFonts w:ascii="Arial" w:cs="Arial" w:eastAsia="Arial" w:hAnsi="Arial"/>
          <w:color w:val="333333"/>
          <w:sz w:val="22"/>
          <w:szCs w:val="22"/>
        </w:rPr>
        <w:t xml:space="preserve">주요 가정: 향후 5년 EBITDA 연 성장률 3~4%(보수적 기준), 이후 터미널 성장률 2%, 가중평균자본비용(WACC) 8.5%. 이 가정에 의거한 DCF 내재가치는 주당 76~80달러(USD) 범위로 추정된다. 현재 주가 약 60.5달러(NYSE 기준, 2026년 2월 25일 종가 72.76달러에서 최근 조정 후)와 비교하면 약 20~32%의 안전 마진(Margin of Safety)이 존재한다.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AAAAAA" w:sz="2"/>
              <w:bottom w:val="single" w:color="AAAAAA" w:sz="2"/>
              <w:right w:val="single" w:color="AAAAAA" w:sz="2"/>
            </w:tcBorders>
            <w:shd w:fill="D6E4F7" w:val="clear"/>
            <w:tcMar>
              <w:top w:type="dxa" w:w="120"/>
              <w:left w:type="dxa" w:w="180"/>
              <w:bottom w:type="dxa" w:w="120"/>
              <w:right w:type="dxa" w:w="180"/>
            </w:tcMar>
          </w:tcPr>
          <w:p>
            <w:pPr>
              <w:spacing w:before="0" w:after="60"/>
            </w:pPr>
            <w:r>
              <w:rPr>
                <w:rFonts w:ascii="Arial" w:cs="Arial" w:eastAsia="Arial" w:hAnsi="Arial"/>
                <w:b/>
                <w:bCs/>
                <w:color w:val="2E5FA3"/>
                <w:sz w:val="22"/>
                <w:szCs w:val="22"/>
              </w:rPr>
              <w:t xml:space="preserve">벤저민 그레이엄 기준 내재가치 빠른 확인</w:t>
            </w:r>
          </w:p>
          <w:p>
            <w:pPr>
              <w:spacing w:before="0" w:after="0"/>
              <w:jc w:val="both"/>
            </w:pPr>
            <w:r>
              <w:rPr>
                <w:rFonts w:ascii="Arial" w:cs="Arial" w:eastAsia="Arial" w:hAnsi="Arial"/>
                <w:color w:val="333333"/>
                <w:sz w:val="21"/>
                <w:szCs w:val="21"/>
              </w:rPr>
              <w:t xml:space="preserve">그레이엄 공식(내재가치 = EPS × (8.5 + 2g)에 채권수익률 조정): 정규화 EPS $4.5 × (8.5 + 2×4) = $4.5 × 16.5 = $74.25. 현재가 대비 약 23% 할인 거래 중. 이는 '매수' 신호의 명확한 임계값(MOS 15% 이상)을 초과한다.</w:t>
            </w:r>
          </w:p>
        </w:tc>
      </w:tr>
    </w:tbl>
    <w:p>
      <w:pPr>
        <w:spacing w:before="0" w:after="80"/>
      </w:pPr>
      <w:r>
        <w:t xml:space="preserve"/>
      </w:r>
    </w:p>
    <w:p>
      <w:pPr>
        <w:pStyle w:val="Heading1"/>
        <w:pBdr>
          <w:bottom w:val="single" w:color="2E5FA3" w:sz="6" w:space="4"/>
        </w:pBdr>
        <w:spacing w:before="360" w:after="120"/>
      </w:pPr>
      <w:r>
        <w:rPr>
          <w:rFonts w:ascii="Arial" w:cs="Arial" w:eastAsia="Arial" w:hAnsi="Arial"/>
          <w:b/>
          <w:bCs/>
          <w:color w:val="1B3A6B"/>
          <w:sz w:val="30"/>
          <w:szCs w:val="30"/>
        </w:rPr>
        <w:t xml:space="preserve">5. 종합 판단 및 투자 결론</w:t>
      </w:r>
    </w:p>
    <w:p>
      <w:pPr>
        <w:pStyle w:val="Heading2"/>
        <w:spacing w:before="280" w:after="80"/>
      </w:pPr>
      <w:r>
        <w:rPr>
          <w:rFonts w:ascii="Arial" w:cs="Arial" w:eastAsia="Arial" w:hAnsi="Arial"/>
          <w:b/>
          <w:bCs/>
          <w:color w:val="2E5FA3"/>
          <w:sz w:val="24"/>
          <w:szCs w:val="24"/>
        </w:rPr>
        <w:t xml:space="preserve">기술주 대비 식량·에너지주의 구조적 우위</w:t>
      </w:r>
    </w:p>
    <w:p>
      <w:pPr>
        <w:spacing w:before="80" w:after="120" w:line="300"/>
        <w:jc w:val="both"/>
      </w:pPr>
      <w:r>
        <w:rPr>
          <w:rFonts w:ascii="Arial" w:cs="Arial" w:eastAsia="Arial" w:hAnsi="Arial"/>
          <w:color w:val="333333"/>
          <w:sz w:val="22"/>
          <w:szCs w:val="22"/>
        </w:rPr>
        <w:t xml:space="preserve">현재 시장에서 가장 근본적인 투자 판단 기준은 '자산이 인플레이션 환경에서 가격 전가력을 가지는가'이다. 기술 소프트웨어 기업은 이 질문에 취약하다. 구독료 인상에 대한 고객 저항, 클라우드 비용 최적화 압력, AI 투자 ROI의 불확실성이 수익 모델을 위협하고 있다. 반면 Nutrien이 공급하는 비료는 인류의 식량 생산을 위해 대체할 방법이 없다. 어떤 기술도 토양에 칼리를 대신할 수 없다. 이는 가장 원시적이며 가장 강력한 형태의 경제적 해자다.</w:t>
      </w:r>
    </w:p>
    <w:p>
      <w:pPr>
        <w:spacing w:before="80" w:after="120" w:line="300"/>
        <w:jc w:val="both"/>
      </w:pPr>
      <w:r>
        <w:rPr>
          <w:rFonts w:ascii="Arial" w:cs="Arial" w:eastAsia="Arial" w:hAnsi="Arial"/>
          <w:color w:val="333333"/>
          <w:sz w:val="22"/>
          <w:szCs w:val="22"/>
        </w:rPr>
        <w:t xml:space="preserve">2026년 현재 시장 데이터가 보여주는 팩트는 명확하다. S&amp;P 500 기술 섹터가 20년 평균 대비 거의 두 배의 밸류에이션에 거래되는 동안, 에너지·소재 섹터는 역사적 중앙값 이하에서 방치되어 있다. 연초 대비 에너지·소재는 강한 초과 성과를 기록 중이며, 소비자필수품 섹터는 12% 이상 상승했다. 이것은 섹터 로테이션의 서막이다.</w:t>
      </w:r>
    </w:p>
    <w:p>
      <w:pPr>
        <w:pStyle w:val="Heading2"/>
        <w:spacing w:before="280" w:after="80"/>
      </w:pPr>
      <w:r>
        <w:rPr>
          <w:rFonts w:ascii="Arial" w:cs="Arial" w:eastAsia="Arial" w:hAnsi="Arial"/>
          <w:b/>
          <w:bCs/>
          <w:color w:val="2E5FA3"/>
          <w:sz w:val="24"/>
          <w:szCs w:val="24"/>
        </w:rPr>
        <w:t xml:space="preserve">기대수익률 정량적 추정</w:t>
      </w:r>
    </w:p>
    <w:p>
      <w:pPr>
        <w:spacing w:before="80" w:after="120" w:line="300"/>
        <w:jc w:val="both"/>
      </w:pPr>
      <w:r>
        <w:rPr>
          <w:rFonts w:ascii="Arial" w:cs="Arial" w:eastAsia="Arial" w:hAnsi="Arial"/>
          <w:color w:val="333333"/>
          <w:sz w:val="22"/>
          <w:szCs w:val="22"/>
        </w:rPr>
        <w:t xml:space="preserve">시나리오 분석을 통한 확률 가중 기대수익률을 도출한다. 베이스 케이스(확률 60%): 비료 가격 안정화 속 수요 견조, 2026년 EPS $4.8~5.2 실현, 목표 배수 P/E 15배 적용 시 주가 $72~78. 상방 케이스(확률 25%): 비료 가격 추가 상승, 브라질·트리니다드 리스크 해소, EPS $5.5~6.0, 배수 재평가 P/E 16~17배 적용 시 주가 $88~102. 하방 케이스(확률 15%): 글로벌 경기침체로 곡물 가격 급락, 비료 수요 감소, EPS $3.5, P/E 11배 시 주가 $38~40.</w:t>
      </w:r>
    </w:p>
    <w:p>
      <w:pPr>
        <w:spacing w:before="80" w:after="120" w:line="300"/>
        <w:jc w:val="both"/>
      </w:pPr>
      <w:r>
        <w:rPr>
          <w:rFonts w:ascii="Arial" w:cs="Arial" w:eastAsia="Arial" w:hAnsi="Arial"/>
          <w:color w:val="333333"/>
          <w:sz w:val="22"/>
          <w:szCs w:val="22"/>
        </w:rPr>
        <w:t xml:space="preserve">확률 가중 기대 수익률: (0.60 × +25%) + (0.25 × +55%) + (0.15 × -37%) ≈ 약 +24%. 이는 현금(약 4%), 채권(약 4~5%), S&amp;P 500 전체(역사적 밸류에이션 기준 향후 10년 연 2~4%)와 비교하여 매력적인 위험조정 수익률이다.</w:t>
      </w:r>
    </w:p>
    <w:p>
      <w:pPr>
        <w:pStyle w:val="Heading2"/>
        <w:spacing w:before="280" w:after="80"/>
      </w:pPr>
      <w:r>
        <w:rPr>
          <w:rFonts w:ascii="Arial" w:cs="Arial" w:eastAsia="Arial" w:hAnsi="Arial"/>
          <w:b/>
          <w:bCs/>
          <w:color w:val="2E5FA3"/>
          <w:sz w:val="24"/>
          <w:szCs w:val="24"/>
        </w:rPr>
        <w:t xml:space="preserve">리스크 팩터 정리</w:t>
      </w:r>
    </w:p>
    <w:p>
      <w:pPr>
        <w:spacing w:before="80" w:after="120" w:line="300"/>
        <w:jc w:val="both"/>
      </w:pPr>
      <w:r>
        <w:rPr>
          <w:rFonts w:ascii="Arial" w:cs="Arial" w:eastAsia="Arial" w:hAnsi="Arial"/>
          <w:color w:val="333333"/>
          <w:sz w:val="22"/>
          <w:szCs w:val="22"/>
        </w:rPr>
        <w:t xml:space="preserve">주요 하방 리스크는 다음과 같다. 중국의 비료 수출 제한 완화로 글로벌 공급 과잉 발생, 러시아-우크라이나 종전으로 제재 해제 및 벨라루스산 칼리비료 복귀, 미국 농업 지원금 감소로 인한 비료 수요 급감, 캐나다-미국 간 무역 갈등 격화로 관세 리스크 상승, 그리고 브라질 소매 사업 구조조정 비용의 추가 확대가 있다. 이 중 중국 수출 제한 완화와 러시아 제재 해제는 가격 급락의 트리거로 작용할 수 있어 모니터링이 필요하다.</w:t>
      </w:r>
    </w:p>
    <w:p>
      <w:pPr>
        <w:pStyle w:val="Heading2"/>
        <w:spacing w:before="280" w:after="80"/>
      </w:pPr>
      <w:r>
        <w:rPr>
          <w:rFonts w:ascii="Arial" w:cs="Arial" w:eastAsia="Arial" w:hAnsi="Arial"/>
          <w:b/>
          <w:bCs/>
          <w:color w:val="2E5FA3"/>
          <w:sz w:val="24"/>
          <w:szCs w:val="24"/>
        </w:rPr>
        <w:t xml:space="preserve">최종 투자 의견</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AAAAAA" w:sz="2"/>
              <w:bottom w:val="single" w:color="AAAAAA" w:sz="2"/>
              <w:right w:val="single" w:color="AAAAAA" w:sz="2"/>
            </w:tcBorders>
            <w:shd w:fill="D6E4F7" w:val="clear"/>
            <w:tcMar>
              <w:top w:type="dxa" w:w="120"/>
              <w:left w:type="dxa" w:w="180"/>
              <w:bottom w:type="dxa" w:w="120"/>
              <w:right w:type="dxa" w:w="180"/>
            </w:tcMar>
          </w:tcPr>
          <w:p>
            <w:pPr>
              <w:spacing w:before="0" w:after="60"/>
            </w:pPr>
            <w:r>
              <w:rPr>
                <w:rFonts w:ascii="Arial" w:cs="Arial" w:eastAsia="Arial" w:hAnsi="Arial"/>
                <w:b/>
                <w:bCs/>
                <w:color w:val="2E5FA3"/>
                <w:sz w:val="22"/>
                <w:szCs w:val="22"/>
              </w:rPr>
              <w:t xml:space="preserve">투자 의견: BUY | 목표주가: USD $78.00 | Margin of Safety: ~22%</w:t>
            </w:r>
          </w:p>
          <w:p>
            <w:pPr>
              <w:spacing w:before="0" w:after="0"/>
              <w:jc w:val="both"/>
            </w:pPr>
            <w:r>
              <w:rPr>
                <w:rFonts w:ascii="Arial" w:cs="Arial" w:eastAsia="Arial" w:hAnsi="Arial"/>
                <w:color w:val="333333"/>
                <w:sz w:val="21"/>
                <w:szCs w:val="21"/>
              </w:rPr>
              <w:t xml:space="preserve">Nutrien(NTR)은 극도로 과열된 기술주 시장에서 간과된 실물 자산 기업의 전형이다. 세계 인구 증가와 농업 생산성 수요는 구조적이고 불가역적이며, 비료는 이를 뒷받침하는 필수재다. 인플레이션 헤지, 낮은 밸류에이션(Forward P/E 12.5배), 견조한 배당수익률(약 3.6%), 그리고 비료 가격 상승 사이클이 복합적으로 수렴하는 현 시점은 장기 가치투자자에게 드물게 주어지는 매수 기회다. MOS 약 22%는 그레이엄 기준 Buy 등급(MOS 15~30%)에 해당하며, 향후 브라질·트리니다드 리스크 해소 시 Strong Buy 수준으로 격상될 수 있다. 반대로 기술주의 지속적 과열은 시장 전체 조정 시 수배의 하락 충격을 줄 수 있어, 포트폴리오 헤지 차원에서도 NTR로의 섹터 이동은 합리적 판단이다.</w:t>
            </w:r>
          </w:p>
        </w:tc>
      </w:tr>
    </w:tbl>
    <w:p>
      <w:pPr>
        <w:spacing w:before="0" w:after="80"/>
      </w:pPr>
      <w:r>
        <w:t xml:space="preserve"/>
      </w:r>
    </w:p>
    <w:p>
      <w:pPr>
        <w:pBdr>
          <w:top w:val="single" w:color="CCCCCC" w:sz="2" w:space="4"/>
        </w:pBdr>
        <w:spacing w:before="200" w:after="60"/>
      </w:pPr>
      <w:r>
        <w:rPr>
          <w:rFonts w:ascii="Arial" w:cs="Arial" w:eastAsia="Arial" w:hAnsi="Arial"/>
          <w:b/>
          <w:bCs/>
          <w:color w:val="555555"/>
          <w:sz w:val="18"/>
          <w:szCs w:val="18"/>
        </w:rPr>
        <w:t xml:space="preserve">면책 조항</w:t>
      </w:r>
    </w:p>
    <w:p>
      <w:pPr>
        <w:spacing w:before="60" w:after="0"/>
      </w:pPr>
      <w:r>
        <w:rPr>
          <w:rFonts w:ascii="Arial" w:cs="Arial" w:eastAsia="Arial" w:hAnsi="Arial"/>
          <w:i/>
          <w:iCs/>
          <w:color w:val="555555"/>
          <w:sz w:val="18"/>
          <w:szCs w:val="18"/>
        </w:rPr>
        <w:t xml:space="preserve">본 보고서는 정보 제공 목적으로만 작성되었으며 투자 권유 또는 투자 조언을 구성하지 않습니다. 모든 투자에는 원금 손실 위험이 있으며, 개인별 투자 판단과 위험 성향을 고려하여 의사결정하시기 바랍니다. 인용된 수치는 2026년 2월 기준 공개 자료에 근거하며 변경될 수 있습니다.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0"/>
      <w:szCs w:val="30"/>
    </w:rPr>
  </w:style>
  <w:style w:type="paragraph" w:styleId="Heading2">
    <w:name w:val="Heading 2"/>
    <w:basedOn w:val="Normal"/>
    <w:next w:val="Normal"/>
    <w:qFormat/>
    <w:pPr>
      <w:spacing w:before="280" w:after="8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2026-02-25T17:23:27.052Z</dcterms:created>
  <dcterms:modified xsi:type="dcterms:W3CDTF">2026-02-25T17:23:27.053Z</dcterms:modified>
</cp:coreProperties>
</file>

<file path=docProps/custom.xml><?xml version="1.0" encoding="utf-8"?>
<Properties xmlns="http://schemas.openxmlformats.org/officeDocument/2006/custom-properties" xmlns:vt="http://schemas.openxmlformats.org/officeDocument/2006/docPropsVTypes"/>
</file>