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퀀트 밸류 투자 보고서</w:t>
      </w:r>
    </w:p>
    <w:p>
      <w:pPr>
        <w:spacing w:before="120" w:after="120"/>
        <w:jc w:val="center"/>
      </w:pPr>
      <w:r>
        <w:rPr>
          <w:rFonts w:ascii="Arial" w:cs="Arial" w:eastAsia="Arial" w:hAnsi="Arial"/>
          <w:b w:val="false"/>
          <w:bCs w:val="false"/>
          <w:color w:val="2E5BA8"/>
          <w:sz w:val="32"/>
          <w:szCs w:val="32"/>
        </w:rPr>
        <w:t xml:space="preserve">자사주 소각 의무화 (3차 상법 개정안) 수혜주 분석</w:t>
      </w:r>
    </w:p>
    <w:p>
      <w:pPr>
        <w:spacing w:before="120" w:after="48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롯데쇼핑(023530) | SK텔레콤(017670)</w:t>
      </w:r>
    </w:p>
    <w:p>
      <w:pPr>
        <w:pBdr>
          <w:bottom w:val="single" w:color="2E5BA8" w:sz="6" w:space="1"/>
        </w:pBdr>
        <w:spacing w:before="120" w:after="120"/>
      </w:pPr>
    </w:p>
    <w:p>
      <w:pPr>
        <w:spacing w:before="200" w:after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보고서 발행일: 2026년 2월 25일</w:t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CC0000"/>
          <w:sz w:val="20"/>
          <w:szCs w:val="20"/>
        </w:rPr>
        <w:t xml:space="preserve">법안 현황: 국회 법사위 통과 (2026.02.23) | 본회의 처리 예정 (2026.02.25)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법안 개요: 3차 상법 개정안</w:t>
      </w:r>
    </w:p>
    <w:p>
      <w:pPr>
        <w:pBdr>
          <w:bottom w:val="single" w:color="2E5BA8" w:sz="6" w:space="1"/>
        </w:pBdr>
        <w:spacing w:before="120" w:after="120"/>
      </w:pP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2026년 2월 23일, '자사주 소각 의무화'를 핵심으로 하는 3차 상법 개정안이 국회 법제사법위원회 전체회의를 통과했다 (찬성 11, 반대 6). 민주당은 2026년 2월 25일 본회의 처리를 목표로 하고 있다.</w:t>
      </w:r>
    </w:p>
    <w:p>
      <w:pPr>
        <w:spacing w:before="12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핵심 조항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신규 취득 자사주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취득일로부터 1년 이내 의무 소각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기존 보유 자사주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법 시행일로부터 6개월 유예 후 총 1년 6개월 내 소각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예외 1 (통신/방송)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외국인 지분 법정 한도 기업 → 3년 내 처분 허용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예외 2 (경영 목적)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주주총회 승인 시 보유·처분 계획 수립 가능 (매년 재승인)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위반 시 제재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이사 개인 5,000만원 이하 과태료</w:t>
            </w:r>
          </w:p>
        </w:tc>
      </w:tr>
    </w:tbl>
    <w:p>
      <w:pPr>
        <w:spacing w:before="160"/>
      </w:pP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핵심 논거: 자사주 소각 → 유통주식수 감소 → EPS 증가 → 코리아 디스카운트 해소. 2025년 국내 상장사 자사주 소각 규모는 21조4000억원으로 전년 대비 54% 급증. 이미 '자사주 디플레이션' 트렌드가 가속 중이며, 법제화는 이를 구조적으로 고착시킨다.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매크로 환경 분석</w:t>
      </w:r>
    </w:p>
    <w:p>
      <w:pPr>
        <w:pBdr>
          <w:bottom w:val="single" w:color="2E5BA8" w:sz="6" w:space="1"/>
        </w:pBdr>
        <w:spacing w:before="120"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BA8"/>
          <w:sz w:val="26"/>
          <w:szCs w:val="26"/>
        </w:rPr>
        <w:t xml:space="preserve">글로벌 및 한국 매크로 (2026년 2월 기준)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4500"/>
        <w:gridCol w:w="2160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지표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현황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방향성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코스피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5,808 (역대 최고치 경신)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상승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한국 기준금리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2.75% (인하 사이클)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완화적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한국 GDP 성장률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2025년 2.3% 추정, 2026년 2.5% 예상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회복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원/달러 환율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1,430원대 (상대적 원화 약세)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불확실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트럼프 관세 리스크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15% 글로벌 단일 관세 영향, 한국 타격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부정적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코리아 디스카운트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3차 상법 개정 등 제도 개선 가속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해소 국면</w:t>
            </w:r>
          </w:p>
        </w:tc>
      </w:tr>
    </w:tbl>
    <w:p>
      <w:pPr>
        <w:spacing w:before="1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BA8"/>
          <w:sz w:val="26"/>
          <w:szCs w:val="26"/>
        </w:rPr>
        <w:t xml:space="preserve">자사주 소각법이 시장 구조에 미치는 영향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2025년 기준 국내 상장사 총 자사주 비중은 2.53%로 하락 전환. 2025년 연간 자사주 소각 규모(21.4조원)가 유상증자(17.8조원)를 초과하며 '공급 마이너스' 구조 돌입. 상법 개정 시 이 흐름은 구조적으로 가속된다. 코스피 5000~6000 구간에서 주주환원 확대가 밸류에이션 리레이팅의 핵심 드라이버로 작용.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롯데쇼핑 (023530) 분석</w:t>
      </w:r>
    </w:p>
    <w:p>
      <w:pPr>
        <w:pBdr>
          <w:bottom w:val="single" w:color="2E5BA8" w:sz="6" w:space="1"/>
        </w:pBdr>
        <w:spacing w:before="120"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BA8"/>
          <w:sz w:val="26"/>
          <w:szCs w:val="26"/>
        </w:rPr>
        <w:t xml:space="preserve">2-1. 기업 개요 및 자사주 현황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롯데쇼핑은 롯데지주의 핵심 계열사로, 백화점·마트·슈퍼·영화관 등을 운영하는 종합 유통기업이다. 본 분석에서는 롯데 그룹사 중 자사주 이슈가 가장 부각된 롯데지주(004990)를 포함한 맥락에서 롯데쇼핑을 함께 다룬다.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2700"/>
        <w:gridCol w:w="1260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롯데지주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롯데쇼핑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경쟁사 비교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자사주 보유율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27.5% (물산 매각 후)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약 3~5% 추정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이마트 2.89%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자사주 취득 배경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2017년 지주사 전환 과정에서 발생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영업 목적 취득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현대지에프홀딩스 0%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시가총액(롯데지주)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약 3.7조원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신세계 약 2조원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PBR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0.18배 (극단적 저평가)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0.18배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업종평균 0.5~0.8배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자사주 시가 추산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약 8,000억원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소각 시 EPS 직접 상승</w:t>
            </w:r>
          </w:p>
        </w:tc>
      </w:tr>
    </w:tbl>
    <w:p>
      <w:pPr>
        <w:spacing w:before="1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BA8"/>
          <w:sz w:val="26"/>
          <w:szCs w:val="26"/>
        </w:rPr>
        <w:t xml:space="preserve">2-2. 산업 분석: 한국 오프라인 유통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한국 유통 산업은 이커머스 성장(쿠팡, 네이버 등)에 따른 구조적 역풍에 직면. 대형마트 점유율 하락이 지속되나, 프리미엄 백화점('타임빌라스' 모델)은 상대적 방어력 보유. 2025년 3분기 누적 기준 롯데쇼핑 연결 매출은 전년 동기 대비 2.8% 감소, 영업이익 2.0% 감소, 당기순이익 적자 전환. 사업 경쟁력 자체는 약화 추세이나, 자사주 소각 이벤트는 수급 차원의 독립 변수다.</w:t>
      </w:r>
    </w:p>
    <w:p>
      <w:pPr>
        <w:spacing w:before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BA8"/>
          <w:sz w:val="26"/>
          <w:szCs w:val="26"/>
        </w:rPr>
        <w:t xml:space="preserve">2-3. 밸류에이션 분석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지표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현재 (롯데지주)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업종 평균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10년 평균 (롯데지주)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PBR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0.18x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0.5~0.8x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0.30~0.45x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역대 최저권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NAV 할인율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~40% 추정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20~30%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25~35%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자사주 할인 포함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배당수익률 (롯데쇼핑)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3.92%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2.5~3%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2.5~3%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상대적 고배당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EPS 부스트 (소각 시)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+27.5% 이상 잠재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유통주식수 감소 효과</w:t>
            </w:r>
          </w:p>
        </w:tc>
      </w:tr>
    </w:tbl>
    <w:p>
      <w:pPr>
        <w:spacing w:before="12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DCF 간단 추정 (롯데지주 기준):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정규화 영업이익: 약 2,500억원 / 할인율 9% / 터미널 성장률 1% 가정 시 영업가치 약 3.1조원. 상장지분(롯데쇼핑·케미칼·웰푸드·칠성) NAV 2.9조원 + 비상장지분 2.1조원 + 자기주식 8,000억원 - 순차입금 3.6조원 = 적정 NAV 5.3조원 추산. 현재 시총 3.7조원 → 내재가치 대비 MOS 약 30%.</w:t>
      </w:r>
    </w:p>
    <w:p>
      <w:pPr>
        <w:spacing w:before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BA8"/>
          <w:sz w:val="26"/>
          <w:szCs w:val="26"/>
        </w:rPr>
        <w:t xml:space="preserve">2-4. 자사주 소각 의무화 영향 시뮬레이션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2160"/>
        <w:gridCol w:w="2160"/>
        <w:gridCol w:w="720"/>
      </w:tblGrid>
      <w:tr>
        <w:trPr>
          <w:tblHeader/>
        </w:trP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시나리오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소각 규모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주당 EPS 영향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주가 이론치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현상 유지 (법안 부결)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소각 無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+0%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현재 수준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리스크 없음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기준 시나리오 (법 시행)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기존분 18개월 내 소각 (27.5%)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+38% EPS 상승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이론 +30~40%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MOS 확보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완화 시나리오 (예외 인정)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주총 승인으로 단계 소각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+10~20%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+15~25%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대주주 의도 중요</w:t>
            </w:r>
          </w:p>
        </w:tc>
      </w:tr>
    </w:tbl>
    <w:p>
      <w:pPr>
        <w:spacing w:before="1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BA8"/>
          <w:sz w:val="26"/>
          <w:szCs w:val="26"/>
        </w:rPr>
        <w:t xml:space="preserve">2-5. 리스크 요인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핵심 리스크: 롯데건설 유동성 우려 (부동산 PF 리스크) → 그룹 전체 신용 악화 가능성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자사주 소각 대신 재무 목적으로 자사주 매각 선택 시 주가 희석 (롯데물산 매각 선례)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이커머스 경쟁 심화로 본업 이익 지속 감소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경영상 목적 예외 조항 활용으로 소각 지연 가능</w:t>
      </w:r>
    </w:p>
    <w:p>
      <w:pPr>
        <w:spacing w:before="1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BA8"/>
          <w:sz w:val="26"/>
          <w:szCs w:val="26"/>
        </w:rPr>
        <w:t xml:space="preserve">2-6. 종합 판단: 롯데쇼핑/롯데지주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평가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퀄리티 (사업 본질)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Weak — 유통 구조 역풍, 영업이익 감소 추세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밸류 (PBR 기준)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Extreme Cheap — 0.18x는 역대 최저권 (백분위 5% 이하)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이벤트 드라이버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Strong — 자사주 27.5% 소각 시 EPS +38% 잠재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리스크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High — 건설 유동성, 소각 대신 매각 선택 리스크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MOS (내재가치 대비)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약 30% (경계선)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투자 의견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Buy (조건부) — 소각 실행 전제 시</w:t>
            </w:r>
          </w:p>
        </w:tc>
      </w:tr>
    </w:tbl>
    <w:p>
      <w:pPr>
        <w:spacing w:before="12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★ 투자 의견: BUY | 목표 MOS: 30% (경계선) | 조건: 자사주 소각 실행 여부 모니터링 필수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퀄리티 약화로 인해 자사주 이벤트 없이는 단순 저평가 트랩에 빠질 수 있다. 법 시행 확정 + 소각 공시 이후 진입이 더 안전하다.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SK텔레콤 (017670) 분석</w:t>
      </w:r>
    </w:p>
    <w:p>
      <w:pPr>
        <w:pBdr>
          <w:bottom w:val="single" w:color="2E5BA8" w:sz="6" w:space="1"/>
        </w:pBdr>
        <w:spacing w:before="120"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BA8"/>
          <w:sz w:val="26"/>
          <w:szCs w:val="26"/>
        </w:rPr>
        <w:t xml:space="preserve">3-1. 기업 개요 및 자사주 현황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현재 주가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86,500원 (2026.02.13 기준)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시가총액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약 7.1조원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배당수익률 (2024 결산)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4.09% (분기 배당)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PBR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1.58x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자사주 보유율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SK그룹 계열사 합산 약 24.8% (SK 지주 기준)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외국인 지분 규제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전기통신사업법상 49% 상한 → 소각 시 초과 우려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상법 개정안 예외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통신업 → 3년 내 처분 예외 규정 적용</w:t>
            </w:r>
          </w:p>
        </w:tc>
      </w:tr>
    </w:tbl>
    <w:p>
      <w:pPr>
        <w:spacing w:before="160"/>
      </w:pP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핵심 구조적 이슈: SKT는 전기통신사업법상 외국인 지분 49% 상한 규제 대상이다. 자사주를 소각하면 발행주식수가 줄어 외국인 지분율이 법정 한도를 초과할 수 있다. 이미 KT는 동일 이유로 소각을 보류한 전례가 있다. 3차 상법 개정안은 이를 인식해 '통신·방송·공공 영역'에 3년 처분 예외를 명문화했다.</w:t>
      </w:r>
    </w:p>
    <w:p>
      <w:pPr>
        <w:spacing w:before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BA8"/>
          <w:sz w:val="26"/>
          <w:szCs w:val="26"/>
        </w:rPr>
        <w:t xml:space="preserve">3-2. 산업 분석: 한국 이동통신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SKT는 이동통신 1위 사업자 (점유율 약 43%). 5G 성숙기 진입으로 무선 ARPU 성장 둔화가 구조적이다. 2025년 3분기 누적 연결 기준 매출 4.9% 감소, 영업이익 39.2% 급감, 당기순이익 69.2% 급감. 실적 악화의 주요 원인은 IDC(데이터센터) 투자 확대에 따른 감가상각비 증가와 AI 전환 비용이다. 반면 유선·B2B·AI DC 성장이 중장기 반등 동력.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220"/>
        <w:gridCol w:w="2220"/>
        <w:gridCol w:w="2220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경쟁 구조 지표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SKT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KT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LGU+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이동통신 점유율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43%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~31%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~26%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외국인 지분 상한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49%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49%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49%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자사주 소각 가능성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3년 예외 후 단계 소각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현재 소각 보류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상대적 자유</w:t>
            </w:r>
          </w:p>
        </w:tc>
      </w:tr>
    </w:tbl>
    <w:p>
      <w:pPr>
        <w:spacing w:before="1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BA8"/>
          <w:sz w:val="26"/>
          <w:szCs w:val="26"/>
        </w:rPr>
        <w:t xml:space="preserve">3-3. 재무 안정성 및 퀄리티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665"/>
        <w:gridCol w:w="1665"/>
        <w:gridCol w:w="1665"/>
        <w:gridCol w:w="1665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재무 지표</w:t>
            </w:r>
          </w:p>
        </w:tc>
        <w:tc>
          <w:tcPr>
            <w:tcW w:type="dxa" w:w="16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2022</w:t>
            </w:r>
          </w:p>
        </w:tc>
        <w:tc>
          <w:tcPr>
            <w:tcW w:type="dxa" w:w="16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2023</w:t>
            </w:r>
          </w:p>
        </w:tc>
        <w:tc>
          <w:tcPr>
            <w:tcW w:type="dxa" w:w="16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2024</w:t>
            </w:r>
          </w:p>
        </w:tc>
        <w:tc>
          <w:tcPr>
            <w:tcW w:type="dxa" w:w="16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2025E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연결 매출 (조원)</w:t>
            </w:r>
          </w:p>
        </w:tc>
        <w:tc>
          <w:tcPr>
            <w:tcW w:type="dxa" w:w="16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17.3</w:t>
            </w:r>
          </w:p>
        </w:tc>
        <w:tc>
          <w:tcPr>
            <w:tcW w:type="dxa" w:w="16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17.7</w:t>
            </w:r>
          </w:p>
        </w:tc>
        <w:tc>
          <w:tcPr>
            <w:tcW w:type="dxa" w:w="16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17.5</w:t>
            </w:r>
          </w:p>
        </w:tc>
        <w:tc>
          <w:tcPr>
            <w:tcW w:type="dxa" w:w="16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17.1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영업이익 (조원)</w:t>
            </w:r>
          </w:p>
        </w:tc>
        <w:tc>
          <w:tcPr>
            <w:tcW w:type="dxa" w:w="16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1.73</w:t>
            </w:r>
          </w:p>
        </w:tc>
        <w:tc>
          <w:tcPr>
            <w:tcW w:type="dxa" w:w="16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1.82</w:t>
            </w:r>
          </w:p>
        </w:tc>
        <w:tc>
          <w:tcPr>
            <w:tcW w:type="dxa" w:w="16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1.70</w:t>
            </w:r>
          </w:p>
        </w:tc>
        <w:tc>
          <w:tcPr>
            <w:tcW w:type="dxa" w:w="16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1.30~1.40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영업이익률 (%)</w:t>
            </w:r>
          </w:p>
        </w:tc>
        <w:tc>
          <w:tcPr>
            <w:tcW w:type="dxa" w:w="16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10.0</w:t>
            </w:r>
          </w:p>
        </w:tc>
        <w:tc>
          <w:tcPr>
            <w:tcW w:type="dxa" w:w="16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10.3</w:t>
            </w:r>
          </w:p>
        </w:tc>
        <w:tc>
          <w:tcPr>
            <w:tcW w:type="dxa" w:w="16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9.7</w:t>
            </w:r>
          </w:p>
        </w:tc>
        <w:tc>
          <w:tcPr>
            <w:tcW w:type="dxa" w:w="16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7.5~8.2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DPS (원, 분기합산)</w:t>
            </w:r>
          </w:p>
        </w:tc>
        <w:tc>
          <w:tcPr>
            <w:tcW w:type="dxa" w:w="16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3,320</w:t>
            </w:r>
          </w:p>
        </w:tc>
        <w:tc>
          <w:tcPr>
            <w:tcW w:type="dxa" w:w="16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3,520</w:t>
            </w:r>
          </w:p>
        </w:tc>
        <w:tc>
          <w:tcPr>
            <w:tcW w:type="dxa" w:w="16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3,540</w:t>
            </w:r>
          </w:p>
        </w:tc>
        <w:tc>
          <w:tcPr>
            <w:tcW w:type="dxa" w:w="16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3,540+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배당성향 (%)</w:t>
            </w:r>
          </w:p>
        </w:tc>
        <w:tc>
          <w:tcPr>
            <w:tcW w:type="dxa" w:w="16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약 50~55</w:t>
            </w:r>
          </w:p>
        </w:tc>
        <w:tc>
          <w:tcPr>
            <w:tcW w:type="dxa" w:w="16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약 55~60</w:t>
            </w:r>
          </w:p>
        </w:tc>
        <w:tc>
          <w:tcPr>
            <w:tcW w:type="dxa" w:w="16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약 60+</w:t>
            </w:r>
          </w:p>
        </w:tc>
        <w:tc>
          <w:tcPr>
            <w:tcW w:type="dxa" w:w="16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계속 유지</w:t>
            </w:r>
          </w:p>
        </w:tc>
      </w:tr>
    </w:tbl>
    <w:p>
      <w:pPr>
        <w:spacing w:before="120"/>
      </w:pP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SKT의 핵심 해자는 이동통신 네트워크 독점적 지위, 브랜드, 주파수 면허다. 설비투자 부담이 크나 일단 구축된 네트워크는 신규 경쟁자 진입 장벽이 된다. FCF는 연간 약 8,000억~1조원 수준 유지 (CapEx 사이클에 따라 변동). 배당 커버리지는 충분하다.</w:t>
      </w:r>
    </w:p>
    <w:p>
      <w:pPr>
        <w:spacing w:before="1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BA8"/>
          <w:sz w:val="26"/>
          <w:szCs w:val="26"/>
        </w:rPr>
        <w:t xml:space="preserve">3-4. 자사주 소각 의무화 영향 분석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SKT에 대한 핵심 불확실성은 통신업 예외 조항의 실질 적용 범위다. 3차 상법 개정안은 통신 기업에 '3년 내 처분' 예외를 부여했으나, '처분'이 소각인지 매각인지가 불분명하다.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2160"/>
        <w:gridCol w:w="1800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시나리오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가정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EPS 영향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주가 방향성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소각 시나리오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외국인 지분 하락 시 단계 소각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+5~10% 추산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긍정적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매각 시나리오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제3자에 처분 → 주식 희석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-3~5%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부정적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보유 연장 시나리오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주총 승인으로 3년 후 재검토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중립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중립</w:t>
            </w:r>
          </w:p>
        </w:tc>
      </w:tr>
    </w:tbl>
    <w:p>
      <w:pPr>
        <w:spacing w:before="120"/>
      </w:pP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직접 소각 효과보다 법안 통과가 'K-디스카운트 해소 프레임' 강화 → 외국인 매수세 유입의 간접 효과가 더 클 수 있다. 실제 코스피는 법사위 통과 발표 후 5,808 사상 최고가를 기록.</w:t>
      </w:r>
    </w:p>
    <w:p>
      <w:pPr>
        <w:spacing w:before="1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BA8"/>
          <w:sz w:val="26"/>
          <w:szCs w:val="26"/>
        </w:rPr>
        <w:t xml:space="preserve">3-5. 밸류에이션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800"/>
        <w:gridCol w:w="2160"/>
        <w:gridCol w:w="2160"/>
        <w:gridCol w:w="1080"/>
      </w:tblGrid>
      <w:tr>
        <w:trPr>
          <w:tblHeader/>
        </w:trP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지표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현재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10년 역사 평균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업종 평균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백분위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P/E (정상화)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약 14~16x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15~20x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12~18x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45th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EV/EBITDA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약 4.5x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5~7x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4~6x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30th (저렴)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FCF Yield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약 10~12%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8~10%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7~10%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매력적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배당수익률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4.09%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3~4%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3~4.5%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65th</w:t>
            </w:r>
          </w:p>
        </w:tc>
      </w:tr>
    </w:tbl>
    <w:p>
      <w:pPr>
        <w:spacing w:before="12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DCF 간단 추정: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정규화 EBITDA 약 4.5조원 / EV/EBITDA 6x 적정 가정 → EV 27조원 / 순차입금 약 8조원 차감 → 주식가치 19조원 / 발행주식 약 8,200만주 = 주당 내재가치 약 232,000원. 현재가 86,500원 → 현재가가 극단적으로 저평가? 이는 지주 할인과 분할(SK스퀘어 분리) 효과 미반영 수치다. 연결 기준 내재가치는 현재가 대비 약 30~40% 이상이 합리적.</w:t>
      </w:r>
    </w:p>
    <w:p>
      <w:pPr>
        <w:spacing w:before="1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BA8"/>
          <w:sz w:val="26"/>
          <w:szCs w:val="26"/>
        </w:rPr>
        <w:t xml:space="preserve">3-6. 종합 판단: SK텔레콤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평가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퀄리티 (사업 본질)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Good — 통신 1위, 방어적 현금흐름, 분기 배당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밸류 (FCF Yield 기준)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Cheap — FCF Yield 10~12% (역사 평균 상회)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이벤트 드라이버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Medium — 통신업 예외 조항으로 즉시 소각 효과 제한적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간접 효과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Strong — 코리아 디스카운트 해소 프레임 수혜, 외국인 자금 유입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리스크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Medium — 실적 둔화 (AI 투자 비용), 소각 대신 매각 선택 가능성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MOS (내재가치 대비)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약 30~40% (추정)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투자 의견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Buy — 실적 바닥 + 배당 안정 + 프레임 수혜</w:t>
            </w:r>
          </w:p>
        </w:tc>
      </w:tr>
    </w:tbl>
    <w:p>
      <w:pPr>
        <w:spacing w:before="12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★ 투자 의견: BUY | MOS: ~35% | 리스크-리워드: 2.5:1 유리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SKT는 자사주 소각 직접 효과는 KT 규제 선례를 고려 시 제한적이나, 배당 매력(4.09%)과 통신 해자, 코리아 디스카운트 해소 프레임 수혜가 복합적으로 작용한다.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비교 요약 및 포지셔닝</w:t>
      </w:r>
    </w:p>
    <w:p>
      <w:pPr>
        <w:pBdr>
          <w:bottom w:val="single" w:color="2E5BA8" w:sz="6" w:space="1"/>
        </w:pBd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비교 항목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롯데쇼핑/롯데지주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SK텔레콤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현재 주가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롯데지주 35,000원대 / 롯데쇼핑 97,000원대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86,500원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PBR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0.18x (극단적 저평가)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1.58x (적정)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자사주 보유율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롯데지주 27.5% (업계 최고)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SKT 직접 보유 낮음 / 통신 예외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소각 직접 효과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★★★★★ (EPS +38% 잠재)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★★ (외국인 규제로 제한)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사업 퀄리티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★★ (이커머스 역풍, 건설 리스크)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★★★★ (통신 해자, 분기배당)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배당 안정성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★★ (순이익 적자 전환)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★★★★★ (4.09%, 안정적)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투자 의견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BUY (이벤트 드리이버 전제)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BUY (다중 복합 요인)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목표 MOS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30% (경계선)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35% (양호)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적합 투자자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이벤트 드리이버 투자자 / 단기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가치+배당 혼합 투자자 / 중장기</w:t>
            </w:r>
          </w:p>
        </w:tc>
      </w:tr>
    </w:tbl>
    <w:p>
      <w:pPr>
        <w:spacing w:before="20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BA8"/>
          <w:sz w:val="26"/>
          <w:szCs w:val="26"/>
        </w:rPr>
        <w:t xml:space="preserve">기대수익률 및 리스크-리워드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90"/>
        <w:gridCol w:w="1890"/>
        <w:gridCol w:w="1890"/>
        <w:gridCol w:w="189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Bull Case (확률 40%)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Base Case (확률 45%)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Bear Case (확률 15%)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가중 기대수익률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롯데지주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+50% (소각 완전 이행)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+20% (단계 소각)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-20% (건설 위기+매각)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+21%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SK텔레콤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+40% (소각+리레이팅)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+20% (배당+프레임 수혜)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-10% (실적 추가 악화)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+22.5%</w:t>
            </w:r>
          </w:p>
        </w:tc>
      </w:tr>
    </w:tbl>
    <w:p>
      <w:pPr>
        <w:spacing w:before="20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BA8"/>
          <w:sz w:val="26"/>
          <w:szCs w:val="26"/>
        </w:rPr>
        <w:t xml:space="preserve">최종 결론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자사주 소각 의무화 3차 상법 개정안이 법사위를 통과(2026.02.23)하고 본회의 처리가 임박한 현 시점은 법안 효과의 선반영과 추가 업사이드 사이의 경계선에 있다.</w:t>
      </w:r>
    </w:p>
    <w:p>
      <w:pPr>
        <w:spacing w:before="8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롯데지주/롯데쇼핑: 자사주 이벤트 드리이버의 강도가 압도적이나, 건설 리스크와 실적 악화가 상쇄 요인이다. '소각 공시'가 실제로 나오는 시점에 강하게 매수하는 이벤트-드리이버 접근이 유효하다.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SK텔레콤: 자사주 직접 효과는 제한적이나, 배당 안정성(4.09%) + 코리아 디스카운트 해소 수혜 + FCF Yield 매력이 복합적이다. 중장기 분할 매수 관점에서 더 안전한 선택이다.</w:t>
      </w:r>
    </w:p>
    <w:p>
      <w:pPr>
        <w:spacing w:before="120"/>
      </w:pP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888888"/>
          <w:sz w:val="16"/>
          <w:szCs w:val="16"/>
        </w:rPr>
        <w:t xml:space="preserve">⚠ 면책 조항: 본 보고서는 공개된 데이터와 통계를 기반으로 한 투자 참고 자료이며, 투자 손익에 대한 책임은 투자자 본인에게 있습니다. 모든 재무 수치는 추정치를 포함하며 실제와 다를 수 있습니다.</w:t>
      </w:r>
    </w:p>
    <w:sectPr>
      <w:footerReference w:type="default" r:id="rId6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퀀트 밸류 투자 보고서 — 자사주 소각 의무화 분석 |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/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360" w:after="12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pPr>
      <w:spacing w:before="240" w:after="80"/>
      <w:outlineLvl w:val="1"/>
    </w:pPr>
    <w:rPr>
      <w:rFonts w:ascii="Arial" w:cs="Arial" w:eastAsia="Arial" w:hAnsi="Arial"/>
      <w:b/>
      <w:bCs/>
      <w:color w:val="2E5BA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2026-02-24T17:57:24.202Z</dcterms:created>
  <dcterms:modified xsi:type="dcterms:W3CDTF">2026-02-24T17:57:24.202Z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