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B6B" w:rsidRDefault="00191B6B" w:rsidP="00A6520D">
      <w:pPr>
        <w:pStyle w:val="Heading1"/>
        <w:rPr>
          <w:noProof/>
        </w:rPr>
      </w:pPr>
      <w:r>
        <w:rPr>
          <w:noProof/>
        </w:rPr>
        <w:t>Kroning-Penney model for superlattice structure</w:t>
      </w:r>
    </w:p>
    <w:p w:rsidR="000719DD" w:rsidRPr="000719DD" w:rsidRDefault="000719DD" w:rsidP="000719DD">
      <w:pPr>
        <w:pStyle w:val="Heading2"/>
      </w:pPr>
      <w:r>
        <w:t>1 band model</w:t>
      </w:r>
    </w:p>
    <w:p w:rsidR="00CA6322" w:rsidRPr="00CA6322" w:rsidRDefault="00CA6322" w:rsidP="000719DD">
      <w:pPr>
        <w:pStyle w:val="Heading3"/>
      </w:pPr>
      <w:r>
        <w:t xml:space="preserve">Analytical format </w:t>
      </w:r>
      <w:r w:rsidR="008C1AC9">
        <w:t xml:space="preserve">for </w:t>
      </w:r>
      <w:r>
        <w:t>2 materials, 1 band model</w:t>
      </w:r>
    </w:p>
    <w:p w:rsidR="00191B6B" w:rsidRDefault="00AD5CFE" w:rsidP="00191B6B">
      <w:r>
        <w:t xml:space="preserve">In a superlattice structure, every period </w:t>
      </w:r>
      <w:r w:rsidR="00D462F4">
        <w:t>consists</w:t>
      </w:r>
      <w:r>
        <w:t xml:space="preserve"> of a well material with a width of w and barrier material with a width of b. The length of a period is L=</w:t>
      </w:r>
      <w:proofErr w:type="spellStart"/>
      <w:r>
        <w:t>w+b</w:t>
      </w:r>
      <w:proofErr w:type="spellEnd"/>
      <w:r>
        <w:t xml:space="preserve">. The </w:t>
      </w:r>
      <w:r w:rsidR="00CA6322">
        <w:t>potential</w:t>
      </w:r>
      <w:r>
        <w:t xml:space="preserve"> within a period </w:t>
      </w:r>
      <w:r>
        <w:rPr>
          <w:sz w:val="21"/>
        </w:rPr>
        <w:t>0</w:t>
      </w:r>
      <w:r>
        <w:rPr>
          <w:i/>
          <w:sz w:val="21"/>
        </w:rPr>
        <w:t xml:space="preserve"> &lt; z &lt; L</w:t>
      </w:r>
      <w:r>
        <w:rPr>
          <w:sz w:val="21"/>
        </w:rPr>
        <w:t xml:space="preserve"> </w:t>
      </w:r>
      <w:r>
        <w:t xml:space="preserve"> is: </w:t>
      </w:r>
    </w:p>
    <w:p w:rsidR="00AD5CFE" w:rsidRDefault="00AD5CFE" w:rsidP="00191B6B">
      <w:pPr>
        <w:rPr>
          <w:rFonts w:ascii="Times New Roman" w:eastAsia="宋体" w:hAnsi="Times New Roman" w:cs="Times New Roman"/>
          <w:noProof/>
          <w:sz w:val="21"/>
          <w:szCs w:val="24"/>
        </w:rPr>
      </w:pPr>
      <w:r>
        <w:rPr>
          <w:rFonts w:ascii="Times New Roman" w:eastAsia="宋体" w:hAnsi="Times New Roman" w:cs="Times New Roman"/>
          <w:noProof/>
          <w:position w:val="-34"/>
          <w:sz w:val="21"/>
          <w:szCs w:val="24"/>
        </w:rPr>
        <w:object w:dxaOrig="37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36pt" o:ole="" fillcolor="window">
            <v:imagedata r:id="rId7" o:title=""/>
          </v:shape>
          <o:OLEObject Type="Embed" ProgID="Equation.DSMT4" ShapeID="_x0000_i1025" DrawAspect="Content" ObjectID="_1502536588" r:id="rId8"/>
        </w:object>
      </w:r>
      <w:r>
        <w:rPr>
          <w:rFonts w:ascii="Times New Roman" w:eastAsia="宋体" w:hAnsi="Times New Roman" w:cs="Times New Roman"/>
          <w:noProof/>
          <w:sz w:val="21"/>
          <w:szCs w:val="24"/>
        </w:rPr>
        <w:t>, n  is a integer.</w:t>
      </w:r>
      <w:r w:rsidR="00CA6322">
        <w:rPr>
          <w:rFonts w:ascii="Times New Roman" w:eastAsia="宋体" w:hAnsi="Times New Roman" w:cs="Times New Roman"/>
          <w:noProof/>
          <w:sz w:val="21"/>
          <w:szCs w:val="24"/>
        </w:rPr>
        <w:t xml:space="preserve"> The bottom of the well is set as 0 potential. </w:t>
      </w:r>
      <w:r>
        <w:rPr>
          <w:rFonts w:ascii="Times New Roman" w:eastAsia="宋体" w:hAnsi="Times New Roman" w:cs="Times New Roman"/>
          <w:noProof/>
          <w:sz w:val="21"/>
          <w:szCs w:val="24"/>
        </w:rPr>
        <w:t xml:space="preserve"> </w:t>
      </w:r>
    </w:p>
    <w:p w:rsidR="00DE7BFD" w:rsidRPr="0028374F" w:rsidRDefault="00C768FF" w:rsidP="0028374F">
      <w:r>
        <w:rPr>
          <w:rFonts w:ascii="Times New Roman" w:eastAsia="宋体" w:hAnsi="Times New Roman" w:cs="Times New Roman"/>
          <w:noProof/>
          <w:sz w:val="21"/>
          <w:szCs w:val="24"/>
        </w:rPr>
        <w:t>With continous and periodic boundary condition, t</w:t>
      </w:r>
      <w:r w:rsidR="00DF72A2">
        <w:rPr>
          <w:rFonts w:ascii="Times New Roman" w:eastAsia="宋体" w:hAnsi="Times New Roman" w:cs="Times New Roman"/>
          <w:noProof/>
          <w:sz w:val="21"/>
          <w:szCs w:val="24"/>
        </w:rPr>
        <w:t xml:space="preserve">he </w:t>
      </w:r>
      <w:r>
        <w:rPr>
          <w:rFonts w:ascii="Times New Roman" w:eastAsia="宋体" w:hAnsi="Times New Roman" w:cs="Times New Roman"/>
          <w:noProof/>
          <w:sz w:val="21"/>
          <w:szCs w:val="24"/>
        </w:rPr>
        <w:t xml:space="preserve">allowed </w:t>
      </w:r>
      <w:r w:rsidR="00DF72A2">
        <w:rPr>
          <w:rFonts w:ascii="Times New Roman" w:eastAsia="宋体" w:hAnsi="Times New Roman" w:cs="Times New Roman"/>
          <w:noProof/>
          <w:sz w:val="21"/>
          <w:szCs w:val="24"/>
        </w:rPr>
        <w:t>energies</w:t>
      </w:r>
      <w:r w:rsidR="00E85707">
        <w:rPr>
          <w:rFonts w:ascii="Times New Roman" w:eastAsia="宋体" w:hAnsi="Times New Roman" w:cs="Times New Roman"/>
          <w:noProof/>
          <w:sz w:val="21"/>
          <w:szCs w:val="24"/>
        </w:rPr>
        <w:t xml:space="preserve"> </w:t>
      </w:r>
      <w:r w:rsidR="00DF72A2">
        <w:rPr>
          <w:rFonts w:ascii="Times New Roman" w:eastAsia="宋体" w:hAnsi="Times New Roman" w:cs="Times New Roman"/>
          <w:noProof/>
          <w:sz w:val="21"/>
          <w:szCs w:val="24"/>
        </w:rPr>
        <w:t>should satisfy the following equations:</w:t>
      </w:r>
      <w:r w:rsidR="007B4437" w:rsidRPr="007B4437">
        <w:rPr>
          <w:rFonts w:ascii="Times New Roman" w:eastAsia="宋体" w:hAnsi="Times New Roman" w:cs="Times New Roman"/>
          <w:noProof/>
          <w:position w:val="-30"/>
          <w:sz w:val="21"/>
          <w:szCs w:val="24"/>
        </w:rPr>
        <w:object w:dxaOrig="7760" w:dyaOrig="720">
          <v:shape id="_x0000_i1056" type="#_x0000_t75" style="width:356.2pt;height:33.25pt" o:ole="">
            <v:imagedata r:id="rId9" o:title=""/>
          </v:shape>
          <o:OLEObject Type="Embed" ProgID="Equation.DSMT4" ShapeID="_x0000_i1056" DrawAspect="Content" ObjectID="_1502536589" r:id="rId10"/>
        </w:object>
      </w:r>
    </w:p>
    <w:p w:rsidR="00191B6B" w:rsidRDefault="00E85707" w:rsidP="00191B6B">
      <w:pPr>
        <w:rPr>
          <w:rFonts w:ascii="Times New Roman" w:eastAsia="宋体" w:hAnsi="Times New Roman" w:cs="Times New Roman"/>
          <w:noProof/>
          <w:sz w:val="21"/>
          <w:szCs w:val="24"/>
        </w:rPr>
      </w:pPr>
      <w:r w:rsidRPr="00191B6B">
        <w:rPr>
          <w:position w:val="-30"/>
        </w:rPr>
        <w:object w:dxaOrig="1680" w:dyaOrig="680">
          <v:shape id="_x0000_i1026" type="#_x0000_t75" style="width:84pt;height:33.8pt" o:ole="">
            <v:imagedata r:id="rId11" o:title=""/>
          </v:shape>
          <o:OLEObject Type="Embed" ProgID="Equation.DSMT4" ShapeID="_x0000_i1026" DrawAspect="Content" ObjectID="_1502536590" r:id="rId12"/>
        </w:object>
      </w:r>
      <w:r w:rsidR="00DC6F4F">
        <w:t>,</w:t>
      </w:r>
      <w:r w:rsidR="002D6A06">
        <w:rPr>
          <w:rFonts w:ascii="Times New Roman" w:eastAsia="宋体" w:hAnsi="Times New Roman" w:cs="Times New Roman"/>
          <w:noProof/>
          <w:position w:val="-26"/>
          <w:sz w:val="21"/>
          <w:szCs w:val="24"/>
        </w:rPr>
        <w:object w:dxaOrig="3420" w:dyaOrig="700">
          <v:shape id="_x0000_i1027" type="#_x0000_t75" style="width:154.9pt;height:31.65pt" o:ole="" fillcolor="window">
            <v:imagedata r:id="rId13" o:title=""/>
          </v:shape>
          <o:OLEObject Type="Embed" ProgID="Equation.DSMT4" ShapeID="_x0000_i1027" DrawAspect="Content" ObjectID="_1502536591" r:id="rId14"/>
        </w:object>
      </w:r>
    </w:p>
    <w:p w:rsidR="00062D22" w:rsidRPr="00CA6322" w:rsidRDefault="00062D22" w:rsidP="000719DD">
      <w:pPr>
        <w:pStyle w:val="Heading3"/>
      </w:pPr>
      <w:r>
        <w:t>Transfer matrix for 2 materials, 1 band model</w:t>
      </w:r>
    </w:p>
    <w:p w:rsidR="00C942AB" w:rsidRPr="00C942AB" w:rsidRDefault="00062D22" w:rsidP="00C942AB">
      <w:r>
        <w:t>To facilitate the input of band alignment parameters,  the potentials are redefined as:</w:t>
      </w:r>
    </w:p>
    <w:p w:rsidR="00A126CD" w:rsidRDefault="00F432AA" w:rsidP="00A126CD">
      <w:r w:rsidRPr="00A126CD">
        <w:rPr>
          <w:position w:val="-32"/>
        </w:rPr>
        <w:object w:dxaOrig="4740" w:dyaOrig="760">
          <v:shape id="_x0000_i1028" type="#_x0000_t75" style="width:237.25pt;height:38.2pt" o:ole="">
            <v:imagedata r:id="rId15" o:title=""/>
          </v:shape>
          <o:OLEObject Type="Embed" ProgID="Equation.DSMT4" ShapeID="_x0000_i1028" DrawAspect="Content" ObjectID="_1502536592" r:id="rId16"/>
        </w:object>
      </w:r>
    </w:p>
    <w:p w:rsidR="00D93332" w:rsidRDefault="00D93332" w:rsidP="00A126CD">
      <w:pPr>
        <w:rPr>
          <w:rFonts w:ascii="Times New Roman" w:eastAsia="宋体" w:hAnsi="Times New Roman" w:cs="Times New Roman"/>
          <w:noProof/>
          <w:sz w:val="21"/>
          <w:szCs w:val="24"/>
        </w:rPr>
      </w:pPr>
      <w:r>
        <w:rPr>
          <w:rFonts w:ascii="Times New Roman" w:eastAsia="宋体" w:hAnsi="Times New Roman" w:cs="Times New Roman"/>
          <w:noProof/>
          <w:sz w:val="21"/>
          <w:szCs w:val="24"/>
        </w:rPr>
        <w:t xml:space="preserve">With continous and periodic boundary condition, the eigen function is </w:t>
      </w:r>
      <w:bookmarkStart w:id="0" w:name="_GoBack"/>
      <w:bookmarkEnd w:id="0"/>
    </w:p>
    <w:p w:rsidR="00D93332" w:rsidRDefault="00D93332" w:rsidP="00A126CD">
      <w:pPr>
        <w:rPr>
          <w:rFonts w:ascii="Times New Roman" w:eastAsia="宋体" w:hAnsi="Times New Roman" w:cs="Times New Roman"/>
          <w:noProof/>
          <w:sz w:val="21"/>
          <w:szCs w:val="24"/>
        </w:rPr>
      </w:pPr>
      <w:r w:rsidRPr="00D93332">
        <w:rPr>
          <w:rFonts w:ascii="Times New Roman" w:eastAsia="宋体" w:hAnsi="Times New Roman" w:cs="Times New Roman"/>
          <w:noProof/>
          <w:position w:val="-32"/>
          <w:sz w:val="21"/>
          <w:szCs w:val="24"/>
        </w:rPr>
        <w:object w:dxaOrig="1520" w:dyaOrig="760">
          <v:shape id="_x0000_i1029" type="#_x0000_t75" style="width:75.8pt;height:38.2pt" o:ole="">
            <v:imagedata r:id="rId17" o:title=""/>
          </v:shape>
          <o:OLEObject Type="Embed" ProgID="Equation.DSMT4" ShapeID="_x0000_i1029" DrawAspect="Content" ObjectID="_1502536593" r:id="rId18"/>
        </w:object>
      </w:r>
      <w:r>
        <w:rPr>
          <w:rFonts w:ascii="Times New Roman" w:eastAsia="宋体" w:hAnsi="Times New Roman" w:cs="Times New Roman"/>
          <w:noProof/>
          <w:sz w:val="21"/>
          <w:szCs w:val="24"/>
        </w:rPr>
        <w:t>,</w:t>
      </w:r>
      <w:r w:rsidRPr="00D93332">
        <w:rPr>
          <w:rFonts w:ascii="Times New Roman" w:eastAsia="宋体" w:hAnsi="Times New Roman" w:cs="Times New Roman"/>
          <w:noProof/>
          <w:position w:val="-14"/>
          <w:sz w:val="21"/>
          <w:szCs w:val="24"/>
        </w:rPr>
        <w:object w:dxaOrig="960" w:dyaOrig="400">
          <v:shape id="_x0000_i1030" type="#_x0000_t75" style="width:48pt;height:20.2pt" o:ole="">
            <v:imagedata r:id="rId19" o:title=""/>
          </v:shape>
          <o:OLEObject Type="Embed" ProgID="Equation.DSMT4" ShapeID="_x0000_i1030" DrawAspect="Content" ObjectID="_1502536594" r:id="rId20"/>
        </w:object>
      </w:r>
    </w:p>
    <w:p w:rsidR="00D93332" w:rsidRDefault="00BF7A05" w:rsidP="00A126CD">
      <w:r>
        <w:rPr>
          <w:rFonts w:ascii="Times New Roman" w:eastAsia="宋体" w:hAnsi="Times New Roman" w:cs="Times New Roman"/>
          <w:noProof/>
          <w:sz w:val="21"/>
          <w:szCs w:val="24"/>
        </w:rPr>
        <w:t xml:space="preserve">To get a physically meaningful </w:t>
      </w:r>
      <w:r w:rsidR="00D93332">
        <w:rPr>
          <w:rFonts w:ascii="Times New Roman" w:eastAsia="宋体" w:hAnsi="Times New Roman" w:cs="Times New Roman"/>
          <w:noProof/>
          <w:sz w:val="21"/>
          <w:szCs w:val="24"/>
        </w:rPr>
        <w:t xml:space="preserve">solution, it’s required that  </w:t>
      </w:r>
      <w:r w:rsidR="00656521" w:rsidRPr="00D93332">
        <w:rPr>
          <w:rFonts w:ascii="Times New Roman" w:eastAsia="宋体" w:hAnsi="Times New Roman" w:cs="Times New Roman"/>
          <w:noProof/>
          <w:position w:val="-28"/>
          <w:sz w:val="21"/>
          <w:szCs w:val="24"/>
        </w:rPr>
        <w:object w:dxaOrig="1980" w:dyaOrig="680">
          <v:shape id="_x0000_i1031" type="#_x0000_t75" style="width:99.25pt;height:33.8pt" o:ole="">
            <v:imagedata r:id="rId21" o:title=""/>
          </v:shape>
          <o:OLEObject Type="Embed" ProgID="Equation.DSMT4" ShapeID="_x0000_i1031" DrawAspect="Content" ObjectID="_1502536595" r:id="rId22"/>
        </w:object>
      </w:r>
    </w:p>
    <w:p w:rsidR="00F432AA" w:rsidRDefault="00BF7A05" w:rsidP="00A126CD">
      <w:r>
        <w:t xml:space="preserve">where </w:t>
      </w:r>
      <w:r w:rsidR="00F62B9A" w:rsidRPr="000719DD">
        <w:rPr>
          <w:position w:val="-28"/>
        </w:rPr>
        <w:object w:dxaOrig="7339" w:dyaOrig="680">
          <v:shape id="_x0000_i1032" type="#_x0000_t75" style="width:367.1pt;height:33.8pt" o:ole="" o:bordertopcolor="red" o:borderleftcolor="red" o:borderbottomcolor="red" o:borderrightcolor="red">
            <v:imagedata r:id="rId23" o:title=""/>
            <w10:bordertop type="single" width="4"/>
            <w10:borderleft type="single" width="4"/>
            <w10:borderbottom type="single" width="4"/>
            <w10:borderright type="single" width="4"/>
          </v:shape>
          <o:OLEObject Type="Embed" ProgID="Equation.DSMT4" ShapeID="_x0000_i1032" DrawAspect="Content" ObjectID="_1502536596" r:id="rId24"/>
        </w:object>
      </w:r>
    </w:p>
    <w:p w:rsidR="00F62B9A" w:rsidRDefault="007B4437" w:rsidP="00A126CD">
      <w:pPr>
        <w:rPr>
          <w:rFonts w:ascii="Times New Roman" w:eastAsia="宋体" w:hAnsi="Times New Roman" w:cs="Times New Roman"/>
          <w:noProof/>
          <w:sz w:val="21"/>
          <w:szCs w:val="24"/>
        </w:rPr>
      </w:pPr>
      <w:r w:rsidRPr="00F62B9A">
        <w:rPr>
          <w:rFonts w:ascii="Times New Roman" w:eastAsia="宋体" w:hAnsi="Times New Roman" w:cs="Times New Roman"/>
          <w:noProof/>
          <w:position w:val="-30"/>
          <w:sz w:val="21"/>
          <w:szCs w:val="24"/>
        </w:rPr>
        <w:object w:dxaOrig="5920" w:dyaOrig="740">
          <v:shape id="_x0000_i1057" type="#_x0000_t75" style="width:267.8pt;height:33.25pt" o:ole="" fillcolor="window">
            <v:imagedata r:id="rId25" o:title=""/>
          </v:shape>
          <o:OLEObject Type="Embed" ProgID="Equation.DSMT4" ShapeID="_x0000_i1057" DrawAspect="Content" ObjectID="_1502536597" r:id="rId26"/>
        </w:object>
      </w:r>
    </w:p>
    <w:p w:rsidR="000719DD" w:rsidRDefault="000719DD" w:rsidP="000719DD">
      <w:pPr>
        <w:pStyle w:val="Heading1"/>
      </w:pPr>
      <w:r>
        <w:t xml:space="preserve">The </w:t>
      </w:r>
      <w:proofErr w:type="spellStart"/>
      <w:r>
        <w:t>k·p</w:t>
      </w:r>
      <w:proofErr w:type="spellEnd"/>
      <w:r>
        <w:t xml:space="preserve"> theory for 2 band model</w:t>
      </w:r>
    </w:p>
    <w:p w:rsidR="000719DD" w:rsidRDefault="000719DD" w:rsidP="000719DD">
      <w:r>
        <w:t xml:space="preserve">In Bloch Theorem, wave function is given by </w:t>
      </w:r>
      <w:r w:rsidRPr="007852ED">
        <w:rPr>
          <w:position w:val="-12"/>
        </w:rPr>
        <w:object w:dxaOrig="5420" w:dyaOrig="380">
          <v:shape id="_x0000_i1033" type="#_x0000_t75" style="width:270.55pt;height:18.55pt" o:ole="">
            <v:imagedata r:id="rId27" o:title=""/>
          </v:shape>
          <o:OLEObject Type="Embed" ProgID="Equation.DSMT4" ShapeID="_x0000_i1033" DrawAspect="Content" ObjectID="_1502536598" r:id="rId28"/>
        </w:object>
      </w:r>
    </w:p>
    <w:p w:rsidR="000719DD" w:rsidRDefault="000719DD" w:rsidP="000719DD">
      <w:r>
        <w:t>Apply to Schrodinger equation:</w:t>
      </w:r>
      <w:r w:rsidRPr="005D299B">
        <w:t xml:space="preserve"> </w:t>
      </w:r>
      <w:r w:rsidRPr="005D299B">
        <w:rPr>
          <w:position w:val="-30"/>
        </w:rPr>
        <w:object w:dxaOrig="4220" w:dyaOrig="720">
          <v:shape id="_x0000_i1034" type="#_x0000_t75" style="width:210.55pt;height:36pt" o:ole="">
            <v:imagedata r:id="rId29" o:title=""/>
          </v:shape>
          <o:OLEObject Type="Embed" ProgID="Equation.DSMT4" ShapeID="_x0000_i1034" DrawAspect="Content" ObjectID="_1502536599" r:id="rId30"/>
        </w:object>
      </w:r>
    </w:p>
    <w:p w:rsidR="000719DD" w:rsidRDefault="000719DD" w:rsidP="000719DD">
      <w:r>
        <w:lastRenderedPageBreak/>
        <w:t xml:space="preserve">If only two strongly interacting non-degenerate bands are considered (e.g., conduction band and light hole valence band), we call them class A as in </w:t>
      </w:r>
      <w:proofErr w:type="spellStart"/>
      <w:r>
        <w:t>Lowdin’s</w:t>
      </w:r>
      <w:proofErr w:type="spellEnd"/>
      <w:r>
        <w:t xml:space="preserve"> method. </w:t>
      </w:r>
    </w:p>
    <w:p w:rsidR="000719DD" w:rsidRPr="000A7B10" w:rsidRDefault="000719DD" w:rsidP="000719DD">
      <w:r>
        <w:t>Assuming</w:t>
      </w:r>
      <w:r w:rsidRPr="007852ED">
        <w:rPr>
          <w:position w:val="-12"/>
        </w:rPr>
        <w:object w:dxaOrig="6020" w:dyaOrig="360">
          <v:shape id="_x0000_i1035" type="#_x0000_t75" style="width:300.55pt;height:18pt" o:ole="">
            <v:imagedata r:id="rId31" o:title=""/>
          </v:shape>
          <o:OLEObject Type="Embed" ProgID="Equation.DSMT4" ShapeID="_x0000_i1035" DrawAspect="Content" ObjectID="_1502536600" r:id="rId32"/>
        </w:object>
      </w:r>
      <w:r>
        <w:t>, we have</w:t>
      </w:r>
    </w:p>
    <w:p w:rsidR="000719DD" w:rsidRDefault="000719DD" w:rsidP="000719DD">
      <w:r w:rsidRPr="00B23187">
        <w:rPr>
          <w:position w:val="-68"/>
        </w:rPr>
        <w:object w:dxaOrig="3840" w:dyaOrig="1480">
          <v:shape id="_x0000_i1036" type="#_x0000_t75" style="width:192pt;height:74.2pt" o:ole="">
            <v:imagedata r:id="rId33" o:title=""/>
          </v:shape>
          <o:OLEObject Type="Embed" ProgID="Equation.DSMT4" ShapeID="_x0000_i1036" DrawAspect="Content" ObjectID="_1502536601" r:id="rId34"/>
        </w:object>
      </w:r>
    </w:p>
    <w:p w:rsidR="000719DD" w:rsidRDefault="000719DD" w:rsidP="000719DD">
      <w:r>
        <w:t xml:space="preserve">A general solution is </w:t>
      </w:r>
    </w:p>
    <w:p w:rsidR="000719DD" w:rsidRDefault="000719DD" w:rsidP="000719DD">
      <w:r w:rsidRPr="00B23187">
        <w:rPr>
          <w:position w:val="-32"/>
        </w:rPr>
        <w:object w:dxaOrig="5020" w:dyaOrig="760">
          <v:shape id="_x0000_i1037" type="#_x0000_t75" style="width:251.45pt;height:38.2pt" o:ole="">
            <v:imagedata r:id="rId35" o:title=""/>
          </v:shape>
          <o:OLEObject Type="Embed" ProgID="Equation.DSMT4" ShapeID="_x0000_i1037" DrawAspect="Content" ObjectID="_1502536602" r:id="rId36"/>
        </w:object>
      </w:r>
    </w:p>
    <w:p w:rsidR="000719DD" w:rsidRDefault="000719DD" w:rsidP="000719DD">
      <w:pPr>
        <w:rPr>
          <w:position w:val="-32"/>
        </w:rPr>
      </w:pPr>
      <w:r w:rsidRPr="00A42845">
        <w:rPr>
          <w:position w:val="-32"/>
        </w:rPr>
        <w:object w:dxaOrig="5980" w:dyaOrig="780">
          <v:shape id="_x0000_i1038" type="#_x0000_t75" style="width:298.9pt;height:39.8pt" o:ole="" o:bordertopcolor="red" o:borderleftcolor="red" o:borderbottomcolor="red" o:borderrightcolor="red">
            <v:imagedata r:id="rId37" o:title=""/>
            <w10:bordertop type="single" width="12"/>
            <w10:borderleft type="single" width="12"/>
            <w10:borderbottom type="single" width="12"/>
            <w10:borderright type="single" width="12"/>
          </v:shape>
          <o:OLEObject Type="Embed" ProgID="Equation.DSMT4" ShapeID="_x0000_i1038" DrawAspect="Content" ObjectID="_1502536603" r:id="rId38"/>
        </w:object>
      </w:r>
      <w:r>
        <w:rPr>
          <w:position w:val="-24"/>
        </w:rPr>
        <w:t>,</w:t>
      </w:r>
    </w:p>
    <w:p w:rsidR="000719DD" w:rsidRDefault="000719DD" w:rsidP="000719DD">
      <w:r>
        <w:t>k has positive imaginary part for electron wave in energy gap and negative part for hole wave in energy gap</w:t>
      </w:r>
    </w:p>
    <w:p w:rsidR="000719DD" w:rsidRPr="00193792" w:rsidRDefault="000719DD" w:rsidP="000719DD">
      <w:pPr>
        <w:rPr>
          <w:position w:val="-32"/>
        </w:rPr>
      </w:pPr>
      <w:r w:rsidRPr="007852ED">
        <w:rPr>
          <w:position w:val="-30"/>
        </w:rPr>
        <w:object w:dxaOrig="1740" w:dyaOrig="740">
          <v:shape id="_x0000_i1039" type="#_x0000_t75" style="width:87.25pt;height:36.55pt" o:ole="">
            <v:imagedata r:id="rId39" o:title=""/>
          </v:shape>
          <o:OLEObject Type="Embed" ProgID="Equation.DSMT4" ShapeID="_x0000_i1039" DrawAspect="Content" ObjectID="_1502536604" r:id="rId40"/>
        </w:object>
      </w:r>
      <w:r>
        <w:t xml:space="preserve"> , could be experimentally determined by </w:t>
      </w:r>
      <w:r w:rsidRPr="00B23187">
        <w:rPr>
          <w:position w:val="-32"/>
        </w:rPr>
        <w:object w:dxaOrig="1579" w:dyaOrig="740">
          <v:shape id="_x0000_i1040" type="#_x0000_t75" style="width:79.1pt;height:36.55pt" o:ole="" o:bordertopcolor="red" o:borderleftcolor="red" o:borderbottomcolor="red" o:borderrightcolor="red">
            <v:imagedata r:id="rId41" o:title=""/>
            <w10:bordertop type="single" width="12"/>
            <w10:borderleft type="single" width="12"/>
            <w10:borderbottom type="single" width="12"/>
            <w10:borderright type="single" width="12"/>
          </v:shape>
          <o:OLEObject Type="Embed" ProgID="Equation.DSMT4" ShapeID="_x0000_i1040" DrawAspect="Content" ObjectID="_1502536605" r:id="rId42"/>
        </w:object>
      </w:r>
    </w:p>
    <w:p w:rsidR="000719DD" w:rsidRDefault="000719DD" w:rsidP="000719DD">
      <w:pPr>
        <w:pStyle w:val="Heading3"/>
      </w:pPr>
      <w:r>
        <w:t>Basic expression, 2 materials</w:t>
      </w:r>
    </w:p>
    <w:p w:rsidR="000719DD" w:rsidRPr="00A14D3A" w:rsidRDefault="000719DD" w:rsidP="000719DD">
      <w:r>
        <w:t xml:space="preserve">Assume A,B is the amplitude of </w:t>
      </w:r>
      <w:proofErr w:type="spellStart"/>
      <w:r>
        <w:t>wavefunction</w:t>
      </w:r>
      <w:proofErr w:type="spellEnd"/>
      <w:r>
        <w:t xml:space="preserve"> in wells, C,D is the amplitude of </w:t>
      </w:r>
      <w:proofErr w:type="spellStart"/>
      <w:r>
        <w:t>wavefunction</w:t>
      </w:r>
      <w:proofErr w:type="spellEnd"/>
      <w:r>
        <w:t xml:space="preserve"> in the barrier.</w:t>
      </w:r>
    </w:p>
    <w:p w:rsidR="000719DD" w:rsidRDefault="000719DD" w:rsidP="000719DD">
      <w:r>
        <w:t xml:space="preserve">From left to right, the </w:t>
      </w:r>
      <w:proofErr w:type="spellStart"/>
      <w:r>
        <w:t>wavefunction</w:t>
      </w:r>
      <w:proofErr w:type="spellEnd"/>
      <w:r>
        <w:t xml:space="preserve"> is </w:t>
      </w:r>
    </w:p>
    <w:p w:rsidR="000719DD" w:rsidRDefault="000719DD" w:rsidP="000719DD">
      <w:pPr>
        <w:rPr>
          <w:noProof/>
        </w:rPr>
      </w:pPr>
      <w:r w:rsidRPr="00884719">
        <w:rPr>
          <w:noProof/>
          <w:position w:val="-112"/>
        </w:rPr>
        <w:object w:dxaOrig="10080" w:dyaOrig="2360">
          <v:shape id="_x0000_i1041" type="#_x0000_t75" style="width:503.45pt;height:117.8pt" o:ole="">
            <v:imagedata r:id="rId43" o:title=""/>
          </v:shape>
          <o:OLEObject Type="Embed" ProgID="Equation.DSMT4" ShapeID="_x0000_i1041" DrawAspect="Content" ObjectID="_1502536606" r:id="rId44"/>
        </w:object>
      </w:r>
    </w:p>
    <w:p w:rsidR="000719DD" w:rsidRDefault="000719DD" w:rsidP="000719DD">
      <w:pPr>
        <w:pStyle w:val="Heading3"/>
        <w:rPr>
          <w:noProof/>
        </w:rPr>
      </w:pPr>
      <w:r>
        <w:rPr>
          <w:noProof/>
        </w:rPr>
        <w:lastRenderedPageBreak/>
        <w:t>Continuity at interface x=0 and b</w:t>
      </w:r>
    </w:p>
    <w:p w:rsidR="000719DD" w:rsidRDefault="000719DD" w:rsidP="000719DD">
      <w:r w:rsidRPr="00CA24A4">
        <w:rPr>
          <w:position w:val="-222"/>
        </w:rPr>
        <w:object w:dxaOrig="9020" w:dyaOrig="4260">
          <v:shape id="_x0000_i1042" type="#_x0000_t75" style="width:451.1pt;height:213.25pt" o:ole="">
            <v:imagedata r:id="rId45" o:title=""/>
          </v:shape>
          <o:OLEObject Type="Embed" ProgID="Equation.DSMT4" ShapeID="_x0000_i1042" DrawAspect="Content" ObjectID="_1502536607" r:id="rId46"/>
        </w:object>
      </w:r>
    </w:p>
    <w:p w:rsidR="000719DD" w:rsidRDefault="000719DD" w:rsidP="000719DD">
      <w:pPr>
        <w:pStyle w:val="Heading3"/>
      </w:pPr>
      <w:r>
        <w:t>Periodic Boundary condition</w:t>
      </w:r>
    </w:p>
    <w:p w:rsidR="000719DD" w:rsidRDefault="000719DD" w:rsidP="000719DD">
      <w:r w:rsidRPr="003627E8">
        <w:rPr>
          <w:position w:val="-32"/>
        </w:rPr>
        <w:object w:dxaOrig="5660" w:dyaOrig="760">
          <v:shape id="_x0000_i1043" type="#_x0000_t75" style="width:283.1pt;height:37.65pt" o:ole="">
            <v:imagedata r:id="rId47" o:title=""/>
          </v:shape>
          <o:OLEObject Type="Embed" ProgID="Equation.DSMT4" ShapeID="_x0000_i1043" DrawAspect="Content" ObjectID="_1502536608" r:id="rId48"/>
        </w:object>
      </w:r>
    </w:p>
    <w:p w:rsidR="000719DD" w:rsidRPr="00C15B21" w:rsidRDefault="000719DD" w:rsidP="000719DD">
      <w:r w:rsidRPr="003627E8">
        <w:rPr>
          <w:position w:val="-4"/>
        </w:rPr>
        <w:object w:dxaOrig="9820" w:dyaOrig="4940">
          <v:shape id="_x0000_i1044" type="#_x0000_t75" style="width:490.9pt;height:253.1pt" o:ole="">
            <v:imagedata r:id="rId49" o:title=""/>
          </v:shape>
          <o:OLEObject Type="Embed" ProgID="Equation.DSMT4" ShapeID="_x0000_i1044" DrawAspect="Content" ObjectID="_1502536609" r:id="rId50"/>
        </w:object>
      </w:r>
    </w:p>
    <w:p w:rsidR="000719DD" w:rsidRDefault="000719DD" w:rsidP="000719DD">
      <w:r>
        <w:lastRenderedPageBreak/>
        <w:t xml:space="preserve"> </w:t>
      </w:r>
      <w:r w:rsidRPr="003627E8">
        <w:rPr>
          <w:position w:val="-134"/>
        </w:rPr>
        <w:object w:dxaOrig="6860" w:dyaOrig="2799">
          <v:shape id="_x0000_i1045" type="#_x0000_t75" style="width:343.1pt;height:139.65pt" o:ole="">
            <v:imagedata r:id="rId51" o:title=""/>
          </v:shape>
          <o:OLEObject Type="Embed" ProgID="Equation.DSMT4" ShapeID="_x0000_i1045" DrawAspect="Content" ObjectID="_1502536610" r:id="rId52"/>
        </w:object>
      </w:r>
    </w:p>
    <w:p w:rsidR="000719DD" w:rsidRDefault="000719DD" w:rsidP="000719DD">
      <w:r w:rsidRPr="00C564BC">
        <w:rPr>
          <w:position w:val="-30"/>
        </w:rPr>
        <w:object w:dxaOrig="8520" w:dyaOrig="680">
          <v:shape id="_x0000_i1046" type="#_x0000_t75" style="width:426pt;height:34.35pt" o:ole="">
            <v:imagedata r:id="rId53" o:title=""/>
          </v:shape>
          <o:OLEObject Type="Embed" ProgID="Equation.DSMT4" ShapeID="_x0000_i1046" DrawAspect="Content" ObjectID="_1502536611" r:id="rId54"/>
        </w:object>
      </w:r>
    </w:p>
    <w:p w:rsidR="000719DD" w:rsidRDefault="000719DD" w:rsidP="000719DD">
      <w:r w:rsidRPr="00A42845">
        <w:rPr>
          <w:position w:val="-34"/>
        </w:rPr>
        <w:object w:dxaOrig="6720" w:dyaOrig="800">
          <v:shape id="_x0000_i1047" type="#_x0000_t75" style="width:336pt;height:40.35pt" o:ole="" o:bordertopcolor="red" o:borderleftcolor="red" o:borderbottomcolor="red" o:borderrightcolor="red">
            <v:imagedata r:id="rId55" o:title=""/>
            <w10:bordertop type="single" width="12"/>
            <w10:borderleft type="single" width="12"/>
            <w10:borderbottom type="single" width="12"/>
            <w10:borderright type="single" width="12"/>
          </v:shape>
          <o:OLEObject Type="Embed" ProgID="Equation.DSMT4" ShapeID="_x0000_i1047" DrawAspect="Content" ObjectID="_1502536612" r:id="rId56"/>
        </w:object>
      </w:r>
    </w:p>
    <w:p w:rsidR="000719DD" w:rsidRDefault="000719DD" w:rsidP="000719DD">
      <w:r>
        <w:t xml:space="preserve">This formula is very similar to one band model. The only difference is the definition of k and </w:t>
      </w:r>
      <w:r w:rsidRPr="003627E8">
        <w:rPr>
          <w:position w:val="-10"/>
        </w:rPr>
        <w:object w:dxaOrig="240" w:dyaOrig="320">
          <v:shape id="_x0000_i1048" type="#_x0000_t75" style="width:12pt;height:16.35pt" o:ole="">
            <v:imagedata r:id="rId57" o:title=""/>
          </v:shape>
          <o:OLEObject Type="Embed" ProgID="Equation.DSMT4" ShapeID="_x0000_i1048" DrawAspect="Content" ObjectID="_1502536613" r:id="rId58"/>
        </w:object>
      </w:r>
    </w:p>
    <w:p w:rsidR="000719DD" w:rsidRDefault="000719DD" w:rsidP="000719DD">
      <w:pPr>
        <w:pStyle w:val="Heading3"/>
      </w:pPr>
      <w:r>
        <w:t>Normalization</w:t>
      </w:r>
    </w:p>
    <w:p w:rsidR="000719DD" w:rsidRPr="008511FC" w:rsidRDefault="000719DD" w:rsidP="000719DD">
      <w:r w:rsidRPr="008823EE">
        <w:rPr>
          <w:position w:val="-28"/>
        </w:rPr>
        <w:object w:dxaOrig="6120" w:dyaOrig="660">
          <v:shape id="_x0000_i1049" type="#_x0000_t75" style="width:306pt;height:33.25pt" o:ole="">
            <v:imagedata r:id="rId59" o:title=""/>
          </v:shape>
          <o:OLEObject Type="Embed" ProgID="Equation.DSMT4" ShapeID="_x0000_i1049" DrawAspect="Content" ObjectID="_1502536614" r:id="rId60"/>
        </w:object>
      </w:r>
    </w:p>
    <w:p w:rsidR="000719DD" w:rsidRDefault="000719DD" w:rsidP="000719DD">
      <w:pPr>
        <w:pStyle w:val="Heading2"/>
      </w:pPr>
      <w:r>
        <w:t xml:space="preserve">3 </w:t>
      </w:r>
      <w:r w:rsidR="00E9031E">
        <w:t xml:space="preserve">or more </w:t>
      </w:r>
      <w:r>
        <w:t>materials in 1 period</w:t>
      </w:r>
    </w:p>
    <w:p w:rsidR="000719DD" w:rsidRDefault="000719DD" w:rsidP="000719DD">
      <w:r w:rsidRPr="00DC5307">
        <w:rPr>
          <w:noProof/>
          <w:position w:val="-140"/>
        </w:rPr>
        <w:object w:dxaOrig="9620" w:dyaOrig="2920">
          <v:shape id="_x0000_i1050" type="#_x0000_t75" style="width:480.55pt;height:145.65pt" o:ole="">
            <v:imagedata r:id="rId61" o:title=""/>
          </v:shape>
          <o:OLEObject Type="Embed" ProgID="Equation.DSMT4" ShapeID="_x0000_i1050" DrawAspect="Content" ObjectID="_1502536615" r:id="rId62"/>
        </w:object>
      </w:r>
    </w:p>
    <w:p w:rsidR="000719DD" w:rsidRDefault="000719DD" w:rsidP="000719DD">
      <w:r w:rsidRPr="003627E8">
        <w:rPr>
          <w:position w:val="-32"/>
        </w:rPr>
        <w:object w:dxaOrig="7600" w:dyaOrig="760">
          <v:shape id="_x0000_i1051" type="#_x0000_t75" style="width:380.2pt;height:37.65pt" o:ole="">
            <v:imagedata r:id="rId63" o:title=""/>
          </v:shape>
          <o:OLEObject Type="Embed" ProgID="Equation.DSMT4" ShapeID="_x0000_i1051" DrawAspect="Content" ObjectID="_1502536616" r:id="rId64"/>
        </w:object>
      </w:r>
    </w:p>
    <w:p w:rsidR="000719DD" w:rsidRDefault="000719DD" w:rsidP="000719DD">
      <w:r w:rsidRPr="00262CC5">
        <w:rPr>
          <w:position w:val="-92"/>
        </w:rPr>
        <w:object w:dxaOrig="8800" w:dyaOrig="1960">
          <v:shape id="_x0000_i1052" type="#_x0000_t75" style="width:440.2pt;height:100.35pt" o:ole="" o:bordertopcolor="red" o:borderleftcolor="red" o:borderbottomcolor="red" o:borderrightcolor="red">
            <v:imagedata r:id="rId65" o:title=""/>
            <w10:bordertop type="single" width="4"/>
            <w10:borderleft type="single" width="4"/>
            <w10:borderbottom type="single" width="4"/>
            <w10:borderright type="single" width="4"/>
          </v:shape>
          <o:OLEObject Type="Embed" ProgID="Equation.DSMT4" ShapeID="_x0000_i1052" DrawAspect="Content" ObjectID="_1502536617" r:id="rId66"/>
        </w:object>
      </w:r>
    </w:p>
    <w:p w:rsidR="00656521" w:rsidRDefault="00656521" w:rsidP="000719DD">
      <w:r w:rsidRPr="00656521">
        <w:rPr>
          <w:position w:val="-28"/>
        </w:rPr>
        <w:object w:dxaOrig="1980" w:dyaOrig="680">
          <v:shape id="_x0000_i1053" type="#_x0000_t75" style="width:99.25pt;height:33.8pt" o:ole="" o:bordertopcolor="red" o:borderleftcolor="red" o:borderbottomcolor="red" o:borderrightcolor="red">
            <v:imagedata r:id="rId67" o:title=""/>
            <w10:bordertop type="single" width="4"/>
            <w10:borderleft type="single" width="4"/>
            <w10:borderbottom type="single" width="4"/>
            <w10:borderright type="single" width="4"/>
          </v:shape>
          <o:OLEObject Type="Embed" ProgID="Equation.DSMT4" ShapeID="_x0000_i1053" DrawAspect="Content" ObjectID="_1502536618" r:id="rId68"/>
        </w:object>
      </w:r>
    </w:p>
    <w:p w:rsidR="00656521" w:rsidRDefault="000719DD" w:rsidP="000719DD">
      <w:r w:rsidRPr="00A42845">
        <w:rPr>
          <w:position w:val="-32"/>
        </w:rPr>
        <w:object w:dxaOrig="5980" w:dyaOrig="780">
          <v:shape id="_x0000_i1054" type="#_x0000_t75" style="width:298.9pt;height:39.8pt" o:ole="" o:bordertopcolor="red" o:borderleftcolor="red" o:borderbottomcolor="red" o:borderrightcolor="red">
            <v:imagedata r:id="rId37" o:title=""/>
            <w10:bordertop type="single" width="12"/>
            <w10:borderleft type="single" width="12"/>
            <w10:borderbottom type="single" width="12"/>
            <w10:borderright type="single" width="12"/>
          </v:shape>
          <o:OLEObject Type="Embed" ProgID="Equation.DSMT4" ShapeID="_x0000_i1054" DrawAspect="Content" ObjectID="_1502536619" r:id="rId69"/>
        </w:object>
      </w:r>
    </w:p>
    <w:p w:rsidR="00656521" w:rsidRDefault="00656521" w:rsidP="00656521">
      <w:pPr>
        <w:pStyle w:val="Heading1"/>
      </w:pPr>
      <w:r>
        <w:t>Arbitrary layers, one band model</w:t>
      </w:r>
    </w:p>
    <w:p w:rsidR="00656521" w:rsidRPr="00656521" w:rsidRDefault="00656521" w:rsidP="00656521">
      <w:r>
        <w:t>The format of T is similar, only substitute the following terms:</w:t>
      </w:r>
    </w:p>
    <w:p w:rsidR="000719DD" w:rsidRDefault="000719DD" w:rsidP="000719DD">
      <w:r>
        <w:t xml:space="preserve"> </w:t>
      </w:r>
      <w:r w:rsidRPr="007E383A">
        <w:rPr>
          <w:position w:val="-24"/>
        </w:rPr>
        <w:object w:dxaOrig="2560" w:dyaOrig="700">
          <v:shape id="_x0000_i1055" type="#_x0000_t75" style="width:128.2pt;height:35.45pt" o:ole="" o:bordertopcolor="red" o:borderleftcolor="red" o:borderbottomcolor="red" o:borderrightcolor="red">
            <v:imagedata r:id="rId70" o:title=""/>
            <w10:bordertop type="single" width="12"/>
            <w10:borderleft type="single" width="12"/>
            <w10:borderbottom type="single" width="12"/>
            <w10:borderright type="single" width="12"/>
          </v:shape>
          <o:OLEObject Type="Embed" ProgID="Equation.DSMT4" ShapeID="_x0000_i1055" DrawAspect="Content" ObjectID="_1502536620" r:id="rId71"/>
        </w:object>
      </w:r>
      <w:r>
        <w:br/>
      </w:r>
      <w:r>
        <w:fldChar w:fldCharType="begin"/>
      </w:r>
      <w:r>
        <w:instrText xml:space="preserve"> ADDIN EN.REFLIST </w:instrText>
      </w:r>
      <w:r>
        <w:fldChar w:fldCharType="end"/>
      </w:r>
    </w:p>
    <w:p w:rsidR="000719DD" w:rsidRDefault="00E9031E" w:rsidP="00A126CD">
      <w:pPr>
        <w:rPr>
          <w:rFonts w:ascii="Times New Roman" w:eastAsia="宋体" w:hAnsi="Times New Roman" w:cs="Times New Roman"/>
          <w:noProof/>
          <w:sz w:val="21"/>
          <w:szCs w:val="24"/>
        </w:rPr>
      </w:pPr>
      <w:r>
        <w:rPr>
          <w:rFonts w:ascii="Times New Roman" w:eastAsia="宋体" w:hAnsi="Times New Roman" w:cs="Times New Roman"/>
          <w:noProof/>
          <w:sz w:val="21"/>
          <w:szCs w:val="24"/>
        </w:rPr>
        <w:t>Reference</w:t>
      </w:r>
      <w:r w:rsidR="00656521">
        <w:rPr>
          <w:rFonts w:ascii="Times New Roman" w:eastAsia="宋体" w:hAnsi="Times New Roman" w:cs="Times New Roman"/>
          <w:noProof/>
          <w:sz w:val="21"/>
          <w:szCs w:val="24"/>
        </w:rPr>
        <w:t>s</w:t>
      </w:r>
      <w:r>
        <w:rPr>
          <w:rFonts w:ascii="Times New Roman" w:eastAsia="宋体" w:hAnsi="Times New Roman" w:cs="Times New Roman"/>
          <w:noProof/>
          <w:sz w:val="21"/>
          <w:szCs w:val="24"/>
        </w:rPr>
        <w:t>:</w:t>
      </w:r>
    </w:p>
    <w:p w:rsidR="00E9031E" w:rsidRDefault="00E9031E" w:rsidP="00A126CD">
      <w:pPr>
        <w:rPr>
          <w:rFonts w:ascii="Times New Roman" w:eastAsia="宋体" w:hAnsi="Times New Roman" w:cs="Times New Roman"/>
          <w:noProof/>
          <w:sz w:val="21"/>
          <w:szCs w:val="24"/>
        </w:rPr>
      </w:pPr>
      <w:r>
        <w:rPr>
          <w:rFonts w:ascii="Times New Roman" w:eastAsia="宋体" w:hAnsi="Times New Roman" w:cs="Times New Roman"/>
          <w:noProof/>
          <w:sz w:val="21"/>
          <w:szCs w:val="24"/>
        </w:rPr>
        <w:t xml:space="preserve">1 </w:t>
      </w:r>
      <w:r w:rsidRPr="00E9031E">
        <w:rPr>
          <w:rFonts w:ascii="Times New Roman" w:eastAsia="宋体" w:hAnsi="Times New Roman" w:cs="Times New Roman"/>
          <w:noProof/>
          <w:sz w:val="21"/>
          <w:szCs w:val="24"/>
        </w:rPr>
        <w:t>Rui Q. Yang and J. M. Xu, "Analysis of transmission in polytype interband tunneling heterostructures", J. Appl. Phys., 72, 4714 (1992).</w:t>
      </w:r>
    </w:p>
    <w:p w:rsidR="00D30669" w:rsidRDefault="00D30669" w:rsidP="00A126CD">
      <w:pPr>
        <w:rPr>
          <w:rFonts w:ascii="Times New Roman" w:eastAsia="宋体" w:hAnsi="Times New Roman" w:cs="Times New Roman"/>
          <w:noProof/>
          <w:sz w:val="21"/>
          <w:szCs w:val="24"/>
        </w:rPr>
      </w:pPr>
      <w:r>
        <w:rPr>
          <w:rFonts w:ascii="Times New Roman" w:eastAsia="宋体" w:hAnsi="Times New Roman" w:cs="Times New Roman"/>
          <w:noProof/>
          <w:sz w:val="21"/>
          <w:szCs w:val="24"/>
        </w:rPr>
        <w:t>2 Chang-Zhi Guo, lecutre notes on quantum theory (2008),  8</w:t>
      </w:r>
      <w:r w:rsidRPr="00D30669">
        <w:rPr>
          <w:rFonts w:ascii="Times New Roman" w:eastAsia="宋体" w:hAnsi="Times New Roman" w:cs="Times New Roman"/>
          <w:noProof/>
          <w:sz w:val="21"/>
          <w:szCs w:val="24"/>
          <w:vertAlign w:val="superscript"/>
        </w:rPr>
        <w:t>th</w:t>
      </w:r>
      <w:r>
        <w:rPr>
          <w:rFonts w:ascii="Times New Roman" w:eastAsia="宋体" w:hAnsi="Times New Roman" w:cs="Times New Roman"/>
          <w:noProof/>
          <w:sz w:val="21"/>
          <w:szCs w:val="24"/>
        </w:rPr>
        <w:t xml:space="preserve"> class, chapter 3.4</w:t>
      </w:r>
    </w:p>
    <w:p w:rsidR="00D30669" w:rsidRPr="003A07BE" w:rsidRDefault="00D30669" w:rsidP="00A126CD">
      <w:pPr>
        <w:rPr>
          <w:rFonts w:ascii="Times New Roman" w:eastAsia="宋体" w:hAnsi="Times New Roman" w:cs="Times New Roman"/>
          <w:noProof/>
          <w:sz w:val="21"/>
          <w:szCs w:val="24"/>
        </w:rPr>
      </w:pPr>
      <w:r>
        <w:rPr>
          <w:rFonts w:ascii="Times New Roman" w:eastAsia="宋体" w:hAnsi="Times New Roman" w:cs="Times New Roman"/>
          <w:noProof/>
          <w:sz w:val="21"/>
          <w:szCs w:val="24"/>
        </w:rPr>
        <w:t xml:space="preserve">3 Shun Lien Chuang, “Physics of photonic devices” (2009), p152 </w:t>
      </w:r>
    </w:p>
    <w:p w:rsidR="00656521" w:rsidRDefault="00656521" w:rsidP="003D299A">
      <w:pPr>
        <w:pStyle w:val="Heading1"/>
      </w:pPr>
      <w:r>
        <w:t>A simply example</w:t>
      </w:r>
    </w:p>
    <w:p w:rsidR="00656521" w:rsidRDefault="00656521" w:rsidP="00656521">
      <w:r>
        <w:t xml:space="preserve">In </w:t>
      </w:r>
      <w:r w:rsidR="00296609">
        <w:t>[</w:t>
      </w:r>
      <w:r w:rsidRPr="003D299A">
        <w:t>J. Appl. Phys. 105, 013115 (2009)</w:t>
      </w:r>
      <w:r w:rsidR="00296609">
        <w:t>], the authors claims that their one band model agrees with the experimental results,  the interface coupling of different kinds of holes can be incorporated into the material parameters (e.g. effective mass).</w:t>
      </w:r>
      <w:r w:rsidR="00AB458B">
        <w:t xml:space="preserve"> However, this over-simplification is very suspicious.  I compare it with my 2 band model using standard parameters.</w:t>
      </w:r>
    </w:p>
    <w:p w:rsidR="00356E99" w:rsidRDefault="00356E99" w:rsidP="00656521">
      <w:proofErr w:type="spellStart"/>
      <w:r w:rsidRPr="00356E99">
        <w:t>GaSb</w:t>
      </w:r>
      <w:proofErr w:type="spellEnd"/>
      <w:r w:rsidRPr="00356E99">
        <w:t>(24A)/InAs(23.5A) SL</w:t>
      </w:r>
    </w:p>
    <w:tbl>
      <w:tblPr>
        <w:tblStyle w:val="TableGrid"/>
        <w:tblW w:w="0" w:type="auto"/>
        <w:tblLook w:val="04A0" w:firstRow="1" w:lastRow="0" w:firstColumn="1" w:lastColumn="0" w:noHBand="0" w:noVBand="1"/>
      </w:tblPr>
      <w:tblGrid>
        <w:gridCol w:w="1060"/>
        <w:gridCol w:w="1107"/>
        <w:gridCol w:w="1112"/>
        <w:gridCol w:w="222"/>
      </w:tblGrid>
      <w:tr w:rsidR="00E222E6" w:rsidTr="00E222E6">
        <w:tc>
          <w:tcPr>
            <w:tcW w:w="0" w:type="auto"/>
          </w:tcPr>
          <w:p w:rsidR="00356E99" w:rsidRDefault="00356E99" w:rsidP="00EE3222"/>
        </w:tc>
        <w:tc>
          <w:tcPr>
            <w:tcW w:w="236" w:type="dxa"/>
          </w:tcPr>
          <w:p w:rsidR="00356E99" w:rsidRDefault="00E222E6" w:rsidP="00E222E6">
            <w:r>
              <w:t>JAP(2009)</w:t>
            </w:r>
          </w:p>
        </w:tc>
        <w:tc>
          <w:tcPr>
            <w:tcW w:w="236" w:type="dxa"/>
          </w:tcPr>
          <w:p w:rsidR="00356E99" w:rsidRDefault="00340A2C" w:rsidP="00EE3222">
            <w:r>
              <w:t>SSP(1992)</w:t>
            </w:r>
          </w:p>
        </w:tc>
        <w:tc>
          <w:tcPr>
            <w:tcW w:w="0" w:type="auto"/>
          </w:tcPr>
          <w:p w:rsidR="00356E99" w:rsidRDefault="00356E99" w:rsidP="00EE3222"/>
        </w:tc>
      </w:tr>
      <w:tr w:rsidR="00E222E6" w:rsidTr="00E222E6">
        <w:tc>
          <w:tcPr>
            <w:tcW w:w="0" w:type="auto"/>
          </w:tcPr>
          <w:p w:rsidR="00356E99" w:rsidRDefault="00E222E6" w:rsidP="00EE3222">
            <w:r>
              <w:t>m</w:t>
            </w:r>
            <w:r w:rsidRPr="00E222E6">
              <w:rPr>
                <w:vertAlign w:val="subscript"/>
              </w:rPr>
              <w:t>c</w:t>
            </w:r>
            <w:r>
              <w:t>(InAs)</w:t>
            </w:r>
          </w:p>
        </w:tc>
        <w:tc>
          <w:tcPr>
            <w:tcW w:w="236" w:type="dxa"/>
          </w:tcPr>
          <w:p w:rsidR="00356E99" w:rsidRDefault="00E222E6" w:rsidP="00E222E6">
            <w:r>
              <w:t>0.042</w:t>
            </w:r>
          </w:p>
        </w:tc>
        <w:tc>
          <w:tcPr>
            <w:tcW w:w="236" w:type="dxa"/>
          </w:tcPr>
          <w:p w:rsidR="00356E99" w:rsidRDefault="00356E99" w:rsidP="00EE3222"/>
        </w:tc>
        <w:tc>
          <w:tcPr>
            <w:tcW w:w="0" w:type="auto"/>
          </w:tcPr>
          <w:p w:rsidR="00356E99" w:rsidRDefault="00356E99" w:rsidP="00EE3222"/>
        </w:tc>
      </w:tr>
      <w:tr w:rsidR="00E222E6" w:rsidTr="00E222E6">
        <w:tc>
          <w:tcPr>
            <w:tcW w:w="0" w:type="auto"/>
          </w:tcPr>
          <w:p w:rsidR="00E222E6" w:rsidRDefault="00E222E6" w:rsidP="00EE3222">
            <w:proofErr w:type="spellStart"/>
            <w:r>
              <w:t>m</w:t>
            </w:r>
            <w:r>
              <w:rPr>
                <w:vertAlign w:val="subscript"/>
              </w:rPr>
              <w:t>h</w:t>
            </w:r>
            <w:proofErr w:type="spellEnd"/>
            <w:r>
              <w:t>(InAs)</w:t>
            </w:r>
          </w:p>
        </w:tc>
        <w:tc>
          <w:tcPr>
            <w:tcW w:w="236" w:type="dxa"/>
          </w:tcPr>
          <w:p w:rsidR="00E222E6" w:rsidRDefault="00E222E6" w:rsidP="00EE3222">
            <w:r>
              <w:t>0.41</w:t>
            </w:r>
          </w:p>
        </w:tc>
        <w:tc>
          <w:tcPr>
            <w:tcW w:w="236" w:type="dxa"/>
          </w:tcPr>
          <w:p w:rsidR="00E222E6" w:rsidRDefault="00340A2C" w:rsidP="00EE3222">
            <w:r>
              <w:t>0.33</w:t>
            </w:r>
          </w:p>
        </w:tc>
        <w:tc>
          <w:tcPr>
            <w:tcW w:w="0" w:type="auto"/>
          </w:tcPr>
          <w:p w:rsidR="00E222E6" w:rsidRDefault="00E222E6" w:rsidP="00EE3222"/>
        </w:tc>
      </w:tr>
      <w:tr w:rsidR="00E222E6" w:rsidTr="00E222E6">
        <w:tc>
          <w:tcPr>
            <w:tcW w:w="0" w:type="auto"/>
          </w:tcPr>
          <w:p w:rsidR="00356E99" w:rsidRDefault="00E222E6" w:rsidP="00EE3222">
            <w:r>
              <w:t>m</w:t>
            </w:r>
            <w:r>
              <w:rPr>
                <w:vertAlign w:val="subscript"/>
              </w:rPr>
              <w:t>c</w:t>
            </w:r>
            <w:r>
              <w:t>(</w:t>
            </w:r>
            <w:proofErr w:type="spellStart"/>
            <w:r>
              <w:t>GaSb</w:t>
            </w:r>
            <w:proofErr w:type="spellEnd"/>
            <w:r>
              <w:t>)</w:t>
            </w:r>
          </w:p>
        </w:tc>
        <w:tc>
          <w:tcPr>
            <w:tcW w:w="236" w:type="dxa"/>
          </w:tcPr>
          <w:p w:rsidR="00356E99" w:rsidRDefault="00E222E6" w:rsidP="00E222E6">
            <w:r>
              <w:t>0.049</w:t>
            </w:r>
          </w:p>
        </w:tc>
        <w:tc>
          <w:tcPr>
            <w:tcW w:w="236" w:type="dxa"/>
          </w:tcPr>
          <w:p w:rsidR="00356E99" w:rsidRDefault="00356E99" w:rsidP="00EE3222"/>
        </w:tc>
        <w:tc>
          <w:tcPr>
            <w:tcW w:w="0" w:type="auto"/>
          </w:tcPr>
          <w:p w:rsidR="00356E99" w:rsidRDefault="00356E99" w:rsidP="00EE3222"/>
        </w:tc>
      </w:tr>
      <w:tr w:rsidR="00E222E6" w:rsidTr="00E222E6">
        <w:tc>
          <w:tcPr>
            <w:tcW w:w="0" w:type="auto"/>
          </w:tcPr>
          <w:p w:rsidR="00356E99" w:rsidRDefault="00E222E6" w:rsidP="00EE3222">
            <w:proofErr w:type="spellStart"/>
            <w:r>
              <w:t>m</w:t>
            </w:r>
            <w:r>
              <w:rPr>
                <w:vertAlign w:val="subscript"/>
              </w:rPr>
              <w:t>h</w:t>
            </w:r>
            <w:proofErr w:type="spellEnd"/>
            <w:r>
              <w:t>(</w:t>
            </w:r>
            <w:proofErr w:type="spellStart"/>
            <w:r>
              <w:t>GaSb</w:t>
            </w:r>
            <w:proofErr w:type="spellEnd"/>
            <w:r>
              <w:t>)</w:t>
            </w:r>
          </w:p>
        </w:tc>
        <w:tc>
          <w:tcPr>
            <w:tcW w:w="236" w:type="dxa"/>
          </w:tcPr>
          <w:p w:rsidR="00356E99" w:rsidRDefault="00E222E6" w:rsidP="00EE3222">
            <w:r>
              <w:t>0.50</w:t>
            </w:r>
          </w:p>
        </w:tc>
        <w:tc>
          <w:tcPr>
            <w:tcW w:w="236" w:type="dxa"/>
          </w:tcPr>
          <w:p w:rsidR="00356E99" w:rsidRDefault="00340A2C" w:rsidP="00EE3222">
            <w:r>
              <w:t>0.25</w:t>
            </w:r>
          </w:p>
        </w:tc>
        <w:tc>
          <w:tcPr>
            <w:tcW w:w="0" w:type="auto"/>
          </w:tcPr>
          <w:p w:rsidR="00356E99" w:rsidRDefault="00356E99" w:rsidP="00EE3222"/>
        </w:tc>
      </w:tr>
      <w:tr w:rsidR="0005084D" w:rsidTr="00E222E6">
        <w:tc>
          <w:tcPr>
            <w:tcW w:w="0" w:type="auto"/>
          </w:tcPr>
          <w:p w:rsidR="0005084D" w:rsidRDefault="0005084D" w:rsidP="00EE3222">
            <w:proofErr w:type="spellStart"/>
            <w:r>
              <w:t>dEc</w:t>
            </w:r>
            <w:proofErr w:type="spellEnd"/>
          </w:p>
        </w:tc>
        <w:tc>
          <w:tcPr>
            <w:tcW w:w="236" w:type="dxa"/>
          </w:tcPr>
          <w:p w:rsidR="0005084D" w:rsidRDefault="0005084D" w:rsidP="00EE3222">
            <w:r>
              <w:t>0.9</w:t>
            </w:r>
          </w:p>
        </w:tc>
        <w:tc>
          <w:tcPr>
            <w:tcW w:w="236" w:type="dxa"/>
          </w:tcPr>
          <w:p w:rsidR="0005084D" w:rsidRDefault="00340A2C" w:rsidP="00EE3222">
            <w:r>
              <w:t>0.915</w:t>
            </w:r>
          </w:p>
        </w:tc>
        <w:tc>
          <w:tcPr>
            <w:tcW w:w="0" w:type="auto"/>
          </w:tcPr>
          <w:p w:rsidR="0005084D" w:rsidRDefault="0005084D" w:rsidP="00EE3222"/>
        </w:tc>
      </w:tr>
      <w:tr w:rsidR="0005084D" w:rsidTr="00E222E6">
        <w:tc>
          <w:tcPr>
            <w:tcW w:w="0" w:type="auto"/>
          </w:tcPr>
          <w:p w:rsidR="0005084D" w:rsidRDefault="0005084D" w:rsidP="00EE3222">
            <w:proofErr w:type="spellStart"/>
            <w:r>
              <w:t>dEv</w:t>
            </w:r>
            <w:proofErr w:type="spellEnd"/>
          </w:p>
        </w:tc>
        <w:tc>
          <w:tcPr>
            <w:tcW w:w="236" w:type="dxa"/>
          </w:tcPr>
          <w:p w:rsidR="0005084D" w:rsidRDefault="0005084D" w:rsidP="00EE3222">
            <w:r>
              <w:t>0.5</w:t>
            </w:r>
          </w:p>
        </w:tc>
        <w:tc>
          <w:tcPr>
            <w:tcW w:w="236" w:type="dxa"/>
          </w:tcPr>
          <w:p w:rsidR="0005084D" w:rsidRDefault="00340A2C" w:rsidP="00EE3222">
            <w:r>
              <w:t>0.53</w:t>
            </w:r>
          </w:p>
        </w:tc>
        <w:tc>
          <w:tcPr>
            <w:tcW w:w="0" w:type="auto"/>
          </w:tcPr>
          <w:p w:rsidR="0005084D" w:rsidRDefault="0005084D" w:rsidP="00EE3222"/>
        </w:tc>
      </w:tr>
      <w:tr w:rsidR="0005084D" w:rsidTr="00E222E6">
        <w:tc>
          <w:tcPr>
            <w:tcW w:w="0" w:type="auto"/>
          </w:tcPr>
          <w:p w:rsidR="0005084D" w:rsidRDefault="0005084D" w:rsidP="00EE3222">
            <w:r>
              <w:t>overlap</w:t>
            </w:r>
          </w:p>
        </w:tc>
        <w:tc>
          <w:tcPr>
            <w:tcW w:w="236" w:type="dxa"/>
          </w:tcPr>
          <w:p w:rsidR="0005084D" w:rsidRDefault="0005084D" w:rsidP="00EE3222">
            <w:r>
              <w:t>0.15</w:t>
            </w:r>
          </w:p>
        </w:tc>
        <w:tc>
          <w:tcPr>
            <w:tcW w:w="236" w:type="dxa"/>
          </w:tcPr>
          <w:p w:rsidR="0005084D" w:rsidRDefault="0005084D" w:rsidP="00EE3222"/>
        </w:tc>
        <w:tc>
          <w:tcPr>
            <w:tcW w:w="0" w:type="auto"/>
          </w:tcPr>
          <w:p w:rsidR="0005084D" w:rsidRDefault="0005084D" w:rsidP="00EE3222"/>
        </w:tc>
      </w:tr>
    </w:tbl>
    <w:p w:rsidR="00072A47" w:rsidRDefault="00072A47" w:rsidP="00454255"/>
    <w:p w:rsidR="001174FA" w:rsidRDefault="001174FA" w:rsidP="00454255">
      <w:r>
        <w:rPr>
          <w:noProof/>
        </w:rPr>
        <w:lastRenderedPageBreak/>
        <w:drawing>
          <wp:inline distT="0" distB="0" distL="0" distR="0">
            <wp:extent cx="3359727" cy="2519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2">
                      <a:extLst>
                        <a:ext uri="{28A0092B-C50C-407E-A947-70E740481C1C}">
                          <a14:useLocalDpi xmlns:a14="http://schemas.microsoft.com/office/drawing/2010/main" val="0"/>
                        </a:ext>
                      </a:extLst>
                    </a:blip>
                    <a:stretch>
                      <a:fillRect/>
                    </a:stretch>
                  </pic:blipFill>
                  <pic:spPr>
                    <a:xfrm>
                      <a:off x="0" y="0"/>
                      <a:ext cx="3360636" cy="2520477"/>
                    </a:xfrm>
                    <a:prstGeom prst="rect">
                      <a:avLst/>
                    </a:prstGeom>
                  </pic:spPr>
                </pic:pic>
              </a:graphicData>
            </a:graphic>
          </wp:inline>
        </w:drawing>
      </w:r>
      <w:r w:rsidR="00EA5B29">
        <w:t xml:space="preserve"> </w:t>
      </w:r>
      <w:r w:rsidR="00EA5B29">
        <w:rPr>
          <w:noProof/>
        </w:rPr>
        <w:drawing>
          <wp:inline distT="0" distB="0" distL="0" distR="0">
            <wp:extent cx="3359727" cy="2519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73">
                      <a:extLst>
                        <a:ext uri="{28A0092B-C50C-407E-A947-70E740481C1C}">
                          <a14:useLocalDpi xmlns:a14="http://schemas.microsoft.com/office/drawing/2010/main" val="0"/>
                        </a:ext>
                      </a:extLst>
                    </a:blip>
                    <a:stretch>
                      <a:fillRect/>
                    </a:stretch>
                  </pic:blipFill>
                  <pic:spPr>
                    <a:xfrm>
                      <a:off x="0" y="0"/>
                      <a:ext cx="3360636" cy="2520477"/>
                    </a:xfrm>
                    <a:prstGeom prst="rect">
                      <a:avLst/>
                    </a:prstGeom>
                  </pic:spPr>
                </pic:pic>
              </a:graphicData>
            </a:graphic>
          </wp:inline>
        </w:drawing>
      </w:r>
    </w:p>
    <w:p w:rsidR="005F7FB6" w:rsidRDefault="005F7FB6" w:rsidP="00454255">
      <w:r>
        <w:t>Verdict: This paper is not reliable.</w:t>
      </w:r>
    </w:p>
    <w:p w:rsidR="00F53376" w:rsidRPr="0096207C" w:rsidRDefault="00F53376" w:rsidP="0096207C"/>
    <w:sectPr w:rsidR="00F53376" w:rsidRPr="0096207C" w:rsidSect="000719DD">
      <w:footerReference w:type="default" r:id="rId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5A7" w:rsidRDefault="003835A7" w:rsidP="00072A47">
      <w:pPr>
        <w:spacing w:after="0" w:line="240" w:lineRule="auto"/>
      </w:pPr>
      <w:r>
        <w:separator/>
      </w:r>
    </w:p>
  </w:endnote>
  <w:endnote w:type="continuationSeparator" w:id="0">
    <w:p w:rsidR="003835A7" w:rsidRDefault="003835A7" w:rsidP="00072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3809678"/>
      <w:docPartObj>
        <w:docPartGallery w:val="Page Numbers (Bottom of Page)"/>
        <w:docPartUnique/>
      </w:docPartObj>
    </w:sdtPr>
    <w:sdtEndPr>
      <w:rPr>
        <w:noProof/>
      </w:rPr>
    </w:sdtEndPr>
    <w:sdtContent>
      <w:p w:rsidR="00571BD4" w:rsidRDefault="00571BD4">
        <w:pPr>
          <w:pStyle w:val="Footer"/>
          <w:jc w:val="center"/>
        </w:pPr>
        <w:r>
          <w:fldChar w:fldCharType="begin"/>
        </w:r>
        <w:r>
          <w:instrText xml:space="preserve"> PAGE   \* MERGEFORMAT </w:instrText>
        </w:r>
        <w:r>
          <w:fldChar w:fldCharType="separate"/>
        </w:r>
        <w:r w:rsidR="0027585E">
          <w:rPr>
            <w:noProof/>
          </w:rPr>
          <w:t>5</w:t>
        </w:r>
        <w:r>
          <w:rPr>
            <w:noProof/>
          </w:rPr>
          <w:fldChar w:fldCharType="end"/>
        </w:r>
      </w:p>
    </w:sdtContent>
  </w:sdt>
  <w:p w:rsidR="00571BD4" w:rsidRDefault="00571B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5A7" w:rsidRDefault="003835A7" w:rsidP="00072A47">
      <w:pPr>
        <w:spacing w:after="0" w:line="240" w:lineRule="auto"/>
      </w:pPr>
      <w:r>
        <w:separator/>
      </w:r>
    </w:p>
  </w:footnote>
  <w:footnote w:type="continuationSeparator" w:id="0">
    <w:p w:rsidR="003835A7" w:rsidRDefault="003835A7" w:rsidP="00072A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7D5"/>
    <w:rsid w:val="000127EB"/>
    <w:rsid w:val="0005084D"/>
    <w:rsid w:val="00062D22"/>
    <w:rsid w:val="0006655D"/>
    <w:rsid w:val="000719DD"/>
    <w:rsid w:val="00072A47"/>
    <w:rsid w:val="00075A02"/>
    <w:rsid w:val="000778BC"/>
    <w:rsid w:val="00106006"/>
    <w:rsid w:val="00112552"/>
    <w:rsid w:val="001174FA"/>
    <w:rsid w:val="00126157"/>
    <w:rsid w:val="00143B36"/>
    <w:rsid w:val="00165F6E"/>
    <w:rsid w:val="00191B6B"/>
    <w:rsid w:val="001A0E9C"/>
    <w:rsid w:val="00216E4A"/>
    <w:rsid w:val="00225FA6"/>
    <w:rsid w:val="00263083"/>
    <w:rsid w:val="0027585E"/>
    <w:rsid w:val="0028374F"/>
    <w:rsid w:val="00295ED0"/>
    <w:rsid w:val="00296609"/>
    <w:rsid w:val="002C4FCC"/>
    <w:rsid w:val="002D6A06"/>
    <w:rsid w:val="002E2459"/>
    <w:rsid w:val="002E4D43"/>
    <w:rsid w:val="002F40BF"/>
    <w:rsid w:val="00310A5C"/>
    <w:rsid w:val="00317302"/>
    <w:rsid w:val="00336BDF"/>
    <w:rsid w:val="00340A2C"/>
    <w:rsid w:val="00356E99"/>
    <w:rsid w:val="003835A7"/>
    <w:rsid w:val="00397FB7"/>
    <w:rsid w:val="003A07BE"/>
    <w:rsid w:val="003A17F4"/>
    <w:rsid w:val="003D1EBD"/>
    <w:rsid w:val="003D299A"/>
    <w:rsid w:val="003E52C3"/>
    <w:rsid w:val="003E54B8"/>
    <w:rsid w:val="00414B39"/>
    <w:rsid w:val="00454255"/>
    <w:rsid w:val="004C0CE8"/>
    <w:rsid w:val="00571BD4"/>
    <w:rsid w:val="0059238E"/>
    <w:rsid w:val="005C1857"/>
    <w:rsid w:val="005D15DB"/>
    <w:rsid w:val="005F7FB6"/>
    <w:rsid w:val="00645BF1"/>
    <w:rsid w:val="00656521"/>
    <w:rsid w:val="00661DCA"/>
    <w:rsid w:val="00743A43"/>
    <w:rsid w:val="007B38D3"/>
    <w:rsid w:val="007B4437"/>
    <w:rsid w:val="007B647A"/>
    <w:rsid w:val="008C1AC9"/>
    <w:rsid w:val="008F5A4A"/>
    <w:rsid w:val="0096207C"/>
    <w:rsid w:val="009A44BA"/>
    <w:rsid w:val="009C0F72"/>
    <w:rsid w:val="009E25C9"/>
    <w:rsid w:val="00A126CD"/>
    <w:rsid w:val="00A219B6"/>
    <w:rsid w:val="00A6520D"/>
    <w:rsid w:val="00AB458B"/>
    <w:rsid w:val="00AD40AC"/>
    <w:rsid w:val="00AD5CFE"/>
    <w:rsid w:val="00B22511"/>
    <w:rsid w:val="00B61B0E"/>
    <w:rsid w:val="00B82DC4"/>
    <w:rsid w:val="00B84A0F"/>
    <w:rsid w:val="00BA7B01"/>
    <w:rsid w:val="00BF7A05"/>
    <w:rsid w:val="00C768FF"/>
    <w:rsid w:val="00C86DAC"/>
    <w:rsid w:val="00C942AB"/>
    <w:rsid w:val="00CA6322"/>
    <w:rsid w:val="00D149CC"/>
    <w:rsid w:val="00D30669"/>
    <w:rsid w:val="00D462F4"/>
    <w:rsid w:val="00D647D5"/>
    <w:rsid w:val="00D93332"/>
    <w:rsid w:val="00DA2613"/>
    <w:rsid w:val="00DA36C4"/>
    <w:rsid w:val="00DA61C5"/>
    <w:rsid w:val="00DC6F4F"/>
    <w:rsid w:val="00DD4195"/>
    <w:rsid w:val="00DE697F"/>
    <w:rsid w:val="00DE7BFD"/>
    <w:rsid w:val="00DF50F1"/>
    <w:rsid w:val="00DF72A2"/>
    <w:rsid w:val="00E14388"/>
    <w:rsid w:val="00E222E6"/>
    <w:rsid w:val="00E85707"/>
    <w:rsid w:val="00E9031E"/>
    <w:rsid w:val="00EA5B29"/>
    <w:rsid w:val="00F432AA"/>
    <w:rsid w:val="00F53376"/>
    <w:rsid w:val="00F62B9A"/>
    <w:rsid w:val="00F63C4F"/>
    <w:rsid w:val="00F70E2C"/>
    <w:rsid w:val="00F71970"/>
    <w:rsid w:val="00F82062"/>
    <w:rsid w:val="00F956D0"/>
    <w:rsid w:val="00FF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4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3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4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4B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E5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4B8"/>
    <w:rPr>
      <w:rFonts w:ascii="Tahoma" w:hAnsi="Tahoma" w:cs="Tahoma"/>
      <w:sz w:val="16"/>
      <w:szCs w:val="16"/>
    </w:rPr>
  </w:style>
  <w:style w:type="table" w:styleId="TableGrid">
    <w:name w:val="Table Grid"/>
    <w:basedOn w:val="TableNormal"/>
    <w:uiPriority w:val="59"/>
    <w:rsid w:val="00414B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A632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2A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2A47"/>
  </w:style>
  <w:style w:type="paragraph" w:styleId="Footer">
    <w:name w:val="footer"/>
    <w:basedOn w:val="Normal"/>
    <w:link w:val="FooterChar"/>
    <w:uiPriority w:val="99"/>
    <w:unhideWhenUsed/>
    <w:rsid w:val="00072A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2A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4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3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4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4B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E5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4B8"/>
    <w:rPr>
      <w:rFonts w:ascii="Tahoma" w:hAnsi="Tahoma" w:cs="Tahoma"/>
      <w:sz w:val="16"/>
      <w:szCs w:val="16"/>
    </w:rPr>
  </w:style>
  <w:style w:type="table" w:styleId="TableGrid">
    <w:name w:val="Table Grid"/>
    <w:basedOn w:val="TableNormal"/>
    <w:uiPriority w:val="59"/>
    <w:rsid w:val="00414B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A632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2A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2A47"/>
  </w:style>
  <w:style w:type="paragraph" w:styleId="Footer">
    <w:name w:val="footer"/>
    <w:basedOn w:val="Normal"/>
    <w:link w:val="FooterChar"/>
    <w:uiPriority w:val="99"/>
    <w:unhideWhenUsed/>
    <w:rsid w:val="00072A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2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7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3.bin"/><Relationship Id="rId2" Type="http://schemas.microsoft.com/office/2007/relationships/stylesWithEffects" Target="stylesWithEffect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jp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jp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2.wmf"/><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3198</TotalTime>
  <Pages>6</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Yuchao Jiang</dc:creator>
  <cp:lastModifiedBy>Yuchao Jiang</cp:lastModifiedBy>
  <cp:revision>17</cp:revision>
  <cp:lastPrinted>2015-08-26T21:38:00Z</cp:lastPrinted>
  <dcterms:created xsi:type="dcterms:W3CDTF">2015-06-15T22:49:00Z</dcterms:created>
  <dcterms:modified xsi:type="dcterms:W3CDTF">2015-08-31T19:15:00Z</dcterms:modified>
</cp:coreProperties>
</file>