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xmlns:wp14="http://schemas.microsoft.com/office/word/2010/wordml" w:rsidR="007D6936" w:rsidRDefault="007D6936" w14:paraId="15BEBC3E" wp14:textId="77777777"/>
    <w:tbl>
      <w:tblPr>
        <w:tblW w:w="13957"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 w:type="dxa"/>
          <w:right w:w="10" w:type="dxa"/>
        </w:tblCellMar>
        <w:tblLook w:val="04A0" w:firstRow="1" w:lastRow="0" w:firstColumn="1" w:lastColumn="0" w:noHBand="0" w:noVBand="1"/>
        <w:tblCaption w:val=""/>
        <w:tblDescription w:val=""/>
      </w:tblPr>
      <w:tblGrid>
        <w:gridCol w:w="1020"/>
        <w:gridCol w:w="4905"/>
        <w:gridCol w:w="1319"/>
        <w:gridCol w:w="1521"/>
        <w:gridCol w:w="1252"/>
        <w:gridCol w:w="1032"/>
        <w:gridCol w:w="1974"/>
        <w:gridCol w:w="934"/>
      </w:tblGrid>
      <w:tr xmlns:wp14="http://schemas.microsoft.com/office/word/2010/wordml" w:rsidR="009A553F" w:rsidTr="60392DE8" w14:paraId="19E0FC1F" wp14:textId="77777777">
        <w:trPr>
          <w:trHeight w:val="760"/>
        </w:trPr>
        <w:tc>
          <w:tcPr>
            <w:tcW w:w="1020" w:type="dxa"/>
            <w:tcMar/>
          </w:tcPr>
          <w:p w:rsidR="009A553F" w:rsidRDefault="009A553F" w14:paraId="1DCCD916" wp14:textId="77777777">
            <w:pPr>
              <w:spacing w:line="240" w:lineRule="auto"/>
            </w:pPr>
            <w:r>
              <w:t>award</w:t>
            </w:r>
          </w:p>
          <w:p w:rsidR="009A553F" w:rsidRDefault="009A553F" w14:paraId="534CB530" wp14:textId="77777777">
            <w:pPr>
              <w:spacing w:line="240" w:lineRule="auto"/>
            </w:pPr>
            <w:r>
              <w:t>No.</w:t>
            </w:r>
          </w:p>
        </w:tc>
        <w:tc>
          <w:tcPr>
            <w:tcW w:w="4905" w:type="dxa"/>
            <w:tcMar>
              <w:top w:w="100" w:type="dxa"/>
              <w:left w:w="100" w:type="dxa"/>
              <w:bottom w:w="100" w:type="dxa"/>
              <w:right w:w="100" w:type="dxa"/>
            </w:tcMar>
          </w:tcPr>
          <w:p w:rsidR="009A553F" w:rsidRDefault="009A553F" w14:paraId="41E2D54C" wp14:textId="77777777">
            <w:pPr>
              <w:spacing w:line="240" w:lineRule="auto"/>
            </w:pPr>
            <w:r>
              <w:t>award title</w:t>
            </w:r>
          </w:p>
        </w:tc>
        <w:tc>
          <w:tcPr>
            <w:tcW w:w="1319" w:type="dxa"/>
            <w:tcMar>
              <w:top w:w="100" w:type="dxa"/>
              <w:left w:w="100" w:type="dxa"/>
              <w:bottom w:w="100" w:type="dxa"/>
              <w:right w:w="100" w:type="dxa"/>
            </w:tcMar>
          </w:tcPr>
          <w:p w:rsidR="009A553F" w:rsidRDefault="009A553F" w14:paraId="2404F8E5" wp14:textId="77777777">
            <w:pPr>
              <w:spacing w:line="240" w:lineRule="auto"/>
            </w:pPr>
            <w:r>
              <w:t>Start date</w:t>
            </w:r>
          </w:p>
        </w:tc>
        <w:tc>
          <w:tcPr>
            <w:tcW w:w="1521" w:type="dxa"/>
            <w:tcMar>
              <w:top w:w="100" w:type="dxa"/>
              <w:left w:w="100" w:type="dxa"/>
              <w:bottom w:w="100" w:type="dxa"/>
              <w:right w:w="100" w:type="dxa"/>
            </w:tcMar>
          </w:tcPr>
          <w:p w:rsidR="009A553F" w:rsidRDefault="009A553F" w14:paraId="29127984" wp14:textId="77777777">
            <w:pPr>
              <w:spacing w:line="240" w:lineRule="auto"/>
            </w:pPr>
            <w:r>
              <w:t>End date</w:t>
            </w:r>
          </w:p>
        </w:tc>
        <w:tc>
          <w:tcPr>
            <w:tcW w:w="1252" w:type="dxa"/>
            <w:tcMar>
              <w:top w:w="100" w:type="dxa"/>
              <w:left w:w="100" w:type="dxa"/>
              <w:bottom w:w="100" w:type="dxa"/>
              <w:right w:w="100" w:type="dxa"/>
            </w:tcMar>
          </w:tcPr>
          <w:p w:rsidR="009A553F" w:rsidRDefault="009A553F" w14:paraId="77CE8603" wp14:textId="77777777">
            <w:pPr>
              <w:spacing w:line="240" w:lineRule="auto"/>
            </w:pPr>
            <w:r>
              <w:t xml:space="preserve">Award </w:t>
            </w:r>
          </w:p>
          <w:p w:rsidR="009A553F" w:rsidRDefault="009A553F" w14:paraId="05DD1871" wp14:textId="77777777">
            <w:pPr>
              <w:spacing w:line="240" w:lineRule="auto"/>
            </w:pPr>
            <w:r>
              <w:t>amount</w:t>
            </w:r>
          </w:p>
        </w:tc>
        <w:tc>
          <w:tcPr>
            <w:tcW w:w="1032" w:type="dxa"/>
            <w:tcMar>
              <w:top w:w="100" w:type="dxa"/>
              <w:left w:w="100" w:type="dxa"/>
              <w:bottom w:w="100" w:type="dxa"/>
              <w:right w:w="100" w:type="dxa"/>
            </w:tcMar>
          </w:tcPr>
          <w:p w:rsidR="009A553F" w:rsidRDefault="009A553F" w14:paraId="6799A9A6" wp14:textId="77777777">
            <w:pPr>
              <w:spacing w:line="240" w:lineRule="auto"/>
            </w:pPr>
            <w:r>
              <w:t>PI</w:t>
            </w:r>
          </w:p>
        </w:tc>
        <w:tc>
          <w:tcPr>
            <w:tcW w:w="1974" w:type="dxa"/>
            <w:tcMar>
              <w:top w:w="100" w:type="dxa"/>
              <w:left w:w="100" w:type="dxa"/>
              <w:bottom w:w="100" w:type="dxa"/>
              <w:right w:w="100" w:type="dxa"/>
            </w:tcMar>
          </w:tcPr>
          <w:p w:rsidR="009A553F" w:rsidRDefault="009A553F" w14:paraId="7C8FE221" wp14:textId="77777777">
            <w:pPr>
              <w:spacing w:line="240" w:lineRule="auto"/>
            </w:pPr>
            <w:r>
              <w:t>co-PI</w:t>
            </w:r>
          </w:p>
        </w:tc>
        <w:tc>
          <w:tcPr>
            <w:tcW w:w="934" w:type="dxa"/>
            <w:tcMar>
              <w:top w:w="100" w:type="dxa"/>
              <w:left w:w="100" w:type="dxa"/>
              <w:bottom w:w="100" w:type="dxa"/>
              <w:right w:w="100" w:type="dxa"/>
            </w:tcMar>
          </w:tcPr>
          <w:p w:rsidR="009A553F" w:rsidRDefault="009A553F" w14:paraId="45F16FA8" wp14:textId="77777777">
            <w:pPr>
              <w:spacing w:line="240" w:lineRule="auto"/>
            </w:pPr>
            <w:r>
              <w:t>Agency</w:t>
            </w:r>
          </w:p>
        </w:tc>
      </w:tr>
      <w:tr w:rsidR="60392DE8" w:rsidTr="60392DE8" w14:paraId="56058C4F">
        <w:trPr>
          <w:trHeight w:val="760"/>
        </w:trPr>
        <w:tc>
          <w:tcPr>
            <w:tcW w:w="1020" w:type="dxa"/>
            <w:tcMar/>
          </w:tcPr>
          <w:p w:rsidR="60392DE8" w:rsidP="60392DE8" w:rsidRDefault="60392DE8" w14:paraId="70C33E42" w14:textId="570EE894">
            <w:pPr>
              <w:pStyle w:val="Normal"/>
            </w:pPr>
            <w:r w:rsidR="60392DE8">
              <w:rPr/>
              <w:t>1640576</w:t>
            </w:r>
          </w:p>
        </w:tc>
        <w:tc>
          <w:tcPr>
            <w:tcW w:w="4905" w:type="dxa"/>
            <w:tcMar>
              <w:top w:w="100" w:type="dxa"/>
              <w:left w:w="100" w:type="dxa"/>
              <w:bottom w:w="100" w:type="dxa"/>
              <w:right w:w="100" w:type="dxa"/>
            </w:tcMar>
          </w:tcPr>
          <w:tbl>
            <w:tblPr>
              <w:tblStyle w:val="GridTable1Light-Accent1"/>
              <w:tblW w:w="0" w:type="auto"/>
              <w:tblLook w:val="04A0" w:firstRow="1" w:lastRow="0" w:firstColumn="1" w:lastColumn="0" w:noHBand="0" w:noVBand="1"/>
            </w:tblPr>
            <w:tblGrid>
              <w:gridCol w:w="4755"/>
            </w:tblGrid>
            <w:tr w:rsidR="60392DE8" w:rsidTr="60392DE8" w14:paraId="21C297BF">
              <w:tc>
                <w:tcPr>
                  <w:cnfStyle w:val="001000000000" w:firstRow="0" w:lastRow="0" w:firstColumn="1" w:lastColumn="0" w:oddVBand="0" w:evenVBand="0" w:oddHBand="0" w:evenHBand="0" w:firstRowFirstColumn="0" w:firstRowLastColumn="0" w:lastRowFirstColumn="0" w:lastRowLastColumn="0"/>
                  <w:tcW w:w="4755" w:type="dxa"/>
                  <w:tcMar/>
                </w:tcPr>
                <w:p w:rsidR="60392DE8" w:rsidRDefault="60392DE8" w14:paraId="78C6E72D" w14:textId="2FB1F4AB">
                  <w:r>
                    <w:br/>
                  </w:r>
                  <w:r w:rsidRPr="60392DE8" w:rsidR="60392DE8">
                    <w:rPr>
                      <w:rFonts w:ascii="Arial" w:hAnsi="Arial" w:eastAsia="Arial" w:cs="Arial"/>
                      <w:color w:val="333333"/>
                    </w:rPr>
                    <w:t xml:space="preserve">PFI:AIR - TT: Advancement of </w:t>
                  </w:r>
                  <w:proofErr w:type="spellStart"/>
                  <w:r w:rsidRPr="60392DE8" w:rsidR="60392DE8">
                    <w:rPr>
                      <w:rFonts w:ascii="Arial" w:hAnsi="Arial" w:eastAsia="Arial" w:cs="Arial"/>
                      <w:color w:val="333333"/>
                    </w:rPr>
                    <w:t>Interband</w:t>
                  </w:r>
                  <w:proofErr w:type="spellEnd"/>
                  <w:r w:rsidRPr="60392DE8" w:rsidR="60392DE8">
                    <w:rPr>
                      <w:rFonts w:ascii="Arial" w:hAnsi="Arial" w:eastAsia="Arial" w:cs="Arial"/>
                      <w:color w:val="333333"/>
                    </w:rPr>
                    <w:t xml:space="preserve"> Cascade Lasers</w:t>
                  </w:r>
                </w:p>
              </w:tc>
            </w:tr>
          </w:tbl>
          <w:p w:rsidR="60392DE8" w:rsidP="60392DE8" w:rsidRDefault="60392DE8" w14:paraId="033A9F62" w14:textId="335A1411">
            <w:pPr>
              <w:pStyle w:val="Normal"/>
            </w:pPr>
          </w:p>
        </w:tc>
        <w:tc>
          <w:tcPr>
            <w:tcW w:w="1319" w:type="dxa"/>
            <w:tcMar>
              <w:top w:w="100" w:type="dxa"/>
              <w:left w:w="100" w:type="dxa"/>
              <w:bottom w:w="100" w:type="dxa"/>
              <w:right w:w="100" w:type="dxa"/>
            </w:tcMar>
          </w:tcPr>
          <w:p w:rsidR="60392DE8" w:rsidP="60392DE8" w:rsidRDefault="60392DE8" w14:paraId="040ECFAD" w14:textId="2EB80794">
            <w:pPr>
              <w:pStyle w:val="Normal"/>
            </w:pPr>
            <w:r w:rsidR="60392DE8">
              <w:rPr/>
              <w:t>2016-9-1</w:t>
            </w:r>
          </w:p>
        </w:tc>
        <w:tc>
          <w:tcPr>
            <w:tcW w:w="1521" w:type="dxa"/>
            <w:tcMar>
              <w:top w:w="100" w:type="dxa"/>
              <w:left w:w="100" w:type="dxa"/>
              <w:bottom w:w="100" w:type="dxa"/>
              <w:right w:w="100" w:type="dxa"/>
            </w:tcMar>
          </w:tcPr>
          <w:p w:rsidR="60392DE8" w:rsidP="60392DE8" w:rsidRDefault="60392DE8" w14:paraId="5F9D9829" w14:textId="5C056509">
            <w:pPr>
              <w:pStyle w:val="Normal"/>
            </w:pPr>
            <w:r w:rsidR="60392DE8">
              <w:rPr/>
              <w:t>2018-2-28</w:t>
            </w:r>
          </w:p>
        </w:tc>
        <w:tc>
          <w:tcPr>
            <w:tcW w:w="1252" w:type="dxa"/>
            <w:tcMar>
              <w:top w:w="100" w:type="dxa"/>
              <w:left w:w="100" w:type="dxa"/>
              <w:bottom w:w="100" w:type="dxa"/>
              <w:right w:w="100" w:type="dxa"/>
            </w:tcMar>
          </w:tcPr>
          <w:p w:rsidR="60392DE8" w:rsidP="60392DE8" w:rsidRDefault="60392DE8" w14:paraId="5B23FA38" w14:textId="418D4541">
            <w:pPr>
              <w:pStyle w:val="Normal"/>
            </w:pPr>
            <w:r w:rsidR="60392DE8">
              <w:rPr/>
              <w:t>200,000</w:t>
            </w:r>
          </w:p>
        </w:tc>
        <w:tc>
          <w:tcPr>
            <w:tcW w:w="1032" w:type="dxa"/>
            <w:tcMar>
              <w:top w:w="100" w:type="dxa"/>
              <w:left w:w="100" w:type="dxa"/>
              <w:bottom w:w="100" w:type="dxa"/>
              <w:right w:w="100" w:type="dxa"/>
            </w:tcMar>
          </w:tcPr>
          <w:p w:rsidR="60392DE8" w:rsidP="60392DE8" w:rsidRDefault="60392DE8" w14:noSpellErr="1" w14:paraId="63019135" w14:textId="5CF460C6">
            <w:pPr>
              <w:pStyle w:val="Normal"/>
            </w:pPr>
            <w:r w:rsidR="60392DE8">
              <w:rPr/>
              <w:t>Yang</w:t>
            </w:r>
          </w:p>
        </w:tc>
        <w:tc>
          <w:tcPr>
            <w:tcW w:w="1974" w:type="dxa"/>
            <w:tcMar>
              <w:top w:w="100" w:type="dxa"/>
              <w:left w:w="100" w:type="dxa"/>
              <w:bottom w:w="100" w:type="dxa"/>
              <w:right w:w="100" w:type="dxa"/>
            </w:tcMar>
          </w:tcPr>
          <w:p w:rsidR="60392DE8" w:rsidP="60392DE8" w:rsidRDefault="60392DE8" w14:noSpellErr="1" w14:paraId="2BB3A046" w14:textId="143F3DC9">
            <w:pPr>
              <w:pStyle w:val="Normal"/>
            </w:pPr>
            <w:r w:rsidR="60392DE8">
              <w:rPr/>
              <w:t>Santos</w:t>
            </w:r>
          </w:p>
        </w:tc>
        <w:tc>
          <w:tcPr>
            <w:tcW w:w="934" w:type="dxa"/>
            <w:tcMar>
              <w:top w:w="100" w:type="dxa"/>
              <w:left w:w="100" w:type="dxa"/>
              <w:bottom w:w="100" w:type="dxa"/>
              <w:right w:w="100" w:type="dxa"/>
            </w:tcMar>
          </w:tcPr>
          <w:p w:rsidR="60392DE8" w:rsidP="60392DE8" w:rsidRDefault="60392DE8" w14:noSpellErr="1" w14:paraId="2583E09B" w14:textId="61C9B861">
            <w:pPr>
              <w:pStyle w:val="Normal"/>
            </w:pPr>
            <w:r w:rsidR="60392DE8">
              <w:rPr/>
              <w:t>NSF</w:t>
            </w:r>
          </w:p>
        </w:tc>
      </w:tr>
      <w:tr w:rsidR="60392DE8" w:rsidTr="60392DE8" w14:paraId="59B55BAF">
        <w:trPr>
          <w:trHeight w:val="760"/>
        </w:trPr>
        <w:tc>
          <w:tcPr>
            <w:tcW w:w="1020" w:type="dxa"/>
            <w:tcMar/>
          </w:tcPr>
          <w:p w:rsidR="60392DE8" w:rsidP="60392DE8" w:rsidRDefault="60392DE8" w14:paraId="4B6D7AFE" w14:textId="545444EB">
            <w:pPr>
              <w:pStyle w:val="Normal"/>
            </w:pPr>
            <w:r w:rsidR="60392DE8">
              <w:rPr/>
              <w:t>1608224</w:t>
            </w:r>
          </w:p>
        </w:tc>
        <w:tc>
          <w:tcPr>
            <w:tcW w:w="4905" w:type="dxa"/>
            <w:tcMar>
              <w:top w:w="100" w:type="dxa"/>
              <w:left w:w="100" w:type="dxa"/>
              <w:bottom w:w="100" w:type="dxa"/>
              <w:right w:w="100" w:type="dxa"/>
            </w:tcMar>
          </w:tcPr>
          <w:tbl>
            <w:tblPr>
              <w:tblStyle w:val="GridTable1Light-Accent1"/>
              <w:tblW w:w="0" w:type="auto"/>
              <w:tblLook w:val="04A0" w:firstRow="1" w:lastRow="0" w:firstColumn="1" w:lastColumn="0" w:noHBand="0" w:noVBand="1"/>
            </w:tblPr>
            <w:tblGrid>
              <w:gridCol w:w="4755"/>
            </w:tblGrid>
            <w:tr w:rsidR="60392DE8" w:rsidTr="60392DE8" w14:paraId="69F883F2">
              <w:tc>
                <w:tcPr>
                  <w:cnfStyle w:val="001000000000" w:firstRow="0" w:lastRow="0" w:firstColumn="1" w:lastColumn="0" w:oddVBand="0" w:evenVBand="0" w:oddHBand="0" w:evenHBand="0" w:firstRowFirstColumn="0" w:firstRowLastColumn="0" w:lastRowFirstColumn="0" w:lastRowLastColumn="0"/>
                  <w:tcW w:w="4755" w:type="dxa"/>
                  <w:tcMar/>
                </w:tcPr>
                <w:p w:rsidR="60392DE8" w:rsidRDefault="60392DE8" w14:noSpellErr="1" w14:paraId="0FBF3FDB" w14:textId="64FF7096">
                  <w:r>
                    <w:br/>
                  </w:r>
                  <w:r w:rsidRPr="60392DE8" w:rsidR="60392DE8">
                    <w:rPr>
                      <w:rFonts w:ascii="Arial" w:hAnsi="Arial" w:eastAsia="Arial" w:cs="Arial"/>
                      <w:color w:val="333333"/>
                    </w:rPr>
                    <w:t>Narrow Bandgap Multi-Stage Structures for Thermophotovoltaics</w:t>
                  </w:r>
                </w:p>
              </w:tc>
            </w:tr>
          </w:tbl>
          <w:p w:rsidR="60392DE8" w:rsidP="60392DE8" w:rsidRDefault="60392DE8" w14:paraId="618E0CD0" w14:textId="42FC1B0B">
            <w:pPr>
              <w:pStyle w:val="Normal"/>
            </w:pPr>
          </w:p>
        </w:tc>
        <w:tc>
          <w:tcPr>
            <w:tcW w:w="1319" w:type="dxa"/>
            <w:tcMar>
              <w:top w:w="100" w:type="dxa"/>
              <w:left w:w="100" w:type="dxa"/>
              <w:bottom w:w="100" w:type="dxa"/>
              <w:right w:w="100" w:type="dxa"/>
            </w:tcMar>
          </w:tcPr>
          <w:p w:rsidR="60392DE8" w:rsidP="60392DE8" w:rsidRDefault="60392DE8" w14:paraId="5E59EA14" w14:textId="045BAF19">
            <w:pPr>
              <w:pStyle w:val="Normal"/>
            </w:pPr>
            <w:r w:rsidR="60392DE8">
              <w:rPr/>
              <w:t>2016-7-1</w:t>
            </w:r>
          </w:p>
        </w:tc>
        <w:tc>
          <w:tcPr>
            <w:tcW w:w="1521" w:type="dxa"/>
            <w:tcMar>
              <w:top w:w="100" w:type="dxa"/>
              <w:left w:w="100" w:type="dxa"/>
              <w:bottom w:w="100" w:type="dxa"/>
              <w:right w:w="100" w:type="dxa"/>
            </w:tcMar>
          </w:tcPr>
          <w:p w:rsidR="60392DE8" w:rsidP="60392DE8" w:rsidRDefault="60392DE8" w14:paraId="3DD2C4DA" w14:textId="4493EE29">
            <w:pPr>
              <w:pStyle w:val="Normal"/>
            </w:pPr>
            <w:r w:rsidR="60392DE8">
              <w:rPr/>
              <w:t>2019-6-30</w:t>
            </w:r>
          </w:p>
        </w:tc>
        <w:tc>
          <w:tcPr>
            <w:tcW w:w="1252" w:type="dxa"/>
            <w:tcMar>
              <w:top w:w="100" w:type="dxa"/>
              <w:left w:w="100" w:type="dxa"/>
              <w:bottom w:w="100" w:type="dxa"/>
              <w:right w:w="100" w:type="dxa"/>
            </w:tcMar>
          </w:tcPr>
          <w:p w:rsidR="60392DE8" w:rsidP="60392DE8" w:rsidRDefault="60392DE8" w14:paraId="352B5B1A" w14:textId="7973DB05">
            <w:pPr>
              <w:pStyle w:val="Normal"/>
            </w:pPr>
            <w:r w:rsidR="60392DE8">
              <w:rPr/>
              <w:t>460,000</w:t>
            </w:r>
          </w:p>
        </w:tc>
        <w:tc>
          <w:tcPr>
            <w:tcW w:w="1032" w:type="dxa"/>
            <w:tcMar>
              <w:top w:w="100" w:type="dxa"/>
              <w:left w:w="100" w:type="dxa"/>
              <w:bottom w:w="100" w:type="dxa"/>
              <w:right w:w="100" w:type="dxa"/>
            </w:tcMar>
          </w:tcPr>
          <w:p w:rsidR="60392DE8" w:rsidP="60392DE8" w:rsidRDefault="60392DE8" w14:noSpellErr="1" w14:paraId="6D997DDC" w14:textId="351A7543">
            <w:pPr>
              <w:pStyle w:val="Normal"/>
            </w:pPr>
            <w:r w:rsidR="60392DE8">
              <w:rPr/>
              <w:t>Yang</w:t>
            </w:r>
          </w:p>
        </w:tc>
        <w:tc>
          <w:tcPr>
            <w:tcW w:w="1974" w:type="dxa"/>
            <w:tcMar>
              <w:top w:w="100" w:type="dxa"/>
              <w:left w:w="100" w:type="dxa"/>
              <w:bottom w:w="100" w:type="dxa"/>
              <w:right w:w="100" w:type="dxa"/>
            </w:tcMar>
          </w:tcPr>
          <w:p w:rsidR="60392DE8" w:rsidP="60392DE8" w:rsidRDefault="60392DE8" w14:noSpellErr="1" w14:paraId="7F82BB2A" w14:textId="2F127C53">
            <w:pPr>
              <w:pStyle w:val="Normal"/>
            </w:pPr>
            <w:r w:rsidR="60392DE8">
              <w:rPr/>
              <w:t>Johnson</w:t>
            </w:r>
          </w:p>
        </w:tc>
        <w:tc>
          <w:tcPr>
            <w:tcW w:w="934" w:type="dxa"/>
            <w:tcMar>
              <w:top w:w="100" w:type="dxa"/>
              <w:left w:w="100" w:type="dxa"/>
              <w:bottom w:w="100" w:type="dxa"/>
              <w:right w:w="100" w:type="dxa"/>
            </w:tcMar>
          </w:tcPr>
          <w:p w:rsidR="60392DE8" w:rsidP="60392DE8" w:rsidRDefault="60392DE8" w14:paraId="56B727F4" w14:textId="1FBF3A1F">
            <w:pPr>
              <w:pStyle w:val="Normal"/>
            </w:pPr>
          </w:p>
        </w:tc>
      </w:tr>
      <w:tr xmlns:wp14="http://schemas.microsoft.com/office/word/2010/wordml" w:rsidR="009A553F" w:rsidTr="60392DE8" w14:paraId="55E04873" wp14:textId="77777777">
        <w:tc>
          <w:tcPr>
            <w:tcW w:w="1020" w:type="dxa"/>
            <w:tcMar/>
          </w:tcPr>
          <w:p w:rsidR="009A553F" w:rsidRDefault="009A553F" w14:paraId="4725B56B" wp14:textId="77777777">
            <w:pPr>
              <w:spacing w:line="240" w:lineRule="auto"/>
            </w:pPr>
            <w:r>
              <w:rPr>
                <w:rFonts w:ascii="Verdana" w:hAnsi="Verdana"/>
                <w:sz w:val="20"/>
                <w:szCs w:val="20"/>
                <w:shd w:val="clear" w:color="auto" w:fill="F3F3F3"/>
              </w:rPr>
              <w:t>1346307</w:t>
            </w:r>
          </w:p>
        </w:tc>
        <w:tc>
          <w:tcPr>
            <w:tcW w:w="4905" w:type="dxa"/>
            <w:tcMar>
              <w:top w:w="100" w:type="dxa"/>
              <w:left w:w="100" w:type="dxa"/>
              <w:bottom w:w="100" w:type="dxa"/>
              <w:right w:w="100" w:type="dxa"/>
            </w:tcMar>
          </w:tcPr>
          <w:p w:rsidR="009A553F" w:rsidRDefault="009A553F" w14:paraId="50FAA24A" wp14:textId="77777777">
            <w:pPr>
              <w:spacing w:line="240" w:lineRule="auto"/>
            </w:pPr>
            <w:r>
              <w:t>STTR phase I</w:t>
            </w:r>
          </w:p>
          <w:p w:rsidR="009A553F" w:rsidRDefault="009A553F" w14:paraId="46245F55" wp14:textId="77777777">
            <w:pPr>
              <w:spacing w:line="240" w:lineRule="auto"/>
            </w:pPr>
            <w:proofErr w:type="spellStart"/>
            <w:r>
              <w:t>Efficeint</w:t>
            </w:r>
            <w:proofErr w:type="spellEnd"/>
            <w:r>
              <w:t xml:space="preserve"> MIR ICL</w:t>
            </w:r>
          </w:p>
        </w:tc>
        <w:tc>
          <w:tcPr>
            <w:tcW w:w="1319" w:type="dxa"/>
            <w:tcMar>
              <w:top w:w="100" w:type="dxa"/>
              <w:left w:w="100" w:type="dxa"/>
              <w:bottom w:w="100" w:type="dxa"/>
              <w:right w:w="100" w:type="dxa"/>
            </w:tcMar>
          </w:tcPr>
          <w:p w:rsidR="009A553F" w:rsidRDefault="009A553F" w14:paraId="1D887111" wp14:textId="77777777">
            <w:pPr>
              <w:spacing w:line="240" w:lineRule="auto"/>
            </w:pPr>
            <w:r>
              <w:t>2014-1-1</w:t>
            </w:r>
          </w:p>
        </w:tc>
        <w:tc>
          <w:tcPr>
            <w:tcW w:w="1521" w:type="dxa"/>
            <w:tcMar>
              <w:top w:w="100" w:type="dxa"/>
              <w:left w:w="100" w:type="dxa"/>
              <w:bottom w:w="100" w:type="dxa"/>
              <w:right w:w="100" w:type="dxa"/>
            </w:tcMar>
          </w:tcPr>
          <w:p w:rsidRPr="00206A1A" w:rsidR="009A553F" w:rsidRDefault="009A553F" w14:paraId="2F76EDE3" wp14:textId="77777777">
            <w:pPr>
              <w:spacing w:line="240" w:lineRule="auto"/>
              <w:rPr>
                <w:color w:val="FF0000"/>
              </w:rPr>
            </w:pPr>
            <w:r w:rsidRPr="006D53B8">
              <w:rPr>
                <w:color w:val="000000" w:themeColor="text1"/>
              </w:rPr>
              <w:t>2014-12-31</w:t>
            </w:r>
          </w:p>
        </w:tc>
        <w:tc>
          <w:tcPr>
            <w:tcW w:w="1252" w:type="dxa"/>
            <w:tcMar>
              <w:top w:w="100" w:type="dxa"/>
              <w:left w:w="100" w:type="dxa"/>
              <w:bottom w:w="100" w:type="dxa"/>
              <w:right w:w="100" w:type="dxa"/>
            </w:tcMar>
          </w:tcPr>
          <w:p w:rsidR="009A553F" w:rsidRDefault="009A553F" w14:paraId="04BDACF3" wp14:textId="77777777">
            <w:pPr>
              <w:spacing w:line="240" w:lineRule="auto"/>
            </w:pPr>
            <w:r>
              <w:t>225,000</w:t>
            </w:r>
          </w:p>
        </w:tc>
        <w:tc>
          <w:tcPr>
            <w:tcW w:w="1032" w:type="dxa"/>
            <w:tcMar>
              <w:top w:w="100" w:type="dxa"/>
              <w:left w:w="100" w:type="dxa"/>
              <w:bottom w:w="100" w:type="dxa"/>
              <w:right w:w="100" w:type="dxa"/>
            </w:tcMar>
          </w:tcPr>
          <w:p w:rsidR="009A553F" w:rsidRDefault="009A553F" w14:paraId="2C2ADBCE" wp14:textId="77777777">
            <w:pPr>
              <w:spacing w:line="240" w:lineRule="auto"/>
            </w:pPr>
            <w:proofErr w:type="spellStart"/>
            <w:r>
              <w:t>Namjou</w:t>
            </w:r>
            <w:proofErr w:type="spellEnd"/>
          </w:p>
        </w:tc>
        <w:tc>
          <w:tcPr>
            <w:tcW w:w="1974" w:type="dxa"/>
            <w:tcMar>
              <w:top w:w="100" w:type="dxa"/>
              <w:left w:w="100" w:type="dxa"/>
              <w:bottom w:w="100" w:type="dxa"/>
              <w:right w:w="100" w:type="dxa"/>
            </w:tcMar>
          </w:tcPr>
          <w:p w:rsidR="009A553F" w:rsidRDefault="009A553F" w14:paraId="63D709E9" wp14:textId="77777777">
            <w:pPr>
              <w:spacing w:line="240" w:lineRule="auto"/>
            </w:pPr>
            <w:r>
              <w:t>Yang</w:t>
            </w:r>
          </w:p>
        </w:tc>
        <w:tc>
          <w:tcPr>
            <w:tcW w:w="934" w:type="dxa"/>
            <w:tcMar>
              <w:top w:w="100" w:type="dxa"/>
              <w:left w:w="100" w:type="dxa"/>
              <w:bottom w:w="100" w:type="dxa"/>
              <w:right w:w="100" w:type="dxa"/>
            </w:tcMar>
          </w:tcPr>
          <w:p w:rsidR="009A553F" w:rsidRDefault="009A553F" w14:paraId="5AB9F080" wp14:textId="77777777">
            <w:pPr>
              <w:spacing w:line="240" w:lineRule="auto"/>
            </w:pPr>
            <w:r>
              <w:t>NSF</w:t>
            </w:r>
          </w:p>
        </w:tc>
      </w:tr>
      <w:tr xmlns:wp14="http://schemas.microsoft.com/office/word/2010/wordml" w:rsidR="009A553F" w:rsidTr="60392DE8" w14:paraId="680CB535" wp14:textId="77777777">
        <w:tc>
          <w:tcPr>
            <w:tcW w:w="1020" w:type="dxa"/>
            <w:tcMar/>
          </w:tcPr>
          <w:p w:rsidR="009A553F" w:rsidRDefault="009A553F" w14:paraId="18381CC0" wp14:textId="77777777">
            <w:pPr>
              <w:spacing w:line="240" w:lineRule="auto"/>
            </w:pPr>
            <w:r>
              <w:rPr>
                <w:rFonts w:ascii="Verdana" w:hAnsi="Verdana"/>
                <w:sz w:val="20"/>
                <w:szCs w:val="20"/>
                <w:shd w:val="clear" w:color="auto" w:fill="F3F3F3"/>
              </w:rPr>
              <w:t>1002202</w:t>
            </w:r>
          </w:p>
        </w:tc>
        <w:tc>
          <w:tcPr>
            <w:tcW w:w="4905" w:type="dxa"/>
            <w:tcMar>
              <w:top w:w="100" w:type="dxa"/>
              <w:left w:w="100" w:type="dxa"/>
              <w:bottom w:w="100" w:type="dxa"/>
              <w:right w:w="100" w:type="dxa"/>
            </w:tcMar>
          </w:tcPr>
          <w:p w:rsidR="009A553F" w:rsidP="00446591" w:rsidRDefault="009A553F" w14:paraId="1922AEF6" wp14:textId="77777777">
            <w:pPr>
              <w:spacing w:line="240" w:lineRule="auto"/>
            </w:pPr>
            <w:r w:rsidRPr="00446591">
              <w:t xml:space="preserve">Energy Efficient </w:t>
            </w:r>
            <w:r>
              <w:t>ICL</w:t>
            </w:r>
          </w:p>
        </w:tc>
        <w:tc>
          <w:tcPr>
            <w:tcW w:w="1319" w:type="dxa"/>
            <w:tcMar>
              <w:top w:w="100" w:type="dxa"/>
              <w:left w:w="100" w:type="dxa"/>
              <w:bottom w:w="100" w:type="dxa"/>
              <w:right w:w="100" w:type="dxa"/>
            </w:tcMar>
          </w:tcPr>
          <w:p w:rsidR="009A553F" w:rsidRDefault="009A553F" w14:paraId="7D7F5F09" wp14:textId="77777777">
            <w:pPr>
              <w:spacing w:line="240" w:lineRule="auto"/>
            </w:pPr>
            <w:r>
              <w:t>2010-6-1</w:t>
            </w:r>
          </w:p>
        </w:tc>
        <w:tc>
          <w:tcPr>
            <w:tcW w:w="1521" w:type="dxa"/>
            <w:tcMar>
              <w:top w:w="100" w:type="dxa"/>
              <w:left w:w="100" w:type="dxa"/>
              <w:bottom w:w="100" w:type="dxa"/>
              <w:right w:w="100" w:type="dxa"/>
            </w:tcMar>
          </w:tcPr>
          <w:p w:rsidR="009A553F" w:rsidRDefault="009A553F" w14:paraId="15DB8F7C" wp14:textId="77777777">
            <w:pPr>
              <w:spacing w:line="240" w:lineRule="auto"/>
            </w:pPr>
            <w:r>
              <w:t>2013-5-31</w:t>
            </w:r>
          </w:p>
        </w:tc>
        <w:tc>
          <w:tcPr>
            <w:tcW w:w="1252" w:type="dxa"/>
            <w:tcMar>
              <w:top w:w="100" w:type="dxa"/>
              <w:left w:w="100" w:type="dxa"/>
              <w:bottom w:w="100" w:type="dxa"/>
              <w:right w:w="100" w:type="dxa"/>
            </w:tcMar>
          </w:tcPr>
          <w:p w:rsidR="009A553F" w:rsidRDefault="009A553F" w14:paraId="62F444D9" wp14:textId="77777777">
            <w:pPr>
              <w:spacing w:line="240" w:lineRule="auto"/>
            </w:pPr>
            <w:r>
              <w:t>400,000</w:t>
            </w:r>
          </w:p>
        </w:tc>
        <w:tc>
          <w:tcPr>
            <w:tcW w:w="1032" w:type="dxa"/>
            <w:tcMar>
              <w:top w:w="100" w:type="dxa"/>
              <w:left w:w="100" w:type="dxa"/>
              <w:bottom w:w="100" w:type="dxa"/>
              <w:right w:w="100" w:type="dxa"/>
            </w:tcMar>
          </w:tcPr>
          <w:p w:rsidR="009A553F" w:rsidRDefault="009A553F" w14:paraId="7590F24F" wp14:textId="77777777">
            <w:pPr>
              <w:spacing w:line="240" w:lineRule="auto"/>
            </w:pPr>
            <w:r>
              <w:t>Yang</w:t>
            </w:r>
          </w:p>
        </w:tc>
        <w:tc>
          <w:tcPr>
            <w:tcW w:w="1974" w:type="dxa"/>
            <w:tcMar>
              <w:top w:w="100" w:type="dxa"/>
              <w:left w:w="100" w:type="dxa"/>
              <w:bottom w:w="100" w:type="dxa"/>
              <w:right w:w="100" w:type="dxa"/>
            </w:tcMar>
          </w:tcPr>
          <w:p w:rsidR="009A553F" w:rsidRDefault="009A553F" w14:paraId="361FD2CB" wp14:textId="77777777">
            <w:pPr>
              <w:spacing w:line="240" w:lineRule="auto"/>
            </w:pPr>
            <w:r>
              <w:t>Santos, Joh</w:t>
            </w:r>
            <w:r w:rsidR="006D53B8">
              <w:t>n</w:t>
            </w:r>
            <w:r>
              <w:t>son</w:t>
            </w:r>
          </w:p>
        </w:tc>
        <w:tc>
          <w:tcPr>
            <w:tcW w:w="934" w:type="dxa"/>
            <w:tcMar>
              <w:top w:w="100" w:type="dxa"/>
              <w:left w:w="100" w:type="dxa"/>
              <w:bottom w:w="100" w:type="dxa"/>
              <w:right w:w="100" w:type="dxa"/>
            </w:tcMar>
          </w:tcPr>
          <w:p w:rsidR="009A553F" w:rsidRDefault="009A553F" w14:paraId="1A9F6B66" wp14:textId="77777777">
            <w:pPr>
              <w:spacing w:line="240" w:lineRule="auto"/>
            </w:pPr>
            <w:r>
              <w:t>NSF</w:t>
            </w:r>
          </w:p>
        </w:tc>
      </w:tr>
      <w:tr xmlns:wp14="http://schemas.microsoft.com/office/word/2010/wordml" w:rsidR="009A553F" w:rsidTr="60392DE8" w14:paraId="15BB0239" wp14:textId="77777777">
        <w:tc>
          <w:tcPr>
            <w:tcW w:w="1020" w:type="dxa"/>
            <w:tcMar/>
          </w:tcPr>
          <w:p w:rsidR="009A553F" w:rsidRDefault="009A553F" w14:paraId="1FD11797" wp14:textId="77777777">
            <w:pPr>
              <w:spacing w:line="240" w:lineRule="auto"/>
            </w:pPr>
            <w:r>
              <w:rPr>
                <w:rFonts w:ascii="Verdana" w:hAnsi="Verdana"/>
                <w:sz w:val="20"/>
                <w:szCs w:val="20"/>
                <w:shd w:val="clear" w:color="auto" w:fill="F3F3F3"/>
              </w:rPr>
              <w:t>0838439</w:t>
            </w:r>
          </w:p>
        </w:tc>
        <w:tc>
          <w:tcPr>
            <w:tcW w:w="4905" w:type="dxa"/>
            <w:tcMar>
              <w:top w:w="100" w:type="dxa"/>
              <w:left w:w="100" w:type="dxa"/>
              <w:bottom w:w="100" w:type="dxa"/>
              <w:right w:w="100" w:type="dxa"/>
            </w:tcMar>
          </w:tcPr>
          <w:p w:rsidR="009A553F" w:rsidP="00446591" w:rsidRDefault="009A553F" w14:paraId="177BDA68" wp14:textId="77777777">
            <w:pPr>
              <w:spacing w:line="240" w:lineRule="auto"/>
            </w:pPr>
            <w:r w:rsidRPr="00446591">
              <w:t xml:space="preserve">SGER: Mid-Infrared </w:t>
            </w:r>
            <w:r>
              <w:t>IC</w:t>
            </w:r>
            <w:r w:rsidRPr="00446591">
              <w:t xml:space="preserve"> </w:t>
            </w:r>
            <w:proofErr w:type="spellStart"/>
            <w:r w:rsidRPr="00446591">
              <w:t>Photodetectors</w:t>
            </w:r>
            <w:proofErr w:type="spellEnd"/>
          </w:p>
        </w:tc>
        <w:tc>
          <w:tcPr>
            <w:tcW w:w="1319" w:type="dxa"/>
            <w:tcMar>
              <w:top w:w="100" w:type="dxa"/>
              <w:left w:w="100" w:type="dxa"/>
              <w:bottom w:w="100" w:type="dxa"/>
              <w:right w:w="100" w:type="dxa"/>
            </w:tcMar>
          </w:tcPr>
          <w:p w:rsidR="009A553F" w:rsidRDefault="009A553F" w14:paraId="53A01B86" wp14:textId="77777777">
            <w:pPr>
              <w:spacing w:line="240" w:lineRule="auto"/>
            </w:pPr>
            <w:r>
              <w:t>2008-9-1</w:t>
            </w:r>
          </w:p>
        </w:tc>
        <w:tc>
          <w:tcPr>
            <w:tcW w:w="1521" w:type="dxa"/>
            <w:tcMar>
              <w:top w:w="100" w:type="dxa"/>
              <w:left w:w="100" w:type="dxa"/>
              <w:bottom w:w="100" w:type="dxa"/>
              <w:right w:w="100" w:type="dxa"/>
            </w:tcMar>
          </w:tcPr>
          <w:p w:rsidR="009A553F" w:rsidRDefault="009A553F" w14:paraId="630B7592" wp14:textId="77777777">
            <w:pPr>
              <w:spacing w:line="240" w:lineRule="auto"/>
            </w:pPr>
            <w:r>
              <w:t>2010-2-28</w:t>
            </w:r>
          </w:p>
        </w:tc>
        <w:tc>
          <w:tcPr>
            <w:tcW w:w="1252" w:type="dxa"/>
            <w:tcMar>
              <w:top w:w="100" w:type="dxa"/>
              <w:left w:w="100" w:type="dxa"/>
              <w:bottom w:w="100" w:type="dxa"/>
              <w:right w:w="100" w:type="dxa"/>
            </w:tcMar>
          </w:tcPr>
          <w:p w:rsidR="009A553F" w:rsidRDefault="009A553F" w14:paraId="3484CE4D" wp14:textId="77777777">
            <w:pPr>
              <w:spacing w:line="240" w:lineRule="auto"/>
            </w:pPr>
            <w:r>
              <w:t>75,029</w:t>
            </w:r>
          </w:p>
        </w:tc>
        <w:tc>
          <w:tcPr>
            <w:tcW w:w="1032" w:type="dxa"/>
            <w:tcMar>
              <w:top w:w="100" w:type="dxa"/>
              <w:left w:w="100" w:type="dxa"/>
              <w:bottom w:w="100" w:type="dxa"/>
              <w:right w:w="100" w:type="dxa"/>
            </w:tcMar>
          </w:tcPr>
          <w:p w:rsidR="009A553F" w:rsidRDefault="009A553F" w14:paraId="5868E5DD" wp14:textId="77777777">
            <w:pPr>
              <w:spacing w:line="240" w:lineRule="auto"/>
            </w:pPr>
            <w:r>
              <w:t>Yang</w:t>
            </w:r>
          </w:p>
        </w:tc>
        <w:tc>
          <w:tcPr>
            <w:tcW w:w="1974" w:type="dxa"/>
            <w:tcMar>
              <w:top w:w="100" w:type="dxa"/>
              <w:left w:w="100" w:type="dxa"/>
              <w:bottom w:w="100" w:type="dxa"/>
              <w:right w:w="100" w:type="dxa"/>
            </w:tcMar>
          </w:tcPr>
          <w:p w:rsidR="009A553F" w:rsidRDefault="009A553F" w14:paraId="76122DB8" wp14:textId="77777777">
            <w:pPr>
              <w:spacing w:line="240" w:lineRule="auto"/>
            </w:pPr>
          </w:p>
        </w:tc>
        <w:tc>
          <w:tcPr>
            <w:tcW w:w="934" w:type="dxa"/>
            <w:tcMar>
              <w:top w:w="100" w:type="dxa"/>
              <w:left w:w="100" w:type="dxa"/>
              <w:bottom w:w="100" w:type="dxa"/>
              <w:right w:w="100" w:type="dxa"/>
            </w:tcMar>
          </w:tcPr>
          <w:p w:rsidR="009A553F" w:rsidRDefault="009A553F" w14:paraId="49BC3D13" wp14:textId="77777777">
            <w:pPr>
              <w:spacing w:line="240" w:lineRule="auto"/>
            </w:pPr>
            <w:r>
              <w:t>NSF</w:t>
            </w:r>
          </w:p>
        </w:tc>
      </w:tr>
      <w:tr xmlns:wp14="http://schemas.microsoft.com/office/word/2010/wordml" w:rsidR="009A553F" w:rsidTr="60392DE8" w14:paraId="216402D3" wp14:textId="77777777">
        <w:tc>
          <w:tcPr>
            <w:tcW w:w="1020" w:type="dxa"/>
            <w:tcMar/>
          </w:tcPr>
          <w:p w:rsidR="009A553F" w:rsidRDefault="009A553F" w14:paraId="7B7B2321" wp14:textId="77777777">
            <w:pPr>
              <w:spacing w:line="240" w:lineRule="auto"/>
            </w:pPr>
            <w:r>
              <w:rPr>
                <w:rFonts w:ascii="Verdana" w:hAnsi="Verdana"/>
                <w:sz w:val="20"/>
                <w:szCs w:val="20"/>
                <w:shd w:val="clear" w:color="auto" w:fill="F3F3F3"/>
              </w:rPr>
              <w:t>1229678</w:t>
            </w:r>
          </w:p>
        </w:tc>
        <w:tc>
          <w:tcPr>
            <w:tcW w:w="4905" w:type="dxa"/>
            <w:tcMar>
              <w:top w:w="100" w:type="dxa"/>
              <w:left w:w="100" w:type="dxa"/>
              <w:bottom w:w="100" w:type="dxa"/>
              <w:right w:w="100" w:type="dxa"/>
            </w:tcMar>
          </w:tcPr>
          <w:p w:rsidR="009A553F" w:rsidP="00446591" w:rsidRDefault="009A553F" w14:paraId="43EC2D53" wp14:textId="77777777">
            <w:pPr>
              <w:spacing w:line="240" w:lineRule="auto"/>
            </w:pPr>
            <w:r w:rsidRPr="00446591">
              <w:t xml:space="preserve">Acquisition of a </w:t>
            </w:r>
            <w:r>
              <w:t>MBE</w:t>
            </w:r>
            <w:r w:rsidRPr="00446591">
              <w:t xml:space="preserve"> Chamber </w:t>
            </w:r>
          </w:p>
          <w:p w:rsidR="009A553F" w:rsidP="00446591" w:rsidRDefault="009A553F" w14:paraId="494F0DB1" wp14:textId="77777777">
            <w:pPr>
              <w:spacing w:line="240" w:lineRule="auto"/>
            </w:pPr>
            <w:r w:rsidRPr="00446591">
              <w:t>for Quantum-Engineered Structures and Devices</w:t>
            </w:r>
          </w:p>
        </w:tc>
        <w:tc>
          <w:tcPr>
            <w:tcW w:w="1319" w:type="dxa"/>
            <w:tcMar>
              <w:top w:w="100" w:type="dxa"/>
              <w:left w:w="100" w:type="dxa"/>
              <w:bottom w:w="100" w:type="dxa"/>
              <w:right w:w="100" w:type="dxa"/>
            </w:tcMar>
          </w:tcPr>
          <w:p w:rsidR="009A553F" w:rsidRDefault="009A553F" w14:paraId="1D9ABD66" wp14:textId="77777777">
            <w:pPr>
              <w:spacing w:line="240" w:lineRule="auto"/>
            </w:pPr>
            <w:r>
              <w:t>2012-9-1</w:t>
            </w:r>
          </w:p>
        </w:tc>
        <w:tc>
          <w:tcPr>
            <w:tcW w:w="1521" w:type="dxa"/>
            <w:tcMar>
              <w:top w:w="100" w:type="dxa"/>
              <w:left w:w="100" w:type="dxa"/>
              <w:bottom w:w="100" w:type="dxa"/>
              <w:right w:w="100" w:type="dxa"/>
            </w:tcMar>
          </w:tcPr>
          <w:p w:rsidR="009A553F" w:rsidRDefault="009A553F" w14:paraId="414708B4" wp14:textId="77777777">
            <w:pPr>
              <w:spacing w:line="240" w:lineRule="auto"/>
            </w:pPr>
            <w:r w:rsidRPr="00796F9B">
              <w:rPr>
                <w:color w:val="auto"/>
              </w:rPr>
              <w:t>2014-8-31</w:t>
            </w:r>
          </w:p>
        </w:tc>
        <w:tc>
          <w:tcPr>
            <w:tcW w:w="1252" w:type="dxa"/>
            <w:tcMar>
              <w:top w:w="100" w:type="dxa"/>
              <w:left w:w="100" w:type="dxa"/>
              <w:bottom w:w="100" w:type="dxa"/>
              <w:right w:w="100" w:type="dxa"/>
            </w:tcMar>
          </w:tcPr>
          <w:p w:rsidR="009A553F" w:rsidRDefault="009A553F" w14:paraId="616B9866" wp14:textId="77777777">
            <w:pPr>
              <w:spacing w:line="240" w:lineRule="auto"/>
            </w:pPr>
            <w:r>
              <w:t>812,984</w:t>
            </w:r>
          </w:p>
        </w:tc>
        <w:tc>
          <w:tcPr>
            <w:tcW w:w="1032" w:type="dxa"/>
            <w:tcMar>
              <w:top w:w="100" w:type="dxa"/>
              <w:left w:w="100" w:type="dxa"/>
              <w:bottom w:w="100" w:type="dxa"/>
              <w:right w:w="100" w:type="dxa"/>
            </w:tcMar>
          </w:tcPr>
          <w:p w:rsidR="009A553F" w:rsidRDefault="009A553F" w14:paraId="12CF7BAE" wp14:textId="77777777">
            <w:pPr>
              <w:spacing w:line="240" w:lineRule="auto"/>
            </w:pPr>
            <w:r>
              <w:t>Santos</w:t>
            </w:r>
          </w:p>
        </w:tc>
        <w:tc>
          <w:tcPr>
            <w:tcW w:w="1974" w:type="dxa"/>
            <w:tcMar>
              <w:top w:w="100" w:type="dxa"/>
              <w:left w:w="100" w:type="dxa"/>
              <w:bottom w:w="100" w:type="dxa"/>
              <w:right w:w="100" w:type="dxa"/>
            </w:tcMar>
          </w:tcPr>
          <w:p w:rsidR="009A553F" w:rsidRDefault="009A553F" w14:paraId="2D0A95DE" wp14:textId="77777777">
            <w:pPr>
              <w:spacing w:line="240" w:lineRule="auto"/>
            </w:pPr>
            <w:r>
              <w:t>Sheena,</w:t>
            </w:r>
            <w:r w:rsidR="006D53B8">
              <w:t xml:space="preserve"> </w:t>
            </w:r>
            <w:r>
              <w:t>Johnson,</w:t>
            </w:r>
          </w:p>
          <w:p w:rsidR="009A553F" w:rsidRDefault="009A553F" w14:paraId="2308D5FE" wp14:textId="77777777">
            <w:pPr>
              <w:spacing w:line="240" w:lineRule="auto"/>
            </w:pPr>
            <w:r>
              <w:t>Yang, Sellers</w:t>
            </w:r>
          </w:p>
        </w:tc>
        <w:tc>
          <w:tcPr>
            <w:tcW w:w="934" w:type="dxa"/>
            <w:tcMar>
              <w:top w:w="100" w:type="dxa"/>
              <w:left w:w="100" w:type="dxa"/>
              <w:bottom w:w="100" w:type="dxa"/>
              <w:right w:w="100" w:type="dxa"/>
            </w:tcMar>
          </w:tcPr>
          <w:p w:rsidR="009A553F" w:rsidRDefault="009A553F" w14:paraId="25D8AA0F" wp14:textId="77777777">
            <w:pPr>
              <w:spacing w:line="240" w:lineRule="auto"/>
            </w:pPr>
            <w:r>
              <w:t>NSF</w:t>
            </w:r>
          </w:p>
        </w:tc>
      </w:tr>
      <w:tr xmlns:wp14="http://schemas.microsoft.com/office/word/2010/wordml" w:rsidR="009A553F" w:rsidTr="60392DE8" w14:paraId="7EA63680" wp14:textId="77777777">
        <w:tc>
          <w:tcPr>
            <w:tcW w:w="1020" w:type="dxa"/>
            <w:tcMar/>
          </w:tcPr>
          <w:p w:rsidR="009A553F" w:rsidRDefault="009A553F" w14:paraId="1D0F0090" wp14:textId="77777777">
            <w:pPr>
              <w:spacing w:line="240" w:lineRule="auto"/>
              <w:rPr>
                <w:rFonts w:ascii="Verdana" w:hAnsi="Verdana"/>
                <w:sz w:val="20"/>
                <w:szCs w:val="20"/>
                <w:shd w:val="clear" w:color="auto" w:fill="F3F3F3"/>
              </w:rPr>
            </w:pPr>
            <w:r>
              <w:rPr>
                <w:rFonts w:ascii="Verdana" w:hAnsi="Verdana"/>
                <w:sz w:val="20"/>
                <w:szCs w:val="20"/>
                <w:shd w:val="clear" w:color="auto" w:fill="F3F3F3"/>
              </w:rPr>
              <w:t>1202318</w:t>
            </w:r>
          </w:p>
        </w:tc>
        <w:tc>
          <w:tcPr>
            <w:tcW w:w="4905" w:type="dxa"/>
            <w:tcMar>
              <w:top w:w="100" w:type="dxa"/>
              <w:left w:w="100" w:type="dxa"/>
              <w:bottom w:w="100" w:type="dxa"/>
              <w:right w:w="100" w:type="dxa"/>
            </w:tcMar>
          </w:tcPr>
          <w:p w:rsidRPr="00446591" w:rsidR="009A553F" w:rsidP="00446591" w:rsidRDefault="009A553F" w14:paraId="7C63C284" wp14:textId="77777777">
            <w:pPr>
              <w:spacing w:line="240" w:lineRule="auto"/>
            </w:pPr>
            <w:r w:rsidRPr="009A553F">
              <w:t xml:space="preserve">Quantum-Engineered Long-Wavelength Infrared </w:t>
            </w:r>
            <w:proofErr w:type="spellStart"/>
            <w:r w:rsidRPr="009A553F">
              <w:t>Photodetectors</w:t>
            </w:r>
            <w:proofErr w:type="spellEnd"/>
          </w:p>
        </w:tc>
        <w:tc>
          <w:tcPr>
            <w:tcW w:w="1319" w:type="dxa"/>
            <w:tcMar>
              <w:top w:w="100" w:type="dxa"/>
              <w:left w:w="100" w:type="dxa"/>
              <w:bottom w:w="100" w:type="dxa"/>
              <w:right w:w="100" w:type="dxa"/>
            </w:tcMar>
          </w:tcPr>
          <w:p w:rsidR="009A553F" w:rsidRDefault="009A553F" w14:paraId="243CCFF4" wp14:textId="77777777">
            <w:pPr>
              <w:spacing w:line="240" w:lineRule="auto"/>
            </w:pPr>
            <w:r>
              <w:t>2012-6-1</w:t>
            </w:r>
          </w:p>
        </w:tc>
        <w:tc>
          <w:tcPr>
            <w:tcW w:w="1521" w:type="dxa"/>
            <w:tcMar>
              <w:top w:w="100" w:type="dxa"/>
              <w:left w:w="100" w:type="dxa"/>
              <w:bottom w:w="100" w:type="dxa"/>
              <w:right w:w="100" w:type="dxa"/>
            </w:tcMar>
          </w:tcPr>
          <w:p w:rsidR="009A553F" w:rsidRDefault="009A553F" w14:paraId="3B04CBBD" wp14:textId="77777777">
            <w:pPr>
              <w:spacing w:line="240" w:lineRule="auto"/>
            </w:pPr>
            <w:r w:rsidRPr="00206A1A">
              <w:rPr>
                <w:color w:val="FF0000"/>
              </w:rPr>
              <w:t>2015-5-31</w:t>
            </w:r>
          </w:p>
        </w:tc>
        <w:tc>
          <w:tcPr>
            <w:tcW w:w="1252" w:type="dxa"/>
            <w:tcMar>
              <w:top w:w="100" w:type="dxa"/>
              <w:left w:w="100" w:type="dxa"/>
              <w:bottom w:w="100" w:type="dxa"/>
              <w:right w:w="100" w:type="dxa"/>
            </w:tcMar>
          </w:tcPr>
          <w:p w:rsidR="009A553F" w:rsidRDefault="009A553F" w14:paraId="31D446E9" wp14:textId="77777777">
            <w:pPr>
              <w:spacing w:line="240" w:lineRule="auto"/>
            </w:pPr>
            <w:r>
              <w:t>239,085</w:t>
            </w:r>
            <w:r w:rsidR="0089510A">
              <w:t xml:space="preserve"> or</w:t>
            </w:r>
          </w:p>
          <w:p w:rsidR="0089510A" w:rsidRDefault="0089510A" w14:paraId="0594BC56" wp14:textId="77777777">
            <w:pPr>
              <w:spacing w:line="240" w:lineRule="auto"/>
            </w:pPr>
            <w:r>
              <w:t>360,000?</w:t>
            </w:r>
          </w:p>
        </w:tc>
        <w:tc>
          <w:tcPr>
            <w:tcW w:w="1032" w:type="dxa"/>
            <w:tcMar>
              <w:top w:w="100" w:type="dxa"/>
              <w:left w:w="100" w:type="dxa"/>
              <w:bottom w:w="100" w:type="dxa"/>
              <w:right w:w="100" w:type="dxa"/>
            </w:tcMar>
          </w:tcPr>
          <w:p w:rsidR="009A553F" w:rsidP="00B03307" w:rsidRDefault="009A553F" w14:paraId="3A2A063A" wp14:textId="77777777">
            <w:pPr>
              <w:spacing w:line="240" w:lineRule="auto"/>
            </w:pPr>
            <w:r>
              <w:t>Yang</w:t>
            </w:r>
          </w:p>
        </w:tc>
        <w:tc>
          <w:tcPr>
            <w:tcW w:w="1974" w:type="dxa"/>
            <w:tcMar>
              <w:top w:w="100" w:type="dxa"/>
              <w:left w:w="100" w:type="dxa"/>
              <w:bottom w:w="100" w:type="dxa"/>
              <w:right w:w="100" w:type="dxa"/>
            </w:tcMar>
          </w:tcPr>
          <w:p w:rsidR="009A553F" w:rsidP="00B03307" w:rsidRDefault="009A553F" w14:paraId="44637642" wp14:textId="77777777">
            <w:pPr>
              <w:spacing w:line="240" w:lineRule="auto"/>
            </w:pPr>
            <w:r>
              <w:t>Santos, Joh</w:t>
            </w:r>
            <w:r w:rsidR="006D53B8">
              <w:t>n</w:t>
            </w:r>
            <w:r>
              <w:t>son</w:t>
            </w:r>
          </w:p>
        </w:tc>
        <w:tc>
          <w:tcPr>
            <w:tcW w:w="934" w:type="dxa"/>
            <w:tcMar>
              <w:top w:w="100" w:type="dxa"/>
              <w:left w:w="100" w:type="dxa"/>
              <w:bottom w:w="100" w:type="dxa"/>
              <w:right w:w="100" w:type="dxa"/>
            </w:tcMar>
          </w:tcPr>
          <w:p w:rsidR="009A553F" w:rsidP="00B03307" w:rsidRDefault="009A553F" w14:paraId="0E296969" wp14:textId="77777777">
            <w:pPr>
              <w:spacing w:line="240" w:lineRule="auto"/>
            </w:pPr>
            <w:r>
              <w:t>NSF</w:t>
            </w:r>
          </w:p>
        </w:tc>
      </w:tr>
      <w:tr xmlns:wp14="http://schemas.microsoft.com/office/word/2010/wordml" w:rsidR="009A553F" w:rsidTr="60392DE8" w14:paraId="461E34AA" wp14:textId="77777777">
        <w:tc>
          <w:tcPr>
            <w:tcW w:w="1020" w:type="dxa"/>
            <w:tcMar/>
          </w:tcPr>
          <w:p w:rsidR="009A553F" w:rsidRDefault="009A553F" w14:paraId="023D93B4" wp14:textId="77777777">
            <w:pPr>
              <w:spacing w:line="240" w:lineRule="auto"/>
              <w:rPr>
                <w:rFonts w:ascii="Verdana" w:hAnsi="Verdana"/>
                <w:sz w:val="20"/>
                <w:szCs w:val="20"/>
                <w:shd w:val="clear" w:color="auto" w:fill="F3F3F3"/>
              </w:rPr>
            </w:pPr>
            <w:r>
              <w:rPr>
                <w:rFonts w:ascii="Verdana" w:hAnsi="Verdana"/>
                <w:sz w:val="20"/>
                <w:szCs w:val="20"/>
                <w:shd w:val="clear" w:color="auto" w:fill="F3F3F3"/>
              </w:rPr>
              <w:t>0520550</w:t>
            </w:r>
          </w:p>
        </w:tc>
        <w:tc>
          <w:tcPr>
            <w:tcW w:w="4905" w:type="dxa"/>
            <w:tcMar>
              <w:top w:w="100" w:type="dxa"/>
              <w:left w:w="100" w:type="dxa"/>
              <w:bottom w:w="100" w:type="dxa"/>
              <w:right w:w="100" w:type="dxa"/>
            </w:tcMar>
          </w:tcPr>
          <w:p w:rsidRPr="009A553F" w:rsidR="009A553F" w:rsidP="00446591" w:rsidRDefault="009A553F" w14:paraId="4FBD45A5" wp14:textId="77777777">
            <w:pPr>
              <w:spacing w:line="240" w:lineRule="auto"/>
            </w:pPr>
            <w:r w:rsidRPr="009A553F">
              <w:t>MRSEC: Center for Semiconductor Physics in Nanostructures (CSPIN)</w:t>
            </w:r>
          </w:p>
        </w:tc>
        <w:tc>
          <w:tcPr>
            <w:tcW w:w="1319" w:type="dxa"/>
            <w:tcMar>
              <w:top w:w="100" w:type="dxa"/>
              <w:left w:w="100" w:type="dxa"/>
              <w:bottom w:w="100" w:type="dxa"/>
              <w:right w:w="100" w:type="dxa"/>
            </w:tcMar>
          </w:tcPr>
          <w:p w:rsidR="009A553F" w:rsidRDefault="009A553F" w14:paraId="4CFA3E40" wp14:textId="77777777">
            <w:pPr>
              <w:spacing w:line="240" w:lineRule="auto"/>
            </w:pPr>
            <w:r>
              <w:t>2005-10-1</w:t>
            </w:r>
          </w:p>
        </w:tc>
        <w:tc>
          <w:tcPr>
            <w:tcW w:w="1521" w:type="dxa"/>
            <w:tcMar>
              <w:top w:w="100" w:type="dxa"/>
              <w:left w:w="100" w:type="dxa"/>
              <w:bottom w:w="100" w:type="dxa"/>
              <w:right w:w="100" w:type="dxa"/>
            </w:tcMar>
          </w:tcPr>
          <w:p w:rsidR="009A553F" w:rsidRDefault="009A553F" w14:paraId="66D4DFE8" wp14:textId="77777777">
            <w:pPr>
              <w:spacing w:line="240" w:lineRule="auto"/>
            </w:pPr>
            <w:r>
              <w:t>2013-9-30</w:t>
            </w:r>
          </w:p>
        </w:tc>
        <w:tc>
          <w:tcPr>
            <w:tcW w:w="1252" w:type="dxa"/>
            <w:tcMar>
              <w:top w:w="100" w:type="dxa"/>
              <w:left w:w="100" w:type="dxa"/>
              <w:bottom w:w="100" w:type="dxa"/>
              <w:right w:w="100" w:type="dxa"/>
            </w:tcMar>
          </w:tcPr>
          <w:p w:rsidR="009A553F" w:rsidRDefault="009A553F" w14:paraId="26205811" wp14:textId="77777777">
            <w:pPr>
              <w:spacing w:line="240" w:lineRule="auto"/>
            </w:pPr>
            <w:r>
              <w:t>7,961,960</w:t>
            </w:r>
          </w:p>
        </w:tc>
        <w:tc>
          <w:tcPr>
            <w:tcW w:w="1032" w:type="dxa"/>
            <w:tcMar>
              <w:top w:w="100" w:type="dxa"/>
              <w:left w:w="100" w:type="dxa"/>
              <w:bottom w:w="100" w:type="dxa"/>
              <w:right w:w="100" w:type="dxa"/>
            </w:tcMar>
          </w:tcPr>
          <w:p w:rsidR="009A553F" w:rsidP="00B03307" w:rsidRDefault="009A553F" w14:paraId="3E646E0B" wp14:textId="77777777">
            <w:pPr>
              <w:spacing w:line="240" w:lineRule="auto"/>
            </w:pPr>
            <w:r>
              <w:t>Johnson</w:t>
            </w:r>
          </w:p>
        </w:tc>
        <w:tc>
          <w:tcPr>
            <w:tcW w:w="1974" w:type="dxa"/>
            <w:tcMar>
              <w:top w:w="100" w:type="dxa"/>
              <w:left w:w="100" w:type="dxa"/>
              <w:bottom w:w="100" w:type="dxa"/>
              <w:right w:w="100" w:type="dxa"/>
            </w:tcMar>
          </w:tcPr>
          <w:p w:rsidR="009A553F" w:rsidP="00B03307" w:rsidRDefault="009A553F" w14:paraId="738599E4" wp14:textId="77777777">
            <w:pPr>
              <w:spacing w:line="240" w:lineRule="auto"/>
            </w:pPr>
            <w:proofErr w:type="spellStart"/>
            <w:r>
              <w:t>Salamo</w:t>
            </w:r>
            <w:bookmarkStart w:name="_GoBack" w:id="0"/>
            <w:bookmarkEnd w:id="0"/>
            <w:proofErr w:type="spellEnd"/>
          </w:p>
        </w:tc>
        <w:tc>
          <w:tcPr>
            <w:tcW w:w="934" w:type="dxa"/>
            <w:tcMar>
              <w:top w:w="100" w:type="dxa"/>
              <w:left w:w="100" w:type="dxa"/>
              <w:bottom w:w="100" w:type="dxa"/>
              <w:right w:w="100" w:type="dxa"/>
            </w:tcMar>
          </w:tcPr>
          <w:p w:rsidR="009A553F" w:rsidP="00B03307" w:rsidRDefault="009A553F" w14:paraId="6DEF2CB7" wp14:textId="77777777">
            <w:pPr>
              <w:spacing w:line="240" w:lineRule="auto"/>
            </w:pPr>
            <w:r>
              <w:t>NSF</w:t>
            </w:r>
          </w:p>
        </w:tc>
      </w:tr>
    </w:tbl>
    <w:p xmlns:wp14="http://schemas.microsoft.com/office/word/2010/wordml" w:rsidR="00446591" w:rsidRDefault="00446591" w14:paraId="119F9108" wp14:textId="77777777"/>
    <w:p xmlns:wp14="http://schemas.microsoft.com/office/word/2010/wordml" w:rsidR="00446591" w:rsidRDefault="006D53B8" w14:paraId="451F8B33" wp14:textId="77777777">
      <w:hyperlink w:history="1" r:id="rId5">
        <w:r w:rsidRPr="00616639" w:rsidR="00953D95">
          <w:rPr>
            <w:rStyle w:val="Hyperlink"/>
          </w:rPr>
          <w:t>http://www.nsf.gov/awardsearch/simpleSearchResult?queryText=%22interband+cascade%22</w:t>
        </w:r>
      </w:hyperlink>
    </w:p>
    <w:p xmlns:wp14="http://schemas.microsoft.com/office/word/2010/wordml" w:rsidR="00953D95" w:rsidP="00953D95" w:rsidRDefault="006D53B8" w14:paraId="3964C02A" wp14:textId="77777777">
      <w:hyperlink w:history="1" r:id="rId6">
        <w:r w:rsidRPr="00616639" w:rsidR="00206A1A">
          <w:rPr>
            <w:rStyle w:val="Hyperlink"/>
          </w:rPr>
          <w:t>http://www.nsf.gov/awardsearch/showAward?AWD_ID=1346307&amp;HistoricalAwards=false</w:t>
        </w:r>
      </w:hyperlink>
      <w:r w:rsidR="00206A1A">
        <w:t xml:space="preserve"> </w:t>
      </w:r>
    </w:p>
    <w:p xmlns:wp14="http://schemas.microsoft.com/office/word/2010/wordml" w:rsidR="00953D95" w:rsidRDefault="00953D95" w14:paraId="3B016FDF" wp14:textId="77777777">
      <w:r w:rsidR="60392DE8">
        <w:rPr/>
        <w:t xml:space="preserve"> </w:t>
      </w:r>
      <w:hyperlink r:id="Rb4c2365fab7a4cbb">
        <w:r w:rsidRPr="60392DE8" w:rsidR="60392DE8">
          <w:rPr>
            <w:rStyle w:val="Hyperlink"/>
          </w:rPr>
          <w:t>http://www.nsf.gov/awardsearch/showAward?AWD_ID=0520550</w:t>
        </w:r>
      </w:hyperlink>
    </w:p>
    <w:p w:rsidR="60392DE8" w:rsidP="60392DE8" w:rsidRDefault="60392DE8" w14:noSpellErr="1" w14:paraId="1A32B296" w14:textId="227F7D9C">
      <w:pPr>
        <w:pStyle w:val="Normal"/>
      </w:pPr>
    </w:p>
    <w:p w:rsidR="60392DE8" w:rsidRDefault="60392DE8" w14:noSpellErr="1" w14:paraId="78CA1DF6" w14:textId="03B302A0"/>
    <w:p xmlns:wp14="http://schemas.microsoft.com/office/word/2010/wordml" w:rsidR="0089510A" w:rsidRDefault="0089510A" w14:paraId="0AC6D8FB" wp14:textId="368218EA">
      <w:r w:rsidR="60392DE8">
        <w:rPr/>
        <w:t>1640576</w:t>
      </w:r>
    </w:p>
    <w:p w:rsidR="60392DE8" w:rsidRDefault="60392DE8" w14:paraId="085311C9" w14:textId="048E8141">
      <w:r w:rsidRPr="60392DE8" w:rsidR="60392DE8">
        <w:rPr>
          <w:rFonts w:ascii="Arial" w:hAnsi="Arial" w:eastAsia="Arial" w:cs="Arial"/>
          <w:color w:val="333333"/>
          <w:sz w:val="22"/>
          <w:szCs w:val="22"/>
        </w:rPr>
        <w:t>This</w:t>
      </w:r>
      <w:r w:rsidRPr="60392DE8" w:rsidR="60392DE8">
        <w:rPr>
          <w:rFonts w:ascii="Arial" w:hAnsi="Arial" w:eastAsia="Arial" w:cs="Arial"/>
          <w:b w:val="1"/>
          <w:bCs w:val="1"/>
          <w:color w:val="333333"/>
          <w:sz w:val="22"/>
          <w:szCs w:val="22"/>
        </w:rPr>
        <w:t xml:space="preserve"> PFI: AIR Technology Translation project focuses on translating mid-infrared (IR) </w:t>
      </w:r>
      <w:proofErr w:type="spellStart"/>
      <w:r w:rsidRPr="60392DE8" w:rsidR="60392DE8">
        <w:rPr>
          <w:rFonts w:ascii="Arial" w:hAnsi="Arial" w:eastAsia="Arial" w:cs="Arial"/>
          <w:b w:val="1"/>
          <w:bCs w:val="1"/>
          <w:color w:val="333333"/>
          <w:sz w:val="22"/>
          <w:szCs w:val="22"/>
        </w:rPr>
        <w:t>interband</w:t>
      </w:r>
      <w:proofErr w:type="spellEnd"/>
      <w:r w:rsidRPr="60392DE8" w:rsidR="60392DE8">
        <w:rPr>
          <w:rFonts w:ascii="Arial" w:hAnsi="Arial" w:eastAsia="Arial" w:cs="Arial"/>
          <w:b w:val="1"/>
          <w:bCs w:val="1"/>
          <w:color w:val="333333"/>
          <w:sz w:val="22"/>
          <w:szCs w:val="22"/>
        </w:rPr>
        <w:t xml:space="preserve"> cascade (IC) laser </w:t>
      </w:r>
      <w:r w:rsidRPr="60392DE8" w:rsidR="60392DE8">
        <w:rPr>
          <w:rFonts w:ascii="Arial" w:hAnsi="Arial" w:eastAsia="Arial" w:cs="Arial"/>
          <w:color w:val="333333"/>
          <w:sz w:val="22"/>
          <w:szCs w:val="22"/>
        </w:rPr>
        <w:t xml:space="preserve">technology to fill the need for instruments that identify and measure the concentration of specific molecules in a gas. Application areas for such instruments include chemical detection, greenhouse gas/pollution and pipeline monitoring, homeland security, industrial process control, and medical diagnostics. IC lasers are compact semiconductor light sources that are enabling components for sensor systems that correlate the absorption of mid-IR light with the presence of particular molecular species. This project will result in the demonstration and development of efficient IC laser sources that cover a wide range of mid-IR wavelengths. These IC lasers have the advantage of low power consumption when compared to other mid-IR lasers in this market space. The availability of efficient mid-IR IC lasers will dramatically enhance chemical sensing capabilities and help to deploy the sensor network globally. This project addresses the technology gap related to mid-IR semiconductor IC lasers as the technology translates from research discovery toward commercial application. Efficient IC lasers have been developed primarily based on </w:t>
      </w:r>
      <w:proofErr w:type="spellStart"/>
      <w:r w:rsidRPr="60392DE8" w:rsidR="60392DE8">
        <w:rPr>
          <w:rFonts w:ascii="Arial" w:hAnsi="Arial" w:eastAsia="Arial" w:cs="Arial"/>
          <w:color w:val="333333"/>
          <w:sz w:val="22"/>
          <w:szCs w:val="22"/>
        </w:rPr>
        <w:t>GaSb</w:t>
      </w:r>
      <w:proofErr w:type="spellEnd"/>
      <w:r w:rsidRPr="60392DE8" w:rsidR="60392DE8">
        <w:rPr>
          <w:rFonts w:ascii="Arial" w:hAnsi="Arial" w:eastAsia="Arial" w:cs="Arial"/>
          <w:color w:val="333333"/>
          <w:sz w:val="22"/>
          <w:szCs w:val="22"/>
        </w:rPr>
        <w:t xml:space="preserve"> substrates in the wavelength region from 3 to 4 microns. This project will develop efficient IC lasers based on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 xml:space="preserve"> substrates in the wavelength region of 4 to 10 microns that conventional </w:t>
      </w:r>
      <w:proofErr w:type="spellStart"/>
      <w:r w:rsidRPr="60392DE8" w:rsidR="60392DE8">
        <w:rPr>
          <w:rFonts w:ascii="Arial" w:hAnsi="Arial" w:eastAsia="Arial" w:cs="Arial"/>
          <w:color w:val="333333"/>
          <w:sz w:val="22"/>
          <w:szCs w:val="22"/>
        </w:rPr>
        <w:t>interband</w:t>
      </w:r>
      <w:proofErr w:type="spellEnd"/>
      <w:r w:rsidRPr="60392DE8" w:rsidR="60392DE8">
        <w:rPr>
          <w:rFonts w:ascii="Arial" w:hAnsi="Arial" w:eastAsia="Arial" w:cs="Arial"/>
          <w:color w:val="333333"/>
          <w:sz w:val="22"/>
          <w:szCs w:val="22"/>
        </w:rPr>
        <w:t xml:space="preserve"> lasers have not been able to reach. These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-based IC lasers will be able to operate continuously with low power consumption at room temperature. The project will match the laser wavelengths to fundamental absorption lines of target molecules in the region of 4 to 6 microns. Through further innovation of the device structure, the power consumption will be further reduced for operation in the continuous wave (</w:t>
      </w:r>
      <w:proofErr w:type="spellStart"/>
      <w:r w:rsidRPr="60392DE8" w:rsidR="60392DE8">
        <w:rPr>
          <w:rFonts w:ascii="Arial" w:hAnsi="Arial" w:eastAsia="Arial" w:cs="Arial"/>
          <w:color w:val="333333"/>
          <w:sz w:val="22"/>
          <w:szCs w:val="22"/>
        </w:rPr>
        <w:t>cw</w:t>
      </w:r>
      <w:proofErr w:type="spellEnd"/>
      <w:r w:rsidRPr="60392DE8" w:rsidR="60392DE8">
        <w:rPr>
          <w:rFonts w:ascii="Arial" w:hAnsi="Arial" w:eastAsia="Arial" w:cs="Arial"/>
          <w:color w:val="333333"/>
          <w:sz w:val="22"/>
          <w:szCs w:val="22"/>
        </w:rPr>
        <w:t xml:space="preserve">) mode at room temperature. In parallel, the </w:t>
      </w:r>
      <w:proofErr w:type="spellStart"/>
      <w:r w:rsidRPr="60392DE8" w:rsidR="60392DE8">
        <w:rPr>
          <w:rFonts w:ascii="Arial" w:hAnsi="Arial" w:eastAsia="Arial" w:cs="Arial"/>
          <w:color w:val="333333"/>
          <w:sz w:val="22"/>
          <w:szCs w:val="22"/>
        </w:rPr>
        <w:t>cw</w:t>
      </w:r>
      <w:proofErr w:type="spellEnd"/>
      <w:r w:rsidRPr="60392DE8" w:rsidR="60392DE8">
        <w:rPr>
          <w:rFonts w:ascii="Arial" w:hAnsi="Arial" w:eastAsia="Arial" w:cs="Arial"/>
          <w:color w:val="333333"/>
          <w:sz w:val="22"/>
          <w:szCs w:val="22"/>
        </w:rPr>
        <w:t xml:space="preserve"> operating temperature will be increased for lasers operating at 6 to 10 microns. To reach these long wavelengths,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 xml:space="preserve">-based </w:t>
      </w:r>
      <w:proofErr w:type="spellStart"/>
      <w:r w:rsidRPr="60392DE8" w:rsidR="60392DE8">
        <w:rPr>
          <w:rFonts w:ascii="Arial" w:hAnsi="Arial" w:eastAsia="Arial" w:cs="Arial"/>
          <w:color w:val="333333"/>
          <w:sz w:val="22"/>
          <w:szCs w:val="22"/>
        </w:rPr>
        <w:t>plasmon</w:t>
      </w:r>
      <w:proofErr w:type="spellEnd"/>
      <w:r w:rsidRPr="60392DE8" w:rsidR="60392DE8">
        <w:rPr>
          <w:rFonts w:ascii="Arial" w:hAnsi="Arial" w:eastAsia="Arial" w:cs="Arial"/>
          <w:color w:val="333333"/>
          <w:sz w:val="22"/>
          <w:szCs w:val="22"/>
        </w:rPr>
        <w:t xml:space="preserve"> waveguides are required to significantly enhance optical confinement, improve thermal dissipation, and reduce strain. With a carefully designed strain-balanced structure and good control of growth parameters, high-quality epitaxial structures will be achieved for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 xml:space="preserve">-based IC lasers. This project engages AdTech Optics, one of the leading commercial companies in mid-IR laser manufacturing with expertise in quantum cascade lasers, to further advance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 xml:space="preserve">-based </w:t>
      </w:r>
      <w:proofErr w:type="spellStart"/>
      <w:r w:rsidRPr="60392DE8" w:rsidR="60392DE8">
        <w:rPr>
          <w:rFonts w:ascii="Arial" w:hAnsi="Arial" w:eastAsia="Arial" w:cs="Arial"/>
          <w:color w:val="333333"/>
          <w:sz w:val="22"/>
          <w:szCs w:val="22"/>
        </w:rPr>
        <w:t>interband</w:t>
      </w:r>
      <w:proofErr w:type="spellEnd"/>
      <w:r w:rsidRPr="60392DE8" w:rsidR="60392DE8">
        <w:rPr>
          <w:rFonts w:ascii="Arial" w:hAnsi="Arial" w:eastAsia="Arial" w:cs="Arial"/>
          <w:color w:val="333333"/>
          <w:sz w:val="22"/>
          <w:szCs w:val="22"/>
        </w:rPr>
        <w:t xml:space="preserve"> cascade lasers into the commercial marketplace. The involvement of AdTech Optics will be particularly useful for addressing issues of reliability, thermal management, packaging, and yield. Personnel involved in this project, including one postdoc, two graduate students, and at least three undergraduate students, will gain innovation, technology transfer, and entrepreneurship experiences through the entrepreneurship program in the university's business college, interactions with AdTech Optics, and participation in the research and market survey activities.</w:t>
      </w:r>
    </w:p>
    <w:p w:rsidR="60392DE8" w:rsidP="60392DE8" w:rsidRDefault="60392DE8" w14:paraId="4E615847" w14:textId="60B59C7A">
      <w:pPr>
        <w:pStyle w:val="Normal"/>
      </w:pPr>
    </w:p>
    <w:p w:rsidR="60392DE8" w:rsidP="60392DE8" w:rsidRDefault="60392DE8" w14:paraId="29C471CA" w14:textId="6B12AAFE">
      <w:pPr>
        <w:pStyle w:val="Normal"/>
      </w:pPr>
    </w:p>
    <w:p w:rsidR="60392DE8" w:rsidP="60392DE8" w:rsidRDefault="60392DE8" w14:paraId="77DA51DE" w14:textId="4C80F90F">
      <w:pPr>
        <w:pStyle w:val="Normal"/>
      </w:pPr>
      <w:r w:rsidRPr="60392DE8" w:rsidR="60392DE8">
        <w:rPr>
          <w:rFonts w:ascii="Arial" w:hAnsi="Arial" w:eastAsia="Arial" w:cs="Arial"/>
          <w:color w:val="333333"/>
          <w:sz w:val="22"/>
          <w:szCs w:val="22"/>
        </w:rPr>
        <w:t>1608224</w:t>
      </w:r>
    </w:p>
    <w:p w:rsidR="60392DE8" w:rsidRDefault="60392DE8" w14:paraId="43DCF274" w14:textId="55DD1F66">
      <w:r w:rsidRPr="60392DE8" w:rsidR="60392DE8">
        <w:rPr>
          <w:rFonts w:ascii="Arial" w:hAnsi="Arial" w:eastAsia="Arial" w:cs="Arial"/>
          <w:color w:val="333333"/>
          <w:sz w:val="22"/>
          <w:szCs w:val="22"/>
        </w:rPr>
        <w:t xml:space="preserve">Non-technical Description: About two-thirds of the energy generated to power the world's machinery is lost as waste heat. The recovery of even a fraction of these large losses would have a significant environmental impact. This project explores semiconductor multilayer structures for converting this otherwise wasted heat into useful electricity. The objectives of the project are to achieve extensive and systematic understanding of the fundamental aspects of the multilayer semiconductor structures, and to advance the knowledge of how underlying physical processes affect their electrical and optical properties. This enables development of novel concepts for effective conversion of radiant energy from a heat source into electricity. The project offers graduate and undergraduate students at the University of Oklahoma unique opportunities to pursue education, training and research in multidisciplinary topics, such as materials science, quantum engineering, photonics, and device fabrication. This project also enhances Oklahoma's infrastructure for science and technology development and opens new opportunities for students from under-represented groups. Technical Description: Narrow bandgap materials are desirable for making efficient thermophotovoltaic (TPV) cells that convert the otherwise-wasted radiant energy from a heat source into useful electrical energy. The TPV devices take advantage of the type-II band alignment of </w:t>
      </w:r>
      <w:proofErr w:type="spellStart"/>
      <w:r w:rsidRPr="60392DE8" w:rsidR="60392DE8">
        <w:rPr>
          <w:rFonts w:ascii="Arial" w:hAnsi="Arial" w:eastAsia="Arial" w:cs="Arial"/>
          <w:color w:val="333333"/>
          <w:sz w:val="22"/>
          <w:szCs w:val="22"/>
        </w:rPr>
        <w:t>InAs</w:t>
      </w:r>
      <w:proofErr w:type="spellEnd"/>
      <w:r w:rsidRPr="60392DE8" w:rsidR="60392DE8">
        <w:rPr>
          <w:rFonts w:ascii="Arial" w:hAnsi="Arial" w:eastAsia="Arial" w:cs="Arial"/>
          <w:color w:val="333333"/>
          <w:sz w:val="22"/>
          <w:szCs w:val="22"/>
        </w:rPr>
        <w:t>/</w:t>
      </w:r>
      <w:proofErr w:type="spellStart"/>
      <w:r w:rsidRPr="60392DE8" w:rsidR="60392DE8">
        <w:rPr>
          <w:rFonts w:ascii="Arial" w:hAnsi="Arial" w:eastAsia="Arial" w:cs="Arial"/>
          <w:color w:val="333333"/>
          <w:sz w:val="22"/>
          <w:szCs w:val="22"/>
        </w:rPr>
        <w:t>GaSb</w:t>
      </w:r>
      <w:proofErr w:type="spellEnd"/>
      <w:r w:rsidRPr="60392DE8" w:rsidR="60392DE8">
        <w:rPr>
          <w:rFonts w:ascii="Arial" w:hAnsi="Arial" w:eastAsia="Arial" w:cs="Arial"/>
          <w:color w:val="333333"/>
          <w:sz w:val="22"/>
          <w:szCs w:val="22"/>
        </w:rPr>
        <w:t xml:space="preserve"> interfaces to form multi-stage cascade structures. These multi-stage structures have many potential advantages including: significantly improved collection efficiency for photo-generated carriers, a wide range of infrared spectral coverage, high open-circuit voltage due to the cascade architecture, as well as the benefits of current matching through adjustments of the number of cascade stages and the thickness of individual absorber layers. Consequently, these narrow bandgap materials enable TPV cells that effectively absorb infrared radiant photons from a heat source and efficiently convert them into electricity. The power conversion efficiency is expected to approach 20%, which would be remarkably high for a TPV system operating at long wavelengths and with a modest light intensity from a low temperature source. The approach and tasks involve: theory development and designs for multi-stage TPV structures, molecular beam epitaxial growth of the TPV structures, material characterization, and prototype device fabrication and characterization. The TPV cells enabled by multi-stage structures have important applications for waste-heat recovery, more efficient use of solar energy, space exploration, power beaming, as well as portable and quiet energy sources. This project not only advances the understanding of physical processes, it also generates new knowledge in the design of quantum-engineered structures and broadens their applications. The advancement of narrow bandgap multi-stage TPV structures in the mid-infrared wavelength region is a critical step toward harvesting energy from widely available heat sources.</w:t>
      </w:r>
    </w:p>
    <w:sectPr w:rsidR="0089510A" w:rsidSect="00264F42">
      <w:pgSz w:w="15840" w:h="1224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dirty"/>
  <w:defaultTabStop w:val="720"/>
  <w:characterSpacingControl w:val="doNotCompress"/>
  <w:compat>
    <w:useFELayout/>
    <w:compatSetting w:name="compatibilityMode" w:uri="http://schemas.microsoft.com/office/word" w:val="14"/>
  </w:compat>
  <w:rsids>
    <w:rsidRoot w:val="007D6936"/>
    <w:rsid w:val="00206A1A"/>
    <w:rsid w:val="00264F42"/>
    <w:rsid w:val="00352307"/>
    <w:rsid w:val="00446591"/>
    <w:rsid w:val="006D53B8"/>
    <w:rsid w:val="00796F9B"/>
    <w:rsid w:val="007D6936"/>
    <w:rsid w:val="0089510A"/>
    <w:rsid w:val="00953D95"/>
    <w:rsid w:val="009A553F"/>
    <w:rsid w:val="6039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BC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pPr>
      <w:spacing w:after="0"/>
    </w:pPr>
    <w:rPr>
      <w:rFonts w:ascii="Arial" w:hAnsi="Arial" w:eastAsia="Arial" w:cs="Arial"/>
      <w:color w:val="000000"/>
    </w:rPr>
  </w:style>
  <w:style w:type="paragraph" w:styleId="Heading1">
    <w:name w:val="heading 1"/>
    <w:basedOn w:val="Normal"/>
    <w:next w:val="Normal"/>
    <w:pPr>
      <w:spacing w:before="200"/>
      <w:contextualSpacing/>
      <w:outlineLvl w:val="0"/>
    </w:pPr>
    <w:rPr>
      <w:rFonts w:ascii="Trebuchet MS" w:hAnsi="Trebuchet MS" w:eastAsia="Trebuchet MS" w:cs="Trebuchet MS"/>
      <w:sz w:val="32"/>
    </w:rPr>
  </w:style>
  <w:style w:type="paragraph" w:styleId="Heading2">
    <w:name w:val="heading 2"/>
    <w:basedOn w:val="Normal"/>
    <w:next w:val="Normal"/>
    <w:pPr>
      <w:spacing w:before="200"/>
      <w:contextualSpacing/>
      <w:outlineLvl w:val="1"/>
    </w:pPr>
    <w:rPr>
      <w:rFonts w:ascii="Trebuchet MS" w:hAnsi="Trebuchet MS" w:eastAsia="Trebuchet MS" w:cs="Trebuchet MS"/>
      <w:b/>
      <w:sz w:val="26"/>
    </w:rPr>
  </w:style>
  <w:style w:type="paragraph" w:styleId="Heading3">
    <w:name w:val="heading 3"/>
    <w:basedOn w:val="Normal"/>
    <w:next w:val="Normal"/>
    <w:pPr>
      <w:spacing w:before="160"/>
      <w:contextualSpacing/>
      <w:outlineLvl w:val="2"/>
    </w:pPr>
    <w:rPr>
      <w:rFonts w:ascii="Trebuchet MS" w:hAnsi="Trebuchet MS" w:eastAsia="Trebuchet MS" w:cs="Trebuchet MS"/>
      <w:b/>
      <w:color w:val="666666"/>
      <w:sz w:val="24"/>
    </w:rPr>
  </w:style>
  <w:style w:type="paragraph" w:styleId="Heading4">
    <w:name w:val="heading 4"/>
    <w:basedOn w:val="Normal"/>
    <w:next w:val="Normal"/>
    <w:pPr>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contextualSpacing/>
    </w:pPr>
    <w:rPr>
      <w:rFonts w:ascii="Trebuchet MS" w:hAnsi="Trebuchet MS" w:eastAsia="Trebuchet MS" w:cs="Trebuchet MS"/>
      <w:sz w:val="42"/>
    </w:rPr>
  </w:style>
  <w:style w:type="paragraph" w:styleId="Subtitle">
    <w:name w:val="Subtitle"/>
    <w:basedOn w:val="Normal"/>
    <w:next w:val="Normal"/>
    <w:pPr>
      <w:spacing w:after="200"/>
      <w:contextualSpacing/>
    </w:pPr>
    <w:rPr>
      <w:rFonts w:ascii="Trebuchet MS" w:hAnsi="Trebuchet MS" w:eastAsia="Trebuchet MS" w:cs="Trebuchet MS"/>
      <w:i/>
      <w:color w:val="666666"/>
      <w:sz w:val="26"/>
    </w:rPr>
  </w:style>
  <w:style w:type="character" w:styleId="Hyperlink">
    <w:name w:val="Hyperlink"/>
    <w:basedOn w:val="DefaultParagraphFont"/>
    <w:uiPriority w:val="99"/>
    <w:unhideWhenUsed/>
    <w:rsid w:val="00953D95"/>
    <w:rPr>
      <w:color w:val="0000FF" w:themeColor="hyperlink"/>
      <w:u w:val="single"/>
    </w:rPr>
  </w:style>
  <w:style w:type="character" w:styleId="FollowedHyperlink">
    <w:name w:val="FollowedHyperlink"/>
    <w:basedOn w:val="DefaultParagraphFont"/>
    <w:uiPriority w:val="99"/>
    <w:semiHidden/>
    <w:unhideWhenUsed/>
    <w:rsid w:val="00206A1A"/>
    <w:rPr>
      <w:color w:val="800080"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953D95"/>
    <w:rPr>
      <w:color w:val="0000FF" w:themeColor="hyperlink"/>
      <w:u w:val="single"/>
    </w:rPr>
  </w:style>
  <w:style w:type="character" w:styleId="FollowedHyperlink">
    <w:name w:val="FollowedHyperlink"/>
    <w:basedOn w:val="DefaultParagraphFont"/>
    <w:uiPriority w:val="99"/>
    <w:semiHidden/>
    <w:unhideWhenUsed/>
    <w:rsid w:val="00206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hyperlink" Target="http://www.nsf.gov/awardsearch/showAward?AWD_ID=1346307&amp;HistoricalAwards=false" TargetMode="External" Id="rId6" /><Relationship Type="http://schemas.openxmlformats.org/officeDocument/2006/relationships/hyperlink" Target="http://www.nsf.gov/awardsearch/simpleSearchResult?queryText=%22interband+cascade%22"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nsf.gov/awardsearch/showAward?AWD_ID=0520550" TargetMode="External" Id="Rb4c2365fab7a4cbb" /></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our funding.docx</dc:title>
  <dc:creator>Yuchao_Macbook</dc:creator>
  <lastModifiedBy>Interband Cascade</lastModifiedBy>
  <revision>6</revision>
  <dcterms:created xsi:type="dcterms:W3CDTF">2014-01-18T21:53:00.0000000Z</dcterms:created>
  <dcterms:modified xsi:type="dcterms:W3CDTF">2016-09-02T05:30:43.4356347Z</dcterms:modified>
</coreProperties>
</file>