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ind w:firstLine="0"/>
        <w:jc w:val="center"/>
      </w:pPr>
      <w:r>
        <w:rPr>
          <w:rFonts w:ascii="宋体" w:hAnsi="宋体" w:eastAsia="宋体"/>
          <w:b/>
          <w:sz w:val="32"/>
        </w:rPr>
        <w:t>深圳大学《计算机伦理》期末大作业</w:t>
      </w:r>
    </w:p>
    <w:p>
      <w:pPr>
        <w:spacing w:line="240" w:lineRule="auto" w:after="0"/>
        <w:ind w:firstLine="0"/>
        <w:jc w:val="center"/>
      </w:pPr>
      <w:r>
        <w:rPr>
          <w:rFonts w:ascii="宋体" w:hAnsi="宋体" w:eastAsia="宋体"/>
          <w:b/>
          <w:sz w:val="30"/>
        </w:rPr>
        <w:t>医疗场景中AI智能检测与疾病预测的计算机伦理问题分析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姓名：__________    学号：__________    座位号：__________    专业年级：__________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  <w:t>说明：仓库未提供课堂讲义原文及对应页码。为遵守“不要虚构”的要求，本文在涉及课程讲义时仅按课堂主题进行概括，不虚构教材章节页码；正式提交前，可再根据本人手头讲义补充精确页码。</w:t>
      </w:r>
    </w:p>
    <w:p>
      <w:r>
        <w:br w:type="page"/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/>
          <w:sz w:val="28"/>
        </w:rPr>
        <w:t>一、引言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近年来，医疗人工智能已经从实验室研究快速走向真实诊疗场景。在医学影像、疾病预测、慢病管理、智能分诊、病理识别、心电异常检测和眼底筛查等领域，AI通过识别大规模数据中的模式，显著提升了筛查速度、辅助诊断效率与资源配置能力。然而，医疗AI与一般消费级AI不同，它直接嵌入患者就医路径，可能影响是否就诊、如何治疗、谁先得到资源以及谁承担风险。因此，对医疗AI的评价不能只看准确率、速度或商业价值，还必须同时讨论其公平性、可解释性、隐私风险、问责结构、平台责任与政策监管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从国际监管趋势看，医疗AI已经被普遍视为高风险人工智能应用。美国FDA持续把AI医疗软件纳入监管视野，欧盟《人工智能法案》要求高风险AI满足风险管理、数据治理、记录留存、人类监督与准确性、稳健性、安全性要求，中国也从伦理规范、个人信息保护和平台治理等多个层面强化要求。这意味着，医疗AI的核心问题不再是“能不能做”，而是“在什么边界内做、由谁负责做、出了问题如何追责”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本文按照题目要求，依次分析医疗AI智能检测与疾病预测的社会影响，讨论技术创新、临床安全与政策监管之间的平衡，再从算法偏见、职业伦理、多层次责任结构等角度分析伦理问题，最后结合真实案例提出个人治理主张与解决策略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/>
          <w:sz w:val="28"/>
        </w:rPr>
        <w:t>二、医疗AI智能检测与疾病预测的社会影响分析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医疗AI的社会影响具有鲜明的“双刃剑”特征。它一方面提高效率、扩大服务可及性，另一方面也可能放大误判、歧视与治理失灵的后果。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/>
          <w:sz w:val="24"/>
        </w:rPr>
        <w:t>（一）正面影响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1. 提高筛查效率并缓解基层医疗资源紧张。对于糖尿病视网膜病变、肺结节、乳腺影像、病理切片和心电图等高频筛查任务，AI可以先完成标准化初筛，把有限的专科医生时间集中到高风险病例上，降低因工作负荷造成的漏检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2. 提升偏远地区与基层机构的服务可及性。真实世界中，医疗资源在城市与基层之间严重不均。医疗AI如果部署得当，可以为缺乏专科医生的地区提供更早的风险提示和转诊建议，缩小服务落差。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3. 促进标准化和规模化。临床判断经常受经验差异、疲劳状态和工作负荷影响。AI系统通过统一模型和统一阈值执行同类任务，有助于减少因个体差异造成的波动，尤其适合流程型、重复型、可结构化的检测任务。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4. 推动个性化和前瞻性医疗。疾病预测模型能够把影像、化验、病史、可穿戴设备数据结合起来，为高危人群提供更早的预警，使医疗模式从“发病后治疗”逐步转向“风险前移、预防优先”。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官方案例也说明了这一点。FDA在IDx-DR获批时指出：“Today’s decision permits the marketing of a novel artificial intelligence technology that can be used in a primary care doctor’s office.”这说明监管部门认可AI在基层场景扩展筛查能力的现实价值。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/>
          <w:sz w:val="24"/>
        </w:rPr>
        <w:t>（二）负面影响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1. 误诊、漏诊和自动化偏误会被放大。医疗AI并不是“总是正确”的。若医生或患者对系统输出过度信任，就可能出现“机器说了算”的自动化偏误。一旦模型在边缘病例、少数群体或低质量数据上表现不佳，错误可能被批量复制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2. 算法偏见可能加剧医疗不公平。如果训练数据主要来自特定年龄、地区、肤色、支付能力或就医习惯的人群，模型对其他群体的识别能力就可能系统性下降，造成“表面中立、实则失衡”的资源分配。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3. 隐私和数据安全风险显著上升。医疗AI高度依赖病历、影像、基因和可穿戴设备等敏感数据，数据采集范围越广、共享链条越长，越容易发生过度收集、越权使用、重新识别和二次商业利用。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4. 责任边界变得模糊。现实中的医疗AI往往涉及模型开发者、平台运营方、医院采购方、医生使用者与数据提供者。系统出错后，若责任划分不清，就可能出现“人人参与、人人免责”的治理真空。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Royal Free与DeepMind合作开发Streams项目的争议说明，医疗AI一旦把数据治理放在技术部署之后，就会直接侵蚀患者信任、平台信誉和公共合法性。也就是说，医疗AI的负面影响不仅发生在误诊层面，也会发生在制度信任层面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/>
          <w:sz w:val="28"/>
        </w:rPr>
        <w:t>三、医疗AI发展中技术创新、临床安全与政策监管的平衡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医疗AI的发展不能简单理解为“监管越少越创新”或“监管越严越安全”。在医疗场景里，技术创新、临床安全和政策监管必须被看作一个需要动态协调的三角关系。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/>
          <w:sz w:val="24"/>
        </w:rPr>
        <w:t>（一）加强监管的必要性与潜在风险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1. 加强监管的必要性之一，在于医疗AI的错误成本极高。普通互联网产品出错，往往影响的是体验；医疗AI出错，则可能延误诊断、造成过度治疗或错误分诊，直接影响患者健康与生命安全。因此，上市前验证、风险评估、性能披露和上市后监测都具有必要性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2. 加强监管的必要性之二，在于医疗数据具有高度敏感性。中国《个人信息保护法》明确规定：“任何组织、个人不得非法收集、使用、加工、传输他人的个人信息，不得非法买卖、提供或者公开他人的个人信息。”这意味着数据驱动型医疗创新不能以牺牲患者隐私权为代价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3. 监管也有潜在风险。第一，过高的准入门槛可能抬高创新成本，让中小团队更难进入医疗AI领域，导致创新资源进一步向大公司集中。第二，审评和备案流程若过于僵化，可能使技术更新速度远远快于监管响应速度，出现“旧规则管新技术”的适配困难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/>
          <w:sz w:val="24"/>
        </w:rPr>
        <w:t>（二）鼓励技术创新与开放应用的益处及可能问题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1. 鼓励技术创新有助于推动更多真实场景落地。对基层筛查、慢病预警、辅助阅片和院内流程优化而言，开放应用可以让技术尽早在真实世界中接受验证，形成更贴近临床需求的产品改进闭环。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2. 鼓励开放应用也有助于提升公共健康效益。尤其在人口老龄化和优质医疗资源不足的背景下，医疗AI可以把一部分重复性任务自动化，让医生把更多精力投入复杂病例和医患沟通。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3. 但开放应用同样存在问题。若过早把尚不稳定的模型直接接入临床，容易出现“先上线、后治理”的路径依赖；若企业只强调产品迭代速度，而忽视模型漂移、场景迁移和异常人群表现，则所谓创新可能只是把风险转移给患者和一线医生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4. 因此，最合理的平衡不是二选一，而是采取“分级监管+沙盒试点+持续监测”的思路：对高风险用途实施更严格要求，对低风险辅助功能提供试点空间，并通过事后审计和不良事件上报形成闭环。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/>
          <w:sz w:val="28"/>
        </w:rPr>
        <w:t>四、从计算机伦理角度分析关键问题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结合课堂中关于职业道德、社会责任、隐私保护、责任分配和技术治理的主题，医疗AI至少涉及以下三类关键伦理问题。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/>
          <w:sz w:val="24"/>
        </w:rPr>
        <w:t>（一）算法偏见与公平性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算法偏见首先来源于数据偏差。医疗数据不是天然中立的，它往往带有地区、医院等级、支付能力、种族肤色、性别年龄与就医习惯差异。例如，同一种皮肤病若训练样本主要来自浅色皮肤患者，那么模型面对深色皮肤患者时就可能出现系统性误判。第二，标签本身也可能有偏差。现实临床中，诊断标签可能受医生经验、检查条件和随访完整度影响，错误标签会被模型“学习”为规律。第三，模型优化目标可能与伦理目标不一致。开发者若只追求总体准确率，模型就可能通过牺牲少数群体表现换取总体指标更好看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这种偏见的伦理后果是医疗公平性的受损。表面上，AI对所有人使用同一套规则；实际上，如果训练基础不平衡，它会把历史不平等固化为技术结果。对于资源本就不足的地区、边缘人群或罕见病例患者而言，这种偏差会让他们在看似客观的模型面前再次处于劣势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缓解策略应包括：第一，在数据收集阶段提升样本代表性，主动覆盖不同年龄、性别、地区、肤色和疾病谱；第二，在模型评估阶段不只看总体准确率，而要分亚组披露灵敏度、特异度和误差分布；第三，在部署阶段保留人工复核与申诉机制，对低置信度和边缘病例设置升级判断；第四，在持续运营阶段做模型漂移监测，防止数据分布变化后继续沿用旧模型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WHO在《Ethics and governance of artificial intelligence for health》中强调：“Ensuring inclusiveness and equity.”这说明公平性不是模型性能的附属品，而是医疗AI设计之初就应满足的伦理底线。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/>
          <w:sz w:val="24"/>
        </w:rPr>
        <w:t>（二）AI职业伦理与工程师角色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课堂上关于IT职业道德与社会责任的核心启示之一，是工程师并非中立的代码执行者，而是社会后果的塑造者。开发医疗AI时，工程师实际上在参与医疗资源分配：谁会被优先提示为高风险，谁会先进入复核流程，哪些指标会被系统看见，哪些变量会被系统忽略。这已经超出了“把工具做出来”的狭义技术职责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医疗AI开发中的职业伦理困境至少有三类。第一，效率与公平的权衡。企业往往希望快速上线并扩大覆盖，但工程师知道某些群体数据不足，此时是先上线还是补数据，本身就是伦理判断。第二，商业利益与公共利益的权衡。企业可能倾向于扩大数据收集范围、延长保存周期、推进多场景复用，但工程师需要意识到患者并未因此自动放弃隐私权。第三，自动化与专业责任的权衡。系统做得越“省事”，医生越可能依赖它，工程师应主动考虑如何设计提示、解释和人工复核节点，而不是只追求替代性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因此，伦理判断力是专业成熟度的核心。真正成熟的工程师不仅会优化损失函数，还会主动追问：这个系统可能伤害谁？一旦伤害发生，组织是否有证据链解释原因？能否及时纠错？这种判断力决定了工程师能否从“工具实现者”转向“社会资源分配的设计者”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中国科技部发布的《新一代人工智能伦理规范》提出：“增进人类福祉。坚持以人为本……”并要求“保护隐私安全”。这说明从政策与职业伦理角度看，工程师必须把人的尊严、安全和权利置于系统效率之前。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/>
          <w:sz w:val="24"/>
        </w:rPr>
        <w:t>（三）全生命周期治理与多层次责任结构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医疗AI的伦理风险是动态的，因此必须从全生命周期和多层责任结构来理解。以“联邦学习联合诊断模型”为例，风险至少会出现在四个层面。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第一，代码/模型层面。这里的风险包括训练代码缺陷、参数配置错误、样本泄漏、模型过拟合、后门攻击和可解释性不足。若没有版本管理、训练日志和可复现实验流程，后续责任追溯几乎无从谈起。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第二，系统/产品层面。即便模型离线指标不错，接入医院信息系统后仍可能因接口映射错误、图像压缩、硬件差异、异常输入和提示界面设计不当而产生新风险。很多事故并非模型“不会算”，而是系统“不会用”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第三，组织层面。医院是否建立了采购审核、伦理审查、权限控制、值班复核和不良事件上报制度，企业是否建立了模型更新审批、日志留存、问题召回和责任人签名流程，这些都决定了风险能否被及时发现并处置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第四，社会层面。包括公众对AI的理解偏差、保险支付激励、平台市场垄断、不同地区医疗资源差异以及法律责任分配不清。即便技术本身可用，若社会治理结构不健全，也会让医疗AI在大范围应用中放大不平等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因此，工程手段必须服务于责任界定与追溯。可审计架构至少应包括：数据来源留痕、训练与更新版本记录、关键阈值变更说明、推理日志、人工复核记录、异常上报链路和回滚机制。只有让每一步都能被追踪，责任结构才不是空话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/>
          <w:sz w:val="28"/>
        </w:rPr>
        <w:t>五、个人观点与案例分析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我认为，未来医疗AI治理的关键，不是把AI简单视为“医生替代者”，而是把它视为“受监管的高影响决策支持系统”。在这一前提下，平台责任、医生责任、患者权益保护和政策监管必须形成互相制衡又互相配合的治理结构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/>
          <w:sz w:val="24"/>
        </w:rPr>
        <w:t>（一）案例一：FDA授权IDx-DR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IDx-DR是医疗AI积极价值的代表性案例。FDA在官方页面中指出：“Today’s decision permits the marketing of a novel artificial intelligence technology that can be used in a primary care doctor’s office.”这一案例说明，只要完成充分验证、清晰界定适用范围，并建立合适的监管通道，医疗AI确实能够在基层提升眼底筛查可及性。我的观点是，政策不应因风险而否定创新，而应通过分级审评和真实世界监测，把创新约束在可以解释、可以追责、可以纠偏的范围内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/>
          <w:sz w:val="24"/>
        </w:rPr>
        <w:t>（二）案例二：Royal Free与DeepMind数据治理争议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这一案例反映的不是模型准确率问题，而是平台责任、医院责任和患者知情权问题。ICO明确认为患者不会合理预期自己的信息以这种方式被使用，并批评相关机构透明度不足。我的看法是，平台即使拥有技术能力，也不能据此推定自己拥有充分的数据正当性；医院即使追求临床效率，也不能跳过患者知情、必要性评估与边界控制。对患者而言，真正重要的不仅是“数据是否泄露”，还包括“数据是否被超范围利用”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/>
          <w:sz w:val="24"/>
        </w:rPr>
        <w:t>（三）个人主张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第一，伦理治理必须前置，而不能在产品上线后补票。所有高风险医疗AI都应在设计阶段进行伦理影响评估，明确预期用途、受影响群体、潜在歧视来源与退出机制。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第二，平台责任必须制度化。平台不仅要对模型效果负责，还要对数据最小化、日志留存、更新公告、风险提示和问题召回负责。若平台无法证明自身已经履行这些义务，就不应把责任完全转嫁给一线医生。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第三，医生责任应当被重新定义。医生不应对模型内部原理承担不可能完成的责任，但必须对是否采信系统建议、是否结合患者个体情况做最终判断负责。医疗AI可以辅助诊疗，但不能替代医生的专业审慎义务。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第四，患者权益保护应覆盖知情、同意、解释、申诉与救济。患者有权知道自己的数据是否被用于训练、系统在做什么类型的辅助判断、误判后如何复核以及发生损害后如何追责。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第五，政策监管应走向动态化。欧盟AI法案强调高风险AI的人类监督和记录义务，WHO也强调全生命周期文档化与风险管理。我的观点是，中国未来医疗AI治理也应进一步强化上市后监测、模型更新备案、跨机构数据使用边界和不良事件统一上报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/>
          <w:sz w:val="28"/>
        </w:rPr>
        <w:t>六、面对伦理挑战与风险的解决策略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围绕上述问题，我的综合主张可以概括为以下六点。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1. 建立分级分类治理框架。把医疗AI按用途分为直接诊断、风险预测、流程辅助、健康管理等不同等级，风险越高，准入标准、验证深度和持续监测要求越高。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2. 推行数据最小化与可验证授权机制。只收集完成特定任务所必需的数据；对跨院共享、科研复用、模型训练和商业合作分别设置独立授权与审计规则，避免“一次同意，无限使用”。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3. 强化公平性评估。所有面向真实世界部署的高风险模型都应披露分亚组性能，并对代表性不足的人群设置额外复核措施，防止“总体有效、个体失衡”。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4. 建立可审计与可追责架构。把数据来源、特征处理、模型版本、阈值更新、推理日志、人工复核、异常上报和回滚机制纳入统一审计链条，让责任能够落到具体组织和具体流程。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5. 完善人机协同制度。医疗AI输出应当被视为高价值建议，而不是自动生效命令。对于低置信度、高风险和后果严重的判断，必须保留人工复核和二次确认。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6. 形成多主体共同治理。开发企业、医院、监管机构、行业协会、伦理委员会和患者代表都应进入治理结构。只有把技术治理从企业内部扩展到社会协同，医疗AI才能在创新与公众权益之间实现长期平衡。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/>
          <w:sz w:val="28"/>
        </w:rPr>
        <w:t>七、结论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医疗AI智能检测与疾病预测技术确实能够提升效率、扩大覆盖面并推动精准医疗，但它带来的并不仅仅是技术升级，而是对医疗公平、隐私边界、职业伦理和责任结构的重新定义。真正负责任的治理思路，不是否定AI，也不是盲目崇拜AI，而是承认它在高风险场景中的强大影响力，并通过分级监管、持续监测、可审计架构和多主体责任分担，把技术能力约束在符合伦理和法治的框架内。只有这样，医疗AI才能既促进创新，又保障公众权益。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/>
          <w:sz w:val="28"/>
        </w:rPr>
        <w:t>参考文献与官方链接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1. U.S. Food and Drug Administration. Artificial Intelligence-Enabled Medical Devices. https://www.fda.gov/medical-devices/software-medical-device-samd/artificial-intelligence-enabled-medical-devices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2. U.S. Food and Drug Administration. FDA permits marketing of artificial intelligence-based device to detect certain diabetes-related eye problems. https://www.fda.gov/news-events/press-announcements/fda-permits-marketing-artificial-intelligence-based-device-detect-certain-diabetes-related-eye-problems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3. EUR-Lex. Regulation (EU) 2024/1689 laying down harmonised rules on artificial intelligence. https://eur-lex.europa.eu/legal-content/EN/TXT/?uri=CELEX:32024R1689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4. World Health Organization. Ethics and governance of artificial intelligence for health. https://www.who.int/publications/i/item/9789240029200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5. World Health Organization. WHO outlines considerations for regulation of artificial intelligence for health. https://www.who.int/news/item/19-10-2023-who-outlines-considerations-for-regulation-of-artificial-intelligence-for-health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6. 中华人民共和国科学技术部：《新一代人工智能伦理规范》发布。https://www.most.gov.cn/kjbgz/202109/t20210926_177063.html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7. 中华人民共和国全国人民代表大会：《中华人民共和国个人信息保护法》。http://www.npc.gov.cn/npc/c30834/202108/5d2c50ae2a1e4961858c0060c2b8a9ad.shtml</w:t>
      </w:r>
    </w:p>
    <w:p>
      <w:pPr>
        <w:spacing w:line="240" w:lineRule="auto" w:after="0"/>
        <w:ind w:firstLine="0"/>
      </w:pPr>
      <w:r>
        <w:rPr>
          <w:rFonts w:ascii="宋体" w:hAnsi="宋体" w:eastAsia="宋体"/>
          <w:b w:val="0"/>
          <w:sz w:val="21"/>
        </w:rPr>
      </w:r>
    </w:p>
    <w:p>
      <w:pPr>
        <w:spacing w:line="240" w:lineRule="auto" w:after="0"/>
        <w:ind w:firstLine="420"/>
      </w:pPr>
      <w:r>
        <w:rPr>
          <w:rFonts w:ascii="宋体" w:hAnsi="宋体" w:eastAsia="宋体"/>
          <w:b w:val="0"/>
          <w:sz w:val="21"/>
        </w:rPr>
        <w:t>8. Information Commissioner's Office. Royal Free - Google DeepMind trial failed to comply with data protection law. https://ico.org.uk/about-the-ico/media-centre/news-and-blogs/2017/07/royal-free-google-deepmind-trial-failed-to-comply-with-data-protection-law/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