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CCF5" w14:textId="77777777" w:rsidR="003C1D90" w:rsidRDefault="003C1D90" w:rsidP="003C1D90">
      <w:pPr>
        <w:spacing w:beforeLines="200" w:before="624" w:afterLines="300" w:after="936"/>
        <w:jc w:val="center"/>
        <w:rPr>
          <w:rFonts w:ascii="宋体"/>
          <w:b/>
          <w:sz w:val="48"/>
          <w:szCs w:val="48"/>
        </w:rPr>
      </w:pPr>
      <w:r>
        <w:rPr>
          <w:rFonts w:ascii="宋体" w:hint="eastAsia" w:hAnsi="宋体" w:eastAsia="宋体"/>
          <w:b/>
          <w:sz w:val="48"/>
          <w:szCs w:val="48"/>
        </w:rPr>
        <w:t>《软件</w:t>
      </w:r>
      <w:r>
        <w:rPr>
          <w:rFonts w:ascii="宋体" w:hAnsi="宋体" w:eastAsia="宋体"/>
          <w:b/>
          <w:sz w:val="48"/>
          <w:szCs w:val="48"/>
        </w:rPr>
        <w:t>体系结构与设计模式</w:t>
      </w:r>
      <w:r>
        <w:rPr>
          <w:rFonts w:ascii="宋体" w:hint="eastAsia" w:hAnsi="宋体" w:eastAsia="宋体"/>
          <w:b/>
          <w:sz w:val="48"/>
          <w:szCs w:val="48"/>
        </w:rPr>
        <w:t>》</w:t>
      </w:r>
    </w:p>
    <w:p w14:paraId="57139BC2" w14:textId="77777777" w:rsidR="003C1D90" w:rsidRPr="00822673" w:rsidRDefault="003C1D90" w:rsidP="003C1D90">
      <w:pPr>
        <w:spacing w:beforeLines="200" w:before="624" w:afterLines="300" w:after="936"/>
        <w:jc w:val="center"/>
        <w:rPr>
          <w:b/>
          <w:sz w:val="48"/>
          <w:szCs w:val="48"/>
        </w:rPr>
      </w:pPr>
      <w:r>
        <w:rPr>
          <w:rFonts w:ascii="宋体" w:hint="eastAsia" w:hAnsi="宋体" w:eastAsia="宋体"/>
          <w:b/>
          <w:sz w:val="48"/>
          <w:szCs w:val="48"/>
        </w:rPr>
        <w:t>作业</w:t>
      </w:r>
      <w:r w:rsidRPr="00822673">
        <w:rPr>
          <w:rFonts w:ascii="宋体" w:hint="eastAsia" w:hAnsi="宋体" w:eastAsia="宋体"/>
          <w:b/>
          <w:sz w:val="48"/>
          <w:szCs w:val="48"/>
        </w:rPr>
        <w:t>报告</w:t>
      </w:r>
    </w:p>
    <w:p w14:paraId="264B49A1" w14:textId="77777777" w:rsidR="00E17D9C" w:rsidRDefault="003C1D90" w:rsidP="003C1D90">
      <w:pPr>
        <w:spacing w:beforeLines="100" w:before="312" w:afterLines="100" w:after="312"/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</w:p>
    <w:p w14:paraId="31546B66" w14:textId="07A23A78" w:rsidR="003C1D90" w:rsidRPr="00E85ACA" w:rsidRDefault="003C1D90" w:rsidP="0039257A">
      <w:pPr>
        <w:spacing w:beforeLines="100" w:before="312" w:afterLines="100" w:after="312"/>
        <w:ind w:leftChars="200" w:left="420" w:firstLineChars="100" w:firstLine="281"/>
        <w:rPr>
          <w:rFonts w:cs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sz w:val="28"/>
        </w:rPr>
        <w:t xml:space="preserve"> </w:t>
      </w:r>
      <w:r>
        <w:rPr>
          <w:rFonts w:hint="eastAsia" w:ascii="宋体" w:hAnsi="宋体" w:eastAsia="宋体"/>
          <w:b/>
          <w:sz w:val="28"/>
        </w:rPr>
        <w:t>作业名称</w:t>
      </w:r>
      <w:r w:rsidRPr="00822673">
        <w:rPr>
          <w:rFonts w:hint="eastAsia" w:ascii="宋体" w:hAnsi="宋体" w:eastAsia="宋体"/>
          <w:b/>
          <w:sz w:val="28"/>
        </w:rPr>
        <w:t>：</w:t>
      </w:r>
      <w:r w:rsidRPr="0039257A">
        <w:rPr>
          <w:rFonts w:cs="宋体" w:hint="eastAsia" w:ascii="宋体" w:hAnsi="宋体" w:eastAsia="宋体"/>
          <w:b/>
          <w:bCs/>
          <w:sz w:val="24"/>
          <w:u w:val="single"/>
        </w:rPr>
        <w:t>作业</w:t>
      </w:r>
      <w:r w:rsidR="00D571AF" w:rsidRPr="0039257A">
        <w:rPr>
          <w:rFonts w:cs="宋体" w:ascii="宋体" w:hAnsi="宋体" w:eastAsia="宋体"/>
          <w:b/>
          <w:bCs/>
          <w:sz w:val="24"/>
          <w:u w:val="single"/>
        </w:rPr>
        <w:t>2</w:t>
      </w:r>
      <w:r w:rsidR="0039257A" w:rsidRPr="0039257A">
        <w:rPr>
          <w:rFonts w:cs="宋体" w:hint="eastAsia" w:ascii="宋体" w:hAnsi="宋体" w:eastAsia="宋体"/>
          <w:b/>
          <w:bCs/>
          <w:sz w:val="24"/>
          <w:u w:val="single"/>
        </w:rPr>
        <w:t>三维</w:t>
      </w:r>
      <w:r w:rsidR="0039257A" w:rsidRPr="0039257A">
        <w:rPr>
          <w:rFonts w:cs="宋体" w:hint="eastAsia" w:ascii="宋体" w:hAnsi="宋体" w:eastAsia="宋体"/>
          <w:b/>
          <w:bCs/>
          <w:sz w:val="24"/>
          <w:u w:val="single"/>
        </w:rPr>
        <w:t>CAD</w:t>
      </w:r>
      <w:r w:rsidR="0039257A" w:rsidRPr="0039257A">
        <w:rPr>
          <w:rFonts w:cs="宋体" w:hint="eastAsia" w:ascii="宋体" w:hAnsi="宋体" w:eastAsia="宋体"/>
          <w:b/>
          <w:bCs/>
          <w:sz w:val="24"/>
          <w:u w:val="single"/>
        </w:rPr>
        <w:t>软件</w:t>
      </w:r>
      <w:r w:rsidR="0039257A" w:rsidRPr="0039257A">
        <w:rPr>
          <w:rFonts w:cs="宋体" w:hint="eastAsia" w:ascii="宋体" w:hAnsi="宋体" w:eastAsia="宋体"/>
          <w:b/>
          <w:bCs/>
          <w:sz w:val="24"/>
          <w:u w:val="single"/>
        </w:rPr>
        <w:t>结构设计中的设计模式</w:t>
      </w:r>
      <w:r w:rsidR="008551C3" w:rsidRPr="0039257A">
        <w:rPr>
          <w:rFonts w:cs="宋体" w:hint="eastAsia" w:ascii="宋体" w:hAnsi="宋体" w:eastAsia="宋体"/>
          <w:b/>
          <w:bCs/>
          <w:sz w:val="24"/>
          <w:u w:val="single"/>
        </w:rPr>
        <w:t>分析</w:t>
      </w:r>
      <w:r w:rsidR="008551C3" w:rsidRPr="0039257A">
        <w:rPr>
          <w:rFonts w:cs="宋体" w:ascii="宋体" w:hAnsi="宋体" w:eastAsia="宋体"/>
          <w:b/>
          <w:bCs/>
          <w:sz w:val="24"/>
          <w:u w:val="single"/>
        </w:rPr>
        <w:t>与</w:t>
      </w:r>
      <w:r w:rsidR="006D21C7" w:rsidRPr="0039257A">
        <w:rPr>
          <w:rFonts w:cs="宋体" w:hint="eastAsia" w:ascii="宋体" w:hAnsi="宋体" w:eastAsia="宋体"/>
          <w:b/>
          <w:bCs/>
          <w:sz w:val="24"/>
          <w:u w:val="single"/>
        </w:rPr>
        <w:t>应用</w:t>
      </w:r>
      <w:r>
        <w:rPr>
          <w:rFonts w:cs="宋体" w:hint="eastAsia" w:ascii="宋体" w:hAnsi="宋体" w:eastAsia="宋体"/>
          <w:b/>
          <w:bCs/>
          <w:sz w:val="28"/>
          <w:szCs w:val="28"/>
          <w:u w:val="single"/>
        </w:rPr>
        <w:t xml:space="preserve">       </w:t>
      </w:r>
      <w:r w:rsidR="0039257A">
        <w:rPr>
          <w:rFonts w:cs="宋体" w:hint="eastAsia" w:ascii="宋体" w:hAnsi="宋体" w:eastAsia="宋体"/>
          <w:b/>
          <w:bCs/>
          <w:sz w:val="28"/>
          <w:szCs w:val="28"/>
          <w:u w:val="single"/>
        </w:rPr>
        <w:t xml:space="preserve">     </w:t>
      </w:r>
      <w:r>
        <w:rPr>
          <w:rFonts w:cs="宋体" w:hint="eastAsia" w:ascii="宋体" w:hAnsi="宋体" w:eastAsia="宋体"/>
          <w:b/>
          <w:bCs/>
          <w:sz w:val="28"/>
          <w:szCs w:val="28"/>
          <w:u w:val="single"/>
        </w:rPr>
        <w:t xml:space="preserve">   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</w:t>
      </w:r>
    </w:p>
    <w:p w14:paraId="0EA8ED97" w14:textId="77777777" w:rsidR="003C1D90" w:rsidRPr="00667BA3" w:rsidRDefault="003C1D90" w:rsidP="003C1D90">
      <w:pPr>
        <w:spacing w:beforeLines="100" w:before="312" w:afterLines="100" w:after="312"/>
        <w:rPr>
          <w:b/>
          <w:sz w:val="28"/>
          <w:u w:val="single"/>
        </w:rPr>
      </w:pPr>
      <w:r>
        <w:rPr>
          <w:rFonts w:hint="eastAsia" w:ascii="宋体" w:hAnsi="宋体" w:eastAsia="宋体"/>
          <w:b/>
          <w:sz w:val="28"/>
        </w:rPr>
        <w:t xml:space="preserve">      </w:t>
      </w:r>
      <w:r>
        <w:rPr>
          <w:rFonts w:hint="eastAsia" w:ascii="宋体" w:hAnsi="宋体" w:eastAsia="宋体"/>
          <w:b/>
          <w:sz w:val="28"/>
        </w:rPr>
        <w:t>授课教师</w:t>
      </w:r>
      <w:r w:rsidRPr="009D25A8">
        <w:rPr>
          <w:rFonts w:hint="eastAsia" w:ascii="宋体" w:hAnsi="宋体" w:eastAsia="宋体"/>
          <w:b/>
          <w:sz w:val="28"/>
        </w:rPr>
        <w:t>：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</w:rPr>
        <w:t>毛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>斐巧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                    </w:t>
      </w:r>
    </w:p>
    <w:p w14:paraId="01AF82EA" w14:textId="77777777" w:rsidR="003C1D90" w:rsidRDefault="003C1D90" w:rsidP="003C1D90">
      <w:pPr>
        <w:spacing w:beforeLines="200" w:before="624" w:afterLines="100" w:after="312"/>
        <w:rPr>
          <w:b/>
          <w:sz w:val="28"/>
        </w:rPr>
      </w:pPr>
      <w:r>
        <w:rPr>
          <w:rFonts w:ascii="宋体" w:hAnsi="宋体" w:eastAsia="宋体"/>
        </w:rPr>
        <w:t>报告人：姜言达             学号：2023150117            班级：周三</w:t>
      </w:r>
    </w:p>
    <w:p w14:paraId="453E024E" w14:textId="77777777" w:rsidR="003C1D90" w:rsidRDefault="003C1D90" w:rsidP="003C1D90">
      <w:pPr>
        <w:spacing w:beforeLines="100" w:before="312" w:afterLines="100" w:after="312"/>
        <w:ind w:firstLineChars="300" w:firstLine="843"/>
        <w:rPr>
          <w:b/>
          <w:bCs/>
          <w:color w:val="000000"/>
          <w:sz w:val="28"/>
          <w:szCs w:val="28"/>
          <w:u w:val="single"/>
        </w:rPr>
      </w:pPr>
      <w:r>
        <w:rPr>
          <w:rFonts w:ascii="宋体" w:hAnsi="宋体" w:eastAsia="宋体"/>
        </w:rPr>
        <w:t>报告提交时间：2026年7月2日</w:t>
      </w:r>
    </w:p>
    <w:p w14:paraId="76EB461F" w14:textId="125A6356" w:rsidR="003C1D90" w:rsidRPr="003C1D90" w:rsidRDefault="003C1D90" w:rsidP="003C1D90">
      <w:pPr>
        <w:spacing w:beforeLines="100" w:before="312" w:afterLines="100" w:after="312"/>
        <w:ind w:firstLineChars="300" w:firstLine="843"/>
        <w:rPr>
          <w:b/>
          <w:sz w:val="44"/>
        </w:rPr>
      </w:pPr>
      <w:r w:rsidRPr="003C1D90">
        <w:rPr>
          <w:rFonts w:hint="eastAsia" w:ascii="宋体" w:hAnsi="宋体" w:eastAsia="宋体"/>
          <w:b/>
          <w:bCs/>
          <w:color w:val="000000"/>
          <w:sz w:val="28"/>
          <w:szCs w:val="28"/>
        </w:rPr>
        <w:t>成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</w:rPr>
        <w:t xml:space="preserve">  </w:t>
      </w:r>
      <w:r w:rsidRPr="003C1D90">
        <w:rPr>
          <w:rFonts w:hint="eastAsia" w:ascii="宋体" w:hAnsi="宋体" w:eastAsia="宋体"/>
          <w:b/>
          <w:bCs/>
          <w:color w:val="000000"/>
          <w:sz w:val="28"/>
          <w:szCs w:val="28"/>
        </w:rPr>
        <w:t>绩</w:t>
      </w:r>
      <w:r w:rsidRPr="003C1D90">
        <w:rPr>
          <w:rFonts w:ascii="宋体" w:hAnsi="宋体" w:eastAsia="宋体"/>
          <w:b/>
          <w:bCs/>
          <w:color w:val="000000"/>
          <w:sz w:val="28"/>
          <w:szCs w:val="28"/>
        </w:rPr>
        <w:t>：</w:t>
      </w:r>
      <w:r w:rsidRPr="003C1D90">
        <w:rPr>
          <w:rFonts w:hint="eastAsia" w:ascii="宋体" w:hAnsi="宋体" w:eastAsia="宋体"/>
          <w:b/>
          <w:bCs/>
          <w:color w:val="000000"/>
          <w:sz w:val="28"/>
          <w:szCs w:val="28"/>
        </w:rPr>
        <w:t xml:space="preserve">   </w:t>
      </w:r>
      <w:r w:rsidRPr="003C1D90"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       </w:t>
      </w:r>
      <w:r w:rsidR="004C003D"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       </w:t>
      </w:r>
      <w:r w:rsidRPr="003C1D90"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</w:rPr>
        <w:t xml:space="preserve">     </w:t>
      </w:r>
    </w:p>
    <w:p w14:paraId="3AEE17A9" w14:textId="77777777" w:rsidR="00D07D13" w:rsidRDefault="00D07D13">
      <w:pPr>
        <w:widowControl/>
        <w:jc w:val="left"/>
      </w:pPr>
      <w:r>
        <w:br w:type="page"/>
      </w:r>
    </w:p>
    <w:p w14:paraId="5B0E86BC" w14:textId="77777777" w:rsidR="00F22486" w:rsidRDefault="008C20CF">
      <w:r>
        <w:rPr>
          <w:rFonts w:hint="eastAsia" w:ascii="宋体" w:hAnsi="宋体" w:eastAsia="宋体"/>
          <w:b/>
        </w:rPr>
        <w:lastRenderedPageBreak/>
        <w:t>1.</w:t>
      </w:r>
      <w:r w:rsidR="00D07D13" w:rsidRPr="008C20CF">
        <w:rPr>
          <w:rFonts w:hint="eastAsia" w:ascii="宋体" w:hAnsi="宋体" w:eastAsia="宋体"/>
          <w:b/>
        </w:rPr>
        <w:t>作业</w:t>
      </w:r>
      <w:r w:rsidR="00D07D13" w:rsidRPr="008C20CF">
        <w:rPr>
          <w:rFonts w:ascii="宋体" w:hAnsi="宋体" w:eastAsia="宋体"/>
          <w:b/>
        </w:rPr>
        <w:t>内容与要求</w:t>
      </w:r>
      <w:r w:rsidR="00D07D13">
        <w:rPr>
          <w:rFonts w:ascii="宋体" w:hAnsi="宋体" w:eastAsia="宋体"/>
        </w:rPr>
        <w:t>：</w:t>
      </w:r>
    </w:p>
    <w:p w14:paraId="5753BA0E" w14:textId="052D7F55" w:rsidR="00D07D13" w:rsidRDefault="002417ED" w:rsidP="00D07D13">
      <w:pPr>
        <w:ind w:firstLineChars="250" w:firstLine="525"/>
      </w:pPr>
      <w:r>
        <w:rPr>
          <w:rFonts w:hint="eastAsia" w:ascii="宋体" w:hAnsi="宋体" w:eastAsia="宋体"/>
        </w:rPr>
        <w:t>请根据提供的</w:t>
      </w:r>
      <w:r w:rsidRPr="002417ED">
        <w:rPr>
          <w:rFonts w:hint="eastAsia" w:ascii="宋体" w:hAnsi="宋体" w:eastAsia="宋体"/>
        </w:rPr>
        <w:t>三维</w:t>
      </w:r>
      <w:r w:rsidRPr="002417ED">
        <w:rPr>
          <w:rFonts w:hint="eastAsia" w:ascii="宋体" w:hAnsi="宋体" w:eastAsia="宋体"/>
        </w:rPr>
        <w:t>CAD</w:t>
      </w:r>
      <w:r w:rsidRPr="002417ED">
        <w:rPr>
          <w:rFonts w:hint="eastAsia" w:ascii="宋体" w:hAnsi="宋体" w:eastAsia="宋体"/>
        </w:rPr>
        <w:t>软件项目</w:t>
      </w:r>
      <w:r>
        <w:rPr>
          <w:rFonts w:hint="eastAsia" w:ascii="宋体" w:hAnsi="宋体" w:eastAsia="宋体"/>
        </w:rPr>
        <w:t>源码</w:t>
      </w:r>
      <w:proofErr w:type="spellStart"/>
      <w:r w:rsidRPr="002417ED">
        <w:rPr>
          <w:rFonts w:ascii="宋体" w:hAnsi="宋体" w:eastAsia="宋体"/>
        </w:rPr>
        <w:t>CADFramework</w:t>
      </w:r>
      <w:proofErr w:type="spellEnd"/>
      <w:r>
        <w:rPr>
          <w:rFonts w:hint="eastAsia" w:ascii="宋体" w:hAnsi="宋体" w:eastAsia="宋体"/>
        </w:rPr>
        <w:t>包，分析使用了哪些设计模式，体现在哪些类之间</w:t>
      </w:r>
      <w:r w:rsidR="00CF3967">
        <w:rPr>
          <w:rFonts w:ascii="宋体" w:hAnsi="宋体" w:eastAsia="宋体"/>
        </w:rPr>
        <w:t>。</w:t>
      </w:r>
      <w:r w:rsidR="00644A9B">
        <w:rPr>
          <w:rFonts w:hint="eastAsia" w:ascii="宋体" w:hAnsi="宋体" w:eastAsia="宋体"/>
        </w:rPr>
        <w:t>要求明确指出</w:t>
      </w:r>
      <w:r w:rsidR="00967DC0">
        <w:rPr>
          <w:rFonts w:hint="eastAsia" w:ascii="宋体" w:hAnsi="宋体" w:eastAsia="宋体"/>
        </w:rPr>
        <w:t>所使用的设计模式的名称，应用在结构中哪些位置（即哪些类之间，画出体现出使用改设计模式的结构类图</w:t>
      </w:r>
      <w:r w:rsidR="00CD1021">
        <w:rPr>
          <w:rFonts w:hint="eastAsia" w:ascii="宋体" w:hAnsi="宋体" w:eastAsia="宋体"/>
        </w:rPr>
        <w:t>，并详细说明每个类的作用</w:t>
      </w:r>
      <w:r w:rsidR="00A82D40">
        <w:rPr>
          <w:rFonts w:hint="eastAsia" w:ascii="宋体" w:hAnsi="宋体" w:eastAsia="宋体"/>
        </w:rPr>
        <w:t>以及在改设计方案中对应哪个角色类</w:t>
      </w:r>
      <w:r w:rsidR="00967DC0">
        <w:rPr>
          <w:rFonts w:hint="eastAsia" w:ascii="宋体" w:hAnsi="宋体" w:eastAsia="宋体"/>
        </w:rPr>
        <w:t>）</w:t>
      </w:r>
      <w:r w:rsidR="00FE5C8D">
        <w:rPr>
          <w:rFonts w:hint="eastAsia" w:ascii="宋体" w:hAnsi="宋体" w:eastAsia="宋体"/>
        </w:rPr>
        <w:t>，要求指出不低于三种设计模式</w:t>
      </w:r>
      <w:r w:rsidR="00225F63">
        <w:rPr>
          <w:rFonts w:hint="eastAsia" w:ascii="宋体" w:hAnsi="宋体" w:eastAsia="宋体"/>
        </w:rPr>
        <w:t>，要求说明改设计模式</w:t>
      </w:r>
      <w:r w:rsidR="00003A7E">
        <w:rPr>
          <w:rFonts w:hint="eastAsia" w:ascii="宋体" w:hAnsi="宋体" w:eastAsia="宋体"/>
        </w:rPr>
        <w:t>在此项目中</w:t>
      </w:r>
      <w:r w:rsidR="00225F63">
        <w:rPr>
          <w:rFonts w:hint="eastAsia" w:ascii="宋体" w:hAnsi="宋体" w:eastAsia="宋体"/>
        </w:rPr>
        <w:t>应用的目的或效果</w:t>
      </w:r>
      <w:r w:rsidR="00FE5C8D">
        <w:rPr>
          <w:rFonts w:hint="eastAsia" w:ascii="宋体" w:hAnsi="宋体" w:eastAsia="宋体"/>
        </w:rPr>
        <w:t>。</w:t>
      </w:r>
    </w:p>
    <w:p w14:paraId="42158A2C" w14:textId="77777777" w:rsidR="008C20CF" w:rsidRDefault="008C20CF" w:rsidP="008C20CF"/>
    <w:p w14:paraId="4F6280B7" w14:textId="77777777" w:rsidR="008C20CF" w:rsidRDefault="008C20CF" w:rsidP="008C20CF">
      <w:pPr>
        <w:rPr>
          <w:b/>
        </w:rPr>
      </w:pPr>
      <w:r w:rsidRPr="008C20CF">
        <w:rPr>
          <w:rFonts w:hint="eastAsia" w:ascii="宋体" w:hAnsi="宋体" w:eastAsia="宋体"/>
          <w:b/>
        </w:rPr>
        <w:t>2.</w:t>
      </w:r>
      <w:r w:rsidRPr="008C20CF">
        <w:rPr>
          <w:rFonts w:hint="eastAsia" w:ascii="宋体" w:hAnsi="宋体" w:eastAsia="宋体"/>
          <w:b/>
        </w:rPr>
        <w:t>解答报告</w:t>
      </w:r>
      <w:r w:rsidRPr="008C20CF">
        <w:rPr>
          <w:rFonts w:ascii="宋体" w:hAnsi="宋体" w:eastAsia="宋体"/>
          <w:b/>
        </w:rPr>
        <w:t>正文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2.1 实验过程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>本次作业不是直接背诵设计模式定义，而是围绕给定 CADFramework 源码进行逆向分析。分析步骤如下：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先阅读“CADFramework项目代码结构.txt”，明确项目分为 GeometryKernel、Presentation、Bridge、Demo 四层。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再从 Demo/Program.cs 的演示入口出发，跟踪视图、控制器、事件、命令和渲染器之间的协作关系。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对接口、具体实现类、事件订阅关系、组合关系进行归类，识别命令、观察者、策略、桥接四种核心模式。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继续向事件中心追踪，额外识别出 GeometryEventPublisher 采用了单例模式，从而补足框架中的典型设计模式集合。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最后为每种模式分别绘制 UML 类图，并整理“类名—模式角色—源码文件路径”对照表，形成可复核的课程作业报告。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2.2 项目结构概览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>CADFramework 的整体思路是：GeometryKernel 负责纯几何对象与运算，Presentation 负责渲染与交互，Bridge 层负责事件同步、选择管理和命令调度，Demo 则演示各组件如何组合运行。该结构天然适合从“解耦”和“可扩展”的角度分析设计模式。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2.3 命令模式（Command）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>模式定位：该模式在项目中的出现不是孤立的，而是直接服务于 CAD 框架“可扩展、可替换、可联动”的工程目标。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设计目的：</w:t>
      </w:r>
      <w:r>
        <w:rPr>
          <w:rFonts w:ascii="宋体" w:hAnsi="宋体" w:eastAsia="宋体"/>
          <w:sz w:val="22"/>
        </w:rPr>
        <w:t>命令模式把“请求发起者”和“具体执行逻辑”分离，使界面操作可以被统一封装成对象，从而支持撤销、重做和命令队列管理。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项目落地效果：</w:t>
      </w:r>
      <w:r>
        <w:rPr>
          <w:rFonts w:ascii="宋体" w:hAnsi="宋体" w:eastAsia="宋体"/>
          <w:sz w:val="22"/>
        </w:rPr>
        <w:t>本项目把拖拽移动、创建图形等操作都包装为命令对象，再由命令处理器统一调度，因此 CAD 交互不仅能执行动作，还能稳定地实现撤销/重做。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标准角色拆解：</w:t>
      </w:r>
      <w:r>
        <w:rPr>
          <w:rFonts w:ascii="宋体" w:hAnsi="宋体" w:eastAsia="宋体"/>
          <w:sz w:val="22"/>
        </w:rPr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Client 由 CADView 和 DrawController 承担：前者在拖拽时创建 MoveShapeCommand，后者在绘线、绘矩形、绘圆时创建 CreateShapeCommand。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Invoker 是 CommandProcessor，它负责 ExecuteCommand、Undo、Redo，并维护撤销栈与重做栈。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Command 是 ICommand 接口，统一约束 Execute、Undo 和 Description。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ConcreteCommand 是 CreateShapeCommand 与 MoveShapeCommand，分别封装“创建图元”和“移动图元”两类行为。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Receiver 分别是被修改的图元集合 List&lt;IShape&gt; 与具体图元 IShape / Rectangle，它们是真正被命令操作的对象。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图3 命令模式（Command） UML类图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源码角色对照表：</w:t>
      </w:r>
      <w:r>
        <w:rPr>
          <w:rFonts w:ascii="宋体" w:hAnsi="宋体" w:eastAsia="宋体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sz w:val="21"/>
              </w:rPr>
              <w:t>类名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模式角色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源码文件路径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CADView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Client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作业2/三维CAD软件设计中单一职责原则的使用/CADFramework/Presentation/Views/CADView.cs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DrawController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Client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作业2/三维CAD软件设计中单一职责原则的使用/CADFramework/Presentation/Controllers/DrawController.cs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CommandProcessor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Invoker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作业2/三维CAD软件设计中单一职责原则的使用/CADFramework/Bridge/CommandProcessor.cs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ICommand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Command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作业2/三维CAD软件设计中单一职责原则的使用/CADFramework/Bridge/CommandProcessor.cs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CreateShapeCommand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ConcreteCommand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作业2/三维CAD软件设计中单一职责原则的使用/CADFramework/Bridge/CommandProcessor.cs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MoveShapeCommand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ConcreteCommand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作业2/三维CAD软件设计中单一职责原则的使用/CADFramework/Bridge/CommandProcessor.cs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List&lt;IShape&gt; / IShape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Receiver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作业2/三维CAD软件设计中单一职责原则的使用/CADFramework/Bridge/CommandProcessor.cs；作业2/三维CAD软件设计中单一职责原则的使用/CADFramework/GeometryKernel/Primitives/IShape.cs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2.4 观察者模式（Observer）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>模式定位：该模式在项目中的出现不是孤立的，而是直接服务于 CAD 框架“可扩展、可替换、可联动”的工程目标。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设计目的：</w:t>
      </w:r>
      <w:r>
        <w:rPr>
          <w:rFonts w:ascii="宋体" w:hAnsi="宋体" w:eastAsia="宋体"/>
          <w:sz w:val="22"/>
        </w:rPr>
        <w:t>观察者模式用于建立“一处状态变化、多处自动感知”的松耦合通知机制，让几何内核只负责发事件，不直接依赖界面层。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项目落地效果：</w:t>
      </w:r>
      <w:r>
        <w:rPr>
          <w:rFonts w:ascii="宋体" w:hAnsi="宋体" w:eastAsia="宋体"/>
          <w:sz w:val="22"/>
        </w:rPr>
        <w:t>本项目中 GeometryEventPublisher 统一发布几何变化，GeometryObserver 订阅后同步内部图元快照，再由 CADView 读取结果刷新显示，形成了“几何内核 -&gt; 事件 -&gt; 桥接层 -&gt; 视图层”的解耦链路。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标准角色拆解：</w:t>
      </w:r>
      <w:r>
        <w:rPr>
          <w:rFonts w:ascii="宋体" w:hAnsi="宋体" w:eastAsia="宋体"/>
          <w:sz w:val="22"/>
        </w:rPr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Subject 是 GeometryEventPublisher，它公开 GeometryChanged 事件，并通过 Publish 方法向外广播几何变化。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ConcreteObserver 是 GeometryObserver，它在构造函数中订阅 GeometryChanged，并在 OnGeometryChanged 中根据事件类型更新本地缓存。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GeometryEventArgs 是事件参数载体，封装 EventType、ShapeId、ShapeName、ShapeData 与 Timestamp。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DrawController、SelectionManager 等类通过 GeometryEventPublisher.Instance.Publish(...) 触发事件，体现“发布者不需要知道订阅者是谁”。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项目中还存在 SelectionManager.SelectionChanged 和 CommandProcessor.CommandExecuted 两条事件通知链，进一步强化了观察者式的消息联动。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图4 观察者模式（Observer） UML类图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源码角色对照表：</w:t>
      </w:r>
      <w:r>
        <w:rPr>
          <w:rFonts w:ascii="宋体" w:hAnsi="宋体" w:eastAsia="宋体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sz w:val="21"/>
              </w:rPr>
              <w:t>类名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模式角色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源码文件路径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GeometryEventPublisher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Subject / ConcreteSubject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作业2/三维CAD软件设计中单一职责原则的使用/CADFramework/GeometryKernel/Events/GeometryEvent.cs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GeometryObserver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ConcreteObserver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作业2/三维CAD软件设计中单一职责原则的使用/CADFramework/Bridge/GeometryObserver.cs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GeometryEventArgs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事件参数载体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作业2/三维CAD软件设计中单一职责原则的使用/CADFramework/GeometryKernel/Events/GeometryEvent.cs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DrawController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事件触发方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作业2/三维CAD软件设计中单一职责原则的使用/CADFramework/Presentation/Controllers/DrawController.cs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SelectionManager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事件触发方 / 衍生Subject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作业2/三维CAD软件设计中单一职责原则的使用/CADFramework/Bridge/SelectionManager.cs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CADView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观察结果使用方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作业2/三维CAD软件设计中单一职责原则的使用/CADFramework/Presentation/Views/CADView.cs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2.5 策略模式（Strategy）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>模式定位：该模式在项目中的出现不是孤立的，而是直接服务于 CAD 框架“可扩展、可替换、可联动”的工程目标。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设计目的：</w:t>
      </w:r>
      <w:r>
        <w:rPr>
          <w:rFonts w:ascii="宋体" w:hAnsi="宋体" w:eastAsia="宋体"/>
          <w:sz w:val="22"/>
        </w:rPr>
        <w:t>策略模式用于把可替换的算法家族抽象成统一接口，使调用方只依赖抽象而不依赖具体实现，运行时可灵活切换算法。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项目落地效果：</w:t>
      </w:r>
      <w:r>
        <w:rPr>
          <w:rFonts w:ascii="宋体" w:hAnsi="宋体" w:eastAsia="宋体"/>
          <w:sz w:val="22"/>
        </w:rPr>
        <w:t>本项目把不同渲染算法抽象为 IRenderer：同一个 CADView 可以在 OpenGLRenderer 与 WireframeRenderer 之间自由切换，界面层代码无需重写即可适应不同显示策略。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标准角色拆解：</w:t>
      </w:r>
      <w:r>
        <w:rPr>
          <w:rFonts w:ascii="宋体" w:hAnsi="宋体" w:eastAsia="宋体"/>
          <w:sz w:val="22"/>
        </w:rPr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Context 是 CADView，它持有 IRenderer 类型字段，并把初始化、刷新、批量渲染等动作委托给渲染策略。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Strategy 是 IRenderer 接口，它统一定义 Initialize、RenderShape、RenderAllShapes、SetColor 等渲染行为。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ConcreteStrategy 是 OpenGLRenderer 与 WireframeRenderer，前者强调实体渲染，后者强调线框表达。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当渲染需求改变时，只需要替换注入的 IRenderer 实现，而不需要修改 CADView 的业务逻辑。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图5 策略模式（Strategy） UML类图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源码角色对照表：</w:t>
      </w:r>
      <w:r>
        <w:rPr>
          <w:rFonts w:ascii="宋体" w:hAnsi="宋体" w:eastAsia="宋体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sz w:val="21"/>
              </w:rPr>
              <w:t>类名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模式角色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源码文件路径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CADView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Context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作业2/三维CAD软件设计中单一职责原则的使用/CADFramework/Presentation/Views/CADView.cs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IRenderer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Strategy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作业2/三维CAD软件设计中单一职责原则的使用/CADFramework/Presentation/Renderers/IRenderer.cs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OpenGLRenderer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ConcreteStrategy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作业2/三维CAD软件设计中单一职责原则的使用/CADFramework/Presentation/Renderers/OpenGLRenderer.cs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WireframeRenderer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ConcreteStrategy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作业2/三维CAD软件设计中单一职责原则的使用/CADFramework/Presentation/Renderers/WireframeRenderer.cs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2.6 桥接模式（Bridge）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>模式定位：该模式在项目中的出现不是孤立的，而是直接服务于 CAD 框架“可扩展、可替换、可联动”的工程目标。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设计目的：</w:t>
      </w:r>
      <w:r>
        <w:rPr>
          <w:rFonts w:ascii="宋体" w:hAnsi="宋体" w:eastAsia="宋体"/>
          <w:sz w:val="22"/>
        </w:rPr>
        <w:t>桥接模式的目标是把抽象部分与实现部分分离，使二者可以独立变化，避免“一个视图类绑定一个具体渲染实现”造成的类爆炸。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项目落地效果：</w:t>
      </w:r>
      <w:r>
        <w:rPr>
          <w:rFonts w:ascii="宋体" w:hAnsi="宋体" w:eastAsia="宋体"/>
          <w:sz w:val="22"/>
        </w:rPr>
        <w:t>本项目中 CADView 作为视图抽象，并不直接写死 OpenGL 或线框绘制细节，而是通过 IRenderer 建立桥接关联。因此在保留同一视图抽象的前提下，可以无痛替换渲染实现，满足 CAD 框架跨渲染方案扩展的工程需求。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标准角色拆解：</w:t>
      </w:r>
      <w:r>
        <w:rPr>
          <w:rFonts w:ascii="宋体" w:hAnsi="宋体" w:eastAsia="宋体"/>
          <w:sz w:val="22"/>
        </w:rPr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Abstraction 是 CADView，负责界面交互、刷新节奏与显示流程组织。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Implementor 是 IRenderer，负责定义底层渲染操作接口。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ConcreteImplementor 是 OpenGLRenderer 与 WireframeRenderer，分别提供不同的底层渲染实现。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CADView 通过组合关系持有 IRenderer，这种“抽象持有实现”的结构正是桥接模式的核心。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GeometryObserver、SelectionManager、CommandProcessor 作为桥接层协作者，进一步保证几何内核与 UI 之间通过中间层通信，而不是直接耦合。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图6 桥接模式（Bridge） UML类图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源码角色对照表：</w:t>
      </w:r>
      <w:r>
        <w:rPr>
          <w:rFonts w:ascii="宋体" w:hAnsi="宋体" w:eastAsia="宋体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sz w:val="21"/>
              </w:rPr>
              <w:t>类名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模式角色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源码文件路径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CADView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Abstraction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作业2/三维CAD软件设计中单一职责原则的使用/CADFramework/Presentation/Views/CADView.cs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IRenderer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Implementor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作业2/三维CAD软件设计中单一职责原则的使用/CADFramework/Presentation/Renderers/IRenderer.cs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OpenGLRenderer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ConcreteImplementor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作业2/三维CAD软件设计中单一职责原则的使用/CADFramework/Presentation/Renderers/OpenGLRenderer.cs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WireframeRenderer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ConcreteImplementor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作业2/三维CAD软件设计中单一职责原则的使用/CADFramework/Presentation/Renderers/WireframeRenderer.cs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GeometryObserver / CommandProcessor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桥接协作对象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作业2/三维CAD软件设计中单一职责原则的使用/CADFramework/Bridge/GeometryObserver.cs；作业2/三维CAD软件设计中单一职责原则的使用/CADFramework/Bridge/CommandProcessor.cs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2.7 单例模式（Singleton，额外挖掘）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>模式定位：该模式在项目中的出现不是孤立的，而是直接服务于 CAD 框架“可扩展、可替换、可联动”的工程目标。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设计目的：</w:t>
      </w:r>
      <w:r>
        <w:rPr>
          <w:rFonts w:ascii="宋体" w:hAnsi="宋体" w:eastAsia="宋体"/>
          <w:sz w:val="22"/>
        </w:rPr>
        <w:t>单例模式用于保证系统中某个核心服务只有一个全局访问入口，避免事件总线出现多个实例而导致订阅关系割裂。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项目落地效果：</w:t>
      </w:r>
      <w:r>
        <w:rPr>
          <w:rFonts w:ascii="宋体" w:hAnsi="宋体" w:eastAsia="宋体"/>
          <w:sz w:val="22"/>
        </w:rPr>
        <w:t>GeometryEventPublisher 通过静态字段与 Instance 属性提供唯一事件发布器，使 DrawController、SelectionManager、GeometryObserver 等对象都围绕同一个事件中心进行发布与订阅，保证了几何事件传播的一致性。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标准角色拆解：</w:t>
      </w:r>
      <w:r>
        <w:rPr>
          <w:rFonts w:ascii="宋体" w:hAnsi="宋体" w:eastAsia="宋体"/>
          <w:sz w:val="22"/>
        </w:rPr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GeometryEventPublisher 内部维护 private static GeometryEventPublisher _instance，并通过 public static GeometryEventPublisher Instance 延迟创建对象。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外部调用方并不直接 new 发布器，而是统一通过 GeometryEventPublisher.Instance 获取唯一实例。</w:t>
      </w:r>
    </w:p>
    <w:p>
      <w:pPr>
        <w:spacing w:line="360" w:lineRule="auto"/>
        <w:ind w:left="360" w:hanging="200"/>
      </w:pPr>
      <w:r>
        <w:rPr>
          <w:rFonts w:ascii="宋体" w:hAnsi="宋体" w:eastAsia="宋体"/>
          <w:sz w:val="22"/>
        </w:rPr>
        <w:t>• 这样做的工程收益是：几何事件发布口唯一、订阅点统一、跨模块通信路径稳定，避免出现“某些事件发到了另一个发布器实例上”的问题。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t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图7 单例模式（Singleton，额外挖掘） UML类图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源码角色对照表：</w:t>
      </w:r>
      <w:r>
        <w:rPr>
          <w:rFonts w:ascii="宋体" w:hAnsi="宋体" w:eastAsia="宋体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sz w:val="21"/>
              </w:rPr>
              <w:t>类名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模式角色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源码文件路径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GeometryEventPublisher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Singleton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作业2/三维CAD软件设计中单一职责原则的使用/CADFramework/GeometryKernel/Events/GeometryEvent.cs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_instance / Instance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唯一实例访问点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作业2/三维CAD软件设计中单一职责原则的使用/CADFramework/GeometryKernel/Events/GeometryEvent.cs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GeometryObserver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Singleton Client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作业2/三维CAD软件设计中单一职责原则的使用/CADFramework/Bridge/GeometryObserver.cs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SelectionManager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Singleton Client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作业2/三维CAD软件设计中单一职责原则的使用/CADFramework/Bridge/SelectionManager.cs</w:t>
            </w:r>
          </w:p>
        </w:tc>
      </w:tr>
      <w:tr>
        <w:tc>
          <w:tcPr>
            <w:tcW w:type="dxa" w:w="2769"/>
          </w:tcPr>
          <w:p>
            <w:r>
              <w:rPr>
                <w:sz w:val="21"/>
              </w:rPr>
              <w:t>DrawController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Singleton Client</w:t>
            </w:r>
          </w:p>
        </w:tc>
        <w:tc>
          <w:tcPr>
            <w:tcW w:type="dxa" w:w="2769"/>
          </w:tcPr>
          <w:p>
            <w:r>
              <w:rPr>
                <w:sz w:val="21"/>
              </w:rPr>
              <w:t>作业2/三维CAD软件设计中单一职责原则的使用/CADFramework/Presentation/Controllers/DrawController.cs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sz w:val="28"/>
        </w:rPr>
        <w:t>2.8 综合结论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>综上，CADFramework 至少稳定体现了 4 种核心设计模式：命令模式、观察者模式、策略模式、桥接模式；同时 GeometryEventPublisher 还额外体现了单例模式。它们共同支撑了该 CAD 框架的三类关键能力：第一，用户操作可封装并支持撤销重做；第二，几何变化可通过事件链路实时同步到界面；第三，视图抽象可以在不改业务逻辑的情况下替换底层渲染实现。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>因此，该项目并不是把设计模式机械堆叠在一起，而是把模式落到了“交互命令、事件传播、渲染替换、层间解耦”这些真实工程问题上，既符合软件体系结构课程对理论严谨性的要求，也能体现结合源码进行实操分析的深度。</w:t>
      </w:r>
    </w:p>
    <w:sectPr w:rsidR="008572C2" w:rsidRPr="008572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83FD" w14:textId="77777777" w:rsidR="008769FB" w:rsidRDefault="008769FB" w:rsidP="00DE0A72">
      <w:r>
        <w:separator/>
      </w:r>
    </w:p>
  </w:endnote>
  <w:endnote w:type="continuationSeparator" w:id="0">
    <w:p w14:paraId="670EE5DF" w14:textId="77777777" w:rsidR="008769FB" w:rsidRDefault="008769FB" w:rsidP="00DE0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1E23" w14:textId="77777777" w:rsidR="00DE0A72" w:rsidRDefault="00DE0A7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107722"/>
      <w:docPartObj>
        <w:docPartGallery w:val="Page Numbers (Bottom of Page)"/>
        <w:docPartUnique/>
      </w:docPartObj>
    </w:sdtPr>
    <w:sdtContent>
      <w:p w14:paraId="0CA986FF" w14:textId="20906879" w:rsidR="00DE0A72" w:rsidRDefault="00DE0A72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100600" w14:textId="77777777" w:rsidR="00DE0A72" w:rsidRDefault="00DE0A7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940D9" w14:textId="77777777" w:rsidR="00DE0A72" w:rsidRDefault="00DE0A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2DFCD" w14:textId="77777777" w:rsidR="008769FB" w:rsidRDefault="008769FB" w:rsidP="00DE0A72">
      <w:r>
        <w:separator/>
      </w:r>
    </w:p>
  </w:footnote>
  <w:footnote w:type="continuationSeparator" w:id="0">
    <w:p w14:paraId="04C782C4" w14:textId="77777777" w:rsidR="008769FB" w:rsidRDefault="008769FB" w:rsidP="00DE0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FCC08" w14:textId="77777777" w:rsidR="00DE0A72" w:rsidRDefault="00DE0A7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CF9F" w14:textId="77777777" w:rsidR="00DE0A72" w:rsidRDefault="00DE0A7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A555" w14:textId="77777777" w:rsidR="00DE0A72" w:rsidRDefault="00DE0A7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1F8"/>
    <w:rsid w:val="00003A7E"/>
    <w:rsid w:val="000C482D"/>
    <w:rsid w:val="001340DF"/>
    <w:rsid w:val="00225F63"/>
    <w:rsid w:val="002417ED"/>
    <w:rsid w:val="0039257A"/>
    <w:rsid w:val="003C1D90"/>
    <w:rsid w:val="003F43D6"/>
    <w:rsid w:val="00470103"/>
    <w:rsid w:val="004C003D"/>
    <w:rsid w:val="005111F8"/>
    <w:rsid w:val="005B302E"/>
    <w:rsid w:val="00644A9B"/>
    <w:rsid w:val="006D21C7"/>
    <w:rsid w:val="00733C29"/>
    <w:rsid w:val="007A0628"/>
    <w:rsid w:val="008551C3"/>
    <w:rsid w:val="008572C2"/>
    <w:rsid w:val="008769FB"/>
    <w:rsid w:val="008C20CF"/>
    <w:rsid w:val="008D64E6"/>
    <w:rsid w:val="00967DC0"/>
    <w:rsid w:val="00974C59"/>
    <w:rsid w:val="00A82D40"/>
    <w:rsid w:val="00C54C83"/>
    <w:rsid w:val="00CD1021"/>
    <w:rsid w:val="00CF3967"/>
    <w:rsid w:val="00D02747"/>
    <w:rsid w:val="00D07D13"/>
    <w:rsid w:val="00D571AF"/>
    <w:rsid w:val="00DE0A72"/>
    <w:rsid w:val="00E17D9C"/>
    <w:rsid w:val="00E87B81"/>
    <w:rsid w:val="00EB48CB"/>
    <w:rsid w:val="00F22486"/>
    <w:rsid w:val="00FE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4F8C3"/>
  <w15:chartTrackingRefBased/>
  <w15:docId w15:val="{F9A03C9C-DE3E-430F-8C0A-4ABE6AD5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D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0A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0A7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0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0A7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272</Words>
  <Characters>275</Characters>
  <Application>Microsoft Office Word</Application>
  <DocSecurity>0</DocSecurity>
  <Lines>19</Lines>
  <Paragraphs>19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mfq</dc:creator>
  <cp:keywords/>
  <dc:description/>
  <cp:lastModifiedBy>mao</cp:lastModifiedBy>
  <cp:revision>33</cp:revision>
  <dcterms:created xsi:type="dcterms:W3CDTF">2021-03-09T03:08:00Z</dcterms:created>
  <dcterms:modified xsi:type="dcterms:W3CDTF">2026-06-14T14:03:00Z</dcterms:modified>
</cp:coreProperties>
</file>