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2E4A7B"/>
          <w:sz w:val="60"/>
          <w:szCs w:val="60"/>
        </w:rPr>
        <w:t xml:space="preserve">SIPlat</w:t>
      </w:r>
    </w:p>
    <w:p>
      <w:pPr>
        <w:spacing w:after="40"/>
        <w:jc w:val="center"/>
      </w:pPr>
      <w:r>
        <w:rPr>
          <w:color w:val="1F2933"/>
          <w:sz w:val="30"/>
          <w:szCs w:val="30"/>
        </w:rPr>
        <w:t xml:space="preserve">Subscription &amp; Package Management</w:t>
      </w:r>
    </w:p>
    <w:p>
      <w:pPr>
        <w:spacing w:after="500"/>
        <w:jc w:val="center"/>
      </w:pPr>
      <w:r>
        <w:rPr>
          <w:color w:val="5A6473"/>
          <w:sz w:val="26"/>
          <w:szCs w:val="26"/>
        </w:rPr>
        <w:t xml:space="preserve">Requirements Validation &amp; Gap Analysis</w:t>
      </w:r>
    </w:p>
    <w:p>
      <w:pPr>
        <w:spacing w:after="30"/>
        <w:jc w:val="center"/>
      </w:pPr>
      <w:r>
        <w:rPr>
          <w:i/>
          <w:iCs/>
          <w:color w:val="1F2933"/>
          <w:sz w:val="20"/>
          <w:szCs w:val="20"/>
        </w:rPr>
        <w:t xml:space="preserve">Assessment of the uploaded requirements against the current codebase</w:t>
      </w:r>
    </w:p>
    <w:p>
      <w:pPr>
        <w:spacing w:after="30"/>
        <w:jc w:val="center"/>
      </w:pPr>
      <w:r>
        <w:rPr>
          <w:color w:val="5A6473"/>
          <w:sz w:val="20"/>
          <w:szCs w:val="20"/>
        </w:rPr>
        <w:t xml:space="preserve">14 August 2026 · Version 1.0</w:t>
      </w:r>
    </w:p>
    <w:p>
      <w:r>
        <w:br w:type="page"/>
      </w:r>
    </w:p>
    <w:p>
      <w:pPr>
        <w:pStyle w:val="Heading1"/>
        <w:spacing w:after="120" w:before="240"/>
      </w:pPr>
      <w:r>
        <w:t xml:space="preserve">1. Purpose &amp; method</w:t>
      </w:r>
    </w:p>
    <w:p>
      <w:pPr>
        <w:spacing w:after="120" w:line="276"/>
      </w:pPr>
      <w:r>
        <w:rPr>
          <w:b w:val="false"/>
          <w:bCs w:val="false"/>
          <w:i w:val="false"/>
          <w:iCs w:val="false"/>
          <w:color w:val="1F2933"/>
          <w:sz w:val="21"/>
          <w:szCs w:val="21"/>
        </w:rPr>
        <w:t xml:space="preserve">This document validates the uploaded “SIPlat Subscription &amp; Package Management Requirements” against the software as it currently exists in the SIPlat codebase. For each numbered section of the requirement, it states whether the requirement is Implemented, Partially implemented, or Missing, and gives the supporting evidence from the code (data models, service libraries, API routes and the Super Admin interface).</w:t>
      </w:r>
    </w:p>
    <w:p>
      <w:pPr>
        <w:spacing w:after="120" w:line="276"/>
      </w:pPr>
      <w:r>
        <w:rPr>
          <w:b w:val="false"/>
          <w:bCs w:val="false"/>
          <w:i w:val="false"/>
          <w:iCs w:val="false"/>
          <w:color w:val="1F2933"/>
          <w:sz w:val="21"/>
          <w:szCs w:val="21"/>
        </w:rPr>
        <w:t xml:space="preserve">The assessment was produced by direct inspection of the codebase: the Prisma data model (Plan, Subscription, ParentSubscription), the subscription service libraries (subscriptions-admin.ts, subscription-approval-logic.ts, parent-subscriptions.ts, parent-sub-logic.ts), the package seed defaults, the Super Admin Packages and Subscriptions interfaces, and a search for any package-based feature entitlement enforcement, Stripe API integration and AI-usage gating.</w:t>
      </w:r>
    </w:p>
    <w:p>
      <w:pPr>
        <w:pStyle w:val="Heading2"/>
        <w:spacing w:after="120" w:before="240"/>
      </w:pPr>
      <w:r>
        <w:t xml:space="preserve">Status key</w:t>
      </w:r>
    </w:p>
    <w:p>
      <w:pPr>
        <w:spacing w:after="40" w:line="276"/>
      </w:pPr>
      <w:r>
        <w:rPr>
          <w:b/>
          <w:bCs/>
          <w:color w:val="1E7A46"/>
          <w:sz w:val="21"/>
          <w:szCs w:val="21"/>
        </w:rPr>
        <w:t xml:space="preserve">Implemented</w:t>
      </w:r>
      <w:r>
        <w:rPr>
          <w:sz w:val="21"/>
          <w:szCs w:val="21"/>
        </w:rPr>
        <w:t xml:space="preserve"> — built and working in the codebase today.</w:t>
      </w:r>
    </w:p>
    <w:p>
      <w:pPr>
        <w:spacing w:after="40" w:line="276"/>
      </w:pPr>
      <w:r>
        <w:rPr>
          <w:b/>
          <w:bCs/>
          <w:color w:val="9A5B00"/>
          <w:sz w:val="21"/>
          <w:szCs w:val="21"/>
        </w:rPr>
        <w:t xml:space="preserve">Partial</w:t>
      </w:r>
      <w:r>
        <w:rPr>
          <w:sz w:val="21"/>
          <w:szCs w:val="21"/>
        </w:rPr>
        <w:t xml:space="preserve"> — a foundation exists, but material parts of the requirement are not yet built.</w:t>
      </w:r>
    </w:p>
    <w:p>
      <w:pPr>
        <w:spacing w:after="120" w:line="276"/>
      </w:pPr>
      <w:r>
        <w:rPr>
          <w:b/>
          <w:bCs/>
          <w:color w:val="B02A2A"/>
          <w:sz w:val="21"/>
          <w:szCs w:val="21"/>
        </w:rPr>
        <w:t xml:space="preserve">Missing</w:t>
      </w:r>
      <w:r>
        <w:rPr>
          <w:sz w:val="21"/>
          <w:szCs w:val="21"/>
        </w:rPr>
        <w:t xml:space="preserve"> — not implemented; would be net-new work.</w:t>
      </w:r>
    </w:p>
    <w:p>
      <w:r>
        <w:br w:type="page"/>
      </w:r>
    </w:p>
    <w:p>
      <w:pPr>
        <w:pStyle w:val="Heading1"/>
        <w:spacing w:after="120" w:before="240"/>
      </w:pPr>
      <w:r>
        <w:t xml:space="preserve">2. Executive summary</w:t>
      </w:r>
    </w:p>
    <w:p>
      <w:pPr>
        <w:spacing w:after="120" w:line="276"/>
      </w:pPr>
      <w:r>
        <w:rPr>
          <w:b w:val="false"/>
          <w:bCs w:val="false"/>
          <w:i w:val="false"/>
          <w:iCs w:val="false"/>
          <w:color w:val="1F2933"/>
          <w:sz w:val="21"/>
          <w:szCs w:val="21"/>
        </w:rPr>
        <w:t xml:space="preserve">SIPlat has a solid subscription foundation but does not yet implement the specific commercial model described in this requirement. The platform can define configurable packages, attach a subscription to each school, track renewals with a reminder cadence and a manual-approval override, and record parent premium (AI) subscriptions with opaque Stripe references and a revenue dashboard. That covers the plumbing.</w:t>
      </w:r>
    </w:p>
    <w:p>
      <w:pPr>
        <w:spacing w:after="120" w:line="276"/>
      </w:pPr>
      <w:r>
        <w:rPr>
          <w:b w:val="false"/>
          <w:bCs w:val="false"/>
          <w:i w:val="false"/>
          <w:iCs w:val="false"/>
          <w:color w:val="1F2933"/>
          <w:sz w:val="21"/>
          <w:szCs w:val="21"/>
        </w:rPr>
        <w:t xml:space="preserve">What is not yet built is the commercial specification itself: the three named packages (Connect / Plus / Complete), pupil-count pricing bands, a central entitlement engine that gates features by package, real Stripe billing (checkout, invoicing, renewal, failed-payment handling), the parent-app entitlement inheritance from the school’s package, the upgrade experience, and the discount / promotional / VAT / multi-currency configuration. Package feature-gating is effectively absent today — access is controlled by role-based permissions, not by which subscription a school holds.</w:t>
      </w:r>
    </w:p>
    <w:p>
      <w:pPr>
        <w:spacing w:after="120" w:line="276"/>
      </w:pPr>
      <w:r>
        <w:rPr>
          <w:b/>
          <w:bCs/>
          <w:i w:val="false"/>
          <w:iCs w:val="false"/>
          <w:color w:val="1F2933"/>
          <w:sz w:val="21"/>
          <w:szCs w:val="21"/>
        </w:rPr>
        <w:t xml:space="preserve">In short: the data and administrative scaffolding are largely present; the entitlement, billing and commercial-packaging layers that make this a “configurable SaaS subscription platform” are largely outstanding.</w:t>
      </w:r>
    </w:p>
    <w:p>
      <w:pPr>
        <w:pStyle w:val="Heading2"/>
        <w:spacing w:after="120" w:before="240"/>
      </w:pPr>
      <w:r>
        <w:t xml:space="preserve">Scorecard</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3600"/>
        <w:gridCol w:w="5760"/>
      </w:tblGrid>
      <w:tr>
        <w:tc>
          <w:tcPr>
            <w:tcW w:type="dxa" w:w="3600"/>
            <w:shd w:fill="DCE5F2" w:color="auto" w:val="clear"/>
            <w:tcMar>
              <w:top w:type="dxa" w:w="54"/>
              <w:left w:type="dxa" w:w="100"/>
              <w:bottom w:type="dxa" w:w="54"/>
              <w:right w:type="dxa" w:w="100"/>
            </w:tcMar>
          </w:tcPr>
          <w:p>
            <w:pPr>
              <w:spacing w:after="0" w:line="250"/>
            </w:pPr>
            <w:r>
              <w:rPr>
                <w:b/>
                <w:bCs/>
                <w:color w:val="2E4A7B"/>
                <w:sz w:val="19"/>
                <w:szCs w:val="19"/>
              </w:rPr>
              <w:t xml:space="preserve">Requirement sections assessed</w:t>
            </w:r>
          </w:p>
        </w:tc>
        <w:tc>
          <w:tcPr>
            <w:tcW w:type="dxa" w:w="576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18 (plus the initial UK commercial configuration)</w:t>
            </w:r>
          </w:p>
        </w:tc>
      </w:tr>
      <w:tr>
        <w:tc>
          <w:tcPr>
            <w:tcW w:type="dxa" w:w="3600"/>
            <w:shd w:fill="F4F7FB" w:color="auto" w:val="clear"/>
            <w:tcMar>
              <w:top w:type="dxa" w:w="54"/>
              <w:left w:type="dxa" w:w="100"/>
              <w:bottom w:type="dxa" w:w="54"/>
              <w:right w:type="dxa" w:w="100"/>
            </w:tcMar>
          </w:tcPr>
          <w:p>
            <w:pPr>
              <w:spacing w:after="0" w:line="250"/>
            </w:pPr>
            <w:r>
              <w:rPr>
                <w:b/>
                <w:bCs/>
                <w:color w:val="2E4A7B"/>
                <w:sz w:val="19"/>
                <w:szCs w:val="19"/>
              </w:rPr>
              <w:t xml:space="preserve">Implemented</w:t>
            </w:r>
          </w:p>
        </w:tc>
        <w:tc>
          <w:tcPr>
            <w:tcW w:type="dxa" w:w="5760"/>
            <w:shd w:fill="F4F7FB" w:color="auto" w:val="clear"/>
            <w:tcMar>
              <w:top w:type="dxa" w:w="54"/>
              <w:left w:type="dxa" w:w="100"/>
              <w:bottom w:type="dxa" w:w="54"/>
              <w:right w:type="dxa" w:w="100"/>
            </w:tcMar>
          </w:tcPr>
          <w:p>
            <w:pPr>
              <w:spacing w:after="0" w:line="250"/>
            </w:pPr>
            <w:r>
              <w:rPr>
                <w:b/>
                <w:bCs/>
                <w:color w:val="1E7A46"/>
                <w:sz w:val="19"/>
                <w:szCs w:val="19"/>
              </w:rPr>
              <w:t xml:space="preserve">2 sections</w:t>
            </w:r>
          </w:p>
        </w:tc>
      </w:tr>
      <w:tr>
        <w:tc>
          <w:tcPr>
            <w:tcW w:type="dxa" w:w="3600"/>
            <w:shd w:fill="DCE5F2" w:color="auto" w:val="clear"/>
            <w:tcMar>
              <w:top w:type="dxa" w:w="54"/>
              <w:left w:type="dxa" w:w="100"/>
              <w:bottom w:type="dxa" w:w="54"/>
              <w:right w:type="dxa" w:w="100"/>
            </w:tcMar>
          </w:tcPr>
          <w:p>
            <w:pPr>
              <w:spacing w:after="0" w:line="250"/>
            </w:pPr>
            <w:r>
              <w:rPr>
                <w:b/>
                <w:bCs/>
                <w:color w:val="2E4A7B"/>
                <w:sz w:val="19"/>
                <w:szCs w:val="19"/>
              </w:rPr>
              <w:t xml:space="preserve">Partial (foundation present)</w:t>
            </w:r>
          </w:p>
        </w:tc>
        <w:tc>
          <w:tcPr>
            <w:tcW w:type="dxa" w:w="5760"/>
            <w:shd w:fill="FFFFFF" w:color="auto" w:val="clear"/>
            <w:tcMar>
              <w:top w:type="dxa" w:w="54"/>
              <w:left w:type="dxa" w:w="100"/>
              <w:bottom w:type="dxa" w:w="54"/>
              <w:right w:type="dxa" w:w="100"/>
            </w:tcMar>
          </w:tcPr>
          <w:p>
            <w:pPr>
              <w:spacing w:after="0" w:line="250"/>
            </w:pPr>
            <w:r>
              <w:rPr>
                <w:b/>
                <w:bCs/>
                <w:color w:val="9A5B00"/>
                <w:sz w:val="19"/>
                <w:szCs w:val="19"/>
              </w:rPr>
              <w:t xml:space="preserve">9 sections</w:t>
            </w:r>
          </w:p>
        </w:tc>
      </w:tr>
      <w:tr>
        <w:tc>
          <w:tcPr>
            <w:tcW w:type="dxa" w:w="3600"/>
            <w:shd w:fill="F4F7FB" w:color="auto" w:val="clear"/>
            <w:tcMar>
              <w:top w:type="dxa" w:w="54"/>
              <w:left w:type="dxa" w:w="100"/>
              <w:bottom w:type="dxa" w:w="54"/>
              <w:right w:type="dxa" w:w="100"/>
            </w:tcMar>
          </w:tcPr>
          <w:p>
            <w:pPr>
              <w:spacing w:after="0" w:line="250"/>
            </w:pPr>
            <w:r>
              <w:rPr>
                <w:b/>
                <w:bCs/>
                <w:color w:val="2E4A7B"/>
                <w:sz w:val="19"/>
                <w:szCs w:val="19"/>
              </w:rPr>
              <w:t xml:space="preserve">Missing (net-new work)</w:t>
            </w:r>
          </w:p>
        </w:tc>
        <w:tc>
          <w:tcPr>
            <w:tcW w:type="dxa" w:w="5760"/>
            <w:shd w:fill="F4F7FB" w:color="auto" w:val="clear"/>
            <w:tcMar>
              <w:top w:type="dxa" w:w="54"/>
              <w:left w:type="dxa" w:w="100"/>
              <w:bottom w:type="dxa" w:w="54"/>
              <w:right w:type="dxa" w:w="100"/>
            </w:tcMar>
          </w:tcPr>
          <w:p>
            <w:pPr>
              <w:spacing w:after="0" w:line="250"/>
            </w:pPr>
            <w:r>
              <w:rPr>
                <w:b/>
                <w:bCs/>
                <w:color w:val="B02A2A"/>
                <w:sz w:val="19"/>
                <w:szCs w:val="19"/>
              </w:rPr>
              <w:t xml:space="preserve">7 sections</w:t>
            </w:r>
          </w:p>
        </w:tc>
      </w:tr>
      <w:tr>
        <w:tc>
          <w:tcPr>
            <w:tcW w:type="dxa" w:w="3600"/>
            <w:shd w:fill="DCE5F2" w:color="auto" w:val="clear"/>
            <w:tcMar>
              <w:top w:type="dxa" w:w="54"/>
              <w:left w:type="dxa" w:w="100"/>
              <w:bottom w:type="dxa" w:w="54"/>
              <w:right w:type="dxa" w:w="100"/>
            </w:tcMar>
          </w:tcPr>
          <w:p>
            <w:pPr>
              <w:spacing w:after="0" w:line="250"/>
            </w:pPr>
            <w:r>
              <w:rPr>
                <w:b/>
                <w:bCs/>
                <w:color w:val="2E4A7B"/>
                <w:sz w:val="19"/>
                <w:szCs w:val="19"/>
              </w:rPr>
              <w:t xml:space="preserve">Overall readiness against this spec</w:t>
            </w:r>
          </w:p>
        </w:tc>
        <w:tc>
          <w:tcPr>
            <w:tcW w:type="dxa" w:w="5760"/>
            <w:shd w:fill="FFFFFF" w:color="auto" w:val="clear"/>
            <w:tcMar>
              <w:top w:type="dxa" w:w="54"/>
              <w:left w:type="dxa" w:w="100"/>
              <w:bottom w:type="dxa" w:w="54"/>
              <w:right w:type="dxa" w:w="100"/>
            </w:tcMar>
          </w:tcPr>
          <w:p>
            <w:pPr>
              <w:spacing w:after="0" w:line="250"/>
            </w:pPr>
            <w:r>
              <w:rPr>
                <w:b/>
                <w:bCs/>
                <w:color w:val="1F2933"/>
                <w:sz w:val="19"/>
                <w:szCs w:val="19"/>
              </w:rPr>
              <w:t xml:space="preserve">Foundational — roughly one third of the specified model exists</w:t>
            </w:r>
          </w:p>
        </w:tc>
      </w:tr>
    </w:tbl>
    <w:p>
      <w:pPr>
        <w:spacing w:after="120" w:line="276"/>
      </w:pPr>
      <w:r>
        <w:rPr>
          <w:b w:val="false"/>
          <w:bCs w:val="false"/>
          <w:i/>
          <w:iCs/>
          <w:color w:val="5A6473"/>
          <w:sz w:val="19"/>
          <w:szCs w:val="19"/>
        </w:rPr>
        <w:t xml:space="preserve">Note: the platform is fully functional; this scorecard measures only the delta between this particular subscription/commercial specification and the code as built. Feature capabilities the packages would sell (AI, transport, integrations, analytics) largely exist — they are simply not yet packaged, priced or entitlement-gated in the way this document prescribes.</w:t>
      </w:r>
    </w:p>
    <w:p>
      <w:r>
        <w:br w:type="page"/>
      </w:r>
    </w:p>
    <w:p>
      <w:pPr>
        <w:pStyle w:val="Heading1"/>
        <w:spacing w:after="12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3. Section-by-section validation</w:t>
      </w:r>
    </w:p>
    <w:p>
      <w:pPr>
        <w:spacing w:after="120" w:line="276"/>
      </w:pPr>
      <w:r>
        <w:rPr>
          <w:b w:val="false"/>
          <w:bCs w:val="false"/>
          <w:i w:val="false"/>
          <w:iCs w:val="false"/>
          <w:color w:val="1F2933"/>
          <w:sz w:val="21"/>
          <w:szCs w:val="21"/>
        </w:rPr>
        <w:t xml:space="preserve">Each row maps a section of the uploaded requirement to its status and the supporting evidence in the codebase.</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780"/>
        <w:gridCol w:w="3050"/>
        <w:gridCol w:w="1350"/>
        <w:gridCol w:w="4180"/>
      </w:tblGrid>
      <w:tr>
        <w:trPr>
          <w:tblHeader/>
        </w:trPr>
        <w:tc>
          <w:tcPr>
            <w:tcW w:type="dxa" w:w="780"/>
            <w:shd w:fill="2E4A7B" w:color="auto" w:val="clear"/>
            <w:tcMar>
              <w:top w:type="dxa" w:w="54"/>
              <w:left w:type="dxa" w:w="100"/>
              <w:bottom w:type="dxa" w:w="54"/>
              <w:right w:type="dxa" w:w="100"/>
            </w:tcMar>
          </w:tcPr>
          <w:p>
            <w:pPr>
              <w:spacing w:after="0" w:line="250"/>
            </w:pPr>
            <w:r>
              <w:rPr>
                <w:b/>
                <w:bCs/>
                <w:color w:val="FFFFFF"/>
                <w:sz w:val="19"/>
                <w:szCs w:val="19"/>
              </w:rPr>
              <w:t xml:space="preserve">§</w:t>
            </w:r>
          </w:p>
        </w:tc>
        <w:tc>
          <w:tcPr>
            <w:tcW w:type="dxa" w:w="3050"/>
            <w:shd w:fill="2E4A7B" w:color="auto" w:val="clear"/>
            <w:tcMar>
              <w:top w:type="dxa" w:w="54"/>
              <w:left w:type="dxa" w:w="100"/>
              <w:bottom w:type="dxa" w:w="54"/>
              <w:right w:type="dxa" w:w="100"/>
            </w:tcMar>
          </w:tcPr>
          <w:p>
            <w:pPr>
              <w:spacing w:after="0" w:line="250"/>
            </w:pPr>
            <w:r>
              <w:rPr>
                <w:b/>
                <w:bCs/>
                <w:color w:val="FFFFFF"/>
                <w:sz w:val="19"/>
                <w:szCs w:val="19"/>
              </w:rPr>
              <w:t xml:space="preserve">Requirement area</w:t>
            </w:r>
          </w:p>
        </w:tc>
        <w:tc>
          <w:tcPr>
            <w:tcW w:type="dxa" w:w="1350"/>
            <w:shd w:fill="2E4A7B" w:color="auto" w:val="clear"/>
            <w:tcMar>
              <w:top w:type="dxa" w:w="54"/>
              <w:left w:type="dxa" w:w="100"/>
              <w:bottom w:type="dxa" w:w="54"/>
              <w:right w:type="dxa" w:w="100"/>
            </w:tcMar>
          </w:tcPr>
          <w:p>
            <w:pPr>
              <w:spacing w:after="0" w:line="250"/>
            </w:pPr>
            <w:r>
              <w:rPr>
                <w:b/>
                <w:bCs/>
                <w:color w:val="FFFFFF"/>
                <w:sz w:val="19"/>
                <w:szCs w:val="19"/>
              </w:rPr>
              <w:t xml:space="preserve">Status</w:t>
            </w:r>
          </w:p>
        </w:tc>
        <w:tc>
          <w:tcPr>
            <w:tcW w:type="dxa" w:w="4180"/>
            <w:shd w:fill="2E4A7B" w:color="auto" w:val="clear"/>
            <w:tcMar>
              <w:top w:type="dxa" w:w="54"/>
              <w:left w:type="dxa" w:w="100"/>
              <w:bottom w:type="dxa" w:w="54"/>
              <w:right w:type="dxa" w:w="100"/>
            </w:tcMar>
          </w:tcPr>
          <w:p>
            <w:pPr>
              <w:spacing w:after="0" w:line="250"/>
            </w:pPr>
            <w:r>
              <w:rPr>
                <w:b/>
                <w:bCs/>
                <w:color w:val="FFFFFF"/>
                <w:sz w:val="19"/>
                <w:szCs w:val="19"/>
              </w:rPr>
              <w:t xml:space="preserve">Finding / evidence</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1</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Three packages Connect / Plus / Complete; Plus recommended</w:t>
            </w:r>
          </w:p>
        </w:tc>
        <w:tc>
          <w:tcPr>
            <w:tcW w:type="dxa" w:w="1350"/>
            <w:shd w:fill="FFFFFF" w:color="auto" w:val="clear"/>
            <w:tcMar>
              <w:top w:type="dxa" w:w="54"/>
              <w:left w:type="dxa" w:w="100"/>
              <w:bottom w:type="dxa" w:w="54"/>
              <w:right w:type="dxa" w:w="100"/>
            </w:tcMar>
          </w:tcPr>
          <w:p>
            <w:pPr>
              <w:spacing w:after="0" w:line="250"/>
            </w:pPr>
            <w:r>
              <w:rPr>
                <w:b/>
                <w:bCs/>
                <w:color w:val="B02A2A"/>
                <w:sz w:val="19"/>
                <w:szCs w:val="19"/>
              </w:rPr>
              <w:t xml:space="preserve">Missing</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Packages are fully configurable, but the default packages are Trial / Basic / Standard / Premium. The three named tiers, their prescribed feature sets and a “recommended” flag are not modelled. (An admin could manually create packages named Connect/Plus/Complete, but without the entitlement sets or the recommended marker.)</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2</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Annual pricing by pupil-count band; not per-pupil; Super Admin editable without deploy</w:t>
            </w:r>
          </w:p>
        </w:tc>
        <w:tc>
          <w:tcPr>
            <w:tcW w:type="dxa" w:w="1350"/>
            <w:shd w:fill="F4F7FB"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Prices, AI limits and features are database-driven and editable in the Packages screen with no deploy (`/api/plans`). However there is no pupil-band model — pricing is flat per-school plus a per-student and per-vehicle rate, which is the per-pupil framing the spec explicitly forbids. The band matrix and MAT/Custom tiers are not represented.</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3</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CONNECT feature set (core school↔home, 1 integration, free parent app)</w:t>
            </w:r>
          </w:p>
        </w:tc>
        <w:tc>
          <w:tcPr>
            <w:tcW w:type="dxa" w:w="1350"/>
            <w:shd w:fill="FFFFFF"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Nearly all underlying capabilities exist (admin portal, records, announcements, emergency comms, push/email, calendar, events, trips, meals, pupil reports, documents, policies, dashboards, engagement stats, help centre, integrations, free parent app). They are not bundled or entitlement-gated as “Connect”, and the “1 standard integration” limit is not enforced.</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4</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PLUS: 3 integrations, School AI, smart reminders, analytics, basic transport</w:t>
            </w:r>
          </w:p>
        </w:tc>
        <w:tc>
          <w:tcPr>
            <w:tcW w:type="dxa" w:w="1350"/>
            <w:shd w:fill="F4F7FB"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Staff AI assistant, AI document/policy Q&amp;A, transport (routes/stops/vehicles/drivers/assignment), parent engagement analytics and enhanced dashboards all exist. Not implemented as Plus entitlements: the 3-integration cap, deadline/smart reminders as a comms feature, and the “recommended” marker.</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5</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COMPLETE: 6 integrations, advanced AI, live transport, advanced analytics, automation workflows</w:t>
            </w:r>
          </w:p>
        </w:tc>
        <w:tc>
          <w:tcPr>
            <w:tcW w:type="dxa" w:w="1350"/>
            <w:shd w:fill="FFFFFF"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Live GPS transport, parent live-bus view, live ETA, delay notifications, home pickup/drop-off, trip/event/overnight transport and the driver app all exist, as do leadership/analytics dashboards. Missing: the configurable automation-workflow engine (e.g. trip-created → notify, delay-threshold → notify, policy-published → notify, no-ack → remind, integration-failure → alert). Some of these notifications exist but are hard-wired, not admin-configurable workflows; the 6-integration cap is not enforced.</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6</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Parent App inherits entitlements from the child’s school package; essentials always free</w:t>
            </w:r>
          </w:p>
        </w:tc>
        <w:tc>
          <w:tcPr>
            <w:tcW w:type="dxa" w:w="1350"/>
            <w:shd w:fill="F4F7FB" w:color="auto" w:val="clear"/>
            <w:tcMar>
              <w:top w:type="dxa" w:w="54"/>
              <w:left w:type="dxa" w:w="100"/>
              <w:bottom w:type="dxa" w:w="54"/>
              <w:right w:type="dxa" w:w="100"/>
            </w:tcMar>
          </w:tcPr>
          <w:p>
            <w:pPr>
              <w:spacing w:after="0" w:line="250"/>
            </w:pPr>
            <w:r>
              <w:rPr>
                <w:b/>
                <w:bCs/>
                <w:color w:val="B02A2A"/>
                <w:sz w:val="19"/>
                <w:szCs w:val="19"/>
              </w:rPr>
              <w:t xml:space="preserve">Missing</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There is no logic mapping a school’s package to a tiered parent experience. Because no package gating exists, essential information is free by default, but the intended inheritance model (Connect/Plus/Complete parent experiences) and the codified “essentials never require payment” rule are not built.</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7</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Parent Personal AI as a separate subscription (£1.99/mo, £19.99/yr per family); capabilities; entitlement rule</w:t>
            </w:r>
          </w:p>
        </w:tc>
        <w:tc>
          <w:tcPr>
            <w:tcW w:type="dxa" w:w="1350"/>
            <w:shd w:fill="FFFFFF"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The ParentSubscription model supports a family plan with month/year intervals and a configurable price, and the parent AI answers the specified question types scoped to the parent’s authorised children. Not built: the fixed £1.99 / £19.99 pricing, a purchase/subscribe flow, gating parent-AI access behind the subscription, and the rule that parent AI cannot exceed the school’s package (no entitlement engine to enforce it).</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8</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Multi-school parent accounts; per-school entitlements; AI combines across schools</w:t>
            </w:r>
          </w:p>
        </w:tc>
        <w:tc>
          <w:tcPr>
            <w:tcW w:type="dxa" w:w="1350"/>
            <w:shd w:fill="F4F7FB"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Parents already hold children across multiple schools and the AI aggregates authorised information across them. What is missing is applying each school’s package entitlements independently, since package-based entitlements are not implemented.</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9</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Super Admin subscription management (broad configuration set)</w:t>
            </w:r>
          </w:p>
        </w:tc>
        <w:tc>
          <w:tcPr>
            <w:tcW w:type="dxa" w:w="1350"/>
            <w:shd w:fill="FFFFFF"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Present: create / edit / activate / deactivate packages, names, feature list, AI allowance, pricing (DB-driven), view renewals, and a manual-approval override. Missing: pupil bands, currencies, VAT/tax behaviour, promotional pricing, discount codes, configurable trial periods, custom quotations, MAT pricing, manual discounts, and explicit views of failed payments and upgrade/downgrade history.</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10</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Stripe integration for schools and parents (checkout, invoicing, renewal, failed payments)</w:t>
            </w:r>
          </w:p>
        </w:tc>
        <w:tc>
          <w:tcPr>
            <w:tcW w:type="dxa" w:w="1350"/>
            <w:shd w:fill="F4F7FB" w:color="auto" w:val="clear"/>
            <w:tcMar>
              <w:top w:type="dxa" w:w="54"/>
              <w:left w:type="dxa" w:w="100"/>
              <w:bottom w:type="dxa" w:w="54"/>
              <w:right w:type="dxa" w:w="100"/>
            </w:tcMar>
          </w:tcPr>
          <w:p>
            <w:pPr>
              <w:spacing w:after="0" w:line="250"/>
            </w:pPr>
            <w:r>
              <w:rPr>
                <w:b/>
                <w:bCs/>
                <w:color w:val="B02A2A"/>
                <w:sz w:val="19"/>
                <w:szCs w:val="19"/>
              </w:rPr>
              <w:t xml:space="preserve">Missing</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Only opaque Stripe reference fields are stored on ParentSubscription (no card data). There is no live Stripe integration: no checkout/hosted payment, no webhooks for payment events, no invoice generation, no automatic renewal or failed-payment handling, and school subscriptions carry no Stripe fields at all. The correct “no raw card data” principle is followed, but billing is not wired to Stripe.</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11</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Central subscription entitlement engine</w:t>
            </w:r>
          </w:p>
        </w:tc>
        <w:tc>
          <w:tcPr>
            <w:tcW w:type="dxa" w:w="1350"/>
            <w:shd w:fill="FFFFFF" w:color="auto" w:val="clear"/>
            <w:tcMar>
              <w:top w:type="dxa" w:w="54"/>
              <w:left w:type="dxa" w:w="100"/>
              <w:bottom w:type="dxa" w:w="54"/>
              <w:right w:type="dxa" w:w="100"/>
            </w:tcMar>
          </w:tcPr>
          <w:p>
            <w:pPr>
              <w:spacing w:after="0" w:line="250"/>
            </w:pPr>
            <w:r>
              <w:rPr>
                <w:b/>
                <w:bCs/>
                <w:color w:val="B02A2A"/>
                <w:sz w:val="19"/>
                <w:szCs w:val="19"/>
              </w:rPr>
              <w:t xml:space="preserve">Missing</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No entitlement service exists. The specified outputs (schoolPackage, schoolPupilBand, schoolFeatures, integrationLimit, aiAllowance, transportLevel, analyticsLevel, automationLevel, parentSchoolEntitlements, parentAIEntitlement) are not produced. Feature access is governed by role-based permissions; the Plan.features list and aiUsageLimit are stored but not enforced anywhere. This is the central missing piece the spec depends on.</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12</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Upgrade experience (“Available with Plus/Complete”, price, action)</w:t>
            </w:r>
          </w:p>
        </w:tc>
        <w:tc>
          <w:tcPr>
            <w:tcW w:type="dxa" w:w="1350"/>
            <w:shd w:fill="F4F7FB" w:color="auto" w:val="clear"/>
            <w:tcMar>
              <w:top w:type="dxa" w:w="54"/>
              <w:left w:type="dxa" w:w="100"/>
              <w:bottom w:type="dxa" w:w="54"/>
              <w:right w:type="dxa" w:w="100"/>
            </w:tcMar>
          </w:tcPr>
          <w:p>
            <w:pPr>
              <w:spacing w:after="0" w:line="250"/>
            </w:pPr>
            <w:r>
              <w:rPr>
                <w:b/>
                <w:bCs/>
                <w:color w:val="B02A2A"/>
                <w:sz w:val="19"/>
                <w:szCs w:val="19"/>
              </w:rPr>
              <w:t xml:space="preserve">Missing</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No feature-locked prompts, upgrade comparison, upgrade pricing or in-app upgrade purchase flow exist, because there is no entitlement layer to trigger them.</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13</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Parent AI upsell (optional, priced, never blocks school info)</w:t>
            </w:r>
          </w:p>
        </w:tc>
        <w:tc>
          <w:tcPr>
            <w:tcW w:type="dxa" w:w="1350"/>
            <w:shd w:fill="FFFFFF" w:color="auto" w:val="clear"/>
            <w:tcMar>
              <w:top w:type="dxa" w:w="54"/>
              <w:left w:type="dxa" w:w="100"/>
              <w:bottom w:type="dxa" w:w="54"/>
              <w:right w:type="dxa" w:w="100"/>
            </w:tcMar>
          </w:tcPr>
          <w:p>
            <w:pPr>
              <w:spacing w:after="0" w:line="250"/>
            </w:pPr>
            <w:r>
              <w:rPr>
                <w:b/>
                <w:bCs/>
                <w:color w:val="B02A2A"/>
                <w:sz w:val="19"/>
                <w:szCs w:val="19"/>
              </w:rPr>
              <w:t xml:space="preserve">Missing</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No parent-AI upsell surface. School information is not blocked (nothing is gated), but the priced, optional AI upsell presentation is not built.</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14</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Usage-based services (SMS/WhatsApp usage; quotations; excess AI credits)</w:t>
            </w:r>
          </w:p>
        </w:tc>
        <w:tc>
          <w:tcPr>
            <w:tcW w:type="dxa" w:w="1350"/>
            <w:shd w:fill="F4F7FB"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SMS and WhatsApp are first-class channels with per-channel delivery reporting, and AI usage is counted per subscription (aiUsageCount). There is no metering/credit/billing architecture for usage-based charges, no excess-AI credit purchasing, and no quotation workflow for custom services.</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15</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Subscription statuses incl. grace period; don’t hard-block on failed payment</w:t>
            </w:r>
          </w:p>
        </w:tc>
        <w:tc>
          <w:tcPr>
            <w:tcW w:type="dxa" w:w="1350"/>
            <w:shd w:fill="FFFFFF"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Statuses present: trialing, active, past_due, canceled, suspended. Missing: Payment Pending, Grace Period and Expired as distinct states, plus configurable grace-period logic and the careful essential-access-during-suspension handling the spec calls for.</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16</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Audit of all subscription actions with before/after, source, payment reference</w:t>
            </w:r>
          </w:p>
        </w:tc>
        <w:tc>
          <w:tcPr>
            <w:tcW w:type="dxa" w:w="1350"/>
            <w:shd w:fill="F4F7FB"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Subscription-related audit actions exist (parent-subscription change, approval-mode/decision changes) and the general audit trail captures actor, tenant and timestamp. Not consistently captured: previous vs new value, source, and the payment/subscription reference for every subscription event (price change, upgrade/downgrade, manual discount, entitlement change).</w:t>
            </w:r>
          </w:p>
        </w:tc>
      </w:tr>
      <w:tr>
        <w:tc>
          <w:tcPr>
            <w:tcW w:type="dxa" w:w="780"/>
            <w:shd w:fill="FFFFFF" w:color="auto" w:val="clear"/>
            <w:tcMar>
              <w:top w:type="dxa" w:w="54"/>
              <w:left w:type="dxa" w:w="100"/>
              <w:bottom w:type="dxa" w:w="54"/>
              <w:right w:type="dxa" w:w="100"/>
            </w:tcMar>
          </w:tcPr>
          <w:p>
            <w:pPr>
              <w:spacing w:after="0" w:line="250"/>
            </w:pPr>
            <w:r>
              <w:rPr>
                <w:b/>
                <w:bCs/>
                <w:color w:val="2E4A7B"/>
                <w:sz w:val="19"/>
                <w:szCs w:val="19"/>
              </w:rPr>
              <w:t xml:space="preserve">17</w:t>
            </w:r>
          </w:p>
        </w:tc>
        <w:tc>
          <w:tcPr>
            <w:tcW w:type="dxa" w:w="3050"/>
            <w:shd w:fill="FFFFFF" w:color="auto" w:val="clear"/>
            <w:tcMar>
              <w:top w:type="dxa" w:w="54"/>
              <w:left w:type="dxa" w:w="100"/>
              <w:bottom w:type="dxa" w:w="54"/>
              <w:right w:type="dxa" w:w="100"/>
            </w:tcMar>
          </w:tcPr>
          <w:p>
            <w:pPr>
              <w:spacing w:after="0" w:line="250"/>
            </w:pPr>
            <w:r>
              <w:rPr>
                <w:b/>
                <w:bCs/>
                <w:color w:val="1F2933"/>
                <w:sz w:val="19"/>
                <w:szCs w:val="19"/>
              </w:rPr>
              <w:t xml:space="preserve">Server-side entitlement enforcement; parent authorisation chain</w:t>
            </w:r>
          </w:p>
        </w:tc>
        <w:tc>
          <w:tcPr>
            <w:tcW w:type="dxa" w:w="1350"/>
            <w:shd w:fill="FFFFFF"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Server-side RBAC, tenant isolation and the parent → child → school → data-permission chain are enforced (including for the AI). The final links — school subscription → feature entitlement — are not enforced because the entitlement engine does not exist.</w:t>
            </w:r>
          </w:p>
        </w:tc>
      </w:tr>
      <w:tr>
        <w:tc>
          <w:tcPr>
            <w:tcW w:type="dxa" w:w="780"/>
            <w:shd w:fill="F4F7FB" w:color="auto" w:val="clear"/>
            <w:tcMar>
              <w:top w:type="dxa" w:w="54"/>
              <w:left w:type="dxa" w:w="100"/>
              <w:bottom w:type="dxa" w:w="54"/>
              <w:right w:type="dxa" w:w="100"/>
            </w:tcMar>
          </w:tcPr>
          <w:p>
            <w:pPr>
              <w:spacing w:after="0" w:line="250"/>
            </w:pPr>
            <w:r>
              <w:rPr>
                <w:b/>
                <w:bCs/>
                <w:color w:val="2E4A7B"/>
                <w:sz w:val="19"/>
                <w:szCs w:val="19"/>
              </w:rPr>
              <w:t xml:space="preserve">18</w:t>
            </w:r>
          </w:p>
        </w:tc>
        <w:tc>
          <w:tcPr>
            <w:tcW w:type="dxa" w:w="3050"/>
            <w:shd w:fill="F4F7FB" w:color="auto" w:val="clear"/>
            <w:tcMar>
              <w:top w:type="dxa" w:w="54"/>
              <w:left w:type="dxa" w:w="100"/>
              <w:bottom w:type="dxa" w:w="54"/>
              <w:right w:type="dxa" w:w="100"/>
            </w:tcMar>
          </w:tcPr>
          <w:p>
            <w:pPr>
              <w:spacing w:after="0" w:line="250"/>
            </w:pPr>
            <w:r>
              <w:rPr>
                <w:b/>
                <w:bCs/>
                <w:color w:val="1F2933"/>
                <w:sz w:val="19"/>
                <w:szCs w:val="19"/>
              </w:rPr>
              <w:t xml:space="preserve">Configurable SaaS platform (multi-currency/region, grandfathering, promos, retire/introduce packages)</w:t>
            </w:r>
          </w:p>
        </w:tc>
        <w:tc>
          <w:tcPr>
            <w:tcW w:type="dxa" w:w="1350"/>
            <w:shd w:fill="F4F7FB" w:color="auto" w:val="clear"/>
            <w:tcMar>
              <w:top w:type="dxa" w:w="54"/>
              <w:left w:type="dxa" w:w="100"/>
              <w:bottom w:type="dxa" w:w="54"/>
              <w:right w:type="dxa" w:w="100"/>
            </w:tcMar>
          </w:tcPr>
          <w:p>
            <w:pPr>
              <w:spacing w:after="0" w:line="250"/>
            </w:pPr>
            <w:r>
              <w:rPr>
                <w:b/>
                <w:bCs/>
                <w:color w:val="9A5B00"/>
                <w:sz w:val="19"/>
                <w:szCs w:val="19"/>
              </w:rPr>
              <w:t xml:space="preserve">Partial</w:t>
            </w:r>
          </w:p>
        </w:tc>
        <w:tc>
          <w:tcPr>
            <w:tcW w:type="dxa" w:w="418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Packages are DB-driven and can be created, edited and deactivated (retire), and pricing/features/AI limits change without a deploy. Not built: multi-currency and regional pricing for school plans, grandfathering of existing customers, promotional pricing, MAT contracts, and additional AI tiers as first-class configuration.</w:t>
            </w:r>
          </w:p>
        </w:tc>
      </w:tr>
    </w:tbl>
    <w:p>
      <w:r>
        <w:br w:type="page"/>
      </w:r>
    </w:p>
    <w:p>
      <w:pPr>
        <w:pStyle w:val="Heading1"/>
        <w:spacing w:after="120" w:before="240"/>
      </w:pPr>
      <w:r>
        <w:t xml:space="preserve">4. What exists today (foundation)</w:t>
      </w:r>
    </w:p>
    <w:p>
      <w:pPr>
        <w:spacing w:after="120" w:line="276"/>
      </w:pPr>
      <w:r>
        <w:rPr>
          <w:b w:val="false"/>
          <w:bCs w:val="false"/>
          <w:i w:val="false"/>
          <w:iCs w:val="false"/>
          <w:color w:val="1F2933"/>
          <w:sz w:val="21"/>
          <w:szCs w:val="21"/>
        </w:rPr>
        <w:t xml:space="preserve">The following subscription capabilities are implemented and working, and are the base any commercial build would extend:</w:t>
      </w:r>
    </w:p>
    <w:p>
      <w:pPr>
        <w:pStyle w:val="ListParagraph"/>
        <w:numPr>
          <w:ilvl w:val="0"/>
          <w:numId w:val="2"/>
        </w:numPr>
        <w:spacing w:after="60" w:line="264"/>
      </w:pPr>
      <w:r>
        <w:rPr>
          <w:color w:val="1F2933"/>
          <w:sz w:val="21"/>
          <w:szCs w:val="21"/>
        </w:rPr>
        <w:t xml:space="preserve">Configurable packages (Plan): name, per-school / per-student / per-vehicle price, monthly AI-query limit, a comma-separated feature list, and an active flag — all editable in the Super Admin “Packages” screen via /api/plans, with no code deploy.</w:t>
      </w:r>
    </w:p>
    <w:p>
      <w:pPr>
        <w:pStyle w:val="ListParagraph"/>
        <w:numPr>
          <w:ilvl w:val="0"/>
          <w:numId w:val="2"/>
        </w:numPr>
        <w:spacing w:after="60" w:line="264"/>
      </w:pPr>
      <w:r>
        <w:rPr>
          <w:color w:val="1F2933"/>
          <w:sz w:val="21"/>
          <w:szCs w:val="21"/>
        </w:rPr>
        <w:t xml:space="preserve">Per-school subscriptions (Subscription): plan link, status (trialing / active / past_due / canceled / suspended), start and renewal dates, student / vehicle / AI-usage limits and an AI-usage counter.</w:t>
      </w:r>
    </w:p>
    <w:p>
      <w:pPr>
        <w:pStyle w:val="ListParagraph"/>
        <w:numPr>
          <w:ilvl w:val="0"/>
          <w:numId w:val="2"/>
        </w:numPr>
        <w:spacing w:after="60" w:line="264"/>
      </w:pPr>
      <w:r>
        <w:rPr>
          <w:color w:val="1F2933"/>
          <w:sz w:val="21"/>
          <w:szCs w:val="21"/>
        </w:rPr>
        <w:t xml:space="preserve">Tenant creation assigns a package and creates the school’s subscription.</w:t>
      </w:r>
    </w:p>
    <w:p>
      <w:pPr>
        <w:pStyle w:val="ListParagraph"/>
        <w:numPr>
          <w:ilvl w:val="0"/>
          <w:numId w:val="2"/>
        </w:numPr>
        <w:spacing w:after="60" w:line="264"/>
      </w:pPr>
      <w:r>
        <w:rPr>
          <w:color w:val="1F2933"/>
          <w:sz w:val="21"/>
          <w:szCs w:val="21"/>
        </w:rPr>
        <w:t xml:space="preserve">Renewal management: a reminder cadence at 30, 14, 7 and 1 days before renewal and once overdue, plus a manual-approval override that can hold a due renewal as “pending” for a platform administrator to approve or reject.</w:t>
      </w:r>
    </w:p>
    <w:p>
      <w:pPr>
        <w:pStyle w:val="ListParagraph"/>
        <w:numPr>
          <w:ilvl w:val="0"/>
          <w:numId w:val="2"/>
        </w:numPr>
        <w:spacing w:after="60" w:line="264"/>
      </w:pPr>
      <w:r>
        <w:rPr>
          <w:color w:val="1F2933"/>
          <w:sz w:val="21"/>
          <w:szCs w:val="21"/>
        </w:rPr>
        <w:t xml:space="preserve">Super Admin Subscriptions view: portfolio KPIs (due soon, overdue, pending approval, reminders due) across school and parent subscriptions, with per-row renewal and approval actions.</w:t>
      </w:r>
    </w:p>
    <w:p>
      <w:pPr>
        <w:pStyle w:val="ListParagraph"/>
        <w:numPr>
          <w:ilvl w:val="0"/>
          <w:numId w:val="2"/>
        </w:numPr>
        <w:spacing w:after="60" w:line="264"/>
      </w:pPr>
      <w:r>
        <w:rPr>
          <w:color w:val="1F2933"/>
          <w:sz w:val="21"/>
          <w:szCs w:val="21"/>
        </w:rPr>
        <w:t xml:space="preserve">Parent premium / AI subscriptions (ParentSubscription): family plan, month/year interval, configurable amount and currency, opaque Stripe references (never card data), and an approval workflow.</w:t>
      </w:r>
    </w:p>
    <w:p>
      <w:pPr>
        <w:pStyle w:val="ListParagraph"/>
        <w:numPr>
          <w:ilvl w:val="0"/>
          <w:numId w:val="2"/>
        </w:numPr>
        <w:spacing w:after="60" w:line="264"/>
      </w:pPr>
      <w:r>
        <w:rPr>
          <w:color w:val="1F2933"/>
          <w:sz w:val="21"/>
          <w:szCs w:val="21"/>
        </w:rPr>
        <w:t xml:space="preserve">Parent-revenue dashboard: active subscriptions, MRR / ARR / ARPU and a per-school breakdown.</w:t>
      </w:r>
    </w:p>
    <w:p>
      <w:pPr>
        <w:pStyle w:val="ListParagraph"/>
        <w:numPr>
          <w:ilvl w:val="0"/>
          <w:numId w:val="2"/>
        </w:numPr>
        <w:spacing w:after="60" w:line="264"/>
      </w:pPr>
      <w:r>
        <w:rPr>
          <w:color w:val="1F2933"/>
          <w:sz w:val="21"/>
          <w:szCs w:val="21"/>
        </w:rPr>
        <w:t xml:space="preserve">Underlying sellable capabilities already exist: staff and parent AI assistants, live GPS transport and the driver app, MIS integrations and the Integration Hub, analytics and leadership dashboards, and the free parent app.</w:t>
      </w:r>
    </w:p>
    <w:p>
      <w:pPr>
        <w:pStyle w:val="Heading1"/>
        <w:spacing w:after="120" w:before="240"/>
      </w:pPr>
      <w:r>
        <w:t xml:space="preserve">5. Key gaps (priority order)</w:t>
      </w:r>
    </w:p>
    <w:p>
      <w:pPr>
        <w:spacing w:after="120" w:line="276"/>
      </w:pPr>
      <w:r>
        <w:rPr>
          <w:b w:val="false"/>
          <w:bCs w:val="false"/>
          <w:i w:val="false"/>
          <w:iCs w:val="false"/>
          <w:color w:val="1F2933"/>
          <w:sz w:val="21"/>
          <w:szCs w:val="21"/>
        </w:rPr>
        <w:t xml:space="preserve">The gaps below are ordered by how much the rest of the specification depends on them.</w:t>
      </w:r>
    </w:p>
    <w:tbl>
      <w:tblPr>
        <w:tblW w:type="dxa" w:w="9360"/>
        <w:tblBorders>
          <w:top w:val="single" w:color="C7D2E0" w:sz="4"/>
          <w:left w:val="single" w:color="C7D2E0" w:sz="4"/>
          <w:bottom w:val="single" w:color="C7D2E0" w:sz="4"/>
          <w:right w:val="single" w:color="C7D2E0" w:sz="4"/>
          <w:insideH w:val="single" w:color="C7D2E0" w:sz="4"/>
          <w:insideV w:val="single" w:color="C7D2E0" w:sz="4"/>
        </w:tblBorders>
      </w:tblPr>
      <w:tblGrid>
        <w:gridCol w:w="3200"/>
        <w:gridCol w:w="6160"/>
      </w:tblGrid>
      <w:tr>
        <w:tc>
          <w:tcPr>
            <w:tcW w:type="dxa" w:w="3200"/>
            <w:shd w:fill="DCE5F2" w:color="auto" w:val="clear"/>
            <w:tcMar>
              <w:top w:type="dxa" w:w="54"/>
              <w:left w:type="dxa" w:w="100"/>
              <w:bottom w:type="dxa" w:w="54"/>
              <w:right w:type="dxa" w:w="100"/>
            </w:tcMar>
          </w:tcPr>
          <w:p>
            <w:pPr>
              <w:spacing w:after="0" w:line="250"/>
            </w:pPr>
            <w:r>
              <w:rPr>
                <w:b/>
                <w:bCs/>
                <w:color w:val="2E4A7B"/>
                <w:sz w:val="19"/>
                <w:szCs w:val="19"/>
              </w:rPr>
              <w:t xml:space="preserve">1 — Entitlement engine (§11)</w:t>
            </w:r>
          </w:p>
        </w:tc>
        <w:tc>
          <w:tcPr>
            <w:tcW w:type="dxa" w:w="616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The keystone. A central service that, given a school (and a parent), returns the effective package, pupil band, feature flags, integration limit, AI allowance, transport / analytics / automation levels and parent entitlements. Everything else — feature gating, the upgrade experience, parent-app inheritance, the AI entitlement rule — hangs off this.</w:t>
            </w:r>
          </w:p>
        </w:tc>
      </w:tr>
      <w:tr>
        <w:tc>
          <w:tcPr>
            <w:tcW w:type="dxa" w:w="3200"/>
            <w:shd w:fill="F4F7FB" w:color="auto" w:val="clear"/>
            <w:tcMar>
              <w:top w:type="dxa" w:w="54"/>
              <w:left w:type="dxa" w:w="100"/>
              <w:bottom w:type="dxa" w:w="54"/>
              <w:right w:type="dxa" w:w="100"/>
            </w:tcMar>
          </w:tcPr>
          <w:p>
            <w:pPr>
              <w:spacing w:after="0" w:line="250"/>
            </w:pPr>
            <w:r>
              <w:rPr>
                <w:b/>
                <w:bCs/>
                <w:color w:val="2E4A7B"/>
                <w:sz w:val="19"/>
                <w:szCs w:val="19"/>
              </w:rPr>
              <w:t xml:space="preserve">2 — Package model as specified (§1–5)</w:t>
            </w:r>
          </w:p>
        </w:tc>
        <w:tc>
          <w:tcPr>
            <w:tcW w:type="dxa" w:w="616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Introduce Connect / Plus / Complete with their feature sets and a “recommended” flag, and enforce their limits (integrations, AI allowance, transport level) through the entitlement engine.</w:t>
            </w:r>
          </w:p>
        </w:tc>
      </w:tr>
      <w:tr>
        <w:tc>
          <w:tcPr>
            <w:tcW w:type="dxa" w:w="3200"/>
            <w:shd w:fill="DCE5F2" w:color="auto" w:val="clear"/>
            <w:tcMar>
              <w:top w:type="dxa" w:w="54"/>
              <w:left w:type="dxa" w:w="100"/>
              <w:bottom w:type="dxa" w:w="54"/>
              <w:right w:type="dxa" w:w="100"/>
            </w:tcMar>
          </w:tcPr>
          <w:p>
            <w:pPr>
              <w:spacing w:after="0" w:line="250"/>
            </w:pPr>
            <w:r>
              <w:rPr>
                <w:b/>
                <w:bCs/>
                <w:color w:val="2E4A7B"/>
                <w:sz w:val="19"/>
                <w:szCs w:val="19"/>
              </w:rPr>
              <w:t xml:space="preserve">3 — Pupil-band pricing (§2)</w:t>
            </w:r>
          </w:p>
        </w:tc>
        <w:tc>
          <w:tcPr>
            <w:tcW w:type="dxa" w:w="616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A pricing-band model (Up to 150 … 1,500+, MAT/Custom) resolved from the school’s pupil count, replacing the per-pupil framing.</w:t>
            </w:r>
          </w:p>
        </w:tc>
      </w:tr>
      <w:tr>
        <w:tc>
          <w:tcPr>
            <w:tcW w:type="dxa" w:w="3200"/>
            <w:shd w:fill="F4F7FB" w:color="auto" w:val="clear"/>
            <w:tcMar>
              <w:top w:type="dxa" w:w="54"/>
              <w:left w:type="dxa" w:w="100"/>
              <w:bottom w:type="dxa" w:w="54"/>
              <w:right w:type="dxa" w:w="100"/>
            </w:tcMar>
          </w:tcPr>
          <w:p>
            <w:pPr>
              <w:spacing w:after="0" w:line="250"/>
            </w:pPr>
            <w:r>
              <w:rPr>
                <w:b/>
                <w:bCs/>
                <w:color w:val="2E4A7B"/>
                <w:sz w:val="19"/>
                <w:szCs w:val="19"/>
              </w:rPr>
              <w:t xml:space="preserve">4 — Stripe billing (§10)</w:t>
            </w:r>
          </w:p>
        </w:tc>
        <w:tc>
          <w:tcPr>
            <w:tcW w:type="dxa" w:w="616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Live Stripe checkout, invoicing, automatic renewal, failed-payment handling and cancellation for both school and parent subscriptions, driven by webhooks.</w:t>
            </w:r>
          </w:p>
        </w:tc>
      </w:tr>
      <w:tr>
        <w:tc>
          <w:tcPr>
            <w:tcW w:type="dxa" w:w="3200"/>
            <w:shd w:fill="DCE5F2" w:color="auto" w:val="clear"/>
            <w:tcMar>
              <w:top w:type="dxa" w:w="54"/>
              <w:left w:type="dxa" w:w="100"/>
              <w:bottom w:type="dxa" w:w="54"/>
              <w:right w:type="dxa" w:w="100"/>
            </w:tcMar>
          </w:tcPr>
          <w:p>
            <w:pPr>
              <w:spacing w:after="0" w:line="250"/>
            </w:pPr>
            <w:r>
              <w:rPr>
                <w:b/>
                <w:bCs/>
                <w:color w:val="2E4A7B"/>
                <w:sz w:val="19"/>
                <w:szCs w:val="19"/>
              </w:rPr>
              <w:t xml:space="preserve">5 — Parent-app entitlement inheritance &amp; AI gating (§6, §7, §13)</w:t>
            </w:r>
          </w:p>
        </w:tc>
        <w:tc>
          <w:tcPr>
            <w:tcW w:type="dxa" w:w="616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Map the school package to the parent experience, keep essentials always free, and gate the priced Parent AI behind its subscription and the school’s package.</w:t>
            </w:r>
          </w:p>
        </w:tc>
      </w:tr>
      <w:tr>
        <w:tc>
          <w:tcPr>
            <w:tcW w:type="dxa" w:w="3200"/>
            <w:shd w:fill="F4F7FB" w:color="auto" w:val="clear"/>
            <w:tcMar>
              <w:top w:type="dxa" w:w="54"/>
              <w:left w:type="dxa" w:w="100"/>
              <w:bottom w:type="dxa" w:w="54"/>
              <w:right w:type="dxa" w:w="100"/>
            </w:tcMar>
          </w:tcPr>
          <w:p>
            <w:pPr>
              <w:spacing w:after="0" w:line="250"/>
            </w:pPr>
            <w:r>
              <w:rPr>
                <w:b/>
                <w:bCs/>
                <w:color w:val="2E4A7B"/>
                <w:sz w:val="19"/>
                <w:szCs w:val="19"/>
              </w:rPr>
              <w:t xml:space="preserve">6 — Commercial configuration (§9, §18)</w:t>
            </w:r>
          </w:p>
        </w:tc>
        <w:tc>
          <w:tcPr>
            <w:tcW w:type="dxa" w:w="6160"/>
            <w:shd w:fill="F4F7FB" w:color="auto" w:val="clear"/>
            <w:tcMar>
              <w:top w:type="dxa" w:w="54"/>
              <w:left w:type="dxa" w:w="100"/>
              <w:bottom w:type="dxa" w:w="54"/>
              <w:right w:type="dxa" w:w="100"/>
            </w:tcMar>
          </w:tcPr>
          <w:p>
            <w:pPr>
              <w:spacing w:after="0" w:line="250"/>
            </w:pPr>
            <w:r>
              <w:rPr>
                <w:b w:val="false"/>
                <w:bCs w:val="false"/>
                <w:color w:val="1F2933"/>
                <w:sz w:val="19"/>
                <w:szCs w:val="19"/>
              </w:rPr>
              <w:t xml:space="preserve">Discount codes, promotional pricing, VAT/tax, multi-currency/region, trial-period configuration, MAT quotations and grandfathering.</w:t>
            </w:r>
          </w:p>
        </w:tc>
      </w:tr>
      <w:tr>
        <w:tc>
          <w:tcPr>
            <w:tcW w:type="dxa" w:w="3200"/>
            <w:shd w:fill="DCE5F2" w:color="auto" w:val="clear"/>
            <w:tcMar>
              <w:top w:type="dxa" w:w="54"/>
              <w:left w:type="dxa" w:w="100"/>
              <w:bottom w:type="dxa" w:w="54"/>
              <w:right w:type="dxa" w:w="100"/>
            </w:tcMar>
          </w:tcPr>
          <w:p>
            <w:pPr>
              <w:spacing w:after="0" w:line="250"/>
            </w:pPr>
            <w:r>
              <w:rPr>
                <w:b/>
                <w:bCs/>
                <w:color w:val="2E4A7B"/>
                <w:sz w:val="19"/>
                <w:szCs w:val="19"/>
              </w:rPr>
              <w:t xml:space="preserve">7 — Statuses, upgrade UX, audit depth (§12, §15, §16)</w:t>
            </w:r>
          </w:p>
        </w:tc>
        <w:tc>
          <w:tcPr>
            <w:tcW w:type="dxa" w:w="6160"/>
            <w:shd w:fill="FFFFFF" w:color="auto" w:val="clear"/>
            <w:tcMar>
              <w:top w:type="dxa" w:w="54"/>
              <w:left w:type="dxa" w:w="100"/>
              <w:bottom w:type="dxa" w:w="54"/>
              <w:right w:type="dxa" w:w="100"/>
            </w:tcMar>
          </w:tcPr>
          <w:p>
            <w:pPr>
              <w:spacing w:after="0" w:line="250"/>
            </w:pPr>
            <w:r>
              <w:rPr>
                <w:b w:val="false"/>
                <w:bCs w:val="false"/>
                <w:color w:val="1F2933"/>
                <w:sz w:val="19"/>
                <w:szCs w:val="19"/>
              </w:rPr>
              <w:t xml:space="preserve">Add Payment Pending / Grace Period / Expired with configurable grace handling; build the upgrade prompts; and extend subscription audit records to capture previous/new value, source and payment reference.</w:t>
            </w:r>
          </w:p>
        </w:tc>
      </w:tr>
    </w:tbl>
    <w:p>
      <w:pPr>
        <w:pStyle w:val="Heading1"/>
        <w:spacing w:after="120" w:before="240"/>
      </w:pPr>
      <w:r>
        <w:t xml:space="preserve">6. Recommendation</w:t>
      </w:r>
    </w:p>
    <w:p>
      <w:pPr>
        <w:spacing w:after="120" w:line="276"/>
      </w:pPr>
      <w:r>
        <w:rPr>
          <w:b w:val="false"/>
          <w:bCs w:val="false"/>
          <w:i w:val="false"/>
          <w:iCs w:val="false"/>
          <w:color w:val="1F2933"/>
          <w:sz w:val="21"/>
          <w:szCs w:val="21"/>
        </w:rPr>
        <w:t xml:space="preserve">Treat this as a distinct commercial-platform workstream rather than a set of tweaks. A pragmatic sequence that reuses what exists:</w:t>
      </w:r>
    </w:p>
    <w:p>
      <w:pPr>
        <w:pStyle w:val="ListParagraph"/>
        <w:numPr>
          <w:ilvl w:val="0"/>
          <w:numId w:val="2"/>
        </w:numPr>
        <w:spacing w:after="60" w:line="264"/>
      </w:pPr>
      <w:r>
        <w:rPr>
          <w:color w:val="1F2933"/>
          <w:sz w:val="21"/>
          <w:szCs w:val="21"/>
        </w:rPr>
        <w:t xml:space="preserve">Build the entitlement engine first (§11) as a single read-through service, and refactor feature checks to call it — starting with AI, transport and integrations, which are the levers the packages sell.</w:t>
      </w:r>
    </w:p>
    <w:p>
      <w:pPr>
        <w:pStyle w:val="ListParagraph"/>
        <w:numPr>
          <w:ilvl w:val="0"/>
          <w:numId w:val="2"/>
        </w:numPr>
        <w:spacing w:after="60" w:line="264"/>
      </w:pPr>
      <w:r>
        <w:rPr>
          <w:color w:val="1F2933"/>
          <w:sz w:val="21"/>
          <w:szCs w:val="21"/>
        </w:rPr>
        <w:t xml:space="preserve">Extend the Plan model to carry package-level entitlements (integration limit, transport level, analytics level, automation level, AI allowance) and pupil-band pricing; seed the Connect / Plus / Complete UK configuration and mark Plus recommended.</w:t>
      </w:r>
    </w:p>
    <w:p>
      <w:pPr>
        <w:pStyle w:val="ListParagraph"/>
        <w:numPr>
          <w:ilvl w:val="0"/>
          <w:numId w:val="2"/>
        </w:numPr>
        <w:spacing w:after="60" w:line="264"/>
      </w:pPr>
      <w:r>
        <w:rPr>
          <w:color w:val="1F2933"/>
          <w:sz w:val="21"/>
          <w:szCs w:val="21"/>
        </w:rPr>
        <w:t xml:space="preserve">Wire Stripe for real (checkout, webhooks, invoicing, renewal, dunning) for both school and parent subscriptions, keeping the existing “opaque references only” principle.</w:t>
      </w:r>
    </w:p>
    <w:p>
      <w:pPr>
        <w:pStyle w:val="ListParagraph"/>
        <w:numPr>
          <w:ilvl w:val="0"/>
          <w:numId w:val="2"/>
        </w:numPr>
        <w:spacing w:after="60" w:line="264"/>
      </w:pPr>
      <w:r>
        <w:rPr>
          <w:color w:val="1F2933"/>
          <w:sz w:val="21"/>
          <w:szCs w:val="21"/>
        </w:rPr>
        <w:t xml:space="preserve">Layer the parent-app inheritance, the upgrade experience and the parent-AI upsell on top of the entitlement engine, then add the discount / promo / VAT / multi-currency configuration and the remaining statuses and audit fields.</w:t>
      </w:r>
    </w:p>
    <w:p>
      <w:pPr>
        <w:spacing w:after="120" w:line="276"/>
      </w:pPr>
      <w:r>
        <w:rPr>
          <w:b w:val="false"/>
          <w:bCs w:val="false"/>
          <w:i/>
          <w:iCs/>
          <w:color w:val="5A6473"/>
          <w:sz w:val="20"/>
          <w:szCs w:val="20"/>
        </w:rPr>
        <w:t xml:space="preserve">Because the underlying features and the subscription scaffolding already exist, the work is primarily in the entitlement, packaging and billing layers rather than in building the sellable capabilities themselves.</w:t>
      </w:r>
    </w:p>
    <w:p>
      <w:pPr>
        <w:pBdr>
          <w:top w:val="single" w:color="2E4A7B" w:sz="6"/>
        </w:pBdr>
        <w:spacing w:before="220"/>
      </w:pPr>
    </w:p>
    <w:p>
      <w:pPr>
        <w:spacing w:after="120" w:line="276"/>
      </w:pPr>
      <w:r>
        <w:rPr>
          <w:b w:val="false"/>
          <w:bCs w:val="false"/>
          <w:i/>
          <w:iCs/>
          <w:color w:val="5A6473"/>
          <w:sz w:val="18"/>
          <w:szCs w:val="18"/>
        </w:rPr>
        <w:t xml:space="preserve">Validation performed by direct code inspection of the SIPlat repository on 14 August 2026. Status reflects the codebase as delivered to the client repository on that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3"/>
        <w:sz w:val="16"/>
        <w:szCs w:val="16"/>
      </w:rPr>
      <w:t xml:space="preserve">Page </w:t>
    </w:r>
    <w:r>
      <w:rPr>
        <w:color w:val="5A6473"/>
        <w:sz w:val="16"/>
        <w:szCs w:val="16"/>
      </w:rPr>
      <w:fldChar w:fldCharType="begin"/>
      <w:instrText xml:space="preserve">PAGE</w:instrText>
      <w:fldChar w:fldCharType="separate"/>
      <w:fldChar w:fldCharType="end"/>
    </w:r>
    <w:r>
      <w:rPr>
        <w:color w:val="5A6473"/>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3"/>
        <w:sz w:val="16"/>
        <w:szCs w:val="16"/>
      </w:rPr>
      <w:t xml:space="preserve">SIPlat — Subscription Requirements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Calibri" w:cs="Calibri" w:eastAsia="Calibri" w:hAnsi="Calibri"/>
      <w:b/>
      <w:bCs/>
      <w:color w:val="2E4A7B"/>
      <w:sz w:val="30"/>
      <w:szCs w:val="30"/>
    </w:rPr>
  </w:style>
  <w:style w:type="paragraph" w:styleId="Heading2">
    <w:name w:val="Heading 2"/>
    <w:basedOn w:val="Normal"/>
    <w:next w:val="Normal"/>
    <w:qFormat/>
    <w:pPr>
      <w:spacing w:after="100" w:before="200"/>
    </w:pPr>
    <w:rPr>
      <w:rFonts w:ascii="Calibri" w:cs="Calibri" w:eastAsia="Calibri" w:hAnsi="Calibri"/>
      <w:b/>
      <w:bCs/>
      <w:color w:val="2440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SIPlat — Subscription Requirements Validation</dc:title>
  <dc:creator>SIPlat Delivery</dc:creator>
  <dc:description>Validation &amp; gap analysis of the subscription/package management requirements</dc:description>
  <cp:lastModifiedBy>Un-named</cp:lastModifiedBy>
  <cp:revision>1</cp:revision>
  <dcterms:created xsi:type="dcterms:W3CDTF">2026-08-14T06:14:51.685Z</dcterms:created>
  <dcterms:modified xsi:type="dcterms:W3CDTF">2026-08-14T06:14:51.685Z</dcterms:modified>
</cp:coreProperties>
</file>

<file path=docProps/custom.xml><?xml version="1.0" encoding="utf-8"?>
<Properties xmlns="http://schemas.openxmlformats.org/officeDocument/2006/custom-properties" xmlns:vt="http://schemas.openxmlformats.org/officeDocument/2006/docPropsVTypes"/>
</file>