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93D3B" w14:textId="25CA3BA7" w:rsidR="006F2DCD" w:rsidRPr="00B37AB4" w:rsidRDefault="14D7863F" w:rsidP="14D7863F">
      <w:pPr>
        <w:rPr>
          <w:rFonts w:ascii="Arial" w:eastAsia="Arial" w:hAnsi="Arial" w:cs="Arial"/>
          <w:b/>
          <w:bCs/>
        </w:rPr>
      </w:pPr>
      <w:r w:rsidRPr="00B37AB4">
        <w:rPr>
          <w:rFonts w:ascii="Arial" w:eastAsia="Arial" w:hAnsi="Arial" w:cs="Arial"/>
          <w:b/>
          <w:bCs/>
        </w:rPr>
        <w:t xml:space="preserve">Recruitment and Retention Plan </w:t>
      </w:r>
    </w:p>
    <w:p w14:paraId="39B6D3F6" w14:textId="77777777" w:rsidR="00B37AB4" w:rsidRDefault="00B37AB4" w:rsidP="14D7863F">
      <w:pPr>
        <w:rPr>
          <w:rFonts w:ascii="Arial" w:hAnsi="Arial" w:cs="Arial"/>
          <w:color w:val="242424"/>
          <w:bdr w:val="none" w:sz="0" w:space="0" w:color="auto" w:frame="1"/>
          <w:shd w:val="clear" w:color="auto" w:fill="FFFFFF"/>
        </w:rPr>
      </w:pPr>
      <w:r>
        <w:rPr>
          <w:rFonts w:ascii="Arial" w:hAnsi="Arial" w:cs="Arial"/>
          <w:b/>
          <w:bCs/>
          <w:color w:val="242424"/>
          <w:bdr w:val="none" w:sz="0" w:space="0" w:color="auto" w:frame="1"/>
          <w:shd w:val="clear" w:color="auto" w:fill="FFFFFF"/>
        </w:rPr>
        <w:t>Recruitment sources</w:t>
      </w:r>
      <w:r>
        <w:rPr>
          <w:rFonts w:ascii="Arial" w:hAnsi="Arial" w:cs="Arial"/>
          <w:color w:val="242424"/>
          <w:bdr w:val="none" w:sz="0" w:space="0" w:color="auto" w:frame="1"/>
          <w:shd w:val="clear" w:color="auto" w:fill="FFFFFF"/>
        </w:rPr>
        <w:t>:</w:t>
      </w:r>
    </w:p>
    <w:p w14:paraId="711CA17D" w14:textId="35EE46D4" w:rsidR="00B37AB4" w:rsidRDefault="00B37AB4" w:rsidP="14D7863F">
      <w:pPr>
        <w:rPr>
          <w:rFonts w:ascii="Arial" w:hAnsi="Arial" w:cs="Arial"/>
          <w:color w:val="242424"/>
          <w:bdr w:val="none" w:sz="0" w:space="0" w:color="auto" w:frame="1"/>
          <w:shd w:val="clear" w:color="auto" w:fill="FFFFFF"/>
        </w:rPr>
      </w:pPr>
      <w:r>
        <w:rPr>
          <w:rFonts w:ascii="Arial" w:hAnsi="Arial" w:cs="Arial"/>
          <w:color w:val="242424"/>
          <w:u w:val="single"/>
          <w:bdr w:val="none" w:sz="0" w:space="0" w:color="auto" w:frame="1"/>
          <w:shd w:val="clear" w:color="auto" w:fill="FFFFFF"/>
        </w:rPr>
        <w:t>Recruitment of Subjects from the Meals on Wheels and Area Agency on Aging (AAA):</w:t>
      </w:r>
      <w:r>
        <w:rPr>
          <w:rFonts w:ascii="Arial" w:hAnsi="Arial" w:cs="Arial"/>
          <w:color w:val="242424"/>
          <w:bdr w:val="none" w:sz="0" w:space="0" w:color="auto" w:frame="1"/>
          <w:shd w:val="clear" w:color="auto" w:fill="FFFFFF"/>
        </w:rPr>
        <w:t> The previous I-CONECT study recruited subjects by distributing flyers to the Meals on Wheels program participants, collaborating with AAA.  A high proportion of these participants are expected to be home-bound (and therefore at risk of isolation). </w:t>
      </w:r>
    </w:p>
    <w:p w14:paraId="1643979A" w14:textId="77777777" w:rsidR="00B37AB4" w:rsidRDefault="00B37AB4" w:rsidP="14D7863F">
      <w:pPr>
        <w:rPr>
          <w:rFonts w:ascii="Arial" w:hAnsi="Arial" w:cs="Arial"/>
          <w:color w:val="242424"/>
          <w:bdr w:val="none" w:sz="0" w:space="0" w:color="auto" w:frame="1"/>
          <w:shd w:val="clear" w:color="auto" w:fill="FFFFFF"/>
        </w:rPr>
      </w:pPr>
      <w:r>
        <w:rPr>
          <w:rFonts w:ascii="Arial" w:hAnsi="Arial" w:cs="Arial"/>
          <w:color w:val="242424"/>
          <w:u w:val="single"/>
          <w:bdr w:val="none" w:sz="0" w:space="0" w:color="auto" w:frame="1"/>
          <w:shd w:val="clear" w:color="auto" w:fill="FFFFFF"/>
        </w:rPr>
        <w:t>Recruitment of Subjects through Advertising</w:t>
      </w:r>
      <w:r>
        <w:rPr>
          <w:rFonts w:ascii="Arial" w:hAnsi="Arial" w:cs="Arial"/>
          <w:color w:val="242424"/>
          <w:bdr w:val="none" w:sz="0" w:space="0" w:color="auto" w:frame="1"/>
          <w:shd w:val="clear" w:color="auto" w:fill="FFFFFF"/>
        </w:rPr>
        <w:t>: Advertisement flyers will be posted on bulletin boards around MGB* to advertise the study, and an advertisement will be posted on Partners Rally for Research, a list of volunteers interested in research to be conducted at MGB and requested to be contacted. A phone number will be provided that will ring directly to the research coordinator/recruiter, and voice messages can be left for the coordinator on a password-protected voicemail. The study coordinator will contact the subject and explain the study in further detail, and if the subject is interested, potentially complete a telephone prescreening. A listing of the study will also be posted on internal websites. Subjects may also be recruited through the distribution of IRB-approved recruitment materials at community outreach initiatives, including informational sessions to various community partners such as city-based and nonprofit organizations. </w:t>
      </w:r>
    </w:p>
    <w:p w14:paraId="54F00FD7" w14:textId="77777777" w:rsidR="00B37AB4" w:rsidRDefault="00B37AB4" w:rsidP="14D7863F">
      <w:pPr>
        <w:rPr>
          <w:rFonts w:ascii="Arial" w:hAnsi="Arial" w:cs="Arial"/>
          <w:color w:val="242424"/>
          <w:bdr w:val="none" w:sz="0" w:space="0" w:color="auto" w:frame="1"/>
          <w:shd w:val="clear" w:color="auto" w:fill="FFFFFF"/>
        </w:rPr>
      </w:pPr>
      <w:r>
        <w:rPr>
          <w:rFonts w:ascii="Arial" w:hAnsi="Arial" w:cs="Arial"/>
          <w:color w:val="242424"/>
          <w:u w:val="single"/>
          <w:bdr w:val="none" w:sz="0" w:space="0" w:color="auto" w:frame="1"/>
          <w:shd w:val="clear" w:color="auto" w:fill="FFFFFF"/>
        </w:rPr>
        <w:t>Recruitment of Subjects from the Massachusetts Alzheimer’s Disease Research Center</w:t>
      </w:r>
      <w:r>
        <w:rPr>
          <w:rFonts w:ascii="Arial" w:hAnsi="Arial" w:cs="Arial"/>
          <w:color w:val="242424"/>
          <w:bdr w:val="none" w:sz="0" w:space="0" w:color="auto" w:frame="1"/>
          <w:shd w:val="clear" w:color="auto" w:fill="FFFFFF"/>
        </w:rPr>
        <w:t>: Subjects will also be recruited from an observational study that follows a longitudinal research cohort (LC) of approximately 400 active research participants in the Massachusetts Alzheimer's Disease Research Center (MADRC) recruited from the MGB’s Memory Disorders Unit clinic and other diverse sources. LC subjects are followed-up on an approximately annual basis, either in-person at the MGB or by means of a telephone follow-up ‘visit’. Study staff will only contact subjects who have indicated to the MADRC that they are interested in hearing about/participating in other studies. </w:t>
      </w:r>
    </w:p>
    <w:p w14:paraId="48E41B3B" w14:textId="1D832603" w:rsidR="00B37AB4" w:rsidRDefault="00B37AB4" w:rsidP="14D7863F">
      <w:pPr>
        <w:rPr>
          <w:rFonts w:ascii="Arial" w:hAnsi="Arial" w:cs="Arial"/>
          <w:color w:val="242424"/>
          <w:bdr w:val="none" w:sz="0" w:space="0" w:color="auto" w:frame="1"/>
          <w:shd w:val="clear" w:color="auto" w:fill="FFFFFF"/>
        </w:rPr>
      </w:pPr>
      <w:r>
        <w:rPr>
          <w:rFonts w:ascii="Arial" w:hAnsi="Arial" w:cs="Arial"/>
          <w:color w:val="242424"/>
          <w:u w:val="single"/>
          <w:bdr w:val="none" w:sz="0" w:space="0" w:color="auto" w:frame="1"/>
          <w:shd w:val="clear" w:color="auto" w:fill="FFFFFF"/>
        </w:rPr>
        <w:t>Recruitment of Subjects from among MGB Providers:</w:t>
      </w:r>
      <w:r>
        <w:rPr>
          <w:rFonts w:ascii="Arial" w:hAnsi="Arial" w:cs="Arial"/>
          <w:color w:val="242424"/>
          <w:bdr w:val="none" w:sz="0" w:space="0" w:color="auto" w:frame="1"/>
          <w:shd w:val="clear" w:color="auto" w:fill="FFFFFF"/>
        </w:rPr>
        <w:t xml:space="preserve"> Subjects will be recruited from the outpatient clinical practices of a co-investigator (Dr. Steven Arnold) and a significant contributor (Dr. </w:t>
      </w:r>
      <w:r w:rsidR="00A15648">
        <w:rPr>
          <w:rFonts w:ascii="Arial" w:hAnsi="Arial" w:cs="Arial"/>
          <w:color w:val="242424"/>
          <w:bdr w:val="none" w:sz="0" w:space="0" w:color="auto" w:frame="1"/>
          <w:shd w:val="clear" w:color="auto" w:fill="FFFFFF"/>
        </w:rPr>
        <w:t xml:space="preserve">Bradford </w:t>
      </w:r>
      <w:r>
        <w:rPr>
          <w:rFonts w:ascii="Arial" w:hAnsi="Arial" w:cs="Arial"/>
          <w:color w:val="242424"/>
          <w:bdr w:val="none" w:sz="0" w:space="0" w:color="auto" w:frame="1"/>
          <w:shd w:val="clear" w:color="auto" w:fill="FFFFFF"/>
        </w:rPr>
        <w:t>Dickerson). If the potential subject is the investigators’ patient, another member of the study or clinic staff will introduce the study to the patient and determine if they are interested in learning more about the study. An NP investigator and/or research coordinator will be made available to explain the study to the subject at their request. Other providers across MGB will also be made aware of the study (including key eligibility criteria) via an IRB-approved email and a link to the Rally ad. These providers (not participating directly in the study) may discuss the study directly with their patients, if they choose to do so. If the prospective participant is interested, their provider will provide them with a link to the Rally ad, which contains the research coordinator’s contact information.  </w:t>
      </w:r>
    </w:p>
    <w:p w14:paraId="77E2D52C" w14:textId="189C8D44" w:rsidR="0024000E" w:rsidRDefault="00B37AB4" w:rsidP="14D7863F">
      <w:pPr>
        <w:rPr>
          <w:rFonts w:ascii="Arial" w:eastAsia="Arial" w:hAnsi="Arial" w:cs="Arial"/>
        </w:rPr>
      </w:pPr>
      <w:r>
        <w:rPr>
          <w:rFonts w:ascii="Arial" w:hAnsi="Arial" w:cs="Arial"/>
          <w:color w:val="242424"/>
          <w:u w:val="single"/>
          <w:bdr w:val="none" w:sz="0" w:space="0" w:color="auto" w:frame="1"/>
          <w:shd w:val="clear" w:color="auto" w:fill="FFFFFF"/>
        </w:rPr>
        <w:t>Recruitment of Subjects from the CTRU Registry</w:t>
      </w:r>
      <w:r>
        <w:rPr>
          <w:rFonts w:ascii="Arial" w:hAnsi="Arial" w:cs="Arial"/>
          <w:color w:val="242424"/>
          <w:bdr w:val="none" w:sz="0" w:space="0" w:color="auto" w:frame="1"/>
          <w:shd w:val="clear" w:color="auto" w:fill="FFFFFF"/>
        </w:rPr>
        <w:t xml:space="preserve">: A research volunteer registry (P2021000916) was established in 2021 to maintain a list of people interested in participating in clinical research with the MGB Clinical and Translational Research Unit (CTRU). The goal of the CTRU is to serve the clinical and research departments, institutes, centers, programs and labs that comprise the MGB Neuroscience community and to be a foundational component and research core facility within MGB’s emerging translational programs. Eligible participants who have consented to be contacted for future research may be identified using data stored within the volunteer registry. These participants will be contacted by phone or email and evaluated for </w:t>
      </w:r>
      <w:r>
        <w:rPr>
          <w:rFonts w:ascii="Arial" w:hAnsi="Arial" w:cs="Arial"/>
          <w:color w:val="242424"/>
          <w:bdr w:val="none" w:sz="0" w:space="0" w:color="auto" w:frame="1"/>
          <w:shd w:val="clear" w:color="auto" w:fill="FFFFFF"/>
        </w:rPr>
        <w:lastRenderedPageBreak/>
        <w:t>interest and eligibility using the study-specific phone screen.  </w:t>
      </w:r>
      <w:r>
        <w:rPr>
          <w:rFonts w:ascii="Arial" w:hAnsi="Arial" w:cs="Arial"/>
          <w:b/>
          <w:bCs/>
          <w:color w:val="242424"/>
          <w:sz w:val="18"/>
          <w:szCs w:val="18"/>
          <w:bdr w:val="none" w:sz="0" w:space="0" w:color="auto" w:frame="1"/>
          <w:shd w:val="clear" w:color="auto" w:fill="FFFFFF"/>
        </w:rPr>
        <w:t xml:space="preserve">*: Massachusetts General Hospital (MGH) was merged with Brigham and Women's Hospital in </w:t>
      </w:r>
      <w:proofErr w:type="gramStart"/>
      <w:r>
        <w:rPr>
          <w:rFonts w:ascii="Arial" w:hAnsi="Arial" w:cs="Arial"/>
          <w:b/>
          <w:bCs/>
          <w:color w:val="242424"/>
          <w:sz w:val="18"/>
          <w:szCs w:val="18"/>
          <w:bdr w:val="none" w:sz="0" w:space="0" w:color="auto" w:frame="1"/>
          <w:shd w:val="clear" w:color="auto" w:fill="FFFFFF"/>
        </w:rPr>
        <w:t>2023</w:t>
      </w:r>
      <w:proofErr w:type="gramEnd"/>
      <w:r>
        <w:rPr>
          <w:rFonts w:ascii="Arial" w:hAnsi="Arial" w:cs="Arial"/>
          <w:b/>
          <w:bCs/>
          <w:color w:val="242424"/>
          <w:sz w:val="18"/>
          <w:szCs w:val="18"/>
          <w:bdr w:val="none" w:sz="0" w:space="0" w:color="auto" w:frame="1"/>
          <w:shd w:val="clear" w:color="auto" w:fill="FFFFFF"/>
        </w:rPr>
        <w:t xml:space="preserve"> and it is now MGB (Mass General Brigham). However, the hospital is still called MGH.  We will use MGB to capture a wider hospital system and MGH to specify the hospital where PIs’ offices are located.</w:t>
      </w:r>
      <w:r>
        <w:rPr>
          <w:rFonts w:ascii="Arial" w:hAnsi="Arial" w:cs="Arial"/>
          <w:color w:val="242424"/>
          <w:bdr w:val="none" w:sz="0" w:space="0" w:color="auto" w:frame="1"/>
          <w:shd w:val="clear" w:color="auto" w:fill="FFFFFF"/>
        </w:rPr>
        <w:t> </w:t>
      </w:r>
    </w:p>
    <w:p w14:paraId="22E9172B" w14:textId="05786B5E" w:rsidR="00AE51DC" w:rsidRPr="00E63A91" w:rsidRDefault="14D7863F" w:rsidP="14D7863F">
      <w:pPr>
        <w:autoSpaceDE w:val="0"/>
        <w:autoSpaceDN w:val="0"/>
        <w:adjustRightInd w:val="0"/>
        <w:spacing w:after="0" w:line="240" w:lineRule="auto"/>
        <w:rPr>
          <w:rFonts w:ascii="Segoe UI" w:eastAsia="Segoe UI" w:hAnsi="Segoe UI" w:cs="Segoe UI"/>
          <w:color w:val="000000" w:themeColor="text1"/>
        </w:rPr>
      </w:pPr>
      <w:r w:rsidRPr="14D7863F">
        <w:rPr>
          <w:rFonts w:ascii="Arial" w:eastAsia="Arial" w:hAnsi="Arial" w:cs="Arial"/>
          <w:u w:val="single"/>
        </w:rPr>
        <w:t>Retention:</w:t>
      </w:r>
      <w:r w:rsidRPr="14D7863F">
        <w:rPr>
          <w:rFonts w:ascii="Arial" w:eastAsia="Arial" w:hAnsi="Arial" w:cs="Arial"/>
        </w:rPr>
        <w:t xml:space="preserve">  </w:t>
      </w:r>
      <w:r w:rsidRPr="14D7863F">
        <w:rPr>
          <w:rFonts w:ascii="Arial" w:eastAsia="Arial" w:hAnsi="Arial" w:cs="Arial"/>
          <w:color w:val="000000" w:themeColor="text1"/>
        </w:rPr>
        <w:t xml:space="preserve"> </w:t>
      </w:r>
      <w:r w:rsidR="00A15648" w:rsidRPr="00FF4100">
        <w:rPr>
          <w:rFonts w:ascii="Arial" w:hAnsi="Arial" w:cs="Arial"/>
        </w:rPr>
        <w:t xml:space="preserve">The proposed study aims to recruit, enroll, and retain a hard-to-reach, multiracial sample of socially isolated individuals aged 75 and older with mild cognitive impairment. </w:t>
      </w:r>
      <w:r w:rsidRPr="14D7863F">
        <w:rPr>
          <w:rFonts w:ascii="Arial" w:eastAsia="Arial" w:hAnsi="Arial" w:cs="Arial"/>
          <w:color w:val="000000" w:themeColor="text1"/>
        </w:rPr>
        <w:t xml:space="preserve"> Retention will start at recruitment with a clear explanation of the goals of the project, collection of multiple contact routes (home phone, cell, email, address), and development of trust through the engagement of consistent research staff. </w:t>
      </w:r>
      <w:r w:rsidR="00374F6E" w:rsidRPr="00374F6E">
        <w:rPr>
          <w:rFonts w:ascii="Arial" w:eastAsia="Arial" w:hAnsi="Arial" w:cs="Arial"/>
          <w:color w:val="000000" w:themeColor="text1"/>
        </w:rPr>
        <w:t xml:space="preserve">Utilizing trained study coordinators to conduct the intervention and interviews will create opportunities for the older participants to engage in conversation and benefit from video-chat interactions, likely increasing their willingness to participate and complete the study. To improve adherence, we will </w:t>
      </w:r>
      <w:r w:rsidR="00374F6E">
        <w:rPr>
          <w:rFonts w:ascii="Arial" w:eastAsia="Arial" w:hAnsi="Arial" w:cs="Arial"/>
          <w:color w:val="000000" w:themeColor="text1"/>
        </w:rPr>
        <w:t>use</w:t>
      </w:r>
      <w:r w:rsidR="00374F6E" w:rsidRPr="00374F6E">
        <w:rPr>
          <w:rFonts w:ascii="Arial" w:eastAsia="Arial" w:hAnsi="Arial" w:cs="Arial"/>
          <w:color w:val="000000" w:themeColor="text1"/>
        </w:rPr>
        <w:t xml:space="preserve"> a waiting control approach, where the control group will have the opportunity to participate in the intervention after six months. This strategy will further ensure adherence</w:t>
      </w:r>
      <w:r w:rsidR="00AE51DC">
        <w:br/>
      </w:r>
    </w:p>
    <w:p w14:paraId="5BAF8FF6" w14:textId="5418E76E" w:rsidR="0024000E" w:rsidRPr="0024000E" w:rsidRDefault="0024000E" w:rsidP="0024000E"/>
    <w:sectPr w:rsidR="0024000E" w:rsidRPr="002400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2"/>
  <w:hideSpellingErrors/>
  <w:hideGrammaticalErrors/>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00E"/>
    <w:rsid w:val="00184423"/>
    <w:rsid w:val="0024000E"/>
    <w:rsid w:val="00365BB1"/>
    <w:rsid w:val="003708C6"/>
    <w:rsid w:val="00374F6E"/>
    <w:rsid w:val="006F2DCD"/>
    <w:rsid w:val="00716157"/>
    <w:rsid w:val="00781C42"/>
    <w:rsid w:val="00A15648"/>
    <w:rsid w:val="00AE51DC"/>
    <w:rsid w:val="00AF248F"/>
    <w:rsid w:val="00B37AB4"/>
    <w:rsid w:val="00E42072"/>
    <w:rsid w:val="00E63A91"/>
    <w:rsid w:val="00EB3A83"/>
    <w:rsid w:val="14D7863F"/>
    <w:rsid w:val="4F2E979C"/>
    <w:rsid w:val="605BEA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96117"/>
  <w15:chartTrackingRefBased/>
  <w15:docId w15:val="{74FEA8B7-5F01-4498-A734-C61BEA942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A15648"/>
    <w:pPr>
      <w:spacing w:after="0" w:line="240" w:lineRule="auto"/>
    </w:pPr>
  </w:style>
  <w:style w:type="character" w:styleId="CommentReference">
    <w:name w:val="annotation reference"/>
    <w:basedOn w:val="DefaultParagraphFont"/>
    <w:uiPriority w:val="99"/>
    <w:semiHidden/>
    <w:unhideWhenUsed/>
    <w:rsid w:val="00A15648"/>
    <w:rPr>
      <w:sz w:val="16"/>
      <w:szCs w:val="16"/>
    </w:rPr>
  </w:style>
  <w:style w:type="paragraph" w:styleId="CommentText">
    <w:name w:val="annotation text"/>
    <w:basedOn w:val="Normal"/>
    <w:link w:val="CommentTextChar"/>
    <w:uiPriority w:val="99"/>
    <w:semiHidden/>
    <w:unhideWhenUsed/>
    <w:rsid w:val="00A15648"/>
    <w:pPr>
      <w:spacing w:line="240" w:lineRule="auto"/>
    </w:pPr>
    <w:rPr>
      <w:sz w:val="20"/>
      <w:szCs w:val="20"/>
    </w:rPr>
  </w:style>
  <w:style w:type="character" w:customStyle="1" w:styleId="CommentTextChar">
    <w:name w:val="Comment Text Char"/>
    <w:basedOn w:val="DefaultParagraphFont"/>
    <w:link w:val="CommentText"/>
    <w:uiPriority w:val="99"/>
    <w:semiHidden/>
    <w:rsid w:val="00A15648"/>
    <w:rPr>
      <w:sz w:val="20"/>
      <w:szCs w:val="20"/>
    </w:rPr>
  </w:style>
  <w:style w:type="paragraph" w:styleId="CommentSubject">
    <w:name w:val="annotation subject"/>
    <w:basedOn w:val="CommentText"/>
    <w:next w:val="CommentText"/>
    <w:link w:val="CommentSubjectChar"/>
    <w:uiPriority w:val="99"/>
    <w:semiHidden/>
    <w:unhideWhenUsed/>
    <w:rsid w:val="00A15648"/>
    <w:rPr>
      <w:b/>
      <w:bCs/>
    </w:rPr>
  </w:style>
  <w:style w:type="character" w:customStyle="1" w:styleId="CommentSubjectChar">
    <w:name w:val="Comment Subject Char"/>
    <w:basedOn w:val="CommentTextChar"/>
    <w:link w:val="CommentSubject"/>
    <w:uiPriority w:val="99"/>
    <w:semiHidden/>
    <w:rsid w:val="00A1564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8262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751</Words>
  <Characters>4286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 Cathrine</dc:creator>
  <cp:keywords/>
  <dc:description/>
  <cp:lastModifiedBy>Dodge, Hiroko Hayama</cp:lastModifiedBy>
  <cp:revision>2</cp:revision>
  <dcterms:created xsi:type="dcterms:W3CDTF">2025-02-25T14:13:00Z</dcterms:created>
  <dcterms:modified xsi:type="dcterms:W3CDTF">2025-02-25T14:13:00Z</dcterms:modified>
</cp:coreProperties>
</file>