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5B3DF5"/>
          <w:sz w:val="17"/>
          <w:szCs w:val="17"/>
        </w:rPr>
        <w:t xml:space="preserve">FRANCHISE PARTNERSHIP PROPOSAL</w:t>
      </w:r>
    </w:p>
    <w:p>
      <w:pPr>
        <w:spacing w:after="50"/>
        <w:jc w:val="center"/>
      </w:pPr>
      <w:r>
        <w:rPr>
          <w:rFonts w:ascii="맑은 고딕" w:cs="맑은 고딕" w:eastAsia="맑은 고딕" w:hAnsi="맑은 고딕"/>
          <w:b/>
          <w:bCs/>
          <w:color w:val="2A1B6E"/>
          <w:sz w:val="38"/>
          <w:szCs w:val="38"/>
        </w:rPr>
        <w:t xml:space="preserve">가맹영업 파트너십 제안서</w:t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러너펍(RUNNER PUB) 홀덤 라운지 가맹 출점 영업 대행</w:t>
      </w:r>
    </w:p>
    <w:tbl>
      <w:tblPr>
        <w:tblW w:type="dxa" w:w="9360"/>
        <w:jc w:val="center"/>
        <w:tblBorders>
          <w:top w:val="single" w:color="D9D3F0" w:sz="4"/>
          <w:left w:val="single" w:color="D9D3F0" w:sz="4"/>
          <w:bottom w:val="single" w:color="D9D3F0" w:sz="4"/>
          <w:right w:val="single" w:color="D9D3F0" w:sz="4"/>
          <w:insideH w:val="single" w:color="D9D3F0" w:sz="4"/>
          <w:insideV w:val="single" w:color="D9D3F0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3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1B6E"/>
                <w:sz w:val="19"/>
                <w:szCs w:val="19"/>
              </w:rPr>
              <w:t xml:space="preserve">수신</w:t>
            </w:r>
          </w:p>
        </w:tc>
        <w:tc>
          <w:tcPr>
            <w:tcW w:type="dxa" w:w="3120"/>
            <w:shd w:fill="F3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1B6E"/>
                <w:sz w:val="19"/>
                <w:szCs w:val="19"/>
              </w:rPr>
              <w:t xml:space="preserve">발신</w:t>
            </w:r>
          </w:p>
        </w:tc>
        <w:tc>
          <w:tcPr>
            <w:tcW w:type="dxa" w:w="3120"/>
            <w:shd w:fill="F3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1B6E"/>
                <w:sz w:val="19"/>
                <w:szCs w:val="19"/>
              </w:rPr>
              <w:t xml:space="preserve">작성일</w:t>
            </w:r>
          </w:p>
        </w:tc>
      </w:tr>
      <w:tr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러너스튜디오(주) 귀하</w:t>
            </w:r>
          </w:p>
        </w:tc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내일사장</w:t>
            </w:r>
          </w:p>
        </w:tc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2026. 07</w:t>
            </w:r>
          </w:p>
        </w:tc>
      </w:tr>
    </w:tbl>
    <w:p>
      <w:pPr>
        <w:spacing w:after="60"/>
      </w:pPr>
    </w:p>
    <w:p>
      <w:pPr>
        <w:keepNext/>
        <w:spacing w:after="140" w:before="340" w:line="300"/>
      </w:pPr>
      <w:r>
        <w:rPr>
          <w:rFonts w:ascii="맑은 고딕" w:cs="맑은 고딕" w:eastAsia="맑은 고딕" w:hAnsi="맑은 고딕"/>
          <w:b/>
          <w:bCs/>
          <w:color w:val="2A1B6E"/>
          <w:sz w:val="22"/>
          <w:szCs w:val="22"/>
        </w:rPr>
        <w:t xml:space="preserve">제1조</w:t>
      </w:r>
      <w:r>
        <w:rPr>
          <w:rFonts w:ascii="맑은 고딕" w:cs="맑은 고딕" w:eastAsia="맑은 고딕" w:hAnsi="맑은 고딕"/>
          <w:b/>
          <w:bCs/>
          <w:color w:val="5B3DF5"/>
          <w:sz w:val="22"/>
          <w:szCs w:val="22"/>
        </w:rPr>
        <w:t xml:space="preserve">  (목적)</w:t>
      </w:r>
    </w:p>
    <w:p>
      <w:pPr>
        <w:spacing w:after="100" w:before="0" w:line="320"/>
        <w:ind w:left="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본 제안은 내일사장이 러너펍(러너스튜디오㈜, 이하 "본사"라 한다)의 브랜드 가맹 개설 영업을 외부 전문 조직으로서 대행함에 있어 그 업무의 범위와 대가·정산 조건을 정함을 목적으로 하며, 실제 가맹계약이 체결된 건에 대하여만 대가가 발생하는 100% 성과형(성공보수) 구조를 기본으로 한다.</w:t>
      </w:r>
    </w:p>
    <w:tbl>
      <w:tblPr>
        <w:tblW w:type="dxa" w:w="9360"/>
        <w:jc w:val="center"/>
        <w:tblBorders>
          <w:top w:val="single" w:color="D9D3F0" w:sz="4"/>
          <w:left w:val="single" w:color="D9D3F0" w:sz="4"/>
          <w:bottom w:val="single" w:color="D9D3F0" w:sz="4"/>
          <w:right w:val="single" w:color="D9D3F0" w:sz="4"/>
          <w:insideH w:val="single" w:color="D9D3F0" w:sz="4"/>
          <w:insideV w:val="single" w:color="D9D3F0" w:sz="4"/>
        </w:tblBorders>
      </w:tblPr>
      <w:tblGrid>
        <w:gridCol w:w="2200"/>
        <w:gridCol w:w="7160"/>
      </w:tblGrid>
      <w:tr>
        <w:tc>
          <w:tcPr>
            <w:tcW w:type="dxa" w:w="2200"/>
            <w:shd w:fill="F3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1B6E"/>
                <w:sz w:val="19"/>
                <w:szCs w:val="19"/>
              </w:rPr>
              <w:t xml:space="preserve">성공보수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가맹계약 체결 건당 일금 일천만원정 (₩10,000,000 / 부가가치세 별도)</w:t>
            </w:r>
          </w:p>
        </w:tc>
      </w:tr>
      <w:tr>
        <w:tc>
          <w:tcPr>
            <w:tcW w:type="dxa" w:w="2200"/>
            <w:shd w:fill="F3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1B6E"/>
                <w:sz w:val="19"/>
                <w:szCs w:val="19"/>
              </w:rPr>
              <w:t xml:space="preserve">고정비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착수금·월 고정비·광고비 등 일체 없음 (계약 성사 건에 한하여 정산)</w:t>
            </w:r>
          </w:p>
        </w:tc>
      </w:tr>
    </w:tbl>
    <w:p>
      <w:pPr>
        <w:keepNext/>
        <w:spacing w:after="140" w:before="340" w:line="300"/>
      </w:pPr>
      <w:r>
        <w:rPr>
          <w:rFonts w:ascii="맑은 고딕" w:cs="맑은 고딕" w:eastAsia="맑은 고딕" w:hAnsi="맑은 고딕"/>
          <w:b/>
          <w:bCs/>
          <w:color w:val="2A1B6E"/>
          <w:sz w:val="22"/>
          <w:szCs w:val="22"/>
        </w:rPr>
        <w:t xml:space="preserve">제2조</w:t>
      </w:r>
      <w:r>
        <w:rPr>
          <w:rFonts w:ascii="맑은 고딕" w:cs="맑은 고딕" w:eastAsia="맑은 고딕" w:hAnsi="맑은 고딕"/>
          <w:b/>
          <w:bCs/>
          <w:color w:val="5B3DF5"/>
          <w:sz w:val="22"/>
          <w:szCs w:val="22"/>
        </w:rPr>
        <w:t xml:space="preserve">  (업무의 범위)</w:t>
      </w:r>
    </w:p>
    <w:p>
      <w:pPr>
        <w:spacing w:after="100" w:before="0" w:line="320"/>
        <w:ind w:left="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내일사장이 본사를 위하여 수행하는 가맹영업대행 업무의 범위는 다음 각 호와 같다.</w:t>
      </w:r>
    </w:p>
    <w:tbl>
      <w:tblPr>
        <w:tblW w:type="dxa" w:w="9360"/>
        <w:jc w:val="center"/>
        <w:tblBorders>
          <w:top w:val="single" w:color="D9D3F0" w:sz="4"/>
          <w:left w:val="single" w:color="D9D3F0" w:sz="4"/>
          <w:bottom w:val="single" w:color="D9D3F0" w:sz="4"/>
          <w:right w:val="single" w:color="D9D3F0" w:sz="4"/>
          <w:insideH w:val="single" w:color="D9D3F0" w:sz="4"/>
          <w:insideV w:val="single" w:color="D9D3F0" w:sz="4"/>
        </w:tblBorders>
      </w:tblPr>
      <w:tblGrid>
        <w:gridCol w:w="1200"/>
        <w:gridCol w:w="8160"/>
      </w:tblGrid>
      <w:tr>
        <w:tc>
          <w:tcPr>
            <w:tcW w:type="dxa" w:w="1200"/>
            <w:shd w:fill="2A1B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8160"/>
            <w:shd w:fill="2A1B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업무 내용</w:t>
            </w:r>
          </w:p>
        </w:tc>
      </w:tr>
      <w:t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B3DF5"/>
                <w:sz w:val="19"/>
                <w:szCs w:val="19"/>
              </w:rPr>
              <w:t xml:space="preserve">1</w:t>
            </w:r>
          </w:p>
        </w:tc>
        <w:tc>
          <w:tcPr>
            <w:tcW w:type="dxa" w:w="8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본사 가맹문의 인바운드 상담 및 응대·관리</w:t>
            </w:r>
          </w:p>
        </w:tc>
      </w:tr>
      <w:t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B3DF5"/>
                <w:sz w:val="19"/>
                <w:szCs w:val="19"/>
              </w:rPr>
              <w:t xml:space="preserve">2</w:t>
            </w:r>
          </w:p>
        </w:tc>
        <w:tc>
          <w:tcPr>
            <w:tcW w:type="dxa" w:w="8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가맹 창업 상담, 브리핑 및 계약 전환 관리</w:t>
            </w:r>
          </w:p>
        </w:tc>
      </w:tr>
      <w:t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B3DF5"/>
                <w:sz w:val="19"/>
                <w:szCs w:val="19"/>
              </w:rPr>
              <w:t xml:space="preserve">3</w:t>
            </w:r>
          </w:p>
        </w:tc>
        <w:tc>
          <w:tcPr>
            <w:tcW w:type="dxa" w:w="8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가맹영업팀 운영 및 가맹 영업활동 수행 (신규 창업 + 기존 홀덤펍 리브랜딩 2트랙)</w:t>
            </w:r>
          </w:p>
        </w:tc>
      </w:tr>
      <w:t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B3DF5"/>
                <w:sz w:val="19"/>
                <w:szCs w:val="19"/>
              </w:rPr>
              <w:t xml:space="preserve">4</w:t>
            </w:r>
          </w:p>
        </w:tc>
        <w:tc>
          <w:tcPr>
            <w:tcW w:type="dxa" w:w="8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예비창업자 리드(DB) 확보를 위한 가맹 창업마케팅</w:t>
            </w:r>
          </w:p>
        </w:tc>
      </w:tr>
      <w:t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B3DF5"/>
                <w:sz w:val="19"/>
                <w:szCs w:val="19"/>
              </w:rPr>
              <w:t xml:space="preserve">5</w:t>
            </w:r>
          </w:p>
        </w:tc>
        <w:tc>
          <w:tcPr>
            <w:tcW w:type="dxa" w:w="8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가맹점 계약 주선 및 가맹계약 체결 진행</w:t>
            </w:r>
          </w:p>
        </w:tc>
      </w:tr>
      <w:t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B3DF5"/>
                <w:sz w:val="19"/>
                <w:szCs w:val="19"/>
              </w:rPr>
              <w:t xml:space="preserve">6</w:t>
            </w:r>
          </w:p>
        </w:tc>
        <w:tc>
          <w:tcPr>
            <w:tcW w:type="dxa" w:w="8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가맹점 점포개발 업무 (상권조사, 입지선정, 부동산 정보 제공 등)</w:t>
            </w:r>
          </w:p>
        </w:tc>
      </w:tr>
    </w:tbl>
    <w:p>
      <w:pPr>
        <w:keepNext/>
        <w:spacing w:after="140" w:before="340" w:line="300"/>
      </w:pPr>
      <w:r>
        <w:rPr>
          <w:rFonts w:ascii="맑은 고딕" w:cs="맑은 고딕" w:eastAsia="맑은 고딕" w:hAnsi="맑은 고딕"/>
          <w:b/>
          <w:bCs/>
          <w:color w:val="2A1B6E"/>
          <w:sz w:val="22"/>
          <w:szCs w:val="22"/>
        </w:rPr>
        <w:t xml:space="preserve">제3조</w:t>
      </w:r>
      <w:r>
        <w:rPr>
          <w:rFonts w:ascii="맑은 고딕" w:cs="맑은 고딕" w:eastAsia="맑은 고딕" w:hAnsi="맑은 고딕"/>
          <w:b/>
          <w:bCs/>
          <w:color w:val="5B3DF5"/>
          <w:sz w:val="22"/>
          <w:szCs w:val="22"/>
        </w:rPr>
        <w:t xml:space="preserve">  (용역대가 및 지급)</w:t>
      </w:r>
    </w:p>
    <w:tbl>
      <w:tblPr>
        <w:tblW w:type="dxa" w:w="9360"/>
        <w:jc w:val="center"/>
        <w:tblBorders>
          <w:top w:val="single" w:color="D9D3F0" w:sz="4"/>
          <w:left w:val="single" w:color="D9D3F0" w:sz="4"/>
          <w:bottom w:val="single" w:color="D9D3F0" w:sz="4"/>
          <w:right w:val="single" w:color="D9D3F0" w:sz="4"/>
          <w:insideH w:val="single" w:color="D9D3F0" w:sz="4"/>
          <w:insideV w:val="single" w:color="D9D3F0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shd w:fill="2A1B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800"/>
            <w:shd w:fill="2A1B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정산 기준</w:t>
            </w:r>
          </w:p>
        </w:tc>
        <w:tc>
          <w:tcPr>
            <w:tcW w:type="dxa" w:w="3960"/>
            <w:shd w:fill="2A1B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수수료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성공보수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가맹계약 체결 건당 정액</w:t>
            </w:r>
          </w:p>
        </w:tc>
        <w:tc>
          <w:tcPr>
            <w:tcW w:type="dxa" w:w="3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B3DF5"/>
                <w:sz w:val="19"/>
                <w:szCs w:val="19"/>
              </w:rPr>
              <w:t xml:space="preserve">건당 1,000만원 (부가가치세 별도)</w:t>
            </w:r>
          </w:p>
        </w:tc>
      </w:tr>
    </w:tbl>
    <w:p>
      <w:pPr>
        <w:spacing w:after="40"/>
      </w:pPr>
    </w:p>
    <w:p>
      <w:pPr>
        <w:spacing w:after="100" w:line="320"/>
        <w:ind w:left="340" w:hanging="340"/>
        <w:jc w:val="both"/>
      </w:pPr>
      <w:r>
        <w:rPr>
          <w:rFonts w:ascii="맑은 고딕" w:cs="맑은 고딕" w:eastAsia="맑은 고딕" w:hAnsi="맑은 고딕"/>
          <w:b/>
          <w:bCs/>
          <w:color w:val="2A1B6E"/>
          <w:sz w:val="20"/>
          <w:szCs w:val="20"/>
        </w:rPr>
        <w:t xml:space="preserve">① 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위 성공보수는 가맹계약 1건당 내일사장에게 지급되는 것으로서, 내일사장의 영업활동으로 가맹점 계약이 성사된 경우에 한하여 발생한다.</w:t>
      </w:r>
    </w:p>
    <w:p>
      <w:pPr>
        <w:spacing w:after="100" w:line="320"/>
        <w:ind w:left="340" w:hanging="340"/>
        <w:jc w:val="both"/>
      </w:pPr>
      <w:r>
        <w:rPr>
          <w:rFonts w:ascii="맑은 고딕" w:cs="맑은 고딕" w:eastAsia="맑은 고딕" w:hAnsi="맑은 고딕"/>
          <w:b/>
          <w:bCs/>
          <w:color w:val="2A1B6E"/>
          <w:sz w:val="20"/>
          <w:szCs w:val="20"/>
        </w:rPr>
        <w:t xml:space="preserve">② 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용역대가는 해당 가맹계약의 체결 및 가맹비 입금이 완료된 날부터 [   ]일 이내에 내일사장이 지정하는 계좌로 지급한다.</w:t>
      </w:r>
    </w:p>
    <w:p>
      <w:pPr>
        <w:keepNext/>
        <w:spacing w:after="140" w:before="340" w:line="300"/>
      </w:pPr>
      <w:r>
        <w:rPr>
          <w:rFonts w:ascii="맑은 고딕" w:cs="맑은 고딕" w:eastAsia="맑은 고딕" w:hAnsi="맑은 고딕"/>
          <w:b/>
          <w:bCs/>
          <w:color w:val="2A1B6E"/>
          <w:sz w:val="22"/>
          <w:szCs w:val="22"/>
        </w:rPr>
        <w:t xml:space="preserve">제4조</w:t>
      </w:r>
      <w:r>
        <w:rPr>
          <w:rFonts w:ascii="맑은 고딕" w:cs="맑은 고딕" w:eastAsia="맑은 고딕" w:hAnsi="맑은 고딕"/>
          <w:b/>
          <w:bCs/>
          <w:color w:val="5B3DF5"/>
          <w:sz w:val="22"/>
          <w:szCs w:val="22"/>
        </w:rPr>
        <w:t xml:space="preserve">  (수수료 조정 및 매장 광고비(LSM) 집행)</w:t>
      </w:r>
    </w:p>
    <w:p>
      <w:pPr>
        <w:spacing w:after="100" w:line="320"/>
        <w:ind w:left="340" w:hanging="340"/>
        <w:jc w:val="both"/>
      </w:pPr>
      <w:r>
        <w:rPr>
          <w:rFonts w:ascii="맑은 고딕" w:cs="맑은 고딕" w:eastAsia="맑은 고딕" w:hAnsi="맑은 고딕"/>
          <w:b/>
          <w:bCs/>
          <w:color w:val="2A1B6E"/>
          <w:sz w:val="20"/>
          <w:szCs w:val="20"/>
        </w:rPr>
        <w:t xml:space="preserve">① 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(조정 부담의 주체)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예비창업자의 요청 등으로 창업비용 또는 계약조건에 대한 할인·조정(이하 "네고"라 한다)이 발생하는 경우, 그로 인한 할인액은 전액 내일사장의 성공보수 몫에서 차감하며, 본사가 수취하는 금액 및 조건에는 영향을 미치지 아니한다.</w:t>
      </w:r>
    </w:p>
    <w:p>
      <w:pPr>
        <w:spacing w:after="100" w:line="320"/>
        <w:ind w:left="340" w:hanging="340"/>
        <w:jc w:val="both"/>
      </w:pPr>
      <w:r>
        <w:rPr>
          <w:rFonts w:ascii="맑은 고딕" w:cs="맑은 고딕" w:eastAsia="맑은 고딕" w:hAnsi="맑은 고딕"/>
          <w:b/>
          <w:bCs/>
          <w:color w:val="2A1B6E"/>
          <w:sz w:val="20"/>
          <w:szCs w:val="20"/>
        </w:rPr>
        <w:t xml:space="preserve">② 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(LSM 광고비 집행)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계약 매장(지점)의 LSM(Local Store Marketing, 지역 매장 마케팅) 광고 집행의 주체 및 분담은 내일사장이 실제 수취하는 성공보수의 규모에 따라 다음 표와 같이 정한다.</w:t>
      </w:r>
    </w:p>
    <w:p>
      <w:pPr>
        <w:spacing w:after="40"/>
        <w:ind w:left="340"/>
      </w:pPr>
    </w:p>
    <w:tbl>
      <w:tblPr>
        <w:tblW w:type="dxa" w:w="9360"/>
        <w:jc w:val="center"/>
        <w:tblBorders>
          <w:top w:val="single" w:color="D9D3F0" w:sz="4"/>
          <w:left w:val="single" w:color="D9D3F0" w:sz="4"/>
          <w:bottom w:val="single" w:color="D9D3F0" w:sz="4"/>
          <w:right w:val="single" w:color="D9D3F0" w:sz="4"/>
          <w:insideH w:val="single" w:color="D9D3F0" w:sz="4"/>
          <w:insideV w:val="single" w:color="D9D3F0" w:sz="4"/>
        </w:tblBorders>
      </w:tblPr>
      <w:tblGrid>
        <w:gridCol w:w="3400"/>
        <w:gridCol w:w="2000"/>
        <w:gridCol w:w="3960"/>
      </w:tblGrid>
      <w:tr>
        <w:tc>
          <w:tcPr>
            <w:tcW w:type="dxa" w:w="3400"/>
            <w:shd w:fill="2A1B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내일사장 수취 성공보수</w:t>
            </w:r>
          </w:p>
        </w:tc>
        <w:tc>
          <w:tcPr>
            <w:tcW w:type="dxa" w:w="2000"/>
            <w:shd w:fill="2A1B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LSM 광고 집행</w:t>
            </w:r>
          </w:p>
        </w:tc>
        <w:tc>
          <w:tcPr>
            <w:tcW w:type="dxa" w:w="3960"/>
            <w:shd w:fill="2A1B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세부 기준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1,000만원 전액 수취 시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B3DF5"/>
                <w:sz w:val="19"/>
                <w:szCs w:val="19"/>
              </w:rPr>
              <w:t xml:space="preserve">내일사장</w:t>
            </w:r>
          </w:p>
        </w:tc>
        <w:tc>
          <w:tcPr>
            <w:tcW w:type="dxa" w:w="3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성공보수 중 200만원을 해당 매장의 LSM 광고비로 집행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800만원 이하 (네고 반영 시)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B3DF5"/>
                <w:sz w:val="19"/>
                <w:szCs w:val="19"/>
              </w:rPr>
              <w:t xml:space="preserve">본사</w:t>
            </w:r>
          </w:p>
        </w:tc>
        <w:tc>
          <w:tcPr>
            <w:tcW w:type="dxa" w:w="3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본사가 해당 매장의 LSM 광고를 부담·집행</w:t>
            </w:r>
          </w:p>
        </w:tc>
      </w:tr>
    </w:tbl>
    <w:p>
      <w:pPr>
        <w:spacing w:after="40"/>
      </w:pPr>
    </w:p>
    <w:p>
      <w:pPr>
        <w:spacing w:after="100" w:line="320"/>
        <w:ind w:left="340" w:hanging="340"/>
        <w:jc w:val="both"/>
      </w:pPr>
      <w:r>
        <w:rPr>
          <w:rFonts w:ascii="맑은 고딕" w:cs="맑은 고딕" w:eastAsia="맑은 고딕" w:hAnsi="맑은 고딕"/>
          <w:b/>
          <w:bCs/>
          <w:color w:val="2A1B6E"/>
          <w:sz w:val="20"/>
          <w:szCs w:val="20"/>
        </w:rPr>
        <w:t xml:space="preserve">③ 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(중간 구간)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내일사장이 수취하는 성공보수가 800만원을 초과하고 1,000만원 미만인 경우, 해당 매장의 LSM 광고 집행 주체 및 분담 비율은 양사가 협의하여 정한다.</w:t>
      </w:r>
    </w:p>
    <w:p>
      <w:pPr>
        <w:spacing w:after="100" w:line="320"/>
        <w:ind w:left="340" w:hanging="340"/>
        <w:jc w:val="both"/>
      </w:pPr>
      <w:r>
        <w:rPr>
          <w:rFonts w:ascii="맑은 고딕" w:cs="맑은 고딕" w:eastAsia="맑은 고딕" w:hAnsi="맑은 고딕"/>
          <w:b/>
          <w:bCs/>
          <w:color w:val="2A1B6E"/>
          <w:sz w:val="20"/>
          <w:szCs w:val="20"/>
        </w:rPr>
        <w:t xml:space="preserve">④ 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(집행 내역의 공유)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본 조에 따른 LSM 광고는 해당 매장의 오픈 프로모션 및 지역 상권 홍보를 목적으로 하며, 광고를 집행한 당사자는 그 집행 내역을 상대방에게 공유한다.</w:t>
      </w:r>
    </w:p>
    <w:p>
      <w:pPr>
        <w:keepNext/>
        <w:spacing w:after="140" w:before="340" w:line="300"/>
      </w:pPr>
      <w:r>
        <w:rPr>
          <w:rFonts w:ascii="맑은 고딕" w:cs="맑은 고딕" w:eastAsia="맑은 고딕" w:hAnsi="맑은 고딕"/>
          <w:b/>
          <w:bCs/>
          <w:color w:val="2A1B6E"/>
          <w:sz w:val="22"/>
          <w:szCs w:val="22"/>
        </w:rPr>
        <w:t xml:space="preserve">제5조</w:t>
      </w:r>
      <w:r>
        <w:rPr>
          <w:rFonts w:ascii="맑은 고딕" w:cs="맑은 고딕" w:eastAsia="맑은 고딕" w:hAnsi="맑은 고딕"/>
          <w:b/>
          <w:bCs/>
          <w:color w:val="5B3DF5"/>
          <w:sz w:val="22"/>
          <w:szCs w:val="22"/>
        </w:rPr>
        <w:t xml:space="preserve">  (인테리어 시공 및 추가 수익)</w:t>
      </w:r>
    </w:p>
    <w:p>
      <w:pPr>
        <w:spacing w:after="100" w:line="320"/>
        <w:ind w:left="340" w:hanging="340"/>
        <w:jc w:val="both"/>
      </w:pPr>
      <w:r>
        <w:rPr>
          <w:rFonts w:ascii="맑은 고딕" w:cs="맑은 고딕" w:eastAsia="맑은 고딕" w:hAnsi="맑은 고딕"/>
          <w:b/>
          <w:bCs/>
          <w:color w:val="2A1B6E"/>
          <w:sz w:val="20"/>
          <w:szCs w:val="20"/>
        </w:rPr>
        <w:t xml:space="preserve">① 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(인테리어 시공)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계약 매장의 인테리어 시공은 내일사장이 진행할 수 있다.</w:t>
      </w:r>
    </w:p>
    <w:p>
      <w:pPr>
        <w:spacing w:after="100" w:line="320"/>
        <w:ind w:left="340" w:hanging="340"/>
        <w:jc w:val="both"/>
      </w:pPr>
      <w:r>
        <w:rPr>
          <w:rFonts w:ascii="맑은 고딕" w:cs="맑은 고딕" w:eastAsia="맑은 고딕" w:hAnsi="맑은 고딕"/>
          <w:b/>
          <w:bCs/>
          <w:color w:val="2A1B6E"/>
          <w:sz w:val="20"/>
          <w:szCs w:val="20"/>
        </w:rPr>
        <w:t xml:space="preserve">② 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(추가 수익의 분배)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인테리어 시공 및 그 밖에 가맹 개설 과정에서 발생하는 추가 수익(가맹비, 교육비, 장비 등 개설이익금 명목을 포함한다)의 분배는 양사가 별도 협의하여 정한다.</w:t>
      </w:r>
    </w:p>
    <w:p>
      <w:pPr>
        <w:keepNext/>
        <w:spacing w:after="140" w:before="340" w:line="300"/>
      </w:pPr>
      <w:r>
        <w:rPr>
          <w:rFonts w:ascii="맑은 고딕" w:cs="맑은 고딕" w:eastAsia="맑은 고딕" w:hAnsi="맑은 고딕"/>
          <w:b/>
          <w:bCs/>
          <w:color w:val="2A1B6E"/>
          <w:sz w:val="22"/>
          <w:szCs w:val="22"/>
        </w:rPr>
        <w:t xml:space="preserve">제6조</w:t>
      </w:r>
      <w:r>
        <w:rPr>
          <w:rFonts w:ascii="맑은 고딕" w:cs="맑은 고딕" w:eastAsia="맑은 고딕" w:hAnsi="맑은 고딕"/>
          <w:b/>
          <w:bCs/>
          <w:color w:val="5B3DF5"/>
          <w:sz w:val="22"/>
          <w:szCs w:val="22"/>
        </w:rPr>
        <w:t xml:space="preserve">  (정산 및 운영 기준)</w:t>
      </w:r>
    </w:p>
    <w:p>
      <w:pPr>
        <w:spacing w:after="100" w:before="0" w:line="320"/>
        <w:ind w:left="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정산 및 운영에 관한 세부 기준은 다음과 같으며, 세부 사항은 양사가 협의하여 정한다.</w:t>
      </w:r>
    </w:p>
    <w:tbl>
      <w:tblPr>
        <w:tblW w:type="dxa" w:w="9360"/>
        <w:jc w:val="center"/>
        <w:tblBorders>
          <w:top w:val="single" w:color="D9D3F0" w:sz="4"/>
          <w:left w:val="single" w:color="D9D3F0" w:sz="4"/>
          <w:bottom w:val="single" w:color="D9D3F0" w:sz="4"/>
          <w:right w:val="single" w:color="D9D3F0" w:sz="4"/>
          <w:insideH w:val="single" w:color="D9D3F0" w:sz="4"/>
          <w:insideV w:val="single" w:color="D9D3F0" w:sz="4"/>
        </w:tblBorders>
      </w:tblPr>
      <w:tblGrid>
        <w:gridCol w:w="2400"/>
        <w:gridCol w:w="6960"/>
      </w:tblGrid>
      <w:tr>
        <w:tc>
          <w:tcPr>
            <w:tcW w:type="dxa" w:w="2400"/>
            <w:shd w:fill="2A1B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shd w:fill="2A1B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기준(안)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정산 시점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가맹계약 체결 및 본사 수금 완료 후 영업일 기준으로 정산한다.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리드 인정 기준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리드 최초 유입 경로 기록으로 내일사장 모객 건을 확정하며, 중복 리드는 등록 시점을 기준으로 처리한다.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최소 계약 기간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최소 6개월 약정을 기본으로 한다. 영업 성과는 일정 기간 운영 후 나타나므로, 안정적 출점을 위하여 최소 운영 기간을 둔다.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영업 자료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본사 승인 자료(브랜드 소개서·창업비용표)만을 사용하며, 준법 영업 가이드를 준수한다.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중도 해지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1개월 전 사전 서면 통보 후 정산하며, 진행 중인 건은 클로징까지 유효하다.</w:t>
            </w:r>
          </w:p>
        </w:tc>
      </w:tr>
    </w:tbl>
    <w:p>
      <w:pPr>
        <w:keepNext/>
        <w:spacing w:after="140" w:before="340" w:line="300"/>
      </w:pPr>
      <w:r>
        <w:rPr>
          <w:rFonts w:ascii="맑은 고딕" w:cs="맑은 고딕" w:eastAsia="맑은 고딕" w:hAnsi="맑은 고딕"/>
          <w:b/>
          <w:bCs/>
          <w:color w:val="2A1B6E"/>
          <w:sz w:val="22"/>
          <w:szCs w:val="22"/>
        </w:rPr>
        <w:t xml:space="preserve">제7조</w:t>
      </w:r>
      <w:r>
        <w:rPr>
          <w:rFonts w:ascii="맑은 고딕" w:cs="맑은 고딕" w:eastAsia="맑은 고딕" w:hAnsi="맑은 고딕"/>
          <w:b/>
          <w:bCs/>
          <w:color w:val="5B3DF5"/>
          <w:sz w:val="22"/>
          <w:szCs w:val="22"/>
        </w:rPr>
        <w:t xml:space="preserve">  (진행 절차)</w:t>
      </w:r>
    </w:p>
    <w:p>
      <w:pPr>
        <w:spacing w:after="120" w:before="80" w:line="320"/>
        <w:jc w:val="center"/>
      </w:pPr>
      <w:r>
        <w:rPr>
          <w:rFonts w:ascii="맑은 고딕" w:cs="맑은 고딕" w:eastAsia="맑은 고딕" w:hAnsi="맑은 고딕"/>
          <w:b/>
          <w:bCs/>
          <w:color w:val="2A1B6E"/>
          <w:sz w:val="20"/>
          <w:szCs w:val="20"/>
        </w:rPr>
        <w:t xml:space="preserve">① 협의 (조건·범위 논의)      ② 조건 확정 (수수료·정산 약정)      ③ 계약 (업무제휴 협약 체결)      ④ 가동 (모객·영업 개시)</w:t>
      </w:r>
    </w:p>
    <w:p>
      <w:pPr>
        <w:keepNext/>
        <w:spacing w:after="140" w:before="340" w:line="300"/>
      </w:pPr>
      <w:r>
        <w:rPr>
          <w:rFonts w:ascii="맑은 고딕" w:cs="맑은 고딕" w:eastAsia="맑은 고딕" w:hAnsi="맑은 고딕"/>
          <w:b/>
          <w:bCs/>
          <w:color w:val="2A1B6E"/>
          <w:sz w:val="22"/>
          <w:szCs w:val="22"/>
        </w:rPr>
        <w:t xml:space="preserve">제8조</w:t>
      </w:r>
      <w:r>
        <w:rPr>
          <w:rFonts w:ascii="맑은 고딕" w:cs="맑은 고딕" w:eastAsia="맑은 고딕" w:hAnsi="맑은 고딕"/>
          <w:b/>
          <w:bCs/>
          <w:color w:val="5B3DF5"/>
          <w:sz w:val="22"/>
          <w:szCs w:val="22"/>
        </w:rPr>
        <w:t xml:space="preserve">  (효력 및 기타)</w:t>
      </w:r>
    </w:p>
    <w:p>
      <w:pPr>
        <w:spacing w:after="100" w:line="320"/>
        <w:ind w:left="340" w:hanging="340"/>
        <w:jc w:val="both"/>
      </w:pPr>
      <w:r>
        <w:rPr>
          <w:rFonts w:ascii="맑은 고딕" w:cs="맑은 고딕" w:eastAsia="맑은 고딕" w:hAnsi="맑은 고딕"/>
          <w:b/>
          <w:bCs/>
          <w:color w:val="2A1B6E"/>
          <w:sz w:val="20"/>
          <w:szCs w:val="20"/>
        </w:rPr>
        <w:t xml:space="preserve">① 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본 제안의 각 조항에 대하여 양 당사자가 상호 합의하는 경우, 아래와 같이 서명·날인함으로써 그 효력이 발생한다.</w:t>
      </w:r>
    </w:p>
    <w:p>
      <w:pPr>
        <w:spacing w:after="100" w:line="320"/>
        <w:ind w:left="340" w:hanging="340"/>
        <w:jc w:val="both"/>
      </w:pPr>
      <w:r>
        <w:rPr>
          <w:rFonts w:ascii="맑은 고딕" w:cs="맑은 고딕" w:eastAsia="맑은 고딕" w:hAnsi="맑은 고딕"/>
          <w:b/>
          <w:bCs/>
          <w:color w:val="2A1B6E"/>
          <w:sz w:val="20"/>
          <w:szCs w:val="20"/>
        </w:rPr>
        <w:t xml:space="preserve">② 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본 제안서에 명시되지 아니한 사항은 관계 법령 및 일반 상관례에 따르며, 해석상 이견이 있는 경우 양 당사자가 신의성실의 원칙에 따라 협의하여 정한다.</w:t>
      </w:r>
    </w:p>
    <w:p>
      <w:pPr>
        <w:spacing w:after="260" w:before="360"/>
        <w:jc w:val="center"/>
      </w:pPr>
      <w:r>
        <w:rPr>
          <w:rFonts w:ascii="맑은 고딕" w:cs="맑은 고딕" w:eastAsia="맑은 고딕" w:hAnsi="맑은 고딕"/>
          <w:b/>
          <w:bCs/>
          <w:color w:val="2A1B6E"/>
          <w:sz w:val="21"/>
          <w:szCs w:val="21"/>
        </w:rPr>
        <w:t xml:space="preserve">2026년          월          일</w:t>
      </w:r>
    </w:p>
    <w:tbl>
      <w:tblPr>
        <w:tblW w:type="dxa" w:w="936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140"/>
              <w:bottom w:type="dxa" w:w="120"/>
              <w:right w:type="dxa" w:w="240"/>
            </w:tcMar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b/>
                <w:bCs/>
                <w:color w:val="2A1B6E"/>
                <w:sz w:val="21"/>
                <w:szCs w:val="21"/>
              </w:rPr>
              <w:t xml:space="preserve">「본       사」</w:t>
            </w:r>
          </w:p>
          <w:p>
            <w:pPr>
              <w:spacing w:after="14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    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러너스튜디오 주식회사</w:t>
            </w:r>
          </w:p>
          <w:p>
            <w:pPr>
              <w:spacing w:after="14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소 재 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</w:t>
            </w:r>
          </w:p>
          <w:p>
            <w:pPr>
              <w:spacing w:after="14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 표 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(인)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140"/>
              <w:bottom w:type="dxa" w:w="120"/>
              <w:right w:type="dxa" w:w="240"/>
            </w:tcMar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b/>
                <w:bCs/>
                <w:color w:val="2A1B6E"/>
                <w:sz w:val="21"/>
                <w:szCs w:val="21"/>
              </w:rPr>
              <w:t xml:space="preserve">「영업대행사」</w:t>
            </w:r>
          </w:p>
          <w:p>
            <w:pPr>
              <w:spacing w:after="14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    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내  일  사  장</w:t>
            </w:r>
          </w:p>
          <w:p>
            <w:pPr>
              <w:spacing w:after="14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소 재 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</w:t>
            </w:r>
          </w:p>
          <w:p>
            <w:pPr>
              <w:spacing w:after="14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 표 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(인)</w:t>
            </w:r>
          </w:p>
        </w:tc>
      </w:tr>
    </w:tbl>
    <w:p>
      <w:pPr>
        <w:pBdr>
          <w:top w:val="single" w:color="5B3DF5" w:sz="8"/>
        </w:pBdr>
        <w:spacing w:after="60" w:before="400"/>
        <w:jc w:val="center"/>
      </w:pPr>
      <w:r>
        <w:rPr>
          <w:rFonts w:ascii="맑은 고딕" w:cs="맑은 고딕" w:eastAsia="맑은 고딕" w:hAnsi="맑은 고딕"/>
          <w:b/>
          <w:bCs/>
          <w:color w:val="2A1B6E"/>
          <w:sz w:val="20"/>
          <w:szCs w:val="20"/>
        </w:rPr>
        <w:t xml:space="preserve">내일사장  |  점포 개발 · 가맹 영업 · 모객 전문</w:t>
      </w:r>
    </w:p>
    <w:p>
      <w:pPr>
        <w:spacing w:after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본 제안의 모든 조건은 협의를 통하여 최종 확정된다. · 2026. 07</w:t>
      </w:r>
    </w:p>
    <w:sectPr>
      <w:pgSz w:w="11906" w:h="16838" w:orient="portrait"/>
      <w:pgMar w:top="1120" w:right="1200" w:bottom="112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2026-07-21T06:07:52.947Z</dcterms:created>
  <dcterms:modified xsi:type="dcterms:W3CDTF">2026-07-21T06:07:52.947Z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