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5BE89F16">
      <w:pPr>
        <w:rPr>
          <w:sz w:val="20"/>
          <w:szCs w:val="20"/>
        </w:rPr>
        <w:jc w:val="center"/>
      </w:pPr>
      <w:r>
        <w:rPr/>
        <w:drawing>
          <wp:inline distT="0" distB="0" distL="0" distR="0">
            <wp:extent cx="705376" cy="701991"/>
            <wp:effectExtent b="0" l="0" r="0" t="0"/>
            <wp:wrapNone/>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4"/>
                    <a:srcRect/>
                    <a:stretch>
                      <a:fillRect/>
                    </a:stretch>
                  </pic:blipFill>
                  <pic:spPr bwMode="auto">
                    <a:xfrm rot="0">
                      <a:off x="0" y="0"/>
                      <a:ext cx="705376" cy="701991"/>
                    </a:xfrm>
                    <a:prstGeom prst="rect">
                      <a:avLst/>
                    </a:prstGeom>
                  </pic:spPr>
                </pic:pic>
              </a:graphicData>
            </a:graphic>
          </wp:inline>
        </w:drawing>
      </w:r>
    </w:p>
    <w:p w14:paraId="15E9A8B7">
      <w:pPr>
        <w:rPr>
          <w:sz w:val="20"/>
          <w:szCs w:val="20"/>
        </w:rPr>
        <w:jc w:val="both"/>
      </w:pPr>
      <w:r>
        <w:rPr>
          <w:sz w:val="20"/>
          <w:szCs w:val="20"/>
        </w:rPr>
        <w:t xml:space="preserve">Email addresses are a ubiquitous part of modern communication. They are used to send and receive messages, share files, and sign up for online services. Email addresses consist of two main parts: a local part, which identifies the user, and a domain part, which identifies the email service provider. In this essay, we will explore the different types of email addresses and their uses.</w:t>
      </w:r>
    </w:p>
    <w:p w14:paraId="7A127CBA">
      <w:pPr>
        <w:rPr>
          <w:sz w:val="20"/>
          <w:szCs w:val="20"/>
        </w:rPr>
        <w:jc w:val="both"/>
      </w:pPr>
      <w:r>
        <w:rPr>
          <w:sz w:val="20"/>
          <w:szCs w:val="20"/>
        </w:rPr>
        <w:t xml:space="preserve">The first type of email address is the personal email address. These are typically used for personal communication between friends and family members. Examples of personal email addresses include [REDACTED:0Ri9c4MCjnQs4zeUV0], [REDACTED:DoNYfOwFlUZlb6jESxM39N], and [REDACTED:adx6koz4tC0xE9iP038]. Personal email addresses often include the user's name or a variation of it, along with the domain name of a popular email service provider.</w:t>
      </w:r>
    </w:p>
    <w:p w14:paraId="09587D45">
      <w:pPr>
        <w:rPr>
          <w:sz w:val="20"/>
          <w:szCs w:val="20"/>
        </w:rPr>
        <w:jc w:val="both"/>
      </w:pPr>
      <w:r>
        <w:rPr>
          <w:sz w:val="20"/>
          <w:szCs w:val="20"/>
          <w:highlight w:val="yellow"/>
        </w:rPr>
        <w:t xml:space="preserve">The second type of email address is the professional email address. These are used by individuals for work-related communication and are typically provided by an employer. Examples of professional email addresses include [REDACTED:gC511tFOddwWzwaRZ], [REDACTED:7Oc5KxP9irJEB08qvqqYZV], and [REDACTED:jqQm5wmHHfrXQXLTvnu5SA]. Professional email addresses often include the user's name and the domain name of the organization they work for.</w:t>
      </w:r>
    </w:p>
    <w:p w14:paraId="4D20FD43">
      <w:pPr>
        <w:rPr>
          <w:sz w:val="20"/>
          <w:szCs w:val="20"/>
          <w:color w:val="FF0000"/>
        </w:rPr>
        <w:jc w:val="both"/>
      </w:pPr>
      <w:r>
        <w:rPr>
          <w:sz w:val="20"/>
          <w:szCs w:val="20"/>
          <w:color w:val="FF0000"/>
        </w:rPr>
        <w:t xml:space="preserve">The third type of email address is the temporary or disposable email address. These are used to sign up for online services or newsletters without revealing a personal or professional email address. Examples of temporary email addresses include [REDACTED:TtMRMY0oH8iP2JstuOUMIhr4cmc], [REDACTED:LeDBLrSDCcjovAScHsGSPv3zMC7], and [REDACTED:JaXlAUJrcCtPqVrQPObwFGg74E]. Temporary email addresses often include a random or temporary identifier, along with the domain name of a disposable email service provider.</w:t>
      </w:r>
    </w:p>
    <w:p w14:paraId="5A81914C">
      <w:pPr>
        <w:rPr>
          <w:sz w:val="20"/>
          <w:szCs w:val="20"/>
          <w:color w:val="5B9BD5"/>
          <w:b/>
          <w:bCs/>
        </w:rPr>
        <w:jc w:val="both"/>
      </w:pPr>
      <w:r>
        <w:rPr>
          <w:sz w:val="20"/>
          <w:szCs w:val="20"/>
          <w:color w:val="5B9BD5"/>
          <w:b/>
          <w:bCs/>
        </w:rPr>
        <w:t xml:space="preserve">In conclusion, email addresses are a vital part of modern communication, and there are various types of email addresses used for different purposes. Personal email addresses are used for personal communication between friends and family members, professional email addresses are used for work-related communication, and temporary email addresses are used for signing up for online services or newsletters. Understanding the different types of email addresses and their uses can help individuals choose the appropriate email address for their specific needs.</w:t>
      </w:r>
    </w:p>
    <w:p w14:paraId="6044BF19">
      <w:pPr>
        <w:rPr>
          <w:sz w:val="20"/>
          <w:szCs w:val="20"/>
          <w:color w:val="5B9BD5"/>
          <w:b/>
          <w:bCs/>
        </w:rPr>
        <w:jc w:val="center"/>
      </w:pPr>
      <w:r>
        <w:rPr/>
        <w:drawing>
          <wp:inline distT="0" distB="0" distL="0" distR="0">
            <wp:extent cx="679639" cy="679639"/>
            <wp:effectExtent b="0" l="0" r="0" t="0"/>
            <wp:wrapNone/>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4"/>
                    <a:srcRect/>
                    <a:stretch>
                      <a:fillRect/>
                    </a:stretch>
                  </pic:blipFill>
                  <pic:spPr bwMode="auto">
                    <a:xfrm rot="0">
                      <a:off x="0" y="0"/>
                      <a:ext cx="679639" cy="679639"/>
                    </a:xfrm>
                    <a:prstGeom prst="rect">
                      <a:avLst/>
                    </a:prstGeom>
                  </pic:spPr>
                </pic:pic>
              </a:graphicData>
            </a:graphic>
          </wp:inline>
        </w:drawing>
      </w:r>
    </w:p>
    <w:p w14:paraId="259E85B3">
      <w:pPr>
        <w:rPr>
          <w:sz w:val="20"/>
          <w:szCs w:val="20"/>
        </w:rPr>
      </w:pPr>
      <w:r>
        <w:rPr>
          <w:sz w:val="20"/>
          <w:szCs w:val="20"/>
        </w:rPr>
        <w:t xml:space="preserve">Singapore phone numbers follow a specific pattern, with an eight-digit format and a prefix indicating the type of number. The country code for Singapore is +65, which is followed by the prefix, then the eight-digit phone number. In this essay, we will explore the different types of Singapore phone numbers and provide examples of each.</w:t>
      </w:r>
    </w:p>
    <w:p w14:paraId="23353F78">
      <w:pPr>
        <w:rPr>
          <w:sz w:val="20"/>
          <w:szCs w:val="20"/>
        </w:rPr>
      </w:pPr>
      <w:r>
        <w:rPr>
          <w:sz w:val="20"/>
          <w:szCs w:val="20"/>
        </w:rPr>
        <w:t xml:space="preserve">The most common type of Singapore phone number is the mobile number, which begins with either 8 or 9. For example, [REDACTED:mJC75IGvlon6] or [REDACTED:9vhvlw2T4Bpx] are </w:t>
      </w:r>
      <w:r>
        <w:rPr>
          <w:sz w:val="20"/>
          <w:szCs w:val="20"/>
        </w:rPr>
        <w:t xml:space="preserve">both valid</w:t>
      </w:r>
      <w:r>
        <w:rPr>
          <w:sz w:val="20"/>
          <w:szCs w:val="20"/>
        </w:rPr>
        <w:t xml:space="preserve"> Singapore mobile phone numbers. Mobile numbers can be used with both prepaid and </w:t>
      </w:r>
      <w:r>
        <w:rPr>
          <w:sz w:val="20"/>
          <w:szCs w:val="20"/>
        </w:rPr>
        <w:t xml:space="preserve">postpaid</w:t>
      </w:r>
      <w:r>
        <w:rPr>
          <w:sz w:val="20"/>
          <w:szCs w:val="20"/>
        </w:rPr>
        <w:t xml:space="preserve"> plans and are typically associated with individual users.</w:t>
      </w:r>
    </w:p>
    <w:p w14:paraId="7A0D3C5C">
      <w:pPr>
        <w:rPr>
          <w:sz w:val="20"/>
          <w:szCs w:val="20"/>
        </w:rPr>
      </w:pPr>
      <w:r>
        <w:rPr>
          <w:sz w:val="20"/>
          <w:szCs w:val="20"/>
        </w:rPr>
        <w:t xml:space="preserve">Fixed-line phone numbers are another type of Singapore phone number, which typically begin with a 6 or 3. For example, [REDACTED:7gyuhPBvj3Tl] or [REDACTED:1mlZc8RAVkLB] are </w:t>
      </w:r>
      <w:r>
        <w:rPr>
          <w:sz w:val="20"/>
          <w:szCs w:val="20"/>
        </w:rPr>
        <w:t xml:space="preserve">both valid</w:t>
      </w:r>
      <w:r>
        <w:rPr>
          <w:sz w:val="20"/>
          <w:szCs w:val="20"/>
        </w:rPr>
        <w:t xml:space="preserve"> Singapore fixed-line phone numbers. These numbers are typically associated with businesses or </w:t>
      </w:r>
      <w:r>
        <w:rPr>
          <w:sz w:val="20"/>
          <w:szCs w:val="20"/>
        </w:rPr>
        <w:t xml:space="preserve">residences, and</w:t>
      </w:r>
      <w:r>
        <w:rPr>
          <w:sz w:val="20"/>
          <w:szCs w:val="20"/>
        </w:rPr>
        <w:t xml:space="preserve"> are usually billed on a monthly basis.</w:t>
      </w:r>
    </w:p>
    <w:p w14:paraId="4C576202">
      <w:pPr>
        <w:rPr>
          <w:sz w:val="20"/>
          <w:szCs w:val="20"/>
        </w:rPr>
      </w:pPr>
      <w:r>
        <w:rPr>
          <w:sz w:val="20"/>
          <w:szCs w:val="20"/>
        </w:rPr>
        <w:t xml:space="preserve">Toll-free numbers are also available in </w:t>
      </w:r>
      <w:r>
        <w:rPr>
          <w:sz w:val="20"/>
          <w:szCs w:val="20"/>
        </w:rPr>
        <w:t xml:space="preserve">Singapore, and</w:t>
      </w:r>
      <w:r>
        <w:rPr>
          <w:sz w:val="20"/>
          <w:szCs w:val="20"/>
        </w:rPr>
        <w:t xml:space="preserve"> begin with the prefix 1800 or 800. For example, [REDACTED:l7mVGqQPWl7CiQfj] or [REDACTED:OrMd6xy5T8i9ZGV] are </w:t>
      </w:r>
      <w:r>
        <w:rPr>
          <w:sz w:val="20"/>
          <w:szCs w:val="20"/>
        </w:rPr>
        <w:t xml:space="preserve">both valid</w:t>
      </w:r>
      <w:r>
        <w:rPr>
          <w:sz w:val="20"/>
          <w:szCs w:val="20"/>
        </w:rPr>
        <w:t xml:space="preserve"> Singapore toll-free numbers. These numbers are free to call from within Singapore and are typically used by businesses for customer support or sales purposes.</w:t>
      </w:r>
    </w:p>
    <w:p w14:paraId="2B3BF1CA">
      <w:pPr>
        <w:rPr>
          <w:sz w:val="20"/>
          <w:szCs w:val="20"/>
        </w:rPr>
      </w:pPr>
      <w:r>
        <w:rPr>
          <w:sz w:val="20"/>
          <w:szCs w:val="20"/>
        </w:rPr>
        <w:t xml:space="preserve">In conclusion, Singapore phone numbers follow a specific pattern, with a prefix indicating the type of number, followed by an eight-digit phone number. The most common types of phone numbers in Singapore are mobile numbers, fixed-line numbers, and toll-free numbers, each with their own unique prefix. By understanding the different types of phone numbers in Singapore, individuals and businesses can communicate effectively and efficiently within the country.</w:t>
      </w:r>
    </w:p>
    <w:sectPr>
      <w:pgSz w:w="11906" w:h="16838"/>
      <w:pgMar w:top="720" w:right="720" w:bottom="720" w:left="720" w:header="708" w:footer="708" w:gutter="0"/>
      <w:cols w:space="425" w:num="1"/>
      <w:docGrid w:type="default" w:linePitch="3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72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Fonts w:asciiTheme="minorHAnsi" w:hAnsiTheme="minorHAnsi" w:cstheme="minorBidi" w:eastAsiaTheme="minorEastAsia"/>
      </w:rPr>
    </w:rPrDefault>
  </w:docDefaults>
  <w:style w:type="paragraph" w:styleId="Normal">
    <w:name w:val="Normal"/>
    <w:rPr/>
    <w:pPr>
      <w:rPr/>
    </w:pPr>
    <w:qFormat/>
  </w:style>
  <w:style w:type="paragraph" w:styleId="Normal">
    <w:name w:val="Normal"/>
    <w:rPr/>
    <w:pPr>
      <w:rPr/>
    </w:pPr>
    <w:qFormat/>
  </w:style>
  <w:style w:type="character" w:styleId="DefaultParagraphFont">
    <w:name w:val="Default Paragraph Font"/>
    <w:rPr/>
    <w:pPr>
      <w:rPr/>
    </w:pPr>
    <w:qFormat/>
  </w:style>
  <w:style w:type="table" w:styleId="TableNormal">
    <w:name w:val="Normal Table"/>
    <w:rPr/>
    <w:pPr>
      <w:rPr/>
    </w:pPr>
    <w:tcPr/>
    <w:tblPr>
      <w:tblW w:w="0" w:type="dxa"/>
      <w:jc w:val="left"/>
      <w:tblBorders/>
      <w:tblCellMar>
        <w:top w:w="0" w:type="dxa"/>
        <w:left w:w="108" w:type="dxa"/>
        <w:bottom w:w="0" w:type="dxa"/>
        <w:right w:w="108" w:type="dxa"/>
      </w:tblCellMar>
    </w:tblPr>
    <w:qFormat/>
  </w:style>
  <w:style w:type="numbering" w:styleId="NoList">
    <w:name w:val="No List"/>
    <w:rPr/>
    <w:pPr>
      <w:rPr/>
    </w:pPr>
    <w:qFormat/>
  </w:style>
  <w:style w:type="paragraph" w:styleId="NormalWeb">
    <w:name w:val="Normal (Web)"/>
    <w:rPr>
      <w:sz w:val="24"/>
      <w:szCs w:val="24"/>
      <w:rFonts w:ascii="Times New Roman" w:hAnsi="Times New Roman" w:cs="Times New Roman" w:eastAsia="Times New Roman"/>
    </w:rPr>
    <w:pPr>
      <w:rPr/>
      <w:spacing w:before="100" w:after="100" w:line="240" w:lineRule="auto"/>
    </w:pPr>
    <w:basedOn w:val="Normal"/>
    <w:qFormat/>
    <w:basedOn w:val="Normal"/>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 Id="rId4" Type="http://schemas.openxmlformats.org/officeDocument/2006/relationships/image" Target="media/rId4.png"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