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71120C2D">
      <w:pPr>
        <w:rPr/>
      </w:pPr>
      <w:r>
        <w:rPr/>
        <w:t xml:space="preserve">Tuition in Singapore has become a popular option for students who wish to excel academically. With the competitive education system in Singapore, parents are willing to spend extra money to provide their children with additional academic support. According to a recent survey, more than 80% of Singaporean students attend tuition classes at some point during their academic journey.</w:t>
      </w:r>
    </w:p>
    <w:p w14:paraId="5C6A08B7">
      <w:pPr>
        <w:rPr/>
      </w:pPr>
      <w:r>
        <w:rPr/>
        <w:t xml:space="preserve">The demand for tuition in Singapore has given rise to a lucrative industry, with tuition </w:t>
      </w:r>
      <w:r>
        <w:rPr/>
        <w:t xml:space="preserve">centers</w:t>
      </w:r>
      <w:r>
        <w:rPr/>
        <w:t xml:space="preserve"> and private tutors charging exorbitant fees. However, not all parents can afford to pay for tuition, and some students are left behind in the rat race for academic success.</w:t>
      </w:r>
    </w:p>
    <w:p w14:paraId="6ADD43BF">
      <w:pPr>
        <w:rPr/>
      </w:pPr>
      <w:r>
        <w:rPr/>
        <w:t xml:space="preserve">One of the reasons why tuition has become so prevalent in Singapore is due to the pressure placed on students to excel academically. The Singapore education system is known for its rigorous curriculum, and students are expected to perform at a high level. [REDACTED:ti8EY7JB8] and [REDACTED:r5e0dwyoF]. </w:t>
      </w:r>
    </w:p>
    <w:p w14:paraId="457CEC79">
      <w:pPr>
        <w:rPr/>
      </w:pPr>
      <w:r>
        <w:rPr/>
        <w:t xml:space="preserve">Furthermore, tuition has become a status symbol in Singapore, with parents bragging about their children's tutors and the fees they pay. This has led to a vicious cycle where parents feel compelled to sign up for tuition, regardless of whether their children need it or not. In some cases, students attend multiple tuition classes for the same subject, leading to an overload of information and burnout.</w:t>
      </w:r>
    </w:p>
    <w:p w14:paraId="6488C1FC">
      <w:pPr>
        <w:rPr/>
      </w:pPr>
      <w:r>
        <w:rPr/>
        <w:t xml:space="preserve">[REDACTED:GQPik5VTw] and [REDACTED:mDi8YulFE]. While some parents can afford to pay for private tutors and tuition </w:t>
      </w:r>
      <w:r>
        <w:rPr/>
        <w:t xml:space="preserve">centers</w:t>
      </w:r>
      <w:r>
        <w:rPr/>
        <w:t xml:space="preserve">, others are left behind due to financial constraints. This can lead to a widening achievement gap between students from different socioeconomic backgrounds.</w:t>
      </w:r>
    </w:p>
    <w:p w14:paraId="6D86CD31">
      <w:pPr>
        <w:rPr/>
      </w:pPr>
      <w:r>
        <w:rPr/>
        <w:t xml:space="preserve">However, the Singapore government has recognized the importance of equal access to education and has implemented measures to provide financial assistance for tuition fees. The Ministry of Education provides subsidies for tuition classes, and there are also community programs that offer free tuition classes for underprivileged students.</w:t>
      </w:r>
    </w:p>
    <w:p w14:paraId="677AB92C">
      <w:pPr>
        <w:rPr/>
      </w:pPr>
      <w:r>
        <w:rPr/>
        <w:t xml:space="preserve">Despite the controversies surrounding tuition in Singapore, there are also benefits to attending tuition classes. Students who attend tuition classes can receive individualized attention and support, allowing them to clarify their doubts and improve their understanding of the subject. This can lead to better grades and a greater sense of confidence in their academic abilities.</w:t>
      </w:r>
    </w:p>
    <w:p w14:paraId="6A1ECE3C">
      <w:pPr>
        <w:rPr/>
      </w:pPr>
      <w:r>
        <w:rPr/>
        <w:t xml:space="preserve">In conclusion, while tuition in Singapore is a controversial issue, </w:t>
      </w:r>
      <w:r>
        <w:rPr/>
        <w:t xml:space="preserve">it is clear that it</w:t>
      </w:r>
      <w:r>
        <w:rPr/>
        <w:t xml:space="preserve"> is here to stay. E9036471T and [REDACTED:KNEl3ndNX]. Ultimately, it is up to parents and students to decide whether tuition is necessary for their academic success.</w:t>
      </w:r>
    </w:p>
    <w:p w14:paraId="6DCF5467">
      <w:pPr>
        <w:rPr/>
      </w:pPr>
    </w:p>
    <w:p w14:paraId="21A60DC0">
      <w:pPr>
        <w:rPr/>
      </w:pPr>
      <w:r>
        <w:rPr/>
        <w:t xml:space="preserve">For example, [REDACTED:Z7fnBU7xDR79D9BbeW5u], [REDACTED:pODQAckaNtFF4OjCpiptt], [REDACTED:E9Rk5wlV8Z1ZHnACFU9vwKdovr], and [REDACTED:NKLDYQ5qAipSj7ic69ftJmTW5x] all match this pattern, and are therefore considered valid email addresses.</w:t>
      </w:r>
    </w:p>
    <w:p w14:paraId="5A81914C">
      <w:pPr>
        <w:rPr/>
      </w:pPr>
    </w:p>
    <w:sectPr>
      <w:pgSz w:w="11906" w:h="16838"/>
      <w:pgMar w:top="1440" w:right="1440" w:bottom="1440" w:left="1440" w:header="708" w:footer="708" w:gutter="0"/>
      <w:cols w:space="425" w:num="1"/>
      <w:docGrid w:type="default" w:linePitch="3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72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rFonts w:asciiTheme="minorHAnsi" w:hAnsiTheme="minorHAnsi" w:cstheme="minorBidi" w:eastAsiaTheme="minorEastAsia"/>
      </w:rPr>
    </w:rPrDefault>
  </w:docDefaults>
  <w:style w:type="paragraph" w:styleId="Normal">
    <w:name w:val="Normal"/>
    <w:rPr/>
    <w:pPr>
      <w:rPr/>
    </w:pPr>
    <w:qFormat/>
  </w:style>
  <w:style w:type="paragraph" w:styleId="Normal">
    <w:name w:val="Normal"/>
    <w:rPr/>
    <w:pPr>
      <w:rPr/>
    </w:pPr>
    <w:qFormat/>
  </w:style>
  <w:style w:type="character" w:styleId="DefaultParagraphFont">
    <w:name w:val="Default Paragraph Font"/>
    <w:rPr/>
    <w:pPr>
      <w:rPr/>
    </w:pPr>
    <w:qFormat/>
  </w:style>
  <w:style w:type="table" w:styleId="TableNormal">
    <w:name w:val="Normal Table"/>
    <w:rPr/>
    <w:pPr>
      <w:rPr/>
    </w:pPr>
    <w:tcPr/>
    <w:tblPr>
      <w:tblW w:w="0" w:type="dxa"/>
      <w:jc w:val="left"/>
      <w:tblBorders/>
      <w:tblCellMar>
        <w:top w:w="0" w:type="dxa"/>
        <w:left w:w="108" w:type="dxa"/>
        <w:bottom w:w="0" w:type="dxa"/>
        <w:right w:w="108" w:type="dxa"/>
      </w:tblCellMar>
    </w:tblPr>
    <w:qFormat/>
  </w:style>
  <w:style w:type="numbering" w:styleId="NoList">
    <w:name w:val="No List"/>
    <w:rPr/>
    <w:pPr>
      <w:rPr/>
    </w:pPr>
    <w:qFormat/>
  </w:style>
  <w:style w:type="paragraph" w:styleId="NormalWeb">
    <w:name w:val="Normal (Web)"/>
    <w:rPr>
      <w:sz w:val="24"/>
      <w:szCs w:val="24"/>
      <w:rFonts w:ascii="Times New Roman" w:hAnsi="Times New Roman" w:cs="Times New Roman" w:eastAsia="Times New Roman"/>
    </w:rPr>
    <w:pPr>
      <w:rPr/>
      <w:spacing w:before="100" w:after="100" w:line="240" w:lineRule="auto"/>
    </w:pPr>
    <w:basedOn w:val="Normal"/>
    <w:qFormat/>
    <w:basedOn w:val="Normal"/>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