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D8" w:rsidRPr="00D475D8" w:rsidRDefault="00D475D8" w:rsidP="00D475D8">
      <w:pPr>
        <w:jc w:val="center"/>
        <w:rPr>
          <w:b/>
          <w:sz w:val="28"/>
          <w:szCs w:val="28"/>
        </w:rPr>
      </w:pPr>
      <w:r w:rsidRPr="00D475D8">
        <w:rPr>
          <w:b/>
          <w:sz w:val="28"/>
          <w:szCs w:val="28"/>
        </w:rPr>
        <w:t>MANU9M6 PROJECT MANAGEMENT ASSIGNMENT OCHILS' SKI CENTRE</w:t>
      </w:r>
    </w:p>
    <w:p w:rsidR="00D475D8" w:rsidRDefault="00D475D8" w:rsidP="00D475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:rsidR="00D475D8" w:rsidRDefault="00D475D8">
      <w:pPr>
        <w:rPr>
          <w:b/>
          <w:sz w:val="28"/>
          <w:szCs w:val="28"/>
        </w:rPr>
      </w:pPr>
    </w:p>
    <w:p w:rsidR="00FB6A33" w:rsidRDefault="00E86AE7" w:rsidP="00D475D8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>Schedule Analysis</w:t>
      </w:r>
    </w:p>
    <w:p w:rsidR="00D475D8" w:rsidRPr="00D475D8" w:rsidRDefault="00D475D8" w:rsidP="00D475D8">
      <w:pPr>
        <w:pStyle w:val="ListParagraph"/>
        <w:ind w:left="480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:rsidR="00D475D8" w:rsidRPr="00D475D8" w:rsidRDefault="00D475D8" w:rsidP="00D475D8">
      <w:pPr>
        <w:pStyle w:val="ListParagraph"/>
        <w:ind w:left="480"/>
        <w:rPr>
          <w:b/>
          <w:sz w:val="28"/>
          <w:szCs w:val="28"/>
        </w:rPr>
      </w:pPr>
      <w:r w:rsidRPr="00D475D8">
        <w:rPr>
          <w:b/>
          <w:sz w:val="28"/>
          <w:szCs w:val="28"/>
        </w:rPr>
        <w:t>Project network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633"/>
        <w:gridCol w:w="625"/>
        <w:gridCol w:w="649"/>
        <w:gridCol w:w="753"/>
        <w:gridCol w:w="659"/>
        <w:gridCol w:w="614"/>
        <w:gridCol w:w="639"/>
        <w:gridCol w:w="670"/>
        <w:gridCol w:w="623"/>
        <w:gridCol w:w="579"/>
        <w:gridCol w:w="601"/>
        <w:gridCol w:w="601"/>
      </w:tblGrid>
      <w:tr w:rsidR="003472A4" w:rsidTr="00FB6A33">
        <w:tc>
          <w:tcPr>
            <w:tcW w:w="1292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Activities</w:t>
            </w:r>
          </w:p>
        </w:tc>
        <w:tc>
          <w:tcPr>
            <w:tcW w:w="695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89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687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698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681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678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0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698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654" w:type="dxa"/>
          </w:tcPr>
          <w:p w:rsidR="00FB6A33" w:rsidRDefault="00FB6A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</w:tr>
      <w:tr w:rsidR="003472A4" w:rsidTr="00FB6A33">
        <w:tc>
          <w:tcPr>
            <w:tcW w:w="1292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Immediate predecessor</w:t>
            </w:r>
          </w:p>
        </w:tc>
        <w:tc>
          <w:tcPr>
            <w:tcW w:w="695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689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687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69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C,I,A</w:t>
            </w:r>
          </w:p>
        </w:tc>
        <w:tc>
          <w:tcPr>
            <w:tcW w:w="681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67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00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69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K,L</w:t>
            </w:r>
          </w:p>
        </w:tc>
        <w:tc>
          <w:tcPr>
            <w:tcW w:w="654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</w:tr>
      <w:tr w:rsidR="003472A4" w:rsidTr="00FB6A33">
        <w:tc>
          <w:tcPr>
            <w:tcW w:w="1292" w:type="dxa"/>
          </w:tcPr>
          <w:p w:rsidR="00FB6A33" w:rsidRDefault="003472A4" w:rsidP="003472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Time(weeks)</w:t>
            </w:r>
          </w:p>
        </w:tc>
        <w:tc>
          <w:tcPr>
            <w:tcW w:w="695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89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69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681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1,3</w:t>
            </w:r>
          </w:p>
        </w:tc>
        <w:tc>
          <w:tcPr>
            <w:tcW w:w="67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98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654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626" w:type="dxa"/>
          </w:tcPr>
          <w:p w:rsidR="00FB6A33" w:rsidRDefault="003472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</w:tbl>
    <w:p w:rsidR="00FB6A33" w:rsidRDefault="00FB6A33">
      <w:pPr>
        <w:rPr>
          <w:b/>
          <w:sz w:val="28"/>
          <w:szCs w:val="28"/>
        </w:rPr>
      </w:pPr>
    </w:p>
    <w:p w:rsidR="00FB6A33" w:rsidRDefault="00FB6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1.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The figure below illustrate how</w:t>
      </w:r>
      <w:r w:rsidR="00FB6A33">
        <w:rPr>
          <w:sz w:val="28"/>
          <w:szCs w:val="28"/>
        </w:rPr>
        <w:t xml:space="preserve"> various</w:t>
      </w:r>
      <w:r>
        <w:rPr>
          <w:sz w:val="28"/>
          <w:szCs w:val="28"/>
        </w:rPr>
        <w:t xml:space="preserve"> flow activities in ORC project in the first option.</w:t>
      </w:r>
      <w:r w:rsidR="00FB6A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Alphabets represents </w:t>
      </w:r>
      <w:r w:rsidR="00FB6A33">
        <w:rPr>
          <w:sz w:val="28"/>
          <w:szCs w:val="28"/>
        </w:rPr>
        <w:t>the actual activities of the</w:t>
      </w:r>
      <w:r>
        <w:rPr>
          <w:sz w:val="28"/>
          <w:szCs w:val="28"/>
        </w:rPr>
        <w:t xml:space="preserve"> project.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A-Project Approval                                       G-Lift inspection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B-Construction Staff training                      H-Marketing Campaign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C-land purchase and planning approval    I-Design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D-Construction plan                                      J-Health and safety inspection</w:t>
      </w:r>
    </w:p>
    <w:p w:rsidR="009C1663" w:rsidRDefault="009C1663">
      <w:pPr>
        <w:rPr>
          <w:sz w:val="28"/>
          <w:szCs w:val="28"/>
        </w:rPr>
      </w:pPr>
      <w:r>
        <w:rPr>
          <w:sz w:val="28"/>
          <w:szCs w:val="28"/>
        </w:rPr>
        <w:t>E-Final staff training                                      K-</w:t>
      </w:r>
      <w:r w:rsidR="00FB6A33">
        <w:rPr>
          <w:sz w:val="28"/>
          <w:szCs w:val="28"/>
        </w:rPr>
        <w:t>Material preparation</w:t>
      </w:r>
    </w:p>
    <w:p w:rsidR="009C1663" w:rsidRPr="0037545D" w:rsidRDefault="00FB6A33">
      <w:p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F-Opening of OSC</w:t>
      </w:r>
      <w:r w:rsidR="009C1663">
        <w:rPr>
          <w:sz w:val="28"/>
          <w:szCs w:val="28"/>
        </w:rPr>
        <w:t xml:space="preserve"> business</w:t>
      </w:r>
      <w:r>
        <w:rPr>
          <w:sz w:val="28"/>
          <w:szCs w:val="28"/>
        </w:rPr>
        <w:t xml:space="preserve">                          L-</w:t>
      </w:r>
      <w:r w:rsidR="0037545D">
        <w:rPr>
          <w:sz w:val="28"/>
          <w:szCs w:val="28"/>
        </w:rPr>
        <w:t xml:space="preserve"> Agreement establishment with UK</w:t>
      </w:r>
      <w:bookmarkStart w:id="0" w:name="_GoBack"/>
      <w:bookmarkEnd w:id="0"/>
    </w:p>
    <w:p w:rsidR="009C1663" w:rsidRPr="009C1663" w:rsidRDefault="009C1663">
      <w:pPr>
        <w:rPr>
          <w:sz w:val="28"/>
          <w:szCs w:val="28"/>
        </w:rPr>
      </w:pPr>
    </w:p>
    <w:p w:rsidR="009C1663" w:rsidRDefault="009C166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270FA" wp14:editId="4D651C4F">
            <wp:extent cx="5943600" cy="2277745"/>
            <wp:effectExtent l="0" t="0" r="0" b="8255"/>
            <wp:docPr id="1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33" w:rsidRPr="00FB6A33" w:rsidRDefault="00FB6A33">
      <w:pPr>
        <w:rPr>
          <w:sz w:val="28"/>
          <w:szCs w:val="28"/>
        </w:rPr>
      </w:pPr>
      <w:r>
        <w:rPr>
          <w:sz w:val="28"/>
          <w:szCs w:val="28"/>
        </w:rPr>
        <w:t xml:space="preserve">The diagram show the flow of event from start to Finish. Arrows indicates the direction of flow of events. </w:t>
      </w:r>
    </w:p>
    <w:p w:rsidR="006037FE" w:rsidRDefault="00FB6A33">
      <w:pPr>
        <w:rPr>
          <w:b/>
          <w:sz w:val="28"/>
          <w:szCs w:val="28"/>
          <w:u w:val="single"/>
        </w:rPr>
      </w:pPr>
      <w:r w:rsidRPr="00FB6A33">
        <w:rPr>
          <w:b/>
          <w:sz w:val="28"/>
          <w:szCs w:val="28"/>
          <w:u w:val="single"/>
        </w:rPr>
        <w:t>Second option</w:t>
      </w:r>
    </w:p>
    <w:p w:rsidR="0008246F" w:rsidRDefault="00FB6A3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F65CDA" wp14:editId="7A54D2D6">
            <wp:extent cx="5381625" cy="2277745"/>
            <wp:effectExtent l="0" t="0" r="9525" b="8255"/>
            <wp:docPr id="2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33" w:rsidRDefault="0008246F" w:rsidP="0008246F">
      <w:pPr>
        <w:rPr>
          <w:sz w:val="28"/>
          <w:szCs w:val="28"/>
        </w:rPr>
      </w:pPr>
      <w:r>
        <w:rPr>
          <w:sz w:val="28"/>
          <w:szCs w:val="28"/>
        </w:rPr>
        <w:t>Resource constraint is one of powerful metrics that is used in design and construction of project network plan.</w:t>
      </w:r>
    </w:p>
    <w:p w:rsidR="003B0AFE" w:rsidRDefault="0008246F" w:rsidP="0008246F">
      <w:pPr>
        <w:rPr>
          <w:sz w:val="28"/>
          <w:szCs w:val="28"/>
        </w:rPr>
      </w:pPr>
      <w:r>
        <w:rPr>
          <w:sz w:val="28"/>
          <w:szCs w:val="28"/>
        </w:rPr>
        <w:t>Time Constraints are used in the construction of the project networks shown above.</w:t>
      </w:r>
    </w:p>
    <w:p w:rsidR="00346E17" w:rsidRPr="00D475D8" w:rsidRDefault="00D475D8" w:rsidP="0008246F">
      <w:pPr>
        <w:rPr>
          <w:b/>
          <w:sz w:val="28"/>
          <w:szCs w:val="28"/>
          <w:u w:val="single"/>
        </w:rPr>
      </w:pPr>
      <w:r w:rsidRPr="00D475D8">
        <w:rPr>
          <w:b/>
          <w:sz w:val="28"/>
          <w:szCs w:val="28"/>
          <w:u w:val="single"/>
        </w:rPr>
        <w:t xml:space="preserve">2.1 </w:t>
      </w:r>
      <w:r w:rsidR="003B0AFE" w:rsidRPr="00D475D8">
        <w:rPr>
          <w:b/>
          <w:sz w:val="28"/>
          <w:szCs w:val="28"/>
          <w:u w:val="single"/>
        </w:rPr>
        <w:t>Financial Appraisal</w:t>
      </w:r>
      <w:r w:rsidR="0008246F" w:rsidRPr="00D475D8">
        <w:rPr>
          <w:b/>
          <w:sz w:val="28"/>
          <w:szCs w:val="28"/>
          <w:u w:val="single"/>
        </w:rPr>
        <w:t xml:space="preserve"> </w:t>
      </w:r>
    </w:p>
    <w:p w:rsidR="00220849" w:rsidRPr="00346E17" w:rsidRDefault="00220849" w:rsidP="0008246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Financial appraisal of project consider the potential rewards of carrying out the project against predicted costs. The evaluation depends on the size of </w:t>
      </w:r>
      <w:r w:rsidR="00346E17">
        <w:rPr>
          <w:sz w:val="28"/>
          <w:szCs w:val="28"/>
        </w:rPr>
        <w:t>the project and the time span over which the cost and benefits are going to spread.</w:t>
      </w:r>
    </w:p>
    <w:p w:rsidR="00346E17" w:rsidRDefault="00346E17" w:rsidP="000824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return payback is analyzed in number of ways in order to determine the net benefit. Some of this methods includes Payback analysis, Discount cash flow and </w:t>
      </w:r>
      <w:r w:rsidR="00E86AE7">
        <w:rPr>
          <w:sz w:val="28"/>
          <w:szCs w:val="28"/>
        </w:rPr>
        <w:t>internal</w:t>
      </w:r>
      <w:r>
        <w:rPr>
          <w:sz w:val="28"/>
          <w:szCs w:val="28"/>
        </w:rPr>
        <w:t xml:space="preserve"> rate return.</w:t>
      </w:r>
    </w:p>
    <w:p w:rsidR="00346E17" w:rsidRDefault="00346E17" w:rsidP="0008246F">
      <w:pPr>
        <w:rPr>
          <w:sz w:val="28"/>
          <w:szCs w:val="28"/>
        </w:rPr>
      </w:pPr>
      <w:r>
        <w:rPr>
          <w:sz w:val="28"/>
          <w:szCs w:val="28"/>
        </w:rPr>
        <w:t xml:space="preserve">In my project I </w:t>
      </w:r>
      <w:r w:rsidR="00876D95">
        <w:rPr>
          <w:sz w:val="28"/>
          <w:szCs w:val="28"/>
        </w:rPr>
        <w:t>will evaluate some of the subsection of</w:t>
      </w:r>
      <w:r>
        <w:rPr>
          <w:sz w:val="28"/>
          <w:szCs w:val="28"/>
        </w:rPr>
        <w:t xml:space="preserve"> the two options given in the project.</w:t>
      </w:r>
    </w:p>
    <w:p w:rsidR="00346E17" w:rsidRDefault="00346E17" w:rsidP="0008246F">
      <w:pPr>
        <w:rPr>
          <w:sz w:val="28"/>
          <w:szCs w:val="28"/>
        </w:rPr>
      </w:pPr>
      <w:r>
        <w:rPr>
          <w:sz w:val="28"/>
          <w:szCs w:val="28"/>
        </w:rPr>
        <w:t xml:space="preserve">To begin with </w:t>
      </w:r>
      <w:r w:rsidR="00876D95">
        <w:rPr>
          <w:sz w:val="28"/>
          <w:szCs w:val="28"/>
        </w:rPr>
        <w:t>the market NPV</w:t>
      </w:r>
      <w:r>
        <w:rPr>
          <w:sz w:val="28"/>
          <w:szCs w:val="28"/>
        </w:rPr>
        <w:t xml:space="preserve"> is as shown below</w:t>
      </w:r>
      <w:r w:rsidR="00876D95">
        <w:rPr>
          <w:sz w:val="28"/>
          <w:szCs w:val="28"/>
        </w:rPr>
        <w:t>;</w:t>
      </w:r>
    </w:p>
    <w:p w:rsidR="00346E17" w:rsidRDefault="00876D95" w:rsidP="0008246F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18084E">
        <w:rPr>
          <w:noProof/>
          <w:sz w:val="28"/>
          <w:szCs w:val="28"/>
        </w:rPr>
        <w:drawing>
          <wp:inline distT="0" distB="0" distL="0" distR="0">
            <wp:extent cx="6200775" cy="9524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NP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03" cy="9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23" w:rsidRDefault="0018084E" w:rsidP="0008246F">
      <w:pPr>
        <w:rPr>
          <w:sz w:val="28"/>
          <w:szCs w:val="28"/>
        </w:rPr>
      </w:pPr>
      <w:r>
        <w:rPr>
          <w:sz w:val="28"/>
          <w:szCs w:val="28"/>
        </w:rPr>
        <w:t>The best cause of action is choosing the option with high NPV value,</w:t>
      </w:r>
      <w:r w:rsidR="00876D95">
        <w:rPr>
          <w:sz w:val="28"/>
          <w:szCs w:val="28"/>
        </w:rPr>
        <w:t xml:space="preserve"> </w:t>
      </w:r>
      <w:r>
        <w:rPr>
          <w:sz w:val="28"/>
          <w:szCs w:val="28"/>
        </w:rPr>
        <w:t>in our case the option with largest NPV value is option2 with £</w:t>
      </w:r>
      <w:r w:rsidR="00876D95">
        <w:rPr>
          <w:sz w:val="28"/>
          <w:szCs w:val="28"/>
        </w:rPr>
        <w:t>528925.62</w:t>
      </w:r>
    </w:p>
    <w:p w:rsidR="00F75C23" w:rsidRDefault="00F75C23" w:rsidP="0008246F">
      <w:pPr>
        <w:rPr>
          <w:sz w:val="28"/>
          <w:szCs w:val="28"/>
        </w:rPr>
      </w:pPr>
      <w:r>
        <w:rPr>
          <w:sz w:val="28"/>
          <w:szCs w:val="28"/>
        </w:rPr>
        <w:t xml:space="preserve">Based on financial appraisal in the </w:t>
      </w:r>
      <w:r w:rsidRPr="00F75C23">
        <w:rPr>
          <w:sz w:val="28"/>
          <w:szCs w:val="28"/>
        </w:rPr>
        <w:t>FInancial Apprisal</w:t>
      </w:r>
      <w:r>
        <w:rPr>
          <w:sz w:val="28"/>
          <w:szCs w:val="28"/>
        </w:rPr>
        <w:t>.xls file  show that  the option is option 2 bacause it has high profits compared to option 1.</w:t>
      </w:r>
    </w:p>
    <w:p w:rsidR="00F75C23" w:rsidRDefault="00F75C23" w:rsidP="0008246F">
      <w:pPr>
        <w:rPr>
          <w:sz w:val="28"/>
          <w:szCs w:val="28"/>
        </w:rPr>
      </w:pPr>
    </w:p>
    <w:p w:rsidR="00F75C23" w:rsidRDefault="00F75C23" w:rsidP="0008246F">
      <w:pPr>
        <w:rPr>
          <w:b/>
          <w:sz w:val="28"/>
          <w:szCs w:val="28"/>
        </w:rPr>
      </w:pPr>
      <w:r w:rsidRPr="00F75C23">
        <w:rPr>
          <w:b/>
          <w:sz w:val="28"/>
          <w:szCs w:val="28"/>
        </w:rPr>
        <w:t>Assumed data</w:t>
      </w:r>
    </w:p>
    <w:p w:rsidR="00F75C23" w:rsidRPr="00F75C23" w:rsidRDefault="00F75C23" w:rsidP="00082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Option1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1460"/>
        <w:gridCol w:w="1720"/>
        <w:gridCol w:w="960"/>
      </w:tblGrid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Income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Restaurant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income per 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Airthrey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170000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Lossburn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520000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Balquharm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8900000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7-Ski-lifts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Ski-shop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910000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Total income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11300000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operting cost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F75C23">
              <w:rPr>
                <w:rFonts w:ascii="Calibri" w:eastAsia="Times New Roman" w:hAnsi="Calibri" w:cs="Calibri"/>
                <w:b/>
                <w:bCs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Profits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10400000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5C23" w:rsidRPr="00F75C23" w:rsidTr="00F75C23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5C23" w:rsidRDefault="00F75C23" w:rsidP="0008246F">
      <w:pPr>
        <w:rPr>
          <w:sz w:val="28"/>
          <w:szCs w:val="28"/>
        </w:rPr>
      </w:pPr>
    </w:p>
    <w:p w:rsidR="00F75C23" w:rsidRDefault="00F75C23" w:rsidP="0008246F">
      <w:pPr>
        <w:rPr>
          <w:sz w:val="28"/>
          <w:szCs w:val="28"/>
        </w:rPr>
      </w:pPr>
    </w:p>
    <w:p w:rsidR="00F75C23" w:rsidRDefault="00F75C23" w:rsidP="0008246F">
      <w:pPr>
        <w:rPr>
          <w:sz w:val="28"/>
          <w:szCs w:val="28"/>
        </w:rPr>
      </w:pPr>
    </w:p>
    <w:p w:rsidR="00F75C23" w:rsidRDefault="00F75C23" w:rsidP="0008246F">
      <w:pPr>
        <w:rPr>
          <w:sz w:val="28"/>
          <w:szCs w:val="28"/>
        </w:rPr>
      </w:pPr>
    </w:p>
    <w:p w:rsidR="00F75C23" w:rsidRDefault="00F75C23" w:rsidP="0008246F">
      <w:pPr>
        <w:rPr>
          <w:sz w:val="28"/>
          <w:szCs w:val="28"/>
        </w:rPr>
      </w:pPr>
    </w:p>
    <w:p w:rsidR="00F75C23" w:rsidRPr="00F75C23" w:rsidRDefault="00F75C23" w:rsidP="0008246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75C23">
        <w:rPr>
          <w:b/>
          <w:sz w:val="28"/>
          <w:szCs w:val="28"/>
        </w:rPr>
        <w:t>option 2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460"/>
        <w:gridCol w:w="1720"/>
      </w:tblGrid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Income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Restaurant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income per year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Airthrey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2500000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Lossburn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6500000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Balquharm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7500000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5C23">
              <w:rPr>
                <w:rFonts w:ascii="Calibri" w:eastAsia="Times New Roman" w:hAnsi="Calibri" w:cs="Calibri"/>
                <w:color w:val="000000"/>
              </w:rPr>
              <w:t>7-Ski-lifts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8000000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Ski-shop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</w:rPr>
            </w:pPr>
            <w:r w:rsidRPr="00F75C23">
              <w:rPr>
                <w:rFonts w:ascii="Calibri" w:eastAsia="Times New Roman" w:hAnsi="Calibri" w:cs="Calibri"/>
                <w:color w:val="00B0F0"/>
              </w:rPr>
              <w:t>900000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Total income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25400000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operting cost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F75C23">
              <w:rPr>
                <w:rFonts w:ascii="Calibri" w:eastAsia="Times New Roman" w:hAnsi="Calibri" w:cs="Calibri"/>
                <w:b/>
                <w:bCs/>
              </w:rPr>
              <w:t>2400000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C23">
              <w:rPr>
                <w:rFonts w:ascii="Calibri" w:eastAsia="Times New Roman" w:hAnsi="Calibri" w:cs="Calibri"/>
                <w:b/>
                <w:bCs/>
                <w:color w:val="000000"/>
              </w:rPr>
              <w:t>Profits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C23">
              <w:rPr>
                <w:rFonts w:ascii="Calibri" w:eastAsia="Times New Roman" w:hAnsi="Calibri" w:cs="Calibri"/>
                <w:color w:val="000000"/>
              </w:rPr>
              <w:t>23000000</w:t>
            </w:r>
          </w:p>
        </w:tc>
      </w:tr>
      <w:tr w:rsidR="00F75C23" w:rsidRPr="00F75C23" w:rsidTr="00F75C2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C23" w:rsidRPr="00F75C23" w:rsidRDefault="00F75C23" w:rsidP="00F7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5C23" w:rsidRDefault="00F75C23" w:rsidP="0008246F">
      <w:pPr>
        <w:rPr>
          <w:sz w:val="28"/>
          <w:szCs w:val="28"/>
        </w:rPr>
      </w:pPr>
    </w:p>
    <w:p w:rsidR="00CC4F28" w:rsidRDefault="00CC4F28" w:rsidP="0008246F">
      <w:pPr>
        <w:rPr>
          <w:sz w:val="28"/>
          <w:szCs w:val="28"/>
        </w:rPr>
      </w:pPr>
    </w:p>
    <w:p w:rsidR="00876D95" w:rsidRDefault="00CC4F28" w:rsidP="0008246F">
      <w:pPr>
        <w:rPr>
          <w:rFonts w:cstheme="minorHAnsi"/>
          <w:b/>
          <w:color w:val="000000" w:themeColor="text1"/>
          <w:sz w:val="28"/>
          <w:szCs w:val="28"/>
        </w:rPr>
      </w:pPr>
      <w:r w:rsidRPr="00CC4F28">
        <w:rPr>
          <w:rFonts w:cstheme="minorHAnsi"/>
          <w:b/>
          <w:color w:val="000000" w:themeColor="text1"/>
          <w:sz w:val="28"/>
          <w:szCs w:val="28"/>
        </w:rPr>
        <w:t>Sensitivity Analysis &amp; use of historical data</w:t>
      </w:r>
    </w:p>
    <w:p w:rsidR="00CC4F28" w:rsidRDefault="00CC4F28" w:rsidP="0008246F">
      <w:pPr>
        <w:rPr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Through use of linear regression tool, it has been made possible </w:t>
      </w:r>
      <w:r w:rsidR="00D475D8">
        <w:rPr>
          <w:rFonts w:cstheme="minorHAnsi"/>
          <w:color w:val="000000" w:themeColor="text1"/>
          <w:sz w:val="28"/>
          <w:szCs w:val="28"/>
        </w:rPr>
        <w:t>to estimate</w:t>
      </w:r>
      <w:r>
        <w:rPr>
          <w:rFonts w:cstheme="minorHAnsi"/>
          <w:color w:val="000000" w:themeColor="text1"/>
          <w:sz w:val="28"/>
          <w:szCs w:val="28"/>
        </w:rPr>
        <w:t xml:space="preserve"> the costs and number of weeks needed for construction of given </w:t>
      </w:r>
      <w:r w:rsidR="00D475D8">
        <w:rPr>
          <w:rFonts w:cstheme="minorHAnsi"/>
          <w:color w:val="000000" w:themeColor="text1"/>
          <w:sz w:val="28"/>
          <w:szCs w:val="28"/>
        </w:rPr>
        <w:t>length based</w:t>
      </w:r>
      <w:r>
        <w:rPr>
          <w:rFonts w:cstheme="minorHAnsi"/>
          <w:color w:val="000000" w:themeColor="text1"/>
          <w:sz w:val="28"/>
          <w:szCs w:val="28"/>
        </w:rPr>
        <w:t xml:space="preserve"> on</w:t>
      </w:r>
      <w:r w:rsidRPr="00CC4F2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th</w:t>
      </w:r>
      <w:r w:rsidRPr="00CC4F28">
        <w:rPr>
          <w:sz w:val="28"/>
          <w:szCs w:val="28"/>
        </w:rPr>
        <w:t xml:space="preserve">e collected experience from some other similar </w:t>
      </w:r>
      <w:r w:rsidR="00D475D8" w:rsidRPr="00CC4F28">
        <w:rPr>
          <w:sz w:val="28"/>
          <w:szCs w:val="28"/>
        </w:rPr>
        <w:t>sites,</w:t>
      </w:r>
      <w:r w:rsidR="00D475D8">
        <w:rPr>
          <w:sz w:val="28"/>
          <w:szCs w:val="28"/>
        </w:rPr>
        <w:t xml:space="preserve"> The linear equation on each graph will help to predict the number of weeks and costs of construction of ski-lifts.</w:t>
      </w:r>
    </w:p>
    <w:p w:rsidR="00D475D8" w:rsidRPr="00CC4F28" w:rsidRDefault="00D475D8" w:rsidP="0008246F">
      <w:pPr>
        <w:rPr>
          <w:sz w:val="28"/>
          <w:szCs w:val="28"/>
        </w:rPr>
      </w:pPr>
      <w:r>
        <w:rPr>
          <w:sz w:val="28"/>
          <w:szCs w:val="28"/>
        </w:rPr>
        <w:t>Fig 2</w:t>
      </w:r>
    </w:p>
    <w:p w:rsidR="00CC4F28" w:rsidRDefault="00CC4F28" w:rsidP="00A965D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1E7C7" wp14:editId="6866F18A">
            <wp:extent cx="4543425" cy="255270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4F28" w:rsidRDefault="00CC4F28" w:rsidP="00A965DA">
      <w:pPr>
        <w:rPr>
          <w:sz w:val="28"/>
          <w:szCs w:val="28"/>
        </w:rPr>
      </w:pPr>
    </w:p>
    <w:p w:rsidR="00D475D8" w:rsidRDefault="00D475D8" w:rsidP="00A965DA">
      <w:pPr>
        <w:rPr>
          <w:sz w:val="28"/>
          <w:szCs w:val="28"/>
        </w:rPr>
      </w:pPr>
    </w:p>
    <w:p w:rsidR="00D475D8" w:rsidRDefault="00D475D8" w:rsidP="00A965DA">
      <w:pPr>
        <w:rPr>
          <w:sz w:val="28"/>
          <w:szCs w:val="28"/>
        </w:rPr>
      </w:pPr>
    </w:p>
    <w:p w:rsidR="00D475D8" w:rsidRDefault="00D475D8" w:rsidP="00A965DA">
      <w:pPr>
        <w:rPr>
          <w:sz w:val="28"/>
          <w:szCs w:val="28"/>
        </w:rPr>
      </w:pPr>
    </w:p>
    <w:p w:rsidR="00D475D8" w:rsidRDefault="00D475D8" w:rsidP="00A965DA">
      <w:pPr>
        <w:rPr>
          <w:sz w:val="28"/>
          <w:szCs w:val="28"/>
        </w:rPr>
      </w:pPr>
      <w:r>
        <w:rPr>
          <w:sz w:val="28"/>
          <w:szCs w:val="28"/>
        </w:rPr>
        <w:t>Fig 3</w:t>
      </w:r>
    </w:p>
    <w:p w:rsidR="00D475D8" w:rsidRDefault="00D475D8" w:rsidP="00A965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C294C8" wp14:editId="2C7C2E6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670A6" w:rsidRDefault="00E670A6" w:rsidP="00A965DA">
      <w:pPr>
        <w:rPr>
          <w:sz w:val="28"/>
          <w:szCs w:val="28"/>
        </w:rPr>
      </w:pPr>
    </w:p>
    <w:p w:rsidR="00D77D61" w:rsidRDefault="00D77D61" w:rsidP="00A965DA">
      <w:pPr>
        <w:rPr>
          <w:sz w:val="28"/>
          <w:szCs w:val="28"/>
        </w:rPr>
      </w:pPr>
    </w:p>
    <w:p w:rsidR="00D844FD" w:rsidRDefault="00D844FD" w:rsidP="00A965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project is financial viable if the economic benefits the project exceeds its economic costs when analyzed for society as a whole. The economic cost of the project are not the same as its financial costs externalities and environment impact should be considered.</w:t>
      </w:r>
    </w:p>
    <w:p w:rsidR="00E670A6" w:rsidRPr="00220849" w:rsidRDefault="00E670A6" w:rsidP="00A965DA">
      <w:pPr>
        <w:rPr>
          <w:sz w:val="28"/>
          <w:szCs w:val="28"/>
        </w:rPr>
      </w:pPr>
    </w:p>
    <w:sectPr w:rsidR="00E670A6" w:rsidRPr="0022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19" w:rsidRDefault="00774D19" w:rsidP="003472A4">
      <w:pPr>
        <w:spacing w:after="0" w:line="240" w:lineRule="auto"/>
      </w:pPr>
      <w:r>
        <w:separator/>
      </w:r>
    </w:p>
  </w:endnote>
  <w:endnote w:type="continuationSeparator" w:id="0">
    <w:p w:rsidR="00774D19" w:rsidRDefault="00774D19" w:rsidP="0034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19" w:rsidRDefault="00774D19" w:rsidP="003472A4">
      <w:pPr>
        <w:spacing w:after="0" w:line="240" w:lineRule="auto"/>
      </w:pPr>
      <w:r>
        <w:separator/>
      </w:r>
    </w:p>
  </w:footnote>
  <w:footnote w:type="continuationSeparator" w:id="0">
    <w:p w:rsidR="00774D19" w:rsidRDefault="00774D19" w:rsidP="0034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DF6"/>
    <w:multiLevelType w:val="multilevel"/>
    <w:tmpl w:val="A3A0A45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FE"/>
    <w:rsid w:val="000565ED"/>
    <w:rsid w:val="0008246F"/>
    <w:rsid w:val="0018084E"/>
    <w:rsid w:val="00220849"/>
    <w:rsid w:val="00277BA0"/>
    <w:rsid w:val="00346E17"/>
    <w:rsid w:val="003472A4"/>
    <w:rsid w:val="0037545D"/>
    <w:rsid w:val="003B0AFE"/>
    <w:rsid w:val="005D3F77"/>
    <w:rsid w:val="006037FE"/>
    <w:rsid w:val="00774D19"/>
    <w:rsid w:val="00876D95"/>
    <w:rsid w:val="00907D31"/>
    <w:rsid w:val="009C1663"/>
    <w:rsid w:val="00A362B0"/>
    <w:rsid w:val="00A965DA"/>
    <w:rsid w:val="00CC4F28"/>
    <w:rsid w:val="00D475D8"/>
    <w:rsid w:val="00D77D61"/>
    <w:rsid w:val="00D844FD"/>
    <w:rsid w:val="00E670A6"/>
    <w:rsid w:val="00E86AE7"/>
    <w:rsid w:val="00F75C23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3D2E"/>
  <w15:chartTrackingRefBased/>
  <w15:docId w15:val="{055C5FDE-2188-4F88-90BF-A9CCA6CA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2A4"/>
  </w:style>
  <w:style w:type="paragraph" w:styleId="Footer">
    <w:name w:val="footer"/>
    <w:basedOn w:val="Normal"/>
    <w:link w:val="FooterChar"/>
    <w:uiPriority w:val="99"/>
    <w:unhideWhenUsed/>
    <w:rsid w:val="0034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A4"/>
  </w:style>
  <w:style w:type="paragraph" w:styleId="ListParagraph">
    <w:name w:val="List Paragraph"/>
    <w:basedOn w:val="Normal"/>
    <w:uiPriority w:val="34"/>
    <w:qFormat/>
    <w:rsid w:val="00D4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ru\Documents\Online%20Assignments\DA%20-Project\BUAP009_BUSP012_OSC_data_sets_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Prediction</a:t>
            </a:r>
            <a:r>
              <a:rPr lang="en-US" baseline="0"/>
              <a:t> based  on length and cost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126071741032371"/>
                  <c:y val="0.2084397783610381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'Cost and length prediction'!$A$25:$A$31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'Cost and length prediction'!$B$25:$B$31</c:f>
              <c:numCache>
                <c:formatCode>General</c:formatCode>
                <c:ptCount val="7"/>
                <c:pt idx="0">
                  <c:v>716.15986206896559</c:v>
                </c:pt>
                <c:pt idx="1">
                  <c:v>816.61006896551726</c:v>
                </c:pt>
                <c:pt idx="2">
                  <c:v>590.5971034482759</c:v>
                </c:pt>
                <c:pt idx="3">
                  <c:v>502.70317241379314</c:v>
                </c:pt>
                <c:pt idx="4">
                  <c:v>741.2724137931034</c:v>
                </c:pt>
                <c:pt idx="5">
                  <c:v>967.28537931034475</c:v>
                </c:pt>
                <c:pt idx="6">
                  <c:v>540.37200000000007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11-492D-8D1F-AECD2E29FD5E}"/>
            </c:ext>
          </c:extLst>
        </c:ser>
        <c:ser>
          <c:idx val="1"/>
          <c:order val="1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'Cost and length prediction'!$A$25:$A$31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'Cost and length prediction'!$C$25:$C$31</c:f>
              <c:numCache>
                <c:formatCode>General</c:formatCode>
                <c:ptCount val="7"/>
                <c:pt idx="0">
                  <c:v>-29.159862068965595</c:v>
                </c:pt>
                <c:pt idx="1">
                  <c:v>28.389931034482743</c:v>
                </c:pt>
                <c:pt idx="2">
                  <c:v>-27.597103448275902</c:v>
                </c:pt>
                <c:pt idx="3">
                  <c:v>21.296827586206859</c:v>
                </c:pt>
                <c:pt idx="4">
                  <c:v>-23.272413793103397</c:v>
                </c:pt>
                <c:pt idx="5">
                  <c:v>9.7146206896552485</c:v>
                </c:pt>
                <c:pt idx="6">
                  <c:v>20.627999999999929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11-492D-8D1F-AECD2E29F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8910400"/>
        <c:axId val="1638905824"/>
      </c:scatterChart>
      <c:valAx>
        <c:axId val="163891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905824"/>
        <c:crosses val="autoZero"/>
        <c:crossBetween val="midCat"/>
      </c:valAx>
      <c:valAx>
        <c:axId val="163890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910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Prediction</a:t>
            </a:r>
            <a:r>
              <a:rPr lang="en-US" baseline="0"/>
              <a:t> based on cost and number of weeks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122703412073497E-2"/>
          <c:y val="0.17171296296296298"/>
          <c:w val="0.86987729658792656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959886264216974"/>
                  <c:y val="0.471909813356663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'Number weeks and cost predictio'!$B$25:$B$31</c:f>
              <c:numCache>
                <c:formatCode>General</c:formatCode>
                <c:ptCount val="7"/>
                <c:pt idx="0">
                  <c:v>658.47784342688328</c:v>
                </c:pt>
                <c:pt idx="1">
                  <c:v>821.95790251107826</c:v>
                </c:pt>
                <c:pt idx="2">
                  <c:v>556.30280649926146</c:v>
                </c:pt>
                <c:pt idx="3">
                  <c:v>535.86779911373719</c:v>
                </c:pt>
                <c:pt idx="4">
                  <c:v>781.08788774002949</c:v>
                </c:pt>
                <c:pt idx="5">
                  <c:v>965.00295420974885</c:v>
                </c:pt>
                <c:pt idx="6">
                  <c:v>556.30280649926146</c:v>
                </c:pt>
              </c:numCache>
            </c:numRef>
          </c:xVal>
          <c:yVal>
            <c:numRef>
              <c:f>'Number weeks and cost predictio'!$C$25:$C$31</c:f>
              <c:numCache>
                <c:formatCode>General</c:formatCode>
                <c:ptCount val="7"/>
                <c:pt idx="0">
                  <c:v>28.522156573116717</c:v>
                </c:pt>
                <c:pt idx="1">
                  <c:v>23.04209748892174</c:v>
                </c:pt>
                <c:pt idx="2">
                  <c:v>6.6971935007385355</c:v>
                </c:pt>
                <c:pt idx="3">
                  <c:v>-11.867799113737192</c:v>
                </c:pt>
                <c:pt idx="4">
                  <c:v>-63.087887740029487</c:v>
                </c:pt>
                <c:pt idx="5">
                  <c:v>11.99704579025115</c:v>
                </c:pt>
                <c:pt idx="6">
                  <c:v>4.6971935007385355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6C-4E5C-B7F7-505C1BB2C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4995760"/>
        <c:axId val="1644999920"/>
      </c:scatterChart>
      <c:valAx>
        <c:axId val="164499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999920"/>
        <c:crosses val="autoZero"/>
        <c:crossBetween val="midCat"/>
      </c:valAx>
      <c:valAx>
        <c:axId val="164499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9957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EDC0-AFDB-4493-B9DA-EE7FE258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3</cp:revision>
  <dcterms:created xsi:type="dcterms:W3CDTF">2022-04-03T15:22:00Z</dcterms:created>
  <dcterms:modified xsi:type="dcterms:W3CDTF">2022-04-16T16:56:00Z</dcterms:modified>
</cp:coreProperties>
</file>