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b789ccc325321bd6211be5311c30249f5876e4"/>
    <w:p>
      <w:pPr>
        <w:pStyle w:val="Heading1"/>
      </w:pPr>
      <w:r>
        <w:t xml:space="preserve">Attention in our Graph-Based Text→SQL Retriever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text→SQL engineers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how we compute attention today (query/key/value, scoring, multi‑hop) and concrete examples on our internal datasets, plus targeted improvements.</w:t>
      </w:r>
    </w:p>
    <w:p>
      <w:r>
        <w:pict>
          <v:rect style="width:0;height:1.5pt" o:hralign="center" o:hrstd="t" o:hr="t"/>
        </w:pict>
      </w:r>
    </w:p>
    <w:bookmarkStart w:id="20" w:name="Xa7797b7ae62b5d69a13c9a0a8548ea47a88a9f4"/>
    <w:p>
      <w:pPr>
        <w:pStyle w:val="Heading2"/>
      </w:pPr>
      <w:r>
        <w:t xml:space="preserve">1) What we encode in table/column embeddings today</w:t>
      </w:r>
    </w:p>
    <w:p>
      <w:pPr>
        <w:pStyle w:val="FirstParagraph"/>
      </w:pPr>
      <w:r>
        <w:rPr>
          <w:b/>
          <w:bCs/>
        </w:rPr>
        <w:t xml:space="preserve">Keys (K)</w:t>
      </w:r>
      <w:r>
        <w:t xml:space="preserve"> </w:t>
      </w:r>
      <w:r>
        <w:t xml:space="preserve">in the retriever are the</w:t>
      </w:r>
      <w:r>
        <w:t xml:space="preserve"> </w:t>
      </w:r>
      <w:r>
        <w:rPr>
          <w:b/>
          <w:bCs/>
        </w:rPr>
        <w:t xml:space="preserve">table and column representations</w:t>
      </w:r>
      <w:r>
        <w:t xml:space="preserve"> </w:t>
      </w:r>
      <w:r>
        <w:t xml:space="preserve">built from:</w:t>
      </w:r>
      <w:r>
        <w:t xml:space="preserve"> </w:t>
      </w:r>
      <w:r>
        <w:t xml:space="preserve">- Table description text (from the catalog)</w:t>
      </w:r>
      <w:r>
        <w:t xml:space="preserve"> </w:t>
      </w:r>
      <w:r>
        <w:t xml:space="preserve">- Column names</w:t>
      </w:r>
      <w:r>
        <w:t xml:space="preserve"> </w:t>
      </w:r>
      <w:r>
        <w:t xml:space="preserve">- Column descriptions</w:t>
      </w:r>
    </w:p>
    <w:p>
      <w:pPr>
        <w:pStyle w:val="BlockText"/>
      </w:pPr>
      <w:r>
        <w:t xml:space="preserve">Note: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currently embed large value inventories (e.g., long lists of distinct exchange codes). Where present, we only use a small number of distinct values that make it into the column description text; high‑cardinality value lists are excluded for cost/quality reasons.</w:t>
      </w:r>
    </w:p>
    <w:p>
      <w:pPr>
        <w:pStyle w:val="FirstParagraph"/>
      </w:pPr>
      <w:r>
        <w:rPr>
          <w:b/>
          <w:bCs/>
        </w:rPr>
        <w:t xml:space="preserve">Queries (Q)</w:t>
      </w:r>
      <w:r>
        <w:t xml:space="preserve"> </w:t>
      </w:r>
      <w:r>
        <w:t xml:space="preserve">are the user’s natural‑language request embedding.</w:t>
      </w:r>
    </w:p>
    <w:p>
      <w:pPr>
        <w:pStyle w:val="BodyText"/>
      </w:pPr>
      <w:r>
        <w:rPr>
          <w:b/>
          <w:bCs/>
        </w:rPr>
        <w:t xml:space="preserve">Values (V)</w:t>
      </w:r>
      <w:r>
        <w:t xml:space="preserve"> </w:t>
      </w:r>
      <w:r>
        <w:t xml:space="preserve">are implicitly the</w:t>
      </w:r>
      <w:r>
        <w:t xml:space="preserve"> </w:t>
      </w:r>
      <w:r>
        <w:rPr>
          <w:b/>
          <w:bCs/>
        </w:rPr>
        <w:t xml:space="preserve">table/column nodes and their metadata</w:t>
      </w:r>
      <w:r>
        <w:t xml:space="preserve"> </w:t>
      </w:r>
      <w:r>
        <w:t xml:space="preserve">(used for weighting and ranking).</w:t>
      </w:r>
    </w:p>
    <w:p>
      <w:pPr>
        <w:pStyle w:val="BodyText"/>
      </w:pPr>
      <w:r>
        <w:t xml:space="preserve">We also compute</w:t>
      </w:r>
      <w:r>
        <w:t xml:space="preserve"> </w:t>
      </w:r>
      <w:r>
        <w:rPr>
          <w:b/>
          <w:bCs/>
        </w:rPr>
        <w:t xml:space="preserve">structural features</w:t>
      </w:r>
      <w:r>
        <w:t xml:space="preserve"> </w:t>
      </w:r>
      <w:r>
        <w:t xml:space="preserve">on the knowledge graph (centrality/hubness, relationship types) and a</w:t>
      </w:r>
      <w:r>
        <w:t xml:space="preserve"> </w:t>
      </w:r>
      <w:r>
        <w:rPr>
          <w:b/>
          <w:bCs/>
        </w:rPr>
        <w:t xml:space="preserve">lexical/semantic column relevance</w:t>
      </w:r>
      <w:r>
        <w:t xml:space="preserve"> </w:t>
      </w:r>
      <w:r>
        <w:t xml:space="preserve">term.</w:t>
      </w:r>
    </w:p>
    <w:p>
      <w:r>
        <w:pict>
          <v:rect style="width:0;height:1.5pt" o:hralign="center" o:hrstd="t" o:hr="t"/>
        </w:pict>
      </w:r>
    </w:p>
    <w:bookmarkEnd w:id="20"/>
    <w:bookmarkStart w:id="21" w:name="how-attention-is-computed-endtoend"/>
    <w:p>
      <w:pPr>
        <w:pStyle w:val="Heading2"/>
      </w:pPr>
      <w:r>
        <w:t xml:space="preserve">2) How attention is computed (end‑to‑end)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Embedding similarity (Q·K):</w:t>
      </w:r>
      <w:r>
        <w:t xml:space="preserve"> </w:t>
      </w:r>
      <w:r>
        <w:t xml:space="preserve">cosine similarity between the query embedding and each table/column embedding.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Structure‑aware boost:</w:t>
      </w:r>
      <w:r>
        <w:t xml:space="preserve"> </w:t>
      </w:r>
      <w:r>
        <w:t xml:space="preserve">centrality/hub/authority scores and relationship types add a structural prior.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Query–column relevance:</w:t>
      </w:r>
      <w:r>
        <w:t xml:space="preserve"> </w:t>
      </w:r>
      <w:r>
        <w:t xml:space="preserve">an extra relevance channel from the query to specific columns (heuristic semantic/lexical match using embeddings and descriptions).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Ensemble &amp; re‑rank:</w:t>
      </w:r>
      <w:r>
        <w:t xml:space="preserve"> </w:t>
      </w:r>
      <w:r>
        <w:t xml:space="preserve">we blend (1) seed tables from embedding similarity, (2) multi‑hop neighbors discovered with hop attention, and (3) column‑match boosts into a final table list.</w:t>
      </w:r>
    </w:p>
    <w:p>
      <w:pPr>
        <w:pStyle w:val="FirstParagraph"/>
      </w:pPr>
      <w:r>
        <w:rPr>
          <w:b/>
          <w:bCs/>
        </w:rPr>
        <w:t xml:space="preserve">Current weight scheme (illustrative):</w:t>
      </w:r>
      <w:r>
        <w:br/>
      </w:r>
      <w:r>
        <w:t xml:space="preserve">- Embedding channel ≈</w:t>
      </w:r>
      <w:r>
        <w:t xml:space="preserve"> </w:t>
      </w:r>
      <w:r>
        <w:rPr>
          <w:b/>
          <w:bCs/>
        </w:rPr>
        <w:t xml:space="preserve">0.4–0.5</w:t>
      </w:r>
      <w:r>
        <w:br/>
      </w:r>
      <w:r>
        <w:t xml:space="preserve">- Multi‑hop reasoning ≈</w:t>
      </w:r>
      <w:r>
        <w:t xml:space="preserve"> </w:t>
      </w:r>
      <w:r>
        <w:rPr>
          <w:b/>
          <w:bCs/>
        </w:rPr>
        <w:t xml:space="preserve">0.3</w:t>
      </w:r>
      <w:r>
        <w:br/>
      </w:r>
      <w:r>
        <w:t xml:space="preserve">- Column‑match boosts ≈</w:t>
      </w:r>
      <w:r>
        <w:t xml:space="preserve"> </w:t>
      </w:r>
      <w:r>
        <w:rPr>
          <w:b/>
          <w:bCs/>
        </w:rPr>
        <w:t xml:space="preserve">0.3×(0.1 per matched column)</w:t>
      </w:r>
      <w:r>
        <w:br/>
      </w:r>
      <w:r>
        <w:t xml:space="preserve">- Structural centrality and query‑table relevance are mixed as an</w:t>
      </w:r>
      <w:r>
        <w:t xml:space="preserve"> </w:t>
      </w:r>
      <w:r>
        <w:rPr>
          <w:b/>
          <w:bCs/>
        </w:rPr>
        <w:t xml:space="preserve">attention add‑on</w:t>
      </w:r>
      <w:r>
        <w:t xml:space="preserve"> </w:t>
      </w:r>
      <w:r>
        <w:t xml:space="preserve">alongside the base similarity.</w:t>
      </w:r>
    </w:p>
    <w:p>
      <w:pPr>
        <w:pStyle w:val="BodyText"/>
      </w:pPr>
      <w:r>
        <w:rPr>
          <w:b/>
          <w:bCs/>
        </w:rPr>
        <w:t xml:space="preserve">Hop‑aware attention:</w:t>
      </w:r>
      <w:r>
        <w:t xml:space="preserve"> </w:t>
      </w:r>
      <w:r>
        <w:t xml:space="preserve">the neighbor path score is modulated by a hop attention that down‑weights distant hops and prefers edges with stronger relationship weights; we keep up to ~2–3 hops and require a minimum quality threshold before adding a neighbor.</w:t>
      </w:r>
    </w:p>
    <w:p>
      <w:r>
        <w:pict>
          <v:rect style="width:0;height:1.5pt" o:hralign="center" o:hrstd="t" o:hr="t"/>
        </w:pict>
      </w:r>
    </w:p>
    <w:bookmarkEnd w:id="21"/>
    <w:bookmarkStart w:id="25" w:name="worked-examples-on-internal-datasets"/>
    <w:p>
      <w:pPr>
        <w:pStyle w:val="Heading2"/>
      </w:pPr>
      <w:r>
        <w:t xml:space="preserve">3) Worked examples on internal datasets</w:t>
      </w:r>
    </w:p>
    <w:p>
      <w:pPr>
        <w:pStyle w:val="FirstParagraph"/>
      </w:pPr>
      <w:r>
        <w:t xml:space="preserve">Below are realistic queries, the attention channels that fire, the final ranking intuition, and example SQL. Numbers in the</w:t>
      </w:r>
      <w:r>
        <w:t xml:space="preserve"> </w:t>
      </w:r>
      <w:r>
        <w:t xml:space="preserve">“score breakdown”</w:t>
      </w:r>
      <w:r>
        <w:t xml:space="preserve"> </w:t>
      </w:r>
      <w:r>
        <w:t xml:space="preserve">rows are</w:t>
      </w:r>
      <w:r>
        <w:t xml:space="preserve"> </w:t>
      </w:r>
      <w:r>
        <w:rPr>
          <w:b/>
          <w:bCs/>
        </w:rPr>
        <w:t xml:space="preserve">illustrative</w:t>
      </w:r>
      <w:r>
        <w:t xml:space="preserve"> </w:t>
      </w:r>
      <w:r>
        <w:t xml:space="preserve">for explanation (not from a live run).</w:t>
      </w:r>
    </w:p>
    <w:bookmarkStart w:id="22" w:name="Xd9b25d3642e3fed0ba4867b4b3d250e18f9aa85"/>
    <w:p>
      <w:pPr>
        <w:pStyle w:val="Heading3"/>
      </w:pPr>
      <w:r>
        <w:t xml:space="preserve">Example A — APAC equities EOD pricing in SGD</w:t>
      </w:r>
    </w:p>
    <w:p>
      <w:pPr>
        <w:pStyle w:val="FirstParagraph"/>
      </w:pPr>
      <w:r>
        <w:rPr>
          <w:b/>
          <w:bCs/>
        </w:rPr>
        <w:t xml:space="preserve">User query:</w:t>
      </w:r>
      <w:r>
        <w:t xml:space="preserve"> </w:t>
      </w:r>
      <w:r>
        <w:t xml:space="preserve">“Show equities end‑of‑day quotes for</w:t>
      </w:r>
      <w:r>
        <w:t xml:space="preserve"> </w:t>
      </w:r>
      <w:r>
        <w:rPr>
          <w:b/>
          <w:bCs/>
        </w:rPr>
        <w:t xml:space="preserve">APAC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SGD</w:t>
      </w:r>
      <w:r>
        <w:t xml:space="preserve"> </w:t>
      </w:r>
      <w:r>
        <w:t xml:space="preserve">on 2025‑06‑30.”</w:t>
      </w:r>
    </w:p>
    <w:p>
      <w:pPr>
        <w:pStyle w:val="BodyText"/>
      </w:pPr>
      <w:r>
        <w:rPr>
          <w:b/>
          <w:bCs/>
        </w:rPr>
        <w:t xml:space="preserve">Likely candidate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...OM_MKTD_EQ_EOD_PRICING_VOL_VW</w:t>
      </w:r>
      <w:r>
        <w:t xml:space="preserve"> </w:t>
      </w:r>
      <w:r>
        <w:t xml:space="preserve">(EOD equities pricing)</w:t>
      </w:r>
      <w:r>
        <w:t xml:space="preserve"> </w:t>
      </w:r>
      <w:r>
        <w:t xml:space="preserve">- Other quote/market‑data history views (rates/quotes variants) as lower‑rank fallbacks</w:t>
      </w:r>
    </w:p>
    <w:p>
      <w:pPr>
        <w:pStyle w:val="BodyText"/>
      </w:pPr>
      <w:r>
        <w:rPr>
          <w:b/>
          <w:bCs/>
        </w:rPr>
        <w:t xml:space="preserve">Why these tables light up: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Embedding channel:</w:t>
      </w:r>
      <w:r>
        <w:t xml:space="preserve"> </w:t>
      </w:r>
      <w:r>
        <w:t xml:space="preserve">tokens</w:t>
      </w:r>
      <w:r>
        <w:t xml:space="preserve"> </w:t>
      </w:r>
      <w:r>
        <w:rPr>
          <w:i/>
          <w:iCs/>
        </w:rPr>
        <w:t xml:space="preserve">equities</w:t>
      </w:r>
      <w:r>
        <w:t xml:space="preserve">,</w:t>
      </w:r>
      <w:r>
        <w:t xml:space="preserve"> </w:t>
      </w:r>
      <w:r>
        <w:rPr>
          <w:i/>
          <w:iCs/>
        </w:rPr>
        <w:t xml:space="preserve">end‑of‑day</w:t>
      </w:r>
      <w:r>
        <w:t xml:space="preserve">,</w:t>
      </w:r>
      <w:r>
        <w:t xml:space="preserve"> </w:t>
      </w:r>
      <w:r>
        <w:rPr>
          <w:i/>
          <w:iCs/>
        </w:rPr>
        <w:t xml:space="preserve">quotes</w:t>
      </w:r>
      <w:r>
        <w:t xml:space="preserve"> </w:t>
      </w:r>
      <w:r>
        <w:t xml:space="preserve">align with the table description and columns like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currency_code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Column channel: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has small, high‑signal enums (APAC/EMEA/NAM/LATAM), and</w:t>
      </w:r>
      <w:r>
        <w:t xml:space="preserve"> </w:t>
      </w:r>
      <w:r>
        <w:rPr>
          <w:rStyle w:val="VerbatimChar"/>
        </w:rPr>
        <w:t xml:space="preserve">currency_code</w:t>
      </w:r>
      <w:r>
        <w:t xml:space="preserve"> </w:t>
      </w:r>
      <w:r>
        <w:t xml:space="preserve">exposes ISO codes; both match the query terms.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Structure:</w:t>
      </w:r>
      <w:r>
        <w:t xml:space="preserve"> </w:t>
      </w:r>
      <w:r>
        <w:t xml:space="preserve">EOD pricing tables tend to be well connected to product/reference dims; modest hubness boost.</w:t>
      </w:r>
    </w:p>
    <w:p>
      <w:pPr>
        <w:pStyle w:val="BodyText"/>
      </w:pPr>
      <w:r>
        <w:rPr>
          <w:b/>
          <w:bCs/>
        </w:rPr>
        <w:t xml:space="preserve">Score breakdown (illustrative):</w:t>
      </w:r>
      <w:r>
        <w:br/>
      </w:r>
      <w:r>
        <w:t xml:space="preserve">- Base (Q·K) similarity:</w:t>
      </w:r>
      <w:r>
        <w:t xml:space="preserve"> </w:t>
      </w:r>
      <w:r>
        <w:rPr>
          <w:b/>
          <w:bCs/>
        </w:rPr>
        <w:t xml:space="preserve">0.62 × 0.5 ≈ 0.31</w:t>
      </w:r>
      <w:r>
        <w:br/>
      </w:r>
      <w:r>
        <w:t xml:space="preserve">- Structural centrality:</w:t>
      </w:r>
      <w:r>
        <w:t xml:space="preserve"> </w:t>
      </w:r>
      <w:r>
        <w:rPr>
          <w:b/>
          <w:bCs/>
        </w:rPr>
        <w:t xml:space="preserve">0.20 × 0.3 ≈ 0.06</w:t>
      </w:r>
      <w:r>
        <w:br/>
      </w:r>
      <w:r>
        <w:t xml:space="preserve">- Column relevance (region, currency_code):</w:t>
      </w:r>
      <w:r>
        <w:t xml:space="preserve"> </w:t>
      </w:r>
      <w:r>
        <w:rPr>
          <w:b/>
          <w:bCs/>
        </w:rPr>
        <w:t xml:space="preserve">2 cols × 0.1 × 0.3 ≈ 0.06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Total ≈ 0.43</w:t>
      </w:r>
      <w:r>
        <w:t xml:space="preserve">, ranked #1–#2 among market‑data tables</w:t>
      </w:r>
    </w:p>
    <w:p>
      <w:pPr>
        <w:pStyle w:val="BodyText"/>
      </w:pPr>
      <w:r>
        <w:rPr>
          <w:b/>
          <w:bCs/>
        </w:rPr>
        <w:t xml:space="preserve">Example SQL (sketch):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trade_date, security_id, universal_close_price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GFOLYMKT_MANAGED_ALL.OM_MKTD_EQ_EOD_PRICING_VOL_VW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'APAC'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currency_code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'SGD'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trade_date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'2025-06-30'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security_id;</w:t>
      </w:r>
    </w:p>
    <w:p>
      <w:pPr>
        <w:pStyle w:val="FirstParagraph"/>
      </w:pPr>
      <w:r>
        <w:rPr>
          <w:b/>
          <w:bCs/>
        </w:rPr>
        <w:t xml:space="preserve">Pros of attention here:</w:t>
      </w:r>
      <w:r>
        <w:t xml:space="preserve"> </w:t>
      </w:r>
      <w:r>
        <w:t xml:space="preserve">- Column enums (region, currency) make the column‑match channel very crisp.</w:t>
      </w:r>
      <w:r>
        <w:t xml:space="preserve"> </w:t>
      </w:r>
      <w:r>
        <w:t xml:space="preserve">- Multi‑hop can optionally pull in related ref dims for enrichment.</w:t>
      </w:r>
    </w:p>
    <w:p>
      <w:pPr>
        <w:pStyle w:val="BodyText"/>
      </w:pPr>
      <w:r>
        <w:rPr>
          <w:b/>
          <w:bCs/>
        </w:rPr>
        <w:t xml:space="preserve">Potential issues:</w:t>
      </w:r>
      <w:r>
        <w:t xml:space="preserve"> </w:t>
      </w:r>
      <w:r>
        <w:t xml:space="preserve">- If the query says</w:t>
      </w:r>
      <w:r>
        <w:t xml:space="preserve"> </w:t>
      </w:r>
      <w:r>
        <w:t xml:space="preserve">“quotes”</w:t>
      </w:r>
      <w:r>
        <w:t xml:space="preserve"> </w:t>
      </w:r>
      <w:r>
        <w:t xml:space="preserve">but means</w:t>
      </w:r>
      <w:r>
        <w:t xml:space="preserve"> </w:t>
      </w:r>
      <w:r>
        <w:rPr>
          <w:i/>
          <w:iCs/>
        </w:rPr>
        <w:t xml:space="preserve">intraday</w:t>
      </w:r>
      <w:r>
        <w:t xml:space="preserve"> </w:t>
      </w:r>
      <w:r>
        <w:t xml:space="preserve">(tick/quote tape), the EOD view may win due to description overlap (</w:t>
      </w:r>
      <w:r>
        <w:t xml:space="preserve">“quote”</w:t>
      </w:r>
      <w:r>
        <w:t xml:space="preserve"> </w:t>
      </w:r>
      <w:r>
        <w:t xml:space="preserve">appears in many market‑data artifacts). Disambiguation relies on time‑granularity hints (</w:t>
      </w:r>
      <w:r>
        <w:t xml:space="preserve">“end‑of‑day”</w:t>
      </w:r>
      <w:r>
        <w:t xml:space="preserve">,</w:t>
      </w:r>
      <w:r>
        <w:t xml:space="preserve"> </w:t>
      </w:r>
      <w:r>
        <w:t xml:space="preserve">“EOD”</w:t>
      </w:r>
      <w:r>
        <w:t xml:space="preserve">, specific</w:t>
      </w:r>
      <w:r>
        <w:t xml:space="preserve"> </w:t>
      </w:r>
      <w:r>
        <w:rPr>
          <w:i/>
          <w:iCs/>
        </w:rPr>
        <w:t xml:space="preserve">timestamp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date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Xa35d741caaa0db7909119d60b904be75d4a1a31"/>
    <w:p>
      <w:pPr>
        <w:pStyle w:val="Heading3"/>
      </w:pPr>
      <w:r>
        <w:t xml:space="preserve">Example B — Trades executed on</w:t>
      </w:r>
      <w:r>
        <w:t xml:space="preserve"> </w:t>
      </w:r>
      <w:r>
        <w:rPr>
          <w:b/>
          <w:bCs/>
        </w:rPr>
        <w:t xml:space="preserve">XETR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EUR</w:t>
      </w:r>
      <w:r>
        <w:t xml:space="preserve"> </w:t>
      </w:r>
      <w:r>
        <w:t xml:space="preserve">on 2025‑06‑30</w:t>
      </w:r>
    </w:p>
    <w:p>
      <w:pPr>
        <w:pStyle w:val="FirstParagraph"/>
      </w:pPr>
      <w:r>
        <w:rPr>
          <w:b/>
          <w:bCs/>
        </w:rPr>
        <w:t xml:space="preserve">User query:</w:t>
      </w:r>
      <w:r>
        <w:t xml:space="preserve"> </w:t>
      </w:r>
      <w:r>
        <w:t xml:space="preserve">“List all trades executed on</w:t>
      </w:r>
      <w:r>
        <w:t xml:space="preserve"> </w:t>
      </w:r>
      <w:r>
        <w:rPr>
          <w:b/>
          <w:bCs/>
        </w:rPr>
        <w:t xml:space="preserve">XETR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EUR</w:t>
      </w:r>
      <w:r>
        <w:t xml:space="preserve"> </w:t>
      </w:r>
      <w:r>
        <w:t xml:space="preserve">on 2025‑06‑30.”</w:t>
      </w:r>
    </w:p>
    <w:p>
      <w:pPr>
        <w:pStyle w:val="BodyText"/>
      </w:pPr>
      <w:r>
        <w:rPr>
          <w:b/>
          <w:bCs/>
        </w:rPr>
        <w:t xml:space="preserve">Likely candidate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...OM_TRADE_FACT_ALL</w:t>
      </w:r>
      <w:r>
        <w:t xml:space="preserve"> </w:t>
      </w:r>
      <w:r>
        <w:t xml:space="preserve">(cash/derivatives trade facts)</w:t>
      </w:r>
    </w:p>
    <w:p>
      <w:pPr>
        <w:pStyle w:val="BodyText"/>
      </w:pPr>
      <w:r>
        <w:rPr>
          <w:b/>
          <w:bCs/>
        </w:rPr>
        <w:t xml:space="preserve">Why this table lights up: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Embedding channel:</w:t>
      </w:r>
      <w:r>
        <w:t xml:space="preserve"> </w:t>
      </w:r>
      <w:r>
        <w:rPr>
          <w:i/>
          <w:iCs/>
        </w:rPr>
        <w:t xml:space="preserve">trades</w:t>
      </w:r>
      <w:r>
        <w:t xml:space="preserve">,</w:t>
      </w:r>
      <w:r>
        <w:t xml:space="preserve"> </w:t>
      </w:r>
      <w:r>
        <w:rPr>
          <w:i/>
          <w:iCs/>
        </w:rPr>
        <w:t xml:space="preserve">executed</w:t>
      </w:r>
      <w:r>
        <w:t xml:space="preserve">,</w:t>
      </w:r>
      <w:r>
        <w:t xml:space="preserve"> </w:t>
      </w:r>
      <w:r>
        <w:rPr>
          <w:i/>
          <w:iCs/>
        </w:rPr>
        <w:t xml:space="preserve">venue/exchange</w:t>
      </w:r>
      <w:r>
        <w:t xml:space="preserve"> </w:t>
      </w:r>
      <w:r>
        <w:t xml:space="preserve">terms align with trade‑fact descriptions.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Column channel:</w:t>
      </w:r>
      <w:r>
        <w:t xml:space="preserve"> </w:t>
      </w:r>
      <w:r>
        <w:rPr>
          <w:rStyle w:val="VerbatimChar"/>
        </w:rPr>
        <w:t xml:space="preserve">trade_venue</w:t>
      </w:r>
      <w:r>
        <w:t xml:space="preserve"> </w:t>
      </w:r>
      <w:r>
        <w:t xml:space="preserve">includes many venue codes (e.g., XETR),</w:t>
      </w:r>
      <w:r>
        <w:t xml:space="preserve"> </w:t>
      </w:r>
      <w:r>
        <w:rPr>
          <w:rStyle w:val="VerbatimChar"/>
        </w:rPr>
        <w:t xml:space="preserve">trade_currency</w:t>
      </w:r>
      <w:r>
        <w:t xml:space="preserve">/</w:t>
      </w:r>
      <w:r>
        <w:rPr>
          <w:rStyle w:val="VerbatimChar"/>
        </w:rPr>
        <w:t xml:space="preserve">settlement_ccy</w:t>
      </w:r>
      <w:r>
        <w:t xml:space="preserve"> </w:t>
      </w:r>
      <w:r>
        <w:t xml:space="preserve">align with EUR filters.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Structure:</w:t>
      </w:r>
      <w:r>
        <w:t xml:space="preserve"> </w:t>
      </w:r>
      <w:r>
        <w:t xml:space="preserve">Highly connected fact table → hub boost; neighbors include reference/product dims.</w:t>
      </w:r>
    </w:p>
    <w:p>
      <w:pPr>
        <w:pStyle w:val="BodyText"/>
      </w:pPr>
      <w:r>
        <w:rPr>
          <w:b/>
          <w:bCs/>
        </w:rPr>
        <w:t xml:space="preserve">Score breakdown (illustrative):</w:t>
      </w:r>
      <w:r>
        <w:br/>
      </w:r>
      <w:r>
        <w:t xml:space="preserve">- Base (Q·K) similarity:</w:t>
      </w:r>
      <w:r>
        <w:t xml:space="preserve"> </w:t>
      </w:r>
      <w:r>
        <w:rPr>
          <w:b/>
          <w:bCs/>
        </w:rPr>
        <w:t xml:space="preserve">0.58 × 0.5 ≈ 0.29</w:t>
      </w:r>
      <w:r>
        <w:br/>
      </w:r>
      <w:r>
        <w:t xml:space="preserve">- Structural centrality:</w:t>
      </w:r>
      <w:r>
        <w:t xml:space="preserve"> </w:t>
      </w:r>
      <w:r>
        <w:rPr>
          <w:b/>
          <w:bCs/>
        </w:rPr>
        <w:t xml:space="preserve">0.26 × 0.3 ≈ 0.08</w:t>
      </w:r>
      <w:r>
        <w:br/>
      </w:r>
      <w:r>
        <w:t xml:space="preserve">- Column relevance (trade_venue, trade_currency):</w:t>
      </w:r>
      <w:r>
        <w:t xml:space="preserve"> </w:t>
      </w:r>
      <w:r>
        <w:rPr>
          <w:b/>
          <w:bCs/>
        </w:rPr>
        <w:t xml:space="preserve">2 cols × 0.1 × 0.3 ≈ 0.06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Total ≈ 0.43</w:t>
      </w:r>
      <w:r>
        <w:t xml:space="preserve">, typically</w:t>
      </w:r>
      <w:r>
        <w:t xml:space="preserve"> </w:t>
      </w:r>
      <w:r>
        <w:rPr>
          <w:b/>
          <w:bCs/>
        </w:rPr>
        <w:t xml:space="preserve">rank #1</w:t>
      </w:r>
      <w:r>
        <w:t xml:space="preserve"> </w:t>
      </w:r>
      <w:r>
        <w:t xml:space="preserve">for trade queries</w:t>
      </w:r>
    </w:p>
    <w:p>
      <w:pPr>
        <w:pStyle w:val="BodyText"/>
      </w:pPr>
      <w:r>
        <w:rPr>
          <w:b/>
          <w:bCs/>
        </w:rPr>
        <w:t xml:space="preserve">Example SQL (sketch):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trade_id, trade_date, trade_venue, trade_currency, quantity, price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GFOLYNSD_STANDARDIZATION.OM_TRADE_FACT_ALL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trade_date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'2025-06-30'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trade_venue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'XETR'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trade_currency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trade_id;</w:t>
      </w:r>
    </w:p>
    <w:p>
      <w:pPr>
        <w:pStyle w:val="FirstParagraph"/>
      </w:pPr>
      <w:r>
        <w:rPr>
          <w:b/>
          <w:bCs/>
        </w:rPr>
        <w:t xml:space="preserve">Pros of attention here:</w:t>
      </w:r>
      <w:r>
        <w:t xml:space="preserve"> </w:t>
      </w:r>
      <w:r>
        <w:t xml:space="preserve">- The column‑match channel helps disambiguate among multiple trade fact variants by spotting</w:t>
      </w:r>
      <w:r>
        <w:t xml:space="preserve"> </w:t>
      </w:r>
      <w:r>
        <w:rPr>
          <w:rStyle w:val="VerbatimChar"/>
        </w:rPr>
        <w:t xml:space="preserve">trade_venue</w:t>
      </w:r>
      <w:r>
        <w:t xml:space="preserve"> </w:t>
      </w:r>
      <w:r>
        <w:t xml:space="preserve">and currency fields.</w:t>
      </w:r>
    </w:p>
    <w:p>
      <w:pPr>
        <w:pStyle w:val="BodyText"/>
      </w:pPr>
      <w:r>
        <w:rPr>
          <w:b/>
          <w:bCs/>
        </w:rPr>
        <w:t xml:space="preserve">Potential issues: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High‑cardinality values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trade_venue</w:t>
      </w:r>
      <w:r>
        <w:t xml:space="preserve"> </w:t>
      </w:r>
      <w:r>
        <w:t xml:space="preserve">codes are</w:t>
      </w:r>
      <w:r>
        <w:t xml:space="preserve"> </w:t>
      </w:r>
      <w:r>
        <w:rPr>
          <w:b/>
          <w:bCs/>
        </w:rPr>
        <w:t xml:space="preserve">not embedded individually</w:t>
      </w:r>
      <w:r>
        <w:t xml:space="preserve">; we rely on</w:t>
      </w:r>
      <w:r>
        <w:t xml:space="preserve"> </w:t>
      </w:r>
      <w:r>
        <w:rPr>
          <w:b/>
          <w:bCs/>
        </w:rPr>
        <w:t xml:space="preserve">exact string filters later</w:t>
      </w:r>
      <w:r>
        <w:t xml:space="preserve"> </w:t>
      </w:r>
      <w:r>
        <w:t xml:space="preserve">in SQL generation. This means attention may be driven mostly by schema semantics (good), but</w:t>
      </w:r>
      <w:r>
        <w:t xml:space="preserve"> </w:t>
      </w:r>
      <w:r>
        <w:rPr>
          <w:b/>
          <w:bCs/>
        </w:rPr>
        <w:t xml:space="preserve">value‑specific intent</w:t>
      </w:r>
      <w:r>
        <w:t xml:space="preserve"> </w:t>
      </w:r>
      <w:r>
        <w:t xml:space="preserve">(e.g.,</w:t>
      </w:r>
      <w:r>
        <w:t xml:space="preserve"> </w:t>
      </w:r>
      <w:r>
        <w:t xml:space="preserve">“XETR”</w:t>
      </w:r>
      <w:r>
        <w:t xml:space="preserve">) doesn’t directly raise the</w:t>
      </w:r>
      <w:r>
        <w:t xml:space="preserve"> </w:t>
      </w:r>
      <w:r>
        <w:rPr>
          <w:i/>
          <w:iCs/>
        </w:rPr>
        <w:t xml:space="preserve">table</w:t>
      </w:r>
      <w:r>
        <w:t xml:space="preserve"> </w:t>
      </w:r>
      <w:r>
        <w:t xml:space="preserve">score unless present in short distinct lists.</w:t>
      </w:r>
      <w:r>
        <w:t xml:space="preserve"> </w:t>
      </w:r>
      <w:r>
        <w:t xml:space="preserve">- If multiple trade fact tables exist (cash vs. derivatives), hubness could over‑prioritise a superset table when a more specific sub‑domain table would be cleaner.</w:t>
      </w:r>
    </w:p>
    <w:p>
      <w:r>
        <w:pict>
          <v:rect style="width:0;height:1.5pt" o:hralign="center" o:hrstd="t" o:hr="t"/>
        </w:pict>
      </w:r>
    </w:p>
    <w:bookmarkEnd w:id="23"/>
    <w:bookmarkStart w:id="24" w:name="X732412890eed0511166254d6095394b8f1ea44b"/>
    <w:p>
      <w:pPr>
        <w:pStyle w:val="Heading3"/>
      </w:pPr>
      <w:r>
        <w:t xml:space="preserve">Example C — Active products with</w:t>
      </w:r>
      <w:r>
        <w:t xml:space="preserve"> </w:t>
      </w:r>
      <w:r>
        <w:rPr>
          <w:b/>
          <w:bCs/>
        </w:rPr>
        <w:t xml:space="preserve">base_currency = SGD</w:t>
      </w:r>
    </w:p>
    <w:p>
      <w:pPr>
        <w:pStyle w:val="FirstParagraph"/>
      </w:pPr>
      <w:r>
        <w:rPr>
          <w:b/>
          <w:bCs/>
        </w:rPr>
        <w:t xml:space="preserve">User query:</w:t>
      </w:r>
      <w:r>
        <w:t xml:space="preserve"> </w:t>
      </w:r>
      <w:r>
        <w:t xml:space="preserve">“List active products whose base currency is</w:t>
      </w:r>
      <w:r>
        <w:t xml:space="preserve"> </w:t>
      </w:r>
      <w:r>
        <w:rPr>
          <w:b/>
          <w:bCs/>
        </w:rPr>
        <w:t xml:space="preserve">SGD</w:t>
      </w:r>
      <w:r>
        <w:t xml:space="preserve">.”</w:t>
      </w:r>
    </w:p>
    <w:p>
      <w:pPr>
        <w:pStyle w:val="BodyText"/>
      </w:pPr>
      <w:r>
        <w:rPr>
          <w:b/>
          <w:bCs/>
        </w:rPr>
        <w:t xml:space="preserve">Likely candidate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...OM_PRODUCT_DIM</w:t>
      </w:r>
      <w:r>
        <w:t xml:space="preserve"> </w:t>
      </w:r>
      <w:r>
        <w:t xml:space="preserve">(product reference)</w:t>
      </w:r>
    </w:p>
    <w:p>
      <w:pPr>
        <w:pStyle w:val="BodyText"/>
      </w:pPr>
      <w:r>
        <w:rPr>
          <w:b/>
          <w:bCs/>
        </w:rPr>
        <w:t xml:space="preserve">Why this table lights up: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Embedding channel:</w:t>
      </w:r>
      <w:r>
        <w:t xml:space="preserve"> </w:t>
      </w:r>
      <w:r>
        <w:rPr>
          <w:i/>
          <w:iCs/>
        </w:rPr>
        <w:t xml:space="preserve">product</w:t>
      </w:r>
      <w:r>
        <w:t xml:space="preserve">,</w:t>
      </w:r>
      <w:r>
        <w:t xml:space="preserve"> </w:t>
      </w:r>
      <w:r>
        <w:rPr>
          <w:i/>
          <w:iCs/>
        </w:rPr>
        <w:t xml:space="preserve">base currency</w:t>
      </w:r>
      <w:r>
        <w:t xml:space="preserve"> </w:t>
      </w:r>
      <w:r>
        <w:t xml:space="preserve">terms align with product dimension descriptions.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Column channel:</w:t>
      </w:r>
      <w:r>
        <w:t xml:space="preserve"> </w:t>
      </w:r>
      <w:r>
        <w:rPr>
          <w:rStyle w:val="VerbatimChar"/>
        </w:rPr>
        <w:t xml:space="preserve">base_currency</w:t>
      </w:r>
      <w:r>
        <w:t xml:space="preserve"> </w:t>
      </w:r>
      <w:r>
        <w:t xml:space="preserve">is a compact enum;</w:t>
      </w:r>
      <w:r>
        <w:t xml:space="preserve"> </w:t>
      </w:r>
      <w:r>
        <w:rPr>
          <w:rStyle w:val="VerbatimChar"/>
        </w:rPr>
        <w:t xml:space="preserve">active_flag</w:t>
      </w:r>
      <w:r>
        <w:t xml:space="preserve"> </w:t>
      </w:r>
      <w:r>
        <w:t xml:space="preserve">is a crisp filter.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Structure:</w:t>
      </w:r>
      <w:r>
        <w:t xml:space="preserve"> </w:t>
      </w:r>
      <w:r>
        <w:t xml:space="preserve">Product dimension is heavily joined; decent hubness.</w:t>
      </w:r>
    </w:p>
    <w:p>
      <w:pPr>
        <w:pStyle w:val="BodyText"/>
      </w:pPr>
      <w:r>
        <w:rPr>
          <w:b/>
          <w:bCs/>
        </w:rPr>
        <w:t xml:space="preserve">Score breakdown (illustrative):</w:t>
      </w:r>
      <w:r>
        <w:br/>
      </w:r>
      <w:r>
        <w:t xml:space="preserve">- Base (Q·K) similarity:</w:t>
      </w:r>
      <w:r>
        <w:t xml:space="preserve"> </w:t>
      </w:r>
      <w:r>
        <w:rPr>
          <w:b/>
          <w:bCs/>
        </w:rPr>
        <w:t xml:space="preserve">0.60 × 0.5 ≈ 0.30</w:t>
      </w:r>
      <w:r>
        <w:br/>
      </w:r>
      <w:r>
        <w:t xml:space="preserve">- Structural centrality:</w:t>
      </w:r>
      <w:r>
        <w:t xml:space="preserve"> </w:t>
      </w:r>
      <w:r>
        <w:rPr>
          <w:b/>
          <w:bCs/>
        </w:rPr>
        <w:t xml:space="preserve">0.18 × 0.3 ≈ 0.05</w:t>
      </w:r>
      <w:r>
        <w:br/>
      </w:r>
      <w:r>
        <w:t xml:space="preserve">- Column relevance (</w:t>
      </w:r>
      <w:r>
        <w:rPr>
          <w:rStyle w:val="VerbatimChar"/>
        </w:rPr>
        <w:t xml:space="preserve">base_currency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active_flag</w:t>
      </w:r>
      <w:r>
        <w:t xml:space="preserve">):</w:t>
      </w:r>
      <w:r>
        <w:t xml:space="preserve"> </w:t>
      </w:r>
      <w:r>
        <w:rPr>
          <w:b/>
          <w:bCs/>
        </w:rPr>
        <w:t xml:space="preserve">2 × 0.1 × 0.3 ≈ 0.06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Total ≈ 0.41</w:t>
      </w:r>
      <w:r>
        <w:t xml:space="preserve">, top among reference dims</w:t>
      </w:r>
    </w:p>
    <w:p>
      <w:pPr>
        <w:pStyle w:val="BodyText"/>
      </w:pPr>
      <w:r>
        <w:rPr>
          <w:b/>
          <w:bCs/>
        </w:rPr>
        <w:t xml:space="preserve">Example SQL (sketch):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product_id, product_name, base_currency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GFOLYNSD_REFERENCE.OM_PRODUCT_DIM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base_currency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'SGD'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product_name;</w:t>
      </w:r>
    </w:p>
    <w:p>
      <w:pPr>
        <w:pStyle w:val="FirstParagraph"/>
      </w:pPr>
      <w:r>
        <w:rPr>
          <w:b/>
          <w:bCs/>
        </w:rPr>
        <w:t xml:space="preserve">Pros of attention here:</w:t>
      </w:r>
      <w:r>
        <w:t xml:space="preserve"> </w:t>
      </w:r>
      <w:r>
        <w:t xml:space="preserve">- Small, well‑named columns → strong column relevance signal.</w:t>
      </w:r>
    </w:p>
    <w:p>
      <w:pPr>
        <w:pStyle w:val="BodyText"/>
      </w:pPr>
      <w:r>
        <w:rPr>
          <w:b/>
          <w:bCs/>
        </w:rPr>
        <w:t xml:space="preserve">Potential issues:</w:t>
      </w:r>
      <w:r>
        <w:t xml:space="preserve"> </w:t>
      </w:r>
      <w:r>
        <w:t xml:space="preserve">- If</w:t>
      </w:r>
      <w:r>
        <w:t xml:space="preserve"> </w:t>
      </w:r>
      <w:r>
        <w:t xml:space="preserve">“SGD”</w:t>
      </w:r>
      <w:r>
        <w:t xml:space="preserve"> </w:t>
      </w:r>
      <w:r>
        <w:t xml:space="preserve">appears mostly in values (not the description), the model depends on the</w:t>
      </w:r>
      <w:r>
        <w:t xml:space="preserve"> </w:t>
      </w:r>
      <w:r>
        <w:rPr>
          <w:b/>
          <w:bCs/>
        </w:rPr>
        <w:t xml:space="preserve">column name semantics</w:t>
      </w:r>
      <w:r>
        <w:t xml:space="preserve"> </w:t>
      </w:r>
      <w:r>
        <w:t xml:space="preserve">rather than value embeddings.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e9ec1b46e76c97570524ef82ea67f061a366572"/>
    <w:p>
      <w:pPr>
        <w:pStyle w:val="Heading2"/>
      </w:pPr>
      <w:r>
        <w:t xml:space="preserve">4) Advantages &amp; limitations of the current attention</w:t>
      </w:r>
    </w:p>
    <w:p>
      <w:pPr>
        <w:pStyle w:val="FirstParagraph"/>
      </w:pPr>
      <w:r>
        <w:rPr>
          <w:b/>
          <w:bCs/>
        </w:rPr>
        <w:t xml:space="preserve">Strengths</w:t>
      </w:r>
      <w:r>
        <w:t xml:space="preserve"> </w:t>
      </w:r>
      <w:r>
        <w:t xml:space="preserve">- Blends</w:t>
      </w:r>
      <w:r>
        <w:t xml:space="preserve"> </w:t>
      </w:r>
      <w:r>
        <w:rPr>
          <w:b/>
          <w:bCs/>
        </w:rPr>
        <w:t xml:space="preserve">semantic intent</w:t>
      </w:r>
      <w:r>
        <w:t xml:space="preserve"> </w:t>
      </w:r>
      <w:r>
        <w:t xml:space="preserve">(Q·K) with</w:t>
      </w:r>
      <w:r>
        <w:t xml:space="preserve"> </w:t>
      </w:r>
      <w:r>
        <w:rPr>
          <w:b/>
          <w:bCs/>
        </w:rPr>
        <w:t xml:space="preserve">graph structure</w:t>
      </w:r>
      <w:r>
        <w:t xml:space="preserve"> </w:t>
      </w:r>
      <w:r>
        <w:t xml:space="preserve">(hub/relations) and</w:t>
      </w:r>
      <w:r>
        <w:t xml:space="preserve"> </w:t>
      </w:r>
      <w:r>
        <w:rPr>
          <w:b/>
          <w:bCs/>
        </w:rPr>
        <w:t xml:space="preserve">column‑level relevance</w:t>
      </w:r>
      <w:r>
        <w:t xml:space="preserve"> </w:t>
      </w:r>
      <w:r>
        <w:t xml:space="preserve">→ robust first‑pass recall.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Multi‑hop</w:t>
      </w:r>
      <w:r>
        <w:t xml:space="preserve"> </w:t>
      </w:r>
      <w:r>
        <w:t xml:space="preserve">attention pulls in neighbors when a seed table alone is insufficient.</w:t>
      </w:r>
      <w:r>
        <w:t xml:space="preserve"> </w:t>
      </w:r>
      <w:r>
        <w:t xml:space="preserve">- Low similarity threshold with</w:t>
      </w:r>
      <w:r>
        <w:t xml:space="preserve"> </w:t>
      </w:r>
      <w:r>
        <w:rPr>
          <w:b/>
          <w:bCs/>
        </w:rPr>
        <w:t xml:space="preserve">rank‑based blending</w:t>
      </w:r>
      <w:r>
        <w:t xml:space="preserve"> </w:t>
      </w:r>
      <w:r>
        <w:t xml:space="preserve">helps recall while keeping order stable.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unawareness</w:t>
      </w:r>
      <w:r>
        <w:t xml:space="preserve"> </w:t>
      </w:r>
      <w:r>
        <w:t xml:space="preserve">for high‑cardinality fields (venues, tickers, ISINs) can underweight the best table when the user intent is driven by a specific value.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Hub bias:</w:t>
      </w:r>
      <w:r>
        <w:t xml:space="preserve"> </w:t>
      </w:r>
      <w:r>
        <w:t xml:space="preserve">very connected fact tables can overshadow more precise niche tables.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Ambiguous time grain:</w:t>
      </w:r>
      <w:r>
        <w:t xml:space="preserve"> </w:t>
      </w:r>
      <w:r>
        <w:t xml:space="preserve">“quote”</w:t>
      </w:r>
      <w:r>
        <w:t xml:space="preserve"> </w:t>
      </w:r>
      <w:r>
        <w:t xml:space="preserve">may match both intraday and EOD without an explicit temporal cue.</w:t>
      </w:r>
    </w:p>
    <w:p>
      <w:r>
        <w:pict>
          <v:rect style="width:0;height:1.5pt" o:hralign="center" o:hrstd="t" o:hr="t"/>
        </w:pict>
      </w:r>
    </w:p>
    <w:bookmarkEnd w:id="26"/>
    <w:bookmarkStart w:id="27" w:name="dropin-improvements-prioritized"/>
    <w:p>
      <w:pPr>
        <w:pStyle w:val="Heading2"/>
      </w:pPr>
      <w:r>
        <w:t xml:space="preserve">5) Drop‑in improvements (prioritized)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Value‑aware micro‑embeddings</w:t>
      </w:r>
    </w:p>
    <w:p>
      <w:pPr>
        <w:pStyle w:val="Compact"/>
        <w:numPr>
          <w:ilvl w:val="1"/>
          <w:numId w:val="1003"/>
        </w:numPr>
      </w:pPr>
      <w:r>
        <w:t xml:space="preserve">For selected columns (venues, currencies, regions, tickers), index</w:t>
      </w:r>
      <w:r>
        <w:t xml:space="preserve"> </w:t>
      </w:r>
      <w:r>
        <w:rPr>
          <w:b/>
          <w:bCs/>
        </w:rPr>
        <w:t xml:space="preserve">top‑K distinct values</w:t>
      </w:r>
      <w:r>
        <w:t xml:space="preserve"> </w:t>
      </w:r>
      <w:r>
        <w:t xml:space="preserve">by frequency/coverage and maintain</w:t>
      </w:r>
      <w:r>
        <w:t xml:space="preserve"> </w:t>
      </w:r>
      <w:r>
        <w:rPr>
          <w:b/>
          <w:bCs/>
        </w:rPr>
        <w:t xml:space="preserve">compressed embeddings</w:t>
      </w:r>
      <w:r>
        <w:t xml:space="preserve"> </w:t>
      </w:r>
      <w:r>
        <w:t xml:space="preserve">(e.g., character n‑grams or hashing) with a</w:t>
      </w:r>
      <w:r>
        <w:t xml:space="preserve"> </w:t>
      </w:r>
      <w:r>
        <w:rPr>
          <w:b/>
          <w:bCs/>
        </w:rPr>
        <w:t xml:space="preserve">gate</w:t>
      </w:r>
      <w:r>
        <w:t xml:space="preserve"> </w:t>
      </w:r>
      <w:r>
        <w:t xml:space="preserve">that only fires if the query contains a clear value mention or alias.</w:t>
      </w:r>
    </w:p>
    <w:p>
      <w:pPr>
        <w:pStyle w:val="Compact"/>
        <w:numPr>
          <w:ilvl w:val="1"/>
          <w:numId w:val="1003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value‑match channel</w:t>
      </w:r>
      <w:r>
        <w:t xml:space="preserve"> </w:t>
      </w:r>
      <w:r>
        <w:t xml:space="preserve">to attention:</w:t>
      </w:r>
      <w:r>
        <w:t xml:space="preserve"> </w:t>
      </w:r>
      <w:r>
        <w:rPr>
          <w:rStyle w:val="VerbatimChar"/>
        </w:rPr>
        <w:t xml:space="preserve">value_boost = Σ match(v) × wv</w:t>
      </w:r>
      <w:r>
        <w:t xml:space="preserve"> </w:t>
      </w:r>
      <w:r>
        <w:t xml:space="preserve">with small cap to avoid overfitting.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Learned weight calibration (LTR)</w:t>
      </w:r>
    </w:p>
    <w:p>
      <w:pPr>
        <w:pStyle w:val="Compact"/>
        <w:numPr>
          <w:ilvl w:val="1"/>
          <w:numId w:val="1004"/>
        </w:numPr>
      </w:pPr>
      <w:r>
        <w:t xml:space="preserve">Replace fixed weights with</w:t>
      </w:r>
      <w:r>
        <w:t xml:space="preserve"> </w:t>
      </w:r>
      <w:r>
        <w:rPr>
          <w:b/>
          <w:bCs/>
        </w:rPr>
        <w:t xml:space="preserve">learning‑to‑rank</w:t>
      </w:r>
      <w:r>
        <w:t xml:space="preserve"> </w:t>
      </w:r>
      <w:r>
        <w:t xml:space="preserve">(LambdaMART/XGBoost) using offline judgments or click logs. Features: base sim, centrality, hop, column hits, value hits, rule hits, and recency.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Hop‑aware decay &amp; relation types</w:t>
      </w:r>
    </w:p>
    <w:p>
      <w:pPr>
        <w:pStyle w:val="Compact"/>
        <w:numPr>
          <w:ilvl w:val="1"/>
          <w:numId w:val="1005"/>
        </w:numPr>
      </w:pPr>
      <w:r>
        <w:t xml:space="preserve">Explicit</w:t>
      </w:r>
      <w:r>
        <w:t xml:space="preserve"> </w:t>
      </w:r>
      <w:r>
        <w:rPr>
          <w:rStyle w:val="VerbatimChar"/>
        </w:rPr>
        <w:t xml:space="preserve">γ^hop</w:t>
      </w:r>
      <w:r>
        <w:t xml:space="preserve"> </w:t>
      </w:r>
      <w:r>
        <w:t xml:space="preserve">decay (e.g., γ≈0.7) and per‑edge‑type weights (FK&gt;soft link&gt;text link). Penalize cycles and overly generic hubs.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Rule‑aware attention</w:t>
      </w:r>
    </w:p>
    <w:p>
      <w:pPr>
        <w:pStyle w:val="Compact"/>
        <w:numPr>
          <w:ilvl w:val="1"/>
          <w:numId w:val="1006"/>
        </w:numPr>
      </w:pPr>
      <w:r>
        <w:t xml:space="preserve">Encode table‑specific rules (e.g., business‑date windows, SCD2) as</w:t>
      </w:r>
      <w:r>
        <w:t xml:space="preserve"> </w:t>
      </w:r>
      <w:r>
        <w:rPr>
          <w:b/>
          <w:bCs/>
        </w:rPr>
        <w:t xml:space="preserve">binary features</w:t>
      </w:r>
      <w:r>
        <w:t xml:space="preserve"> </w:t>
      </w:r>
      <w:r>
        <w:t xml:space="preserve">that boost matching queries (e.g.,</w:t>
      </w:r>
      <w:r>
        <w:t xml:space="preserve"> </w:t>
      </w:r>
      <w:r>
        <w:t xml:space="preserve">“yesterday”</w:t>
      </w:r>
      <w:r>
        <w:t xml:space="preserve">,</w:t>
      </w:r>
      <w:r>
        <w:t xml:space="preserve"> </w:t>
      </w:r>
      <w:r>
        <w:t xml:space="preserve">“as‑of”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Multi‑query ensembling</w:t>
      </w:r>
    </w:p>
    <w:p>
      <w:pPr>
        <w:pStyle w:val="Compact"/>
        <w:numPr>
          <w:ilvl w:val="1"/>
          <w:numId w:val="1007"/>
        </w:numPr>
      </w:pPr>
      <w:r>
        <w:t xml:space="preserve">Paraphrase the user question (few syntactic variants) and</w:t>
      </w:r>
      <w:r>
        <w:t xml:space="preserve"> </w:t>
      </w:r>
      <w:r>
        <w:rPr>
          <w:b/>
          <w:bCs/>
        </w:rPr>
        <w:t xml:space="preserve">aggregate</w:t>
      </w:r>
      <w:r>
        <w:t xml:space="preserve"> </w:t>
      </w:r>
      <w:r>
        <w:t xml:space="preserve">seed sets to stabilize retrieval on terse inputs.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Column evidence tracing</w:t>
      </w:r>
    </w:p>
    <w:p>
      <w:pPr>
        <w:pStyle w:val="Compact"/>
        <w:numPr>
          <w:ilvl w:val="1"/>
          <w:numId w:val="1008"/>
        </w:numPr>
      </w:pPr>
      <w:r>
        <w:t xml:space="preserve">Return which</w:t>
      </w:r>
      <w:r>
        <w:t xml:space="preserve"> </w:t>
      </w:r>
      <w:r>
        <w:rPr>
          <w:b/>
          <w:bCs/>
        </w:rPr>
        <w:t xml:space="preserve">columns fired</w:t>
      </w:r>
      <w:r>
        <w:t xml:space="preserve"> </w:t>
      </w:r>
      <w:r>
        <w:t xml:space="preserve">the match (and why) to help the SQL generator pick correct predicates and joins.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Negative sampling &amp; adversarial training</w:t>
      </w:r>
    </w:p>
    <w:p>
      <w:pPr>
        <w:pStyle w:val="Compact"/>
        <w:numPr>
          <w:ilvl w:val="1"/>
          <w:numId w:val="1009"/>
        </w:numPr>
      </w:pPr>
      <w:r>
        <w:t xml:space="preserve">Train the attention to</w:t>
      </w:r>
      <w:r>
        <w:t xml:space="preserve"> </w:t>
      </w:r>
      <w:r>
        <w:rPr>
          <w:b/>
          <w:bCs/>
        </w:rPr>
        <w:t xml:space="preserve">down‑rank confounders</w:t>
      </w:r>
      <w:r>
        <w:t xml:space="preserve"> </w:t>
      </w:r>
      <w:r>
        <w:t xml:space="preserve">(e.g., intraday vs EOD) using contrastive pairs.</w:t>
      </w:r>
    </w:p>
    <w:p>
      <w:r>
        <w:pict>
          <v:rect style="width:0;height:1.5pt" o:hralign="center" o:hrstd="t" o:hr="t"/>
        </w:pict>
      </w:r>
    </w:p>
    <w:bookmarkEnd w:id="27"/>
    <w:bookmarkStart w:id="28" w:name="what-to-measure"/>
    <w:p>
      <w:pPr>
        <w:pStyle w:val="Heading2"/>
      </w:pPr>
      <w:r>
        <w:t xml:space="preserve">6) What to measure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@K</w:t>
      </w:r>
      <w:r>
        <w:rPr>
          <w:b/>
          <w:bCs/>
        </w:rPr>
        <w:t xml:space="preserve"> </w:t>
      </w:r>
      <w:r>
        <w:rPr>
          <w:b/>
          <w:bCs/>
        </w:rPr>
        <w:t xml:space="preserve">recall of ground‑truth tables</w:t>
      </w:r>
      <w:r>
        <w:t xml:space="preserve"> </w:t>
      </w:r>
      <w:r>
        <w:t xml:space="preserve">on our labeled set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First‑hit MRR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SQL exact‑match/exec‑match</w:t>
      </w:r>
      <w:r>
        <w:t xml:space="preserve"> </w:t>
      </w:r>
      <w:r>
        <w:t xml:space="preserve">after generation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Stability</w:t>
      </w:r>
      <w:r>
        <w:t xml:space="preserve"> </w:t>
      </w:r>
      <w:r>
        <w:t xml:space="preserve">across paraphrases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Error taxonomy</w:t>
      </w:r>
      <w:r>
        <w:t xml:space="preserve"> </w:t>
      </w:r>
      <w:r>
        <w:t xml:space="preserve">share (hub bias, value miss, time‑grain mix‑ups)</w:t>
      </w:r>
    </w:p>
    <w:p>
      <w:r>
        <w:pict>
          <v:rect style="width:0;height:1.5pt" o:hralign="center" o:hrstd="t" o:hr="t"/>
        </w:pict>
      </w:r>
    </w:p>
    <w:bookmarkEnd w:id="28"/>
    <w:bookmarkStart w:id="29" w:name="implementation-note"/>
    <w:p>
      <w:pPr>
        <w:pStyle w:val="Heading2"/>
      </w:pPr>
      <w:r>
        <w:t xml:space="preserve">7) Implementation note</w:t>
      </w:r>
    </w:p>
    <w:p>
      <w:pPr>
        <w:pStyle w:val="Compact"/>
        <w:numPr>
          <w:ilvl w:val="0"/>
          <w:numId w:val="1011"/>
        </w:numPr>
      </w:pPr>
      <w:r>
        <w:t xml:space="preserve">Add a</w:t>
      </w:r>
      <w:r>
        <w:t xml:space="preserve"> </w:t>
      </w:r>
      <w:r>
        <w:rPr>
          <w:rStyle w:val="VerbatimChar"/>
          <w:b/>
          <w:bCs/>
        </w:rPr>
        <w:t xml:space="preserve">value_index</w:t>
      </w:r>
      <w:r>
        <w:t xml:space="preserve"> </w:t>
      </w:r>
      <w:r>
        <w:t xml:space="preserve">per chosen column (JSON: value→aliases), embed aliases once, and wire a</w:t>
      </w:r>
      <w:r>
        <w:t xml:space="preserve"> </w:t>
      </w:r>
      <w:r>
        <w:rPr>
          <w:b/>
          <w:bCs/>
        </w:rPr>
        <w:t xml:space="preserve">value‑attention</w:t>
      </w:r>
      <w:r>
        <w:t xml:space="preserve"> </w:t>
      </w:r>
      <w:r>
        <w:t xml:space="preserve">term into the current ensemble. Keep memory bounded with top‑K per column and LFU pruning.</w:t>
      </w:r>
    </w:p>
    <w:p>
      <w:pPr>
        <w:pStyle w:val="Compact"/>
        <w:numPr>
          <w:ilvl w:val="0"/>
          <w:numId w:val="1011"/>
        </w:numPr>
      </w:pPr>
      <w:r>
        <w:t xml:space="preserve">Swap fixed weights with a</w:t>
      </w:r>
      <w:r>
        <w:t xml:space="preserve"> </w:t>
      </w:r>
      <w:r>
        <w:rPr>
          <w:b/>
          <w:bCs/>
        </w:rPr>
        <w:t xml:space="preserve">config flag</w:t>
      </w:r>
      <w:r>
        <w:t xml:space="preserve">; log per‑channel contributions to enable quick A/B.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2025-08-19T05:40:04Z</dcterms:created>
  <dcterms:modified xsi:type="dcterms:W3CDTF">2025-08-19T05:40:04Z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