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89A63" w14:textId="77777777" w:rsidR="00B37D2B" w:rsidRDefault="00B37D2B" w:rsidP="00B37D2B">
      <w:pPr>
        <w:spacing w:after="0" w:line="480" w:lineRule="auto"/>
        <w:jc w:val="center"/>
        <w:rPr>
          <w:rFonts w:ascii="Arial" w:hAnsi="Arial" w:cs="Arial"/>
        </w:rPr>
      </w:pPr>
    </w:p>
    <w:p w14:paraId="779A1387" w14:textId="77777777" w:rsidR="00B37D2B" w:rsidRDefault="00B37D2B" w:rsidP="00B37D2B">
      <w:pPr>
        <w:spacing w:after="0" w:line="480" w:lineRule="auto"/>
        <w:jc w:val="center"/>
        <w:rPr>
          <w:rFonts w:ascii="Arial" w:hAnsi="Arial" w:cs="Arial"/>
        </w:rPr>
      </w:pPr>
    </w:p>
    <w:p w14:paraId="37723916" w14:textId="77777777" w:rsidR="00B37D2B" w:rsidRDefault="00B37D2B" w:rsidP="00B37D2B">
      <w:pPr>
        <w:spacing w:after="0" w:line="480" w:lineRule="auto"/>
        <w:jc w:val="center"/>
        <w:rPr>
          <w:rFonts w:ascii="Arial" w:hAnsi="Arial" w:cs="Arial"/>
        </w:rPr>
      </w:pPr>
    </w:p>
    <w:p w14:paraId="382C7BFC" w14:textId="77777777" w:rsidR="00B37D2B" w:rsidRDefault="00B37D2B" w:rsidP="00B37D2B">
      <w:pPr>
        <w:spacing w:after="0" w:line="480" w:lineRule="auto"/>
        <w:jc w:val="center"/>
        <w:rPr>
          <w:rFonts w:ascii="Arial" w:hAnsi="Arial" w:cs="Arial"/>
        </w:rPr>
      </w:pPr>
    </w:p>
    <w:p w14:paraId="34FB957C" w14:textId="77777777" w:rsidR="00B37D2B" w:rsidRDefault="00B37D2B" w:rsidP="00B37D2B">
      <w:pPr>
        <w:spacing w:after="0" w:line="480" w:lineRule="auto"/>
        <w:jc w:val="center"/>
        <w:rPr>
          <w:rFonts w:ascii="Arial" w:hAnsi="Arial" w:cs="Arial"/>
        </w:rPr>
      </w:pPr>
    </w:p>
    <w:p w14:paraId="2062D58E" w14:textId="77777777" w:rsidR="00B37D2B" w:rsidRDefault="00B37D2B" w:rsidP="00B37D2B">
      <w:pPr>
        <w:spacing w:after="0" w:line="480" w:lineRule="auto"/>
        <w:jc w:val="center"/>
        <w:rPr>
          <w:rFonts w:ascii="Arial" w:hAnsi="Arial" w:cs="Arial"/>
        </w:rPr>
      </w:pPr>
    </w:p>
    <w:p w14:paraId="533E4F91" w14:textId="77777777" w:rsidR="00B37D2B" w:rsidRDefault="00B37D2B" w:rsidP="00B37D2B">
      <w:pPr>
        <w:spacing w:after="0" w:line="480" w:lineRule="auto"/>
        <w:jc w:val="center"/>
        <w:rPr>
          <w:rFonts w:ascii="Arial" w:hAnsi="Arial" w:cs="Arial"/>
        </w:rPr>
      </w:pPr>
    </w:p>
    <w:p w14:paraId="6876C723" w14:textId="77777777" w:rsidR="00B37D2B" w:rsidRDefault="00B37D2B" w:rsidP="00B37D2B">
      <w:pPr>
        <w:spacing w:after="0" w:line="480" w:lineRule="auto"/>
        <w:jc w:val="center"/>
        <w:rPr>
          <w:rFonts w:ascii="Arial" w:hAnsi="Arial" w:cs="Arial"/>
        </w:rPr>
      </w:pPr>
    </w:p>
    <w:p w14:paraId="524C2F69" w14:textId="77777777" w:rsidR="00B37D2B" w:rsidRDefault="00B37D2B" w:rsidP="00B37D2B">
      <w:pPr>
        <w:spacing w:after="0" w:line="480" w:lineRule="auto"/>
        <w:jc w:val="center"/>
        <w:rPr>
          <w:rFonts w:ascii="Arial" w:hAnsi="Arial" w:cs="Arial"/>
        </w:rPr>
      </w:pPr>
    </w:p>
    <w:p w14:paraId="1E81B0E1" w14:textId="77777777" w:rsidR="00B37D2B" w:rsidRDefault="00B37D2B" w:rsidP="00B37D2B">
      <w:pPr>
        <w:spacing w:after="0" w:line="480" w:lineRule="auto"/>
        <w:jc w:val="center"/>
        <w:rPr>
          <w:rFonts w:ascii="Arial" w:hAnsi="Arial" w:cs="Arial"/>
        </w:rPr>
      </w:pPr>
    </w:p>
    <w:p w14:paraId="04BA6A1A" w14:textId="6022621D" w:rsidR="00B37D2B" w:rsidRDefault="00B37D2B" w:rsidP="00B37D2B">
      <w:pPr>
        <w:spacing w:after="0" w:line="480" w:lineRule="auto"/>
        <w:jc w:val="center"/>
        <w:rPr>
          <w:rFonts w:ascii="Arial" w:hAnsi="Arial" w:cs="Arial"/>
        </w:rPr>
      </w:pPr>
      <w:r w:rsidRPr="00B37D2B">
        <w:rPr>
          <w:rFonts w:ascii="Arial" w:hAnsi="Arial" w:cs="Arial"/>
        </w:rPr>
        <w:t xml:space="preserve">Polymerase Chain Reaction (PCR) </w:t>
      </w:r>
      <w:r w:rsidR="00DF2A2D">
        <w:rPr>
          <w:rFonts w:ascii="Arial" w:hAnsi="Arial" w:cs="Arial" w:hint="eastAsia"/>
        </w:rPr>
        <w:t>B</w:t>
      </w:r>
      <w:r w:rsidRPr="00B37D2B">
        <w:rPr>
          <w:rFonts w:ascii="Arial" w:hAnsi="Arial" w:cs="Arial"/>
        </w:rPr>
        <w:t xml:space="preserve">ased </w:t>
      </w:r>
      <w:r w:rsidR="00DF2A2D">
        <w:rPr>
          <w:rFonts w:ascii="Arial" w:hAnsi="Arial" w:cs="Arial" w:hint="eastAsia"/>
        </w:rPr>
        <w:t>I</w:t>
      </w:r>
      <w:r w:rsidRPr="00B37D2B">
        <w:rPr>
          <w:rFonts w:ascii="Arial" w:hAnsi="Arial" w:cs="Arial"/>
        </w:rPr>
        <w:t xml:space="preserve">dentification of </w:t>
      </w:r>
      <w:r w:rsidRPr="00B37D2B">
        <w:rPr>
          <w:rFonts w:ascii="Arial" w:hAnsi="Arial" w:cs="Arial"/>
          <w:i/>
          <w:iCs/>
        </w:rPr>
        <w:t>Meticillin Resistant Staphylococcus Aureus</w:t>
      </w:r>
      <w:r w:rsidRPr="00B37D2B">
        <w:rPr>
          <w:rFonts w:ascii="Arial" w:hAnsi="Arial" w:cs="Arial"/>
        </w:rPr>
        <w:t xml:space="preserve"> (MRSA) </w:t>
      </w:r>
    </w:p>
    <w:p w14:paraId="1B8AA0CC" w14:textId="4E9D545E" w:rsidR="00B37D2B" w:rsidRPr="0086664C" w:rsidRDefault="00B37D2B" w:rsidP="00B37D2B">
      <w:pPr>
        <w:spacing w:after="0" w:line="480" w:lineRule="auto"/>
        <w:jc w:val="center"/>
        <w:rPr>
          <w:rFonts w:ascii="Arial" w:hAnsi="Arial" w:cs="Arial"/>
        </w:rPr>
      </w:pPr>
      <w:r w:rsidRPr="0086664C">
        <w:rPr>
          <w:rFonts w:ascii="Arial" w:hAnsi="Arial" w:cs="Arial"/>
        </w:rPr>
        <w:t>College of Engineering, Environment, and Sciences, Coventry University</w:t>
      </w:r>
    </w:p>
    <w:p w14:paraId="6ED6BBF1" w14:textId="77777777" w:rsidR="00B37D2B" w:rsidRDefault="00B37D2B" w:rsidP="00B37D2B">
      <w:pPr>
        <w:spacing w:after="0" w:line="480" w:lineRule="auto"/>
        <w:jc w:val="center"/>
        <w:rPr>
          <w:rFonts w:ascii="Arial" w:hAnsi="Arial" w:cs="Arial"/>
        </w:rPr>
      </w:pPr>
      <w:r w:rsidRPr="0086664C">
        <w:rPr>
          <w:rFonts w:ascii="Arial" w:hAnsi="Arial" w:cs="Arial"/>
        </w:rPr>
        <w:t>50</w:t>
      </w:r>
      <w:r>
        <w:rPr>
          <w:rFonts w:ascii="Arial" w:hAnsi="Arial" w:cs="Arial" w:hint="eastAsia"/>
        </w:rPr>
        <w:t>07</w:t>
      </w:r>
      <w:r w:rsidRPr="0086664C">
        <w:rPr>
          <w:rFonts w:ascii="Arial" w:hAnsi="Arial" w:cs="Arial"/>
        </w:rPr>
        <w:t xml:space="preserve">BIO: </w:t>
      </w:r>
      <w:r w:rsidRPr="00B37D2B">
        <w:rPr>
          <w:rFonts w:ascii="Arial" w:hAnsi="Arial" w:cs="Arial"/>
        </w:rPr>
        <w:t>Microorganisms in Human Health and Disease</w:t>
      </w:r>
    </w:p>
    <w:p w14:paraId="6EFB39D4" w14:textId="646A3FDF" w:rsidR="00B37D2B" w:rsidRDefault="00B37D2B" w:rsidP="00B37D2B">
      <w:pPr>
        <w:spacing w:after="0" w:line="480" w:lineRule="auto"/>
        <w:jc w:val="center"/>
        <w:rPr>
          <w:rFonts w:ascii="Arial" w:hAnsi="Arial" w:cs="Arial"/>
        </w:rPr>
      </w:pPr>
      <w:r>
        <w:rPr>
          <w:rFonts w:ascii="Arial" w:hAnsi="Arial" w:cs="Arial"/>
        </w:rPr>
        <w:t>Dr</w:t>
      </w:r>
      <w:r w:rsidRPr="0086664C">
        <w:rPr>
          <w:rFonts w:ascii="Arial" w:hAnsi="Arial" w:cs="Arial"/>
        </w:rPr>
        <w:t xml:space="preserve"> </w:t>
      </w:r>
      <w:r>
        <w:rPr>
          <w:rFonts w:ascii="Arial" w:hAnsi="Arial" w:cs="Arial" w:hint="eastAsia"/>
        </w:rPr>
        <w:t xml:space="preserve">Jamie </w:t>
      </w:r>
      <w:r w:rsidRPr="00B37D2B">
        <w:rPr>
          <w:rFonts w:ascii="Arial" w:hAnsi="Arial" w:cs="Arial"/>
        </w:rPr>
        <w:t>Beddow and Gaetano Del Gaudio</w:t>
      </w:r>
    </w:p>
    <w:p w14:paraId="2C125F02" w14:textId="148C282E" w:rsidR="00B37D2B" w:rsidRDefault="00B37D2B" w:rsidP="00B37D2B">
      <w:pPr>
        <w:spacing w:after="0" w:line="480" w:lineRule="auto"/>
        <w:jc w:val="center"/>
        <w:rPr>
          <w:rFonts w:ascii="Arial" w:hAnsi="Arial" w:cs="Arial"/>
        </w:rPr>
      </w:pPr>
      <w:r>
        <w:rPr>
          <w:rFonts w:ascii="Arial" w:hAnsi="Arial" w:cs="Arial" w:hint="eastAsia"/>
        </w:rPr>
        <w:t>3</w:t>
      </w:r>
      <w:r w:rsidRPr="0086664C">
        <w:rPr>
          <w:rFonts w:ascii="Arial" w:hAnsi="Arial" w:cs="Arial"/>
        </w:rPr>
        <w:t xml:space="preserve"> </w:t>
      </w:r>
      <w:r>
        <w:rPr>
          <w:rFonts w:ascii="Arial" w:hAnsi="Arial" w:cs="Arial" w:hint="eastAsia"/>
        </w:rPr>
        <w:t>December</w:t>
      </w:r>
      <w:r w:rsidRPr="0086664C">
        <w:rPr>
          <w:rFonts w:ascii="Arial" w:hAnsi="Arial" w:cs="Arial"/>
        </w:rPr>
        <w:t>, 2025</w:t>
      </w:r>
    </w:p>
    <w:p w14:paraId="1184BC15" w14:textId="77777777" w:rsidR="00B37D2B" w:rsidRDefault="00B37D2B" w:rsidP="00B37D2B">
      <w:pPr>
        <w:spacing w:after="0" w:line="480" w:lineRule="auto"/>
        <w:jc w:val="center"/>
        <w:rPr>
          <w:rFonts w:ascii="Arial" w:hAnsi="Arial" w:cs="Arial"/>
        </w:rPr>
      </w:pPr>
    </w:p>
    <w:p w14:paraId="5145495D" w14:textId="77777777" w:rsidR="00B37D2B" w:rsidRDefault="00B37D2B" w:rsidP="00B37D2B">
      <w:pPr>
        <w:spacing w:after="0" w:line="480" w:lineRule="auto"/>
        <w:jc w:val="center"/>
        <w:rPr>
          <w:rFonts w:ascii="Arial" w:hAnsi="Arial" w:cs="Arial"/>
        </w:rPr>
      </w:pPr>
    </w:p>
    <w:p w14:paraId="5BE9F752" w14:textId="77777777" w:rsidR="00B37D2B" w:rsidRDefault="00B37D2B" w:rsidP="00B37D2B">
      <w:pPr>
        <w:spacing w:after="0" w:line="480" w:lineRule="auto"/>
        <w:jc w:val="center"/>
        <w:rPr>
          <w:rFonts w:ascii="Arial" w:hAnsi="Arial" w:cs="Arial"/>
        </w:rPr>
      </w:pPr>
    </w:p>
    <w:p w14:paraId="5F2D2526" w14:textId="77777777" w:rsidR="00B37D2B" w:rsidRDefault="00B37D2B" w:rsidP="00B37D2B">
      <w:pPr>
        <w:spacing w:after="0" w:line="480" w:lineRule="auto"/>
        <w:jc w:val="center"/>
        <w:rPr>
          <w:rFonts w:ascii="Arial" w:hAnsi="Arial" w:cs="Arial"/>
        </w:rPr>
      </w:pPr>
    </w:p>
    <w:p w14:paraId="5C696A8D" w14:textId="77777777" w:rsidR="00B37D2B" w:rsidRDefault="00B37D2B" w:rsidP="00B37D2B">
      <w:pPr>
        <w:spacing w:after="0" w:line="480" w:lineRule="auto"/>
        <w:jc w:val="center"/>
        <w:rPr>
          <w:rFonts w:ascii="Arial" w:hAnsi="Arial" w:cs="Arial"/>
        </w:rPr>
      </w:pPr>
    </w:p>
    <w:p w14:paraId="7A7BB74D" w14:textId="77777777" w:rsidR="00B37D2B" w:rsidRDefault="00B37D2B" w:rsidP="00B37D2B">
      <w:pPr>
        <w:spacing w:after="0" w:line="480" w:lineRule="auto"/>
        <w:jc w:val="center"/>
        <w:rPr>
          <w:rFonts w:ascii="Arial" w:hAnsi="Arial" w:cs="Arial"/>
        </w:rPr>
      </w:pPr>
    </w:p>
    <w:p w14:paraId="1E0B6B50" w14:textId="77777777" w:rsidR="00B37D2B" w:rsidRDefault="00B37D2B" w:rsidP="00B37D2B">
      <w:pPr>
        <w:spacing w:after="0" w:line="480" w:lineRule="auto"/>
        <w:jc w:val="center"/>
        <w:rPr>
          <w:rFonts w:ascii="Arial" w:hAnsi="Arial" w:cs="Arial"/>
        </w:rPr>
      </w:pPr>
    </w:p>
    <w:p w14:paraId="77DBEB0B" w14:textId="77777777" w:rsidR="00B37D2B" w:rsidRDefault="00B37D2B" w:rsidP="00B37D2B">
      <w:pPr>
        <w:spacing w:after="0" w:line="480" w:lineRule="auto"/>
        <w:jc w:val="center"/>
        <w:rPr>
          <w:rFonts w:ascii="Arial" w:hAnsi="Arial" w:cs="Arial"/>
        </w:rPr>
      </w:pPr>
    </w:p>
    <w:p w14:paraId="6694A589" w14:textId="77777777" w:rsidR="00B37D2B" w:rsidRDefault="00B37D2B" w:rsidP="00B37D2B">
      <w:pPr>
        <w:spacing w:after="0" w:line="480" w:lineRule="auto"/>
        <w:jc w:val="center"/>
        <w:rPr>
          <w:rFonts w:ascii="Arial" w:hAnsi="Arial" w:cs="Arial"/>
        </w:rPr>
      </w:pPr>
    </w:p>
    <w:p w14:paraId="4FF4480A" w14:textId="77777777" w:rsidR="00B37D2B" w:rsidRDefault="00B37D2B" w:rsidP="00B37D2B">
      <w:pPr>
        <w:spacing w:after="0" w:line="480" w:lineRule="auto"/>
        <w:jc w:val="center"/>
        <w:rPr>
          <w:rFonts w:ascii="Arial" w:hAnsi="Arial" w:cs="Arial"/>
        </w:rPr>
      </w:pPr>
    </w:p>
    <w:p w14:paraId="609157F0" w14:textId="77777777" w:rsidR="00B37D2B" w:rsidRPr="0086664C" w:rsidRDefault="00B37D2B" w:rsidP="00B37D2B">
      <w:pPr>
        <w:spacing w:after="0" w:line="480" w:lineRule="auto"/>
        <w:jc w:val="center"/>
        <w:rPr>
          <w:rFonts w:ascii="Arial" w:hAnsi="Arial" w:cs="Arial"/>
        </w:rPr>
      </w:pPr>
    </w:p>
    <w:p w14:paraId="49D9B9E7" w14:textId="77777777" w:rsidR="00B37D2B" w:rsidRPr="00B37D2B" w:rsidRDefault="00B37D2B" w:rsidP="00B37D2B">
      <w:pPr>
        <w:spacing w:after="0" w:line="480" w:lineRule="auto"/>
        <w:rPr>
          <w:rFonts w:ascii="Arial" w:hAnsi="Arial" w:cs="Arial"/>
          <w:b/>
          <w:bCs/>
        </w:rPr>
      </w:pPr>
      <w:r w:rsidRPr="00B37D2B">
        <w:rPr>
          <w:rFonts w:ascii="Arial" w:hAnsi="Arial" w:cs="Arial"/>
          <w:b/>
          <w:bCs/>
        </w:rPr>
        <w:lastRenderedPageBreak/>
        <w:t>Introduction</w:t>
      </w:r>
    </w:p>
    <w:p w14:paraId="40BDA9C3" w14:textId="7340CC87" w:rsidR="00B37D2B" w:rsidRPr="00B37D2B" w:rsidRDefault="00B37D2B" w:rsidP="00B37D2B">
      <w:pPr>
        <w:spacing w:after="0" w:line="480" w:lineRule="auto"/>
        <w:rPr>
          <w:rFonts w:ascii="Arial" w:hAnsi="Arial" w:cs="Arial"/>
        </w:rPr>
      </w:pPr>
      <w:r w:rsidRPr="00B37D2B">
        <w:rPr>
          <w:rFonts w:ascii="Arial" w:hAnsi="Arial" w:cs="Arial"/>
        </w:rPr>
        <w:tab/>
      </w:r>
      <w:r w:rsidRPr="00B37D2B">
        <w:rPr>
          <w:rFonts w:ascii="Arial" w:hAnsi="Arial" w:cs="Arial"/>
          <w:i/>
          <w:iCs/>
        </w:rPr>
        <w:t>Staphylococcus aureus</w:t>
      </w:r>
      <w:r w:rsidRPr="00B37D2B">
        <w:rPr>
          <w:rFonts w:ascii="Arial" w:hAnsi="Arial" w:cs="Arial"/>
        </w:rPr>
        <w:t xml:space="preserve"> is a gram-positive organism that can be found on skin and mucosal surfaces, normally not causing infection on healthy skin. (Taylor and Unakal, 2023) </w:t>
      </w:r>
      <w:r w:rsidRPr="00B37D2B">
        <w:rPr>
          <w:rFonts w:ascii="Arial" w:hAnsi="Arial" w:cs="Arial"/>
          <w:i/>
          <w:iCs/>
        </w:rPr>
        <w:t>S. aureus</w:t>
      </w:r>
      <w:r w:rsidRPr="00B37D2B">
        <w:rPr>
          <w:rFonts w:ascii="Arial" w:hAnsi="Arial" w:cs="Arial"/>
        </w:rPr>
        <w:t xml:space="preserve"> adapts promptly to selective pressures from human hosts such as immune response or drug doses by increasing the frequency of beneficial mutations and decreasing harmful ones, leading to the emergence of new strains. (Malachowa and DeLeo, 2010) </w:t>
      </w:r>
      <w:r w:rsidRPr="00B37D2B">
        <w:rPr>
          <w:rFonts w:ascii="Arial" w:hAnsi="Arial" w:cs="Arial"/>
          <w:i/>
          <w:iCs/>
        </w:rPr>
        <w:t>S. aureus</w:t>
      </w:r>
      <w:r w:rsidRPr="00B37D2B">
        <w:rPr>
          <w:rFonts w:ascii="Arial" w:hAnsi="Arial" w:cs="Arial"/>
        </w:rPr>
        <w:t xml:space="preserve"> can transfer mobile genetic elements (MGE), which is a process also known as lateral or horizontal gene transfer (HGT)</w:t>
      </w:r>
      <w:r w:rsidR="00016E22">
        <w:rPr>
          <w:rFonts w:ascii="Arial" w:hAnsi="Arial" w:cs="Arial" w:hint="eastAsia"/>
        </w:rPr>
        <w:t>.</w:t>
      </w:r>
      <w:r w:rsidRPr="00B37D2B">
        <w:rPr>
          <w:rFonts w:ascii="Arial" w:hAnsi="Arial" w:cs="Arial"/>
        </w:rPr>
        <w:t xml:space="preserve"> MGEs consist of insertion sequences, phages, and plasmids, which can all be integrated into the DNA of a new host. </w:t>
      </w:r>
    </w:p>
    <w:p w14:paraId="47266552" w14:textId="77777777" w:rsidR="00B37D2B" w:rsidRPr="00B37D2B" w:rsidRDefault="00B37D2B" w:rsidP="00B37D2B">
      <w:pPr>
        <w:spacing w:after="0" w:line="480" w:lineRule="auto"/>
        <w:rPr>
          <w:rFonts w:ascii="Arial" w:hAnsi="Arial" w:cs="Arial"/>
        </w:rPr>
      </w:pPr>
    </w:p>
    <w:p w14:paraId="2709DF92" w14:textId="77777777" w:rsidR="00B37D2B" w:rsidRPr="00B37D2B" w:rsidRDefault="00B37D2B" w:rsidP="00B37D2B">
      <w:pPr>
        <w:spacing w:after="0" w:line="480" w:lineRule="auto"/>
        <w:rPr>
          <w:rFonts w:ascii="Arial" w:hAnsi="Arial" w:cs="Arial"/>
          <w:b/>
          <w:bCs/>
        </w:rPr>
      </w:pPr>
      <w:r w:rsidRPr="00B37D2B">
        <w:rPr>
          <w:rFonts w:ascii="Arial" w:hAnsi="Arial" w:cs="Arial"/>
          <w:b/>
          <w:bCs/>
        </w:rPr>
        <w:t>Figure 1</w:t>
      </w:r>
    </w:p>
    <w:p w14:paraId="40D2A347" w14:textId="77777777" w:rsidR="00B37D2B" w:rsidRPr="00B37D2B" w:rsidRDefault="00B37D2B" w:rsidP="00B37D2B">
      <w:pPr>
        <w:spacing w:after="0" w:line="480" w:lineRule="auto"/>
        <w:rPr>
          <w:rFonts w:ascii="Arial" w:hAnsi="Arial" w:cs="Arial"/>
          <w:i/>
          <w:iCs/>
        </w:rPr>
      </w:pPr>
      <w:r w:rsidRPr="00B37D2B">
        <w:rPr>
          <w:rFonts w:ascii="Arial" w:hAnsi="Arial" w:cs="Arial"/>
          <w:i/>
          <w:iCs/>
        </w:rPr>
        <w:t>Horizontal and Vertical Gene Transfer</w:t>
      </w:r>
    </w:p>
    <w:p w14:paraId="6BCEC052" w14:textId="77777777" w:rsidR="00B37D2B" w:rsidRPr="00B37D2B" w:rsidRDefault="00B37D2B" w:rsidP="00B37D2B">
      <w:pPr>
        <w:spacing w:after="0" w:line="480" w:lineRule="auto"/>
        <w:rPr>
          <w:rFonts w:ascii="Arial" w:hAnsi="Arial" w:cs="Arial"/>
        </w:rPr>
      </w:pPr>
      <w:r w:rsidRPr="00B37D2B">
        <w:rPr>
          <w:rFonts w:ascii="Arial" w:hAnsi="Arial" w:cs="Arial"/>
          <w:noProof/>
        </w:rPr>
        <w:drawing>
          <wp:inline distT="0" distB="0" distL="0" distR="0" wp14:anchorId="29345D70" wp14:editId="58F1502D">
            <wp:extent cx="2552016" cy="2427611"/>
            <wp:effectExtent l="0" t="0" r="1270" b="0"/>
            <wp:docPr id="634903029" name="Picture 2"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56021" cy="2431421"/>
                    </a:xfrm>
                    <a:prstGeom prst="rect">
                      <a:avLst/>
                    </a:prstGeom>
                    <a:noFill/>
                    <a:ln>
                      <a:noFill/>
                    </a:ln>
                  </pic:spPr>
                </pic:pic>
              </a:graphicData>
            </a:graphic>
          </wp:inline>
        </w:drawing>
      </w:r>
    </w:p>
    <w:p w14:paraId="75B4E858" w14:textId="77777777" w:rsidR="00B37D2B" w:rsidRPr="00B37D2B" w:rsidRDefault="00B37D2B" w:rsidP="00B37D2B">
      <w:pPr>
        <w:spacing w:after="0" w:line="480" w:lineRule="auto"/>
        <w:rPr>
          <w:rFonts w:ascii="Arial" w:hAnsi="Arial" w:cs="Arial"/>
        </w:rPr>
      </w:pPr>
      <w:r w:rsidRPr="00B37D2B">
        <w:rPr>
          <w:rFonts w:ascii="Arial" w:hAnsi="Arial" w:cs="Arial"/>
        </w:rPr>
        <w:t>(From Malachowa and DeLeo, 2010)</w:t>
      </w:r>
    </w:p>
    <w:p w14:paraId="3842812A" w14:textId="77777777" w:rsidR="00B37D2B" w:rsidRPr="00B37D2B" w:rsidRDefault="00B37D2B" w:rsidP="00B37D2B">
      <w:pPr>
        <w:spacing w:after="0" w:line="480" w:lineRule="auto"/>
        <w:rPr>
          <w:rFonts w:ascii="Arial" w:hAnsi="Arial" w:cs="Arial"/>
        </w:rPr>
      </w:pPr>
    </w:p>
    <w:p w14:paraId="6A61F236" w14:textId="77777777" w:rsidR="00B37D2B" w:rsidRPr="00B37D2B" w:rsidRDefault="00B37D2B" w:rsidP="00B37D2B">
      <w:pPr>
        <w:spacing w:after="0" w:line="480" w:lineRule="auto"/>
        <w:rPr>
          <w:rFonts w:ascii="Arial" w:hAnsi="Arial" w:cs="Arial"/>
        </w:rPr>
      </w:pPr>
      <w:r w:rsidRPr="00B37D2B">
        <w:rPr>
          <w:rFonts w:ascii="Arial" w:hAnsi="Arial" w:cs="Arial"/>
        </w:rPr>
        <w:t xml:space="preserve">Naturally occurring </w:t>
      </w:r>
      <w:r w:rsidRPr="00B37D2B">
        <w:rPr>
          <w:rFonts w:ascii="Arial" w:hAnsi="Arial" w:cs="Arial"/>
          <w:i/>
          <w:iCs/>
        </w:rPr>
        <w:t>S. aureus</w:t>
      </w:r>
      <w:r w:rsidRPr="00B37D2B">
        <w:rPr>
          <w:rFonts w:ascii="Arial" w:hAnsi="Arial" w:cs="Arial"/>
        </w:rPr>
        <w:t xml:space="preserve"> that is resistant to antibiotics by mutation of a penicillin-binding protein can transfer its MGE to other bacteria through HGT using bacteriophages (fig. 1) (Siddiqui and Koriala, 2023), resulting in the emergence of antibiotic-resistant strains. The key material for this resistance is the mecA gene sequence, which generates transpeptidase PB2a (Penicillin-binding protein 2a) that lowers the affinity of </w:t>
      </w:r>
      <w:r w:rsidRPr="00B37D2B">
        <w:rPr>
          <w:rFonts w:ascii="Arial" w:hAnsi="Arial" w:cs="Arial"/>
          <w:i/>
          <w:iCs/>
        </w:rPr>
        <w:t>S. aureus</w:t>
      </w:r>
      <w:r w:rsidRPr="00B37D2B">
        <w:rPr>
          <w:rFonts w:ascii="Arial" w:hAnsi="Arial" w:cs="Arial"/>
        </w:rPr>
        <w:t xml:space="preserve"> and beta-lactam </w:t>
      </w:r>
      <w:r w:rsidRPr="00B37D2B">
        <w:rPr>
          <w:rFonts w:ascii="Arial" w:hAnsi="Arial" w:cs="Arial"/>
        </w:rPr>
        <w:lastRenderedPageBreak/>
        <w:t xml:space="preserve">antibiotics (Shahkarami et al., 2014) by catalysing cell-wall crosslinking even in the presence of antibiotics. (Fishovitz et al., 2014) These </w:t>
      </w:r>
      <w:r w:rsidRPr="00B37D2B">
        <w:rPr>
          <w:rFonts w:ascii="Arial" w:hAnsi="Arial" w:cs="Arial"/>
          <w:i/>
          <w:iCs/>
        </w:rPr>
        <w:t>S. aurei</w:t>
      </w:r>
      <w:r w:rsidRPr="00B37D2B">
        <w:rPr>
          <w:rFonts w:ascii="Arial" w:hAnsi="Arial" w:cs="Arial"/>
        </w:rPr>
        <w:t xml:space="preserve"> that are resistant to beta-lactam antibiotics such as Methicillin, oxacillin, and nafcillin are grouped as MRSA (</w:t>
      </w:r>
      <w:r w:rsidRPr="00B37D2B">
        <w:rPr>
          <w:rFonts w:ascii="Arial" w:hAnsi="Arial" w:cs="Arial"/>
          <w:i/>
          <w:iCs/>
        </w:rPr>
        <w:t>Meticillin Resistant Staphylococcus Aureus</w:t>
      </w:r>
      <w:r w:rsidRPr="00B37D2B">
        <w:rPr>
          <w:rFonts w:ascii="Arial" w:hAnsi="Arial" w:cs="Arial"/>
        </w:rPr>
        <w:t>). Other strains that can be treated with those drugs are classified as MSSA. (</w:t>
      </w:r>
      <w:r w:rsidRPr="00B37D2B">
        <w:rPr>
          <w:rFonts w:ascii="Arial" w:hAnsi="Arial" w:cs="Arial"/>
          <w:i/>
          <w:iCs/>
        </w:rPr>
        <w:t>Methicillin Susceptible Staphylococcus Aureus</w:t>
      </w:r>
      <w:r w:rsidRPr="00B37D2B">
        <w:rPr>
          <w:rFonts w:ascii="Arial" w:hAnsi="Arial" w:cs="Arial"/>
        </w:rPr>
        <w:t>) (Rao et al., 2010) Taking antibiotics (selective pressure) then enriches MRSA in the host, eliminating only MSSA. (Fig. 1.)</w:t>
      </w:r>
    </w:p>
    <w:p w14:paraId="4A95E62C" w14:textId="77777777" w:rsidR="00B37D2B" w:rsidRPr="00B37D2B" w:rsidRDefault="00B37D2B" w:rsidP="00B37D2B">
      <w:pPr>
        <w:spacing w:after="0" w:line="480" w:lineRule="auto"/>
        <w:rPr>
          <w:rFonts w:ascii="Arial" w:hAnsi="Arial" w:cs="Arial"/>
        </w:rPr>
      </w:pPr>
    </w:p>
    <w:p w14:paraId="73ABF6AE" w14:textId="77777777" w:rsidR="00B37D2B" w:rsidRPr="00B37D2B" w:rsidRDefault="00B37D2B" w:rsidP="00B37D2B">
      <w:pPr>
        <w:spacing w:after="0" w:line="480" w:lineRule="auto"/>
        <w:rPr>
          <w:rFonts w:ascii="Arial" w:hAnsi="Arial" w:cs="Arial"/>
          <w:b/>
          <w:bCs/>
        </w:rPr>
      </w:pPr>
      <w:r w:rsidRPr="00B37D2B">
        <w:rPr>
          <w:rFonts w:ascii="Arial" w:hAnsi="Arial" w:cs="Arial"/>
          <w:b/>
          <w:bCs/>
        </w:rPr>
        <w:t>Table 1</w:t>
      </w:r>
    </w:p>
    <w:p w14:paraId="2723631B" w14:textId="77777777" w:rsidR="00B37D2B" w:rsidRPr="00B37D2B" w:rsidRDefault="00B37D2B" w:rsidP="00B37D2B">
      <w:pPr>
        <w:spacing w:after="0" w:line="480" w:lineRule="auto"/>
        <w:rPr>
          <w:rFonts w:ascii="Arial" w:hAnsi="Arial" w:cs="Arial"/>
          <w:i/>
          <w:iCs/>
        </w:rPr>
      </w:pPr>
      <w:r w:rsidRPr="00B37D2B">
        <w:rPr>
          <w:rFonts w:ascii="Arial" w:hAnsi="Arial" w:cs="Arial"/>
          <w:i/>
          <w:iCs/>
        </w:rPr>
        <w:t>Prevalence of healthcare-associated MRSA (HA-MRSA) and community-acquired MRSA (CA-MRSA) in Different Countries</w:t>
      </w:r>
    </w:p>
    <w:tbl>
      <w:tblPr>
        <w:tblStyle w:val="TableGrid"/>
        <w:tblW w:w="0" w:type="auto"/>
        <w:tblLook w:val="04A0" w:firstRow="1" w:lastRow="0" w:firstColumn="1" w:lastColumn="0" w:noHBand="0" w:noVBand="1"/>
      </w:tblPr>
      <w:tblGrid>
        <w:gridCol w:w="1278"/>
        <w:gridCol w:w="1471"/>
        <w:gridCol w:w="1300"/>
        <w:gridCol w:w="1821"/>
        <w:gridCol w:w="1353"/>
        <w:gridCol w:w="1793"/>
      </w:tblGrid>
      <w:tr w:rsidR="00B37D2B" w:rsidRPr="00B37D2B" w14:paraId="2E262CCA" w14:textId="77777777" w:rsidTr="000166A9">
        <w:tc>
          <w:tcPr>
            <w:tcW w:w="1278" w:type="dxa"/>
          </w:tcPr>
          <w:p w14:paraId="139DB9E2" w14:textId="77777777" w:rsidR="00B37D2B" w:rsidRPr="00B37D2B" w:rsidRDefault="00B37D2B"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Year of study</w:t>
            </w:r>
          </w:p>
        </w:tc>
        <w:tc>
          <w:tcPr>
            <w:tcW w:w="1471" w:type="dxa"/>
          </w:tcPr>
          <w:p w14:paraId="24F0D9FC" w14:textId="77777777" w:rsidR="00B37D2B" w:rsidRPr="00B37D2B" w:rsidRDefault="00B37D2B"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Prevalence</w:t>
            </w:r>
          </w:p>
        </w:tc>
        <w:tc>
          <w:tcPr>
            <w:tcW w:w="1300" w:type="dxa"/>
          </w:tcPr>
          <w:p w14:paraId="46E76BF1" w14:textId="77777777" w:rsidR="00B37D2B" w:rsidRPr="00B37D2B" w:rsidRDefault="00B37D2B"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Sample size</w:t>
            </w:r>
          </w:p>
        </w:tc>
        <w:tc>
          <w:tcPr>
            <w:tcW w:w="1821" w:type="dxa"/>
          </w:tcPr>
          <w:p w14:paraId="3724DCC2" w14:textId="77777777" w:rsidR="00B37D2B" w:rsidRPr="00B37D2B" w:rsidRDefault="00B37D2B"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Sample sources</w:t>
            </w:r>
          </w:p>
        </w:tc>
        <w:tc>
          <w:tcPr>
            <w:tcW w:w="1353" w:type="dxa"/>
          </w:tcPr>
          <w:p w14:paraId="1C35E103" w14:textId="77777777" w:rsidR="00B37D2B" w:rsidRPr="00B37D2B" w:rsidRDefault="00B37D2B"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Country</w:t>
            </w:r>
          </w:p>
        </w:tc>
        <w:tc>
          <w:tcPr>
            <w:tcW w:w="1793" w:type="dxa"/>
          </w:tcPr>
          <w:p w14:paraId="5A05DE18" w14:textId="77777777" w:rsidR="00B37D2B" w:rsidRPr="00B37D2B" w:rsidRDefault="00B37D2B"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References</w:t>
            </w:r>
          </w:p>
        </w:tc>
      </w:tr>
      <w:tr w:rsidR="00B37D2B" w:rsidRPr="00B37D2B" w14:paraId="1DD416A2" w14:textId="77777777" w:rsidTr="000166A9">
        <w:tc>
          <w:tcPr>
            <w:tcW w:w="9016" w:type="dxa"/>
            <w:gridSpan w:val="6"/>
            <w:shd w:val="clear" w:color="auto" w:fill="D1D1D1" w:themeFill="background2" w:themeFillShade="E6"/>
          </w:tcPr>
          <w:p w14:paraId="099114B5" w14:textId="77777777" w:rsidR="00B37D2B" w:rsidRPr="00B37D2B" w:rsidRDefault="00B37D2B"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Hospital-acquired MRSA (HA-MRSA)</w:t>
            </w:r>
          </w:p>
        </w:tc>
      </w:tr>
      <w:tr w:rsidR="00B37D2B" w:rsidRPr="00B37D2B" w14:paraId="5C001CCD" w14:textId="77777777" w:rsidTr="000166A9">
        <w:tc>
          <w:tcPr>
            <w:tcW w:w="1278" w:type="dxa"/>
          </w:tcPr>
          <w:p w14:paraId="07A08DCE" w14:textId="77777777" w:rsidR="00B37D2B" w:rsidRPr="001F4B72" w:rsidRDefault="00B37D2B" w:rsidP="000166A9">
            <w:pPr>
              <w:spacing w:line="480" w:lineRule="auto"/>
              <w:rPr>
                <w:rFonts w:ascii="Times New Roman" w:hAnsi="Times New Roman" w:cs="Times New Roman"/>
                <w:sz w:val="18"/>
                <w:szCs w:val="18"/>
              </w:rPr>
            </w:pPr>
            <w:r w:rsidRPr="001F4B72">
              <w:rPr>
                <w:rFonts w:ascii="Times New Roman" w:hAnsi="Times New Roman" w:cs="Times New Roman"/>
                <w:color w:val="1B1B1B"/>
                <w:sz w:val="18"/>
                <w:szCs w:val="18"/>
              </w:rPr>
              <w:t>2016</w:t>
            </w:r>
          </w:p>
        </w:tc>
        <w:tc>
          <w:tcPr>
            <w:tcW w:w="1471" w:type="dxa"/>
          </w:tcPr>
          <w:p w14:paraId="356CC5EB" w14:textId="77777777" w:rsidR="00B37D2B" w:rsidRPr="001F4B72" w:rsidRDefault="00B37D2B" w:rsidP="000166A9">
            <w:pPr>
              <w:spacing w:line="480" w:lineRule="auto"/>
              <w:rPr>
                <w:rFonts w:ascii="Times New Roman" w:hAnsi="Times New Roman" w:cs="Times New Roman"/>
                <w:sz w:val="18"/>
                <w:szCs w:val="18"/>
              </w:rPr>
            </w:pPr>
            <w:r w:rsidRPr="001F4B72">
              <w:rPr>
                <w:rFonts w:ascii="Times New Roman" w:hAnsi="Times New Roman" w:cs="Times New Roman"/>
                <w:color w:val="1B1B1B"/>
                <w:sz w:val="18"/>
                <w:szCs w:val="18"/>
              </w:rPr>
              <w:t>4.6%</w:t>
            </w:r>
          </w:p>
        </w:tc>
        <w:tc>
          <w:tcPr>
            <w:tcW w:w="1300" w:type="dxa"/>
          </w:tcPr>
          <w:p w14:paraId="28F1970C" w14:textId="77777777" w:rsidR="00B37D2B" w:rsidRPr="001F4B72" w:rsidRDefault="00B37D2B" w:rsidP="000166A9">
            <w:pPr>
              <w:spacing w:line="480" w:lineRule="auto"/>
              <w:rPr>
                <w:rFonts w:ascii="Times New Roman" w:hAnsi="Times New Roman" w:cs="Times New Roman"/>
                <w:sz w:val="18"/>
                <w:szCs w:val="18"/>
              </w:rPr>
            </w:pPr>
            <w:r w:rsidRPr="001F4B72">
              <w:rPr>
                <w:rFonts w:ascii="Times New Roman" w:hAnsi="Times New Roman" w:cs="Times New Roman"/>
                <w:color w:val="1B1B1B"/>
                <w:sz w:val="18"/>
                <w:szCs w:val="18"/>
              </w:rPr>
              <w:t>726</w:t>
            </w:r>
          </w:p>
        </w:tc>
        <w:tc>
          <w:tcPr>
            <w:tcW w:w="1821" w:type="dxa"/>
          </w:tcPr>
          <w:p w14:paraId="573C768F" w14:textId="77777777" w:rsidR="00B37D2B" w:rsidRPr="001F4B72" w:rsidRDefault="00B37D2B" w:rsidP="000166A9">
            <w:pPr>
              <w:spacing w:line="480" w:lineRule="auto"/>
              <w:rPr>
                <w:rFonts w:ascii="Times New Roman" w:hAnsi="Times New Roman" w:cs="Times New Roman"/>
                <w:sz w:val="18"/>
                <w:szCs w:val="18"/>
              </w:rPr>
            </w:pPr>
            <w:r w:rsidRPr="001F4B72">
              <w:rPr>
                <w:rFonts w:ascii="Times New Roman" w:hAnsi="Times New Roman" w:cs="Times New Roman"/>
                <w:color w:val="1B1B1B"/>
                <w:sz w:val="18"/>
                <w:szCs w:val="18"/>
              </w:rPr>
              <w:t>Health care workers</w:t>
            </w:r>
          </w:p>
        </w:tc>
        <w:tc>
          <w:tcPr>
            <w:tcW w:w="1353" w:type="dxa"/>
          </w:tcPr>
          <w:p w14:paraId="459D2590" w14:textId="77777777" w:rsidR="00B37D2B" w:rsidRPr="001F4B72" w:rsidRDefault="00B37D2B" w:rsidP="000166A9">
            <w:pPr>
              <w:spacing w:line="480" w:lineRule="auto"/>
              <w:rPr>
                <w:rFonts w:ascii="Times New Roman" w:hAnsi="Times New Roman" w:cs="Times New Roman"/>
                <w:sz w:val="18"/>
                <w:szCs w:val="18"/>
              </w:rPr>
            </w:pPr>
            <w:r w:rsidRPr="001F4B72">
              <w:rPr>
                <w:rFonts w:ascii="Times New Roman" w:hAnsi="Times New Roman" w:cs="Times New Roman"/>
                <w:color w:val="1B1B1B"/>
                <w:sz w:val="18"/>
                <w:szCs w:val="18"/>
              </w:rPr>
              <w:t>Germany</w:t>
            </w:r>
          </w:p>
        </w:tc>
        <w:tc>
          <w:tcPr>
            <w:tcW w:w="1793" w:type="dxa"/>
          </w:tcPr>
          <w:p w14:paraId="38B6E872" w14:textId="77777777" w:rsidR="00B37D2B" w:rsidRPr="001F4B72" w:rsidRDefault="00B37D2B" w:rsidP="000166A9">
            <w:pPr>
              <w:spacing w:line="480" w:lineRule="auto"/>
              <w:rPr>
                <w:rFonts w:ascii="Times New Roman" w:hAnsi="Times New Roman" w:cs="Times New Roman"/>
                <w:sz w:val="18"/>
                <w:szCs w:val="18"/>
              </w:rPr>
            </w:pPr>
            <w:r w:rsidRPr="001F4B72">
              <w:rPr>
                <w:rFonts w:ascii="Times New Roman" w:hAnsi="Times New Roman" w:cs="Times New Roman"/>
                <w:sz w:val="18"/>
                <w:szCs w:val="18"/>
              </w:rPr>
              <w:t>Sassmannshausen et al., 2016</w:t>
            </w:r>
          </w:p>
        </w:tc>
      </w:tr>
      <w:tr w:rsidR="00B37D2B" w:rsidRPr="00B37D2B" w14:paraId="1E0FBB6E" w14:textId="77777777" w:rsidTr="000166A9">
        <w:tc>
          <w:tcPr>
            <w:tcW w:w="1278" w:type="dxa"/>
          </w:tcPr>
          <w:p w14:paraId="1D2BC18A" w14:textId="77777777" w:rsidR="00B37D2B" w:rsidRPr="001F4B72" w:rsidRDefault="00B37D2B" w:rsidP="000166A9">
            <w:pPr>
              <w:spacing w:line="480" w:lineRule="auto"/>
              <w:rPr>
                <w:rFonts w:ascii="Times New Roman" w:hAnsi="Times New Roman" w:cs="Times New Roman"/>
                <w:color w:val="1B1B1B"/>
                <w:sz w:val="18"/>
                <w:szCs w:val="18"/>
              </w:rPr>
            </w:pPr>
            <w:r w:rsidRPr="001F4B72">
              <w:rPr>
                <w:rFonts w:ascii="Times New Roman" w:hAnsi="Times New Roman" w:cs="Times New Roman"/>
                <w:sz w:val="18"/>
                <w:szCs w:val="18"/>
              </w:rPr>
              <w:t>2017</w:t>
            </w:r>
          </w:p>
        </w:tc>
        <w:tc>
          <w:tcPr>
            <w:tcW w:w="1471" w:type="dxa"/>
          </w:tcPr>
          <w:p w14:paraId="32AC7E9C" w14:textId="77777777" w:rsidR="00B37D2B" w:rsidRPr="001F4B72" w:rsidRDefault="00B37D2B" w:rsidP="000166A9">
            <w:pPr>
              <w:spacing w:line="480" w:lineRule="auto"/>
              <w:rPr>
                <w:rFonts w:ascii="Times New Roman" w:hAnsi="Times New Roman" w:cs="Times New Roman"/>
                <w:color w:val="1B1B1B"/>
                <w:sz w:val="18"/>
                <w:szCs w:val="18"/>
              </w:rPr>
            </w:pPr>
            <w:r w:rsidRPr="001F4B72">
              <w:rPr>
                <w:rFonts w:ascii="Times New Roman" w:hAnsi="Times New Roman" w:cs="Times New Roman"/>
                <w:sz w:val="18"/>
                <w:szCs w:val="18"/>
              </w:rPr>
              <w:t>52%</w:t>
            </w:r>
          </w:p>
        </w:tc>
        <w:tc>
          <w:tcPr>
            <w:tcW w:w="1300" w:type="dxa"/>
          </w:tcPr>
          <w:p w14:paraId="1E81F859" w14:textId="77777777" w:rsidR="00B37D2B" w:rsidRPr="001F4B72" w:rsidRDefault="00B37D2B" w:rsidP="000166A9">
            <w:pPr>
              <w:spacing w:line="480" w:lineRule="auto"/>
              <w:rPr>
                <w:rFonts w:ascii="Times New Roman" w:hAnsi="Times New Roman" w:cs="Times New Roman"/>
                <w:color w:val="1B1B1B"/>
                <w:sz w:val="18"/>
                <w:szCs w:val="18"/>
              </w:rPr>
            </w:pPr>
            <w:r w:rsidRPr="001F4B72">
              <w:rPr>
                <w:rFonts w:ascii="Times New Roman" w:hAnsi="Times New Roman" w:cs="Times New Roman"/>
                <w:sz w:val="18"/>
                <w:szCs w:val="18"/>
              </w:rPr>
              <w:t>180</w:t>
            </w:r>
          </w:p>
        </w:tc>
        <w:tc>
          <w:tcPr>
            <w:tcW w:w="1821" w:type="dxa"/>
          </w:tcPr>
          <w:p w14:paraId="7B21215B" w14:textId="77777777" w:rsidR="00B37D2B" w:rsidRPr="001F4B72" w:rsidRDefault="00B37D2B" w:rsidP="000166A9">
            <w:pPr>
              <w:spacing w:line="480" w:lineRule="auto"/>
              <w:rPr>
                <w:rFonts w:ascii="Times New Roman" w:hAnsi="Times New Roman" w:cs="Times New Roman"/>
                <w:color w:val="1B1B1B"/>
                <w:sz w:val="18"/>
                <w:szCs w:val="18"/>
              </w:rPr>
            </w:pPr>
            <w:r w:rsidRPr="001F4B72">
              <w:rPr>
                <w:rFonts w:ascii="Times New Roman" w:hAnsi="Times New Roman" w:cs="Times New Roman"/>
                <w:sz w:val="18"/>
                <w:szCs w:val="18"/>
              </w:rPr>
              <w:t>Human blood</w:t>
            </w:r>
          </w:p>
        </w:tc>
        <w:tc>
          <w:tcPr>
            <w:tcW w:w="1353" w:type="dxa"/>
          </w:tcPr>
          <w:p w14:paraId="410994A6" w14:textId="77777777" w:rsidR="00B37D2B" w:rsidRPr="001F4B72" w:rsidRDefault="00B37D2B" w:rsidP="000166A9">
            <w:pPr>
              <w:spacing w:line="480" w:lineRule="auto"/>
              <w:rPr>
                <w:rFonts w:ascii="Times New Roman" w:hAnsi="Times New Roman" w:cs="Times New Roman"/>
                <w:color w:val="1B1B1B"/>
                <w:sz w:val="18"/>
                <w:szCs w:val="18"/>
              </w:rPr>
            </w:pPr>
            <w:r w:rsidRPr="001F4B72">
              <w:rPr>
                <w:rFonts w:ascii="Times New Roman" w:hAnsi="Times New Roman" w:cs="Times New Roman"/>
                <w:sz w:val="18"/>
                <w:szCs w:val="18"/>
              </w:rPr>
              <w:t>Pakistan</w:t>
            </w:r>
          </w:p>
        </w:tc>
        <w:tc>
          <w:tcPr>
            <w:tcW w:w="1793" w:type="dxa"/>
          </w:tcPr>
          <w:p w14:paraId="2798700F" w14:textId="77777777" w:rsidR="00B37D2B" w:rsidRPr="001F4B72" w:rsidRDefault="00B37D2B" w:rsidP="000166A9">
            <w:pPr>
              <w:spacing w:line="480" w:lineRule="auto"/>
              <w:rPr>
                <w:rFonts w:ascii="Times New Roman" w:hAnsi="Times New Roman" w:cs="Times New Roman"/>
                <w:sz w:val="18"/>
                <w:szCs w:val="18"/>
              </w:rPr>
            </w:pPr>
            <w:r w:rsidRPr="001F4B72">
              <w:rPr>
                <w:rFonts w:ascii="Times New Roman" w:hAnsi="Times New Roman" w:cs="Times New Roman"/>
                <w:sz w:val="18"/>
                <w:szCs w:val="18"/>
              </w:rPr>
              <w:t>Siddiqui et al., 2017</w:t>
            </w:r>
          </w:p>
        </w:tc>
      </w:tr>
      <w:tr w:rsidR="00B37D2B" w:rsidRPr="00B37D2B" w14:paraId="5C321EAB" w14:textId="77777777" w:rsidTr="000166A9">
        <w:tc>
          <w:tcPr>
            <w:tcW w:w="1278" w:type="dxa"/>
          </w:tcPr>
          <w:p w14:paraId="7EBF55B7" w14:textId="77777777" w:rsidR="00B37D2B" w:rsidRPr="001F4B72" w:rsidRDefault="00B37D2B" w:rsidP="000166A9">
            <w:pPr>
              <w:spacing w:line="480" w:lineRule="auto"/>
              <w:rPr>
                <w:rFonts w:ascii="Times New Roman" w:hAnsi="Times New Roman" w:cs="Times New Roman"/>
                <w:color w:val="1B1B1B"/>
                <w:sz w:val="18"/>
                <w:szCs w:val="18"/>
              </w:rPr>
            </w:pPr>
            <w:r w:rsidRPr="001F4B72">
              <w:rPr>
                <w:rFonts w:ascii="Times New Roman" w:hAnsi="Times New Roman" w:cs="Times New Roman"/>
                <w:sz w:val="18"/>
                <w:szCs w:val="18"/>
              </w:rPr>
              <w:t>2021</w:t>
            </w:r>
          </w:p>
        </w:tc>
        <w:tc>
          <w:tcPr>
            <w:tcW w:w="1471" w:type="dxa"/>
          </w:tcPr>
          <w:p w14:paraId="0D48430C" w14:textId="77777777" w:rsidR="00B37D2B" w:rsidRPr="001F4B72" w:rsidRDefault="00B37D2B" w:rsidP="000166A9">
            <w:pPr>
              <w:spacing w:line="480" w:lineRule="auto"/>
              <w:rPr>
                <w:rFonts w:ascii="Times New Roman" w:hAnsi="Times New Roman" w:cs="Times New Roman"/>
                <w:color w:val="1B1B1B"/>
                <w:sz w:val="18"/>
                <w:szCs w:val="18"/>
              </w:rPr>
            </w:pPr>
            <w:r w:rsidRPr="001F4B72">
              <w:rPr>
                <w:rFonts w:ascii="Times New Roman" w:hAnsi="Times New Roman" w:cs="Times New Roman"/>
                <w:sz w:val="18"/>
                <w:szCs w:val="18"/>
              </w:rPr>
              <w:t>19.1%</w:t>
            </w:r>
          </w:p>
        </w:tc>
        <w:tc>
          <w:tcPr>
            <w:tcW w:w="1300" w:type="dxa"/>
          </w:tcPr>
          <w:p w14:paraId="2840D6B0" w14:textId="77777777" w:rsidR="00B37D2B" w:rsidRPr="001F4B72" w:rsidRDefault="00B37D2B" w:rsidP="000166A9">
            <w:pPr>
              <w:spacing w:line="480" w:lineRule="auto"/>
              <w:rPr>
                <w:rFonts w:ascii="Times New Roman" w:hAnsi="Times New Roman" w:cs="Times New Roman"/>
                <w:color w:val="1B1B1B"/>
                <w:sz w:val="18"/>
                <w:szCs w:val="18"/>
              </w:rPr>
            </w:pPr>
            <w:r w:rsidRPr="001F4B72">
              <w:rPr>
                <w:rFonts w:ascii="Times New Roman" w:hAnsi="Times New Roman" w:cs="Times New Roman"/>
                <w:sz w:val="18"/>
                <w:szCs w:val="18"/>
              </w:rPr>
              <w:t>47</w:t>
            </w:r>
          </w:p>
        </w:tc>
        <w:tc>
          <w:tcPr>
            <w:tcW w:w="1821" w:type="dxa"/>
          </w:tcPr>
          <w:p w14:paraId="5A78E1AC" w14:textId="77777777" w:rsidR="00B37D2B" w:rsidRPr="001F4B72" w:rsidRDefault="00B37D2B" w:rsidP="000166A9">
            <w:pPr>
              <w:spacing w:line="480" w:lineRule="auto"/>
              <w:rPr>
                <w:rFonts w:ascii="Times New Roman" w:hAnsi="Times New Roman" w:cs="Times New Roman"/>
                <w:color w:val="1B1B1B"/>
                <w:sz w:val="18"/>
                <w:szCs w:val="18"/>
              </w:rPr>
            </w:pPr>
            <w:r w:rsidRPr="001F4B72">
              <w:rPr>
                <w:rFonts w:ascii="Times New Roman" w:hAnsi="Times New Roman" w:cs="Times New Roman"/>
                <w:sz w:val="18"/>
                <w:szCs w:val="18"/>
              </w:rPr>
              <w:t>Nose, pharynx, and mobile phone</w:t>
            </w:r>
          </w:p>
        </w:tc>
        <w:tc>
          <w:tcPr>
            <w:tcW w:w="1353" w:type="dxa"/>
          </w:tcPr>
          <w:p w14:paraId="6A76651D" w14:textId="77777777" w:rsidR="00B37D2B" w:rsidRPr="001F4B72" w:rsidRDefault="00B37D2B" w:rsidP="000166A9">
            <w:pPr>
              <w:spacing w:line="480" w:lineRule="auto"/>
              <w:rPr>
                <w:rFonts w:ascii="Times New Roman" w:hAnsi="Times New Roman" w:cs="Times New Roman"/>
                <w:color w:val="1B1B1B"/>
                <w:sz w:val="18"/>
                <w:szCs w:val="18"/>
              </w:rPr>
            </w:pPr>
            <w:r w:rsidRPr="001F4B72">
              <w:rPr>
                <w:rFonts w:ascii="Times New Roman" w:hAnsi="Times New Roman" w:cs="Times New Roman"/>
                <w:sz w:val="18"/>
                <w:szCs w:val="18"/>
              </w:rPr>
              <w:t>Mexico</w:t>
            </w:r>
          </w:p>
        </w:tc>
        <w:tc>
          <w:tcPr>
            <w:tcW w:w="1793" w:type="dxa"/>
          </w:tcPr>
          <w:p w14:paraId="5B11FD5F" w14:textId="77777777" w:rsidR="00B37D2B" w:rsidRPr="001F4B72" w:rsidRDefault="00B37D2B" w:rsidP="000166A9">
            <w:pPr>
              <w:spacing w:line="480" w:lineRule="auto"/>
              <w:rPr>
                <w:rFonts w:ascii="Times New Roman" w:hAnsi="Times New Roman" w:cs="Times New Roman"/>
                <w:sz w:val="18"/>
                <w:szCs w:val="18"/>
              </w:rPr>
            </w:pPr>
            <w:r w:rsidRPr="001F4B72">
              <w:rPr>
                <w:rFonts w:ascii="Times New Roman" w:hAnsi="Times New Roman" w:cs="Times New Roman"/>
                <w:sz w:val="18"/>
                <w:szCs w:val="18"/>
              </w:rPr>
              <w:t>Hamdan-Partida et al., 2022</w:t>
            </w:r>
          </w:p>
        </w:tc>
      </w:tr>
      <w:tr w:rsidR="00B37D2B" w:rsidRPr="00B37D2B" w14:paraId="0633EF27" w14:textId="77777777" w:rsidTr="000166A9">
        <w:tc>
          <w:tcPr>
            <w:tcW w:w="9016" w:type="dxa"/>
            <w:gridSpan w:val="6"/>
            <w:shd w:val="clear" w:color="auto" w:fill="D1D1D1" w:themeFill="background2" w:themeFillShade="E6"/>
          </w:tcPr>
          <w:p w14:paraId="1A2B3243" w14:textId="77777777" w:rsidR="00B37D2B" w:rsidRPr="001F4B72" w:rsidRDefault="00B37D2B" w:rsidP="000166A9">
            <w:pPr>
              <w:spacing w:line="480" w:lineRule="auto"/>
              <w:rPr>
                <w:rFonts w:ascii="Times New Roman" w:hAnsi="Times New Roman" w:cs="Times New Roman"/>
                <w:sz w:val="18"/>
                <w:szCs w:val="18"/>
              </w:rPr>
            </w:pPr>
            <w:r w:rsidRPr="001F4B72">
              <w:rPr>
                <w:rFonts w:ascii="Times New Roman" w:hAnsi="Times New Roman" w:cs="Times New Roman"/>
                <w:sz w:val="18"/>
                <w:szCs w:val="18"/>
              </w:rPr>
              <w:t>Community-acquired MRSA (CA-MRSA)</w:t>
            </w:r>
          </w:p>
        </w:tc>
      </w:tr>
      <w:tr w:rsidR="00B37D2B" w:rsidRPr="00B37D2B" w14:paraId="759B86A7" w14:textId="77777777" w:rsidTr="000166A9">
        <w:tc>
          <w:tcPr>
            <w:tcW w:w="1278" w:type="dxa"/>
          </w:tcPr>
          <w:p w14:paraId="6EC26A89" w14:textId="77777777" w:rsidR="00B37D2B" w:rsidRPr="001F4B72" w:rsidRDefault="00B37D2B" w:rsidP="000166A9">
            <w:pPr>
              <w:spacing w:line="480" w:lineRule="auto"/>
              <w:rPr>
                <w:rFonts w:ascii="Times New Roman" w:hAnsi="Times New Roman" w:cs="Times New Roman"/>
                <w:sz w:val="18"/>
                <w:szCs w:val="18"/>
              </w:rPr>
            </w:pPr>
            <w:r w:rsidRPr="001F4B72">
              <w:rPr>
                <w:rFonts w:ascii="Times New Roman" w:hAnsi="Times New Roman" w:cs="Times New Roman"/>
                <w:sz w:val="18"/>
                <w:szCs w:val="18"/>
              </w:rPr>
              <w:t>2009</w:t>
            </w:r>
          </w:p>
        </w:tc>
        <w:tc>
          <w:tcPr>
            <w:tcW w:w="1471" w:type="dxa"/>
          </w:tcPr>
          <w:p w14:paraId="337E0E2B" w14:textId="77777777" w:rsidR="00B37D2B" w:rsidRPr="001F4B72" w:rsidRDefault="00B37D2B" w:rsidP="000166A9">
            <w:pPr>
              <w:spacing w:line="480" w:lineRule="auto"/>
              <w:rPr>
                <w:rFonts w:ascii="Times New Roman" w:hAnsi="Times New Roman" w:cs="Times New Roman"/>
                <w:sz w:val="18"/>
                <w:szCs w:val="18"/>
              </w:rPr>
            </w:pPr>
            <w:r w:rsidRPr="001F4B72">
              <w:rPr>
                <w:rFonts w:ascii="Times New Roman" w:hAnsi="Times New Roman" w:cs="Times New Roman"/>
                <w:sz w:val="18"/>
                <w:szCs w:val="18"/>
              </w:rPr>
              <w:t>38.5%</w:t>
            </w:r>
          </w:p>
        </w:tc>
        <w:tc>
          <w:tcPr>
            <w:tcW w:w="1300" w:type="dxa"/>
          </w:tcPr>
          <w:p w14:paraId="05F25FF7" w14:textId="77777777" w:rsidR="00B37D2B" w:rsidRPr="001F4B72" w:rsidRDefault="00B37D2B" w:rsidP="000166A9">
            <w:pPr>
              <w:spacing w:line="480" w:lineRule="auto"/>
              <w:rPr>
                <w:rFonts w:ascii="Times New Roman" w:hAnsi="Times New Roman" w:cs="Times New Roman"/>
                <w:sz w:val="18"/>
                <w:szCs w:val="18"/>
              </w:rPr>
            </w:pPr>
            <w:r w:rsidRPr="001F4B72">
              <w:rPr>
                <w:rFonts w:ascii="Times New Roman" w:hAnsi="Times New Roman" w:cs="Times New Roman"/>
                <w:sz w:val="18"/>
                <w:szCs w:val="18"/>
              </w:rPr>
              <w:t>120</w:t>
            </w:r>
          </w:p>
        </w:tc>
        <w:tc>
          <w:tcPr>
            <w:tcW w:w="1821" w:type="dxa"/>
          </w:tcPr>
          <w:p w14:paraId="3E584020" w14:textId="77777777" w:rsidR="00B37D2B" w:rsidRPr="001F4B72" w:rsidRDefault="00B37D2B" w:rsidP="000166A9">
            <w:pPr>
              <w:spacing w:line="480" w:lineRule="auto"/>
              <w:rPr>
                <w:rFonts w:ascii="Times New Roman" w:hAnsi="Times New Roman" w:cs="Times New Roman"/>
                <w:sz w:val="18"/>
                <w:szCs w:val="18"/>
              </w:rPr>
            </w:pPr>
            <w:r w:rsidRPr="001F4B72">
              <w:rPr>
                <w:rFonts w:ascii="Times New Roman" w:hAnsi="Times New Roman" w:cs="Times New Roman"/>
                <w:sz w:val="18"/>
                <w:szCs w:val="18"/>
              </w:rPr>
              <w:t>Dialysis patients</w:t>
            </w:r>
          </w:p>
        </w:tc>
        <w:tc>
          <w:tcPr>
            <w:tcW w:w="1353" w:type="dxa"/>
          </w:tcPr>
          <w:p w14:paraId="5AA0EAB5" w14:textId="77777777" w:rsidR="00B37D2B" w:rsidRPr="001F4B72" w:rsidRDefault="00B37D2B" w:rsidP="000166A9">
            <w:pPr>
              <w:spacing w:line="480" w:lineRule="auto"/>
              <w:rPr>
                <w:rFonts w:ascii="Times New Roman" w:hAnsi="Times New Roman" w:cs="Times New Roman"/>
                <w:sz w:val="18"/>
                <w:szCs w:val="18"/>
              </w:rPr>
            </w:pPr>
            <w:r w:rsidRPr="001F4B72">
              <w:rPr>
                <w:rFonts w:ascii="Times New Roman" w:hAnsi="Times New Roman" w:cs="Times New Roman"/>
                <w:sz w:val="18"/>
                <w:szCs w:val="18"/>
              </w:rPr>
              <w:t>United Kingdom</w:t>
            </w:r>
          </w:p>
        </w:tc>
        <w:tc>
          <w:tcPr>
            <w:tcW w:w="1793" w:type="dxa"/>
          </w:tcPr>
          <w:p w14:paraId="6A590ED9" w14:textId="77777777" w:rsidR="00B37D2B" w:rsidRPr="001F4B72" w:rsidRDefault="00B37D2B" w:rsidP="000166A9">
            <w:pPr>
              <w:spacing w:line="480" w:lineRule="auto"/>
              <w:rPr>
                <w:rFonts w:ascii="Times New Roman" w:hAnsi="Times New Roman" w:cs="Times New Roman"/>
                <w:sz w:val="18"/>
                <w:szCs w:val="18"/>
              </w:rPr>
            </w:pPr>
            <w:r w:rsidRPr="001F4B72">
              <w:rPr>
                <w:rFonts w:ascii="Times New Roman" w:hAnsi="Times New Roman" w:cs="Times New Roman"/>
                <w:sz w:val="18"/>
                <w:szCs w:val="18"/>
              </w:rPr>
              <w:t>Johnson et al., 2009</w:t>
            </w:r>
          </w:p>
        </w:tc>
      </w:tr>
      <w:tr w:rsidR="00B37D2B" w:rsidRPr="00B37D2B" w14:paraId="284DACF3" w14:textId="77777777" w:rsidTr="000166A9">
        <w:tc>
          <w:tcPr>
            <w:tcW w:w="1278" w:type="dxa"/>
          </w:tcPr>
          <w:p w14:paraId="73BF4180" w14:textId="77777777" w:rsidR="00B37D2B" w:rsidRPr="001F4B72" w:rsidRDefault="00B37D2B" w:rsidP="000166A9">
            <w:pPr>
              <w:spacing w:line="480" w:lineRule="auto"/>
              <w:rPr>
                <w:rFonts w:ascii="Times New Roman" w:hAnsi="Times New Roman" w:cs="Times New Roman"/>
                <w:sz w:val="18"/>
                <w:szCs w:val="18"/>
              </w:rPr>
            </w:pPr>
            <w:r w:rsidRPr="001F4B72">
              <w:rPr>
                <w:rFonts w:ascii="Times New Roman" w:hAnsi="Times New Roman" w:cs="Times New Roman"/>
                <w:sz w:val="18"/>
                <w:szCs w:val="18"/>
              </w:rPr>
              <w:t>2020</w:t>
            </w:r>
          </w:p>
        </w:tc>
        <w:tc>
          <w:tcPr>
            <w:tcW w:w="1471" w:type="dxa"/>
          </w:tcPr>
          <w:p w14:paraId="0B40B2D4" w14:textId="77777777" w:rsidR="00B37D2B" w:rsidRPr="001F4B72" w:rsidRDefault="00B37D2B" w:rsidP="000166A9">
            <w:pPr>
              <w:spacing w:line="480" w:lineRule="auto"/>
              <w:rPr>
                <w:rFonts w:ascii="Times New Roman" w:hAnsi="Times New Roman" w:cs="Times New Roman"/>
                <w:sz w:val="18"/>
                <w:szCs w:val="18"/>
              </w:rPr>
            </w:pPr>
            <w:r w:rsidRPr="001F4B72">
              <w:rPr>
                <w:rFonts w:ascii="Times New Roman" w:hAnsi="Times New Roman" w:cs="Times New Roman"/>
                <w:sz w:val="18"/>
                <w:szCs w:val="18"/>
              </w:rPr>
              <w:t>84.9%</w:t>
            </w:r>
          </w:p>
        </w:tc>
        <w:tc>
          <w:tcPr>
            <w:tcW w:w="1300" w:type="dxa"/>
          </w:tcPr>
          <w:p w14:paraId="4C193513" w14:textId="77777777" w:rsidR="00B37D2B" w:rsidRPr="001F4B72" w:rsidRDefault="00B37D2B" w:rsidP="000166A9">
            <w:pPr>
              <w:spacing w:line="480" w:lineRule="auto"/>
              <w:rPr>
                <w:rFonts w:ascii="Times New Roman" w:hAnsi="Times New Roman" w:cs="Times New Roman"/>
                <w:sz w:val="18"/>
                <w:szCs w:val="18"/>
              </w:rPr>
            </w:pPr>
            <w:r w:rsidRPr="001F4B72">
              <w:rPr>
                <w:rFonts w:ascii="Times New Roman" w:hAnsi="Times New Roman" w:cs="Times New Roman"/>
                <w:sz w:val="18"/>
                <w:szCs w:val="18"/>
              </w:rPr>
              <w:t>456</w:t>
            </w:r>
          </w:p>
        </w:tc>
        <w:tc>
          <w:tcPr>
            <w:tcW w:w="1821" w:type="dxa"/>
          </w:tcPr>
          <w:p w14:paraId="7E15ED5E" w14:textId="77777777" w:rsidR="00B37D2B" w:rsidRPr="001F4B72" w:rsidRDefault="00B37D2B" w:rsidP="000166A9">
            <w:pPr>
              <w:spacing w:line="480" w:lineRule="auto"/>
              <w:rPr>
                <w:rFonts w:ascii="Times New Roman" w:hAnsi="Times New Roman" w:cs="Times New Roman"/>
                <w:sz w:val="18"/>
                <w:szCs w:val="18"/>
              </w:rPr>
            </w:pPr>
            <w:r w:rsidRPr="001F4B72">
              <w:rPr>
                <w:rFonts w:ascii="Times New Roman" w:hAnsi="Times New Roman" w:cs="Times New Roman"/>
                <w:sz w:val="18"/>
                <w:szCs w:val="18"/>
              </w:rPr>
              <w:t>Blood</w:t>
            </w:r>
          </w:p>
        </w:tc>
        <w:tc>
          <w:tcPr>
            <w:tcW w:w="1353" w:type="dxa"/>
          </w:tcPr>
          <w:p w14:paraId="2A403CB1" w14:textId="77777777" w:rsidR="00B37D2B" w:rsidRPr="001F4B72" w:rsidRDefault="00B37D2B" w:rsidP="000166A9">
            <w:pPr>
              <w:spacing w:line="480" w:lineRule="auto"/>
              <w:rPr>
                <w:rFonts w:ascii="Times New Roman" w:hAnsi="Times New Roman" w:cs="Times New Roman"/>
                <w:sz w:val="18"/>
                <w:szCs w:val="18"/>
              </w:rPr>
            </w:pPr>
            <w:r w:rsidRPr="001F4B72">
              <w:rPr>
                <w:rFonts w:ascii="Times New Roman" w:hAnsi="Times New Roman" w:cs="Times New Roman"/>
                <w:sz w:val="18"/>
                <w:szCs w:val="18"/>
              </w:rPr>
              <w:t>Australia</w:t>
            </w:r>
          </w:p>
        </w:tc>
        <w:tc>
          <w:tcPr>
            <w:tcW w:w="1793" w:type="dxa"/>
          </w:tcPr>
          <w:p w14:paraId="7D650A6B" w14:textId="77777777" w:rsidR="00B37D2B" w:rsidRPr="001F4B72" w:rsidRDefault="00B37D2B" w:rsidP="000166A9">
            <w:pPr>
              <w:spacing w:line="480" w:lineRule="auto"/>
              <w:rPr>
                <w:rFonts w:ascii="Times New Roman" w:hAnsi="Times New Roman" w:cs="Times New Roman"/>
                <w:sz w:val="18"/>
                <w:szCs w:val="18"/>
              </w:rPr>
            </w:pPr>
            <w:r w:rsidRPr="001F4B72">
              <w:rPr>
                <w:rFonts w:ascii="Times New Roman" w:hAnsi="Times New Roman" w:cs="Times New Roman"/>
                <w:sz w:val="18"/>
                <w:szCs w:val="18"/>
              </w:rPr>
              <w:t>Coombs et al., 2022</w:t>
            </w:r>
          </w:p>
        </w:tc>
      </w:tr>
    </w:tbl>
    <w:p w14:paraId="76E8D451" w14:textId="77777777" w:rsidR="00B37D2B" w:rsidRPr="00B37D2B" w:rsidRDefault="00B37D2B" w:rsidP="00B37D2B">
      <w:pPr>
        <w:spacing w:after="0" w:line="480" w:lineRule="auto"/>
        <w:rPr>
          <w:rFonts w:ascii="Arial" w:hAnsi="Arial" w:cs="Arial"/>
        </w:rPr>
      </w:pPr>
      <w:r w:rsidRPr="00B37D2B">
        <w:rPr>
          <w:rFonts w:ascii="Arial" w:hAnsi="Arial" w:cs="Arial"/>
        </w:rPr>
        <w:t>(From Shoaib et al., 2023)</w:t>
      </w:r>
    </w:p>
    <w:p w14:paraId="5D261CD6" w14:textId="0835F9E8" w:rsidR="00B37D2B" w:rsidRPr="00B37D2B" w:rsidRDefault="00B37D2B" w:rsidP="00B37D2B">
      <w:pPr>
        <w:spacing w:after="0" w:line="480" w:lineRule="auto"/>
        <w:rPr>
          <w:rFonts w:ascii="Arial" w:hAnsi="Arial" w:cs="Arial"/>
        </w:rPr>
      </w:pPr>
      <w:r w:rsidRPr="00B37D2B">
        <w:rPr>
          <w:rFonts w:ascii="Arial" w:hAnsi="Arial" w:cs="Arial"/>
          <w:b/>
          <w:bCs/>
        </w:rPr>
        <w:t>Note</w:t>
      </w:r>
      <w:r w:rsidRPr="00B37D2B">
        <w:rPr>
          <w:rFonts w:ascii="Arial" w:hAnsi="Arial" w:cs="Arial"/>
        </w:rPr>
        <w:t xml:space="preserve">. This table was </w:t>
      </w:r>
      <w:r w:rsidR="005D7851" w:rsidRPr="00B37D2B">
        <w:rPr>
          <w:rFonts w:ascii="Arial" w:hAnsi="Arial" w:cs="Arial"/>
        </w:rPr>
        <w:t xml:space="preserve">chronologically </w:t>
      </w:r>
      <w:r w:rsidRPr="00B37D2B">
        <w:rPr>
          <w:rFonts w:ascii="Arial" w:hAnsi="Arial" w:cs="Arial"/>
        </w:rPr>
        <w:t>reordered</w:t>
      </w:r>
      <w:r w:rsidR="005D7851">
        <w:rPr>
          <w:rFonts w:ascii="Arial" w:hAnsi="Arial" w:cs="Arial" w:hint="eastAsia"/>
        </w:rPr>
        <w:t xml:space="preserve"> and </w:t>
      </w:r>
      <w:r w:rsidR="005D7851">
        <w:rPr>
          <w:rFonts w:ascii="Arial" w:hAnsi="Arial" w:cs="Arial"/>
        </w:rPr>
        <w:t>summarised</w:t>
      </w:r>
      <w:r w:rsidRPr="00B37D2B">
        <w:rPr>
          <w:rFonts w:ascii="Arial" w:hAnsi="Arial" w:cs="Arial"/>
        </w:rPr>
        <w:t xml:space="preserve"> from the original dat</w:t>
      </w:r>
      <w:r w:rsidR="001F4B72">
        <w:rPr>
          <w:rFonts w:ascii="Arial" w:hAnsi="Arial" w:cs="Arial" w:hint="eastAsia"/>
        </w:rPr>
        <w:t>a</w:t>
      </w:r>
      <w:r w:rsidRPr="00B37D2B">
        <w:rPr>
          <w:rFonts w:ascii="Arial" w:hAnsi="Arial" w:cs="Arial"/>
        </w:rPr>
        <w:t xml:space="preserve">. </w:t>
      </w:r>
      <w:r w:rsidR="00186892">
        <w:rPr>
          <w:rFonts w:ascii="Arial" w:hAnsi="Arial" w:cs="Arial" w:hint="eastAsia"/>
        </w:rPr>
        <w:t>T</w:t>
      </w:r>
      <w:r w:rsidR="00186892" w:rsidRPr="00186892">
        <w:rPr>
          <w:rFonts w:ascii="Arial" w:hAnsi="Arial" w:cs="Arial"/>
        </w:rPr>
        <w:t>he full dataset is available in Appendix</w:t>
      </w:r>
      <w:r w:rsidR="00186892">
        <w:rPr>
          <w:rFonts w:ascii="Arial" w:hAnsi="Arial" w:cs="Arial" w:hint="eastAsia"/>
        </w:rPr>
        <w:t xml:space="preserve"> and the original publication</w:t>
      </w:r>
      <w:r w:rsidRPr="00B37D2B">
        <w:rPr>
          <w:rFonts w:ascii="Arial" w:hAnsi="Arial" w:cs="Arial"/>
        </w:rPr>
        <w:t>:</w:t>
      </w:r>
      <w:r w:rsidR="00186892">
        <w:rPr>
          <w:rFonts w:ascii="Arial" w:hAnsi="Arial" w:cs="Arial" w:hint="eastAsia"/>
        </w:rPr>
        <w:t xml:space="preserve"> </w:t>
      </w:r>
      <w:r w:rsidR="00186892" w:rsidRPr="004B4877">
        <w:rPr>
          <w:rFonts w:ascii="Arial" w:hAnsi="Arial" w:cs="Arial"/>
        </w:rPr>
        <w:t>https://pmc.ncbi.nlm.nih.gov/articles/PMC9871788/</w:t>
      </w:r>
    </w:p>
    <w:p w14:paraId="1A2D2FDC" w14:textId="77777777" w:rsidR="00B37D2B" w:rsidRPr="00B37D2B" w:rsidRDefault="00B37D2B" w:rsidP="00B37D2B">
      <w:pPr>
        <w:spacing w:after="0" w:line="480" w:lineRule="auto"/>
        <w:rPr>
          <w:rFonts w:ascii="Arial" w:hAnsi="Arial" w:cs="Arial"/>
        </w:rPr>
      </w:pPr>
    </w:p>
    <w:p w14:paraId="5291D6E6" w14:textId="0FD9E2C2" w:rsidR="00B37D2B" w:rsidRPr="00B37D2B" w:rsidRDefault="00B37D2B" w:rsidP="00B37D2B">
      <w:pPr>
        <w:spacing w:after="0" w:line="480" w:lineRule="auto"/>
        <w:ind w:firstLine="720"/>
        <w:rPr>
          <w:rFonts w:ascii="Arial" w:hAnsi="Arial" w:cs="Arial"/>
        </w:rPr>
      </w:pPr>
      <w:r w:rsidRPr="00B37D2B">
        <w:rPr>
          <w:rFonts w:ascii="Arial" w:hAnsi="Arial" w:cs="Arial"/>
        </w:rPr>
        <w:t xml:space="preserve">Table 1 represents the prevalence of MRSA in different environments and samples in various countries. Differences in prevalence rely on other factors rather than time: country, </w:t>
      </w:r>
      <w:r w:rsidRPr="00B37D2B">
        <w:rPr>
          <w:rFonts w:ascii="Arial" w:hAnsi="Arial" w:cs="Arial"/>
        </w:rPr>
        <w:lastRenderedPageBreak/>
        <w:t>sample sources, and settings (HA-MRSA/ CA-MRSA</w:t>
      </w:r>
      <w:r w:rsidR="005D7851">
        <w:rPr>
          <w:rFonts w:ascii="Arial" w:hAnsi="Arial" w:cs="Arial" w:hint="eastAsia"/>
        </w:rPr>
        <w:t>)</w:t>
      </w:r>
      <w:r w:rsidRPr="00B37D2B">
        <w:rPr>
          <w:rFonts w:ascii="Arial" w:hAnsi="Arial" w:cs="Arial"/>
        </w:rPr>
        <w:t>. As the prevalence in Pakistan (2017, 52%), Australia (2020, 84.9%) shows, sample collected from human blood presents a much higher prevalence of MRSA in both HA-MRSA and CA-MRSA, indicating bacteraemia occurred. On the other hand, in the case of Mexico (2021, 19.1%) and Germany (2016, 4.6%), prevalences are relatively lower in screening experiments. (nasal, pharynx/ healthcare workers) It should also be considered that in the UK (2009, 38.5%), the prevalence was measured within dialysis patients who have weaker immune systems and higher chances of infections due to frequent use of dialysis catheters. Therefore, it can be concluded that the sample source and study population make a considerable contribution to prevalence differences than geographic location in the epidemiology of MRSA and making it highly heterogeneous.</w:t>
      </w:r>
    </w:p>
    <w:p w14:paraId="3FEE1670" w14:textId="77777777" w:rsidR="00B37D2B" w:rsidRPr="00B37D2B" w:rsidRDefault="00B37D2B" w:rsidP="00B37D2B">
      <w:pPr>
        <w:spacing w:after="0" w:line="480" w:lineRule="auto"/>
        <w:ind w:firstLine="720"/>
        <w:rPr>
          <w:rFonts w:ascii="Arial" w:hAnsi="Arial" w:cs="Arial"/>
        </w:rPr>
      </w:pPr>
      <w:r w:rsidRPr="00B37D2B">
        <w:rPr>
          <w:rFonts w:ascii="Arial" w:hAnsi="Arial" w:cs="Arial"/>
        </w:rPr>
        <w:t xml:space="preserve">Moreover, following statistics in the UK also confirms that MRSA epidemiology remains unstable: the data collected since 2007/08 represents significant decrease in the number of cases of MRSA over a 15-year period, (UKHSA, 2023) but the infection rate of October to December 2024 has risen to 2.0 per 100,000 population, marking an increase of 11.7% compared to the same quarter the previous year. (UKHSA, 2024) This highlights the need for rapid and accurate diagnosis of MRSA through methods like PCR (Polymerase Chain Reaction) and LAMP (Loop-mediated isothermal amplification) targeting the mecA gene in MRSA. In this experiment, PCR was used to determine the presence of the gene because of its high sensitivity compared to LAMP due to cycling temperatures and rapid processing. Furthermore, the PCR product is subsequently validated using gel electrophoresis, which separates DNA fragments by size via electric current. </w:t>
      </w:r>
    </w:p>
    <w:p w14:paraId="2BDF9B35" w14:textId="77777777" w:rsidR="00B37D2B" w:rsidRPr="00B37D2B" w:rsidRDefault="00B37D2B" w:rsidP="00B37D2B">
      <w:pPr>
        <w:spacing w:after="0" w:line="480" w:lineRule="auto"/>
        <w:ind w:firstLine="720"/>
        <w:rPr>
          <w:rFonts w:ascii="Arial" w:hAnsi="Arial" w:cs="Arial"/>
        </w:rPr>
      </w:pPr>
      <w:r w:rsidRPr="00B37D2B">
        <w:rPr>
          <w:rFonts w:ascii="Arial" w:hAnsi="Arial" w:cs="Arial"/>
        </w:rPr>
        <w:t>The experiment aims to utilise PCR to differentiate MRSA and MSSA genetically via extracting high-quality DNA from control (MRSA, MSSA) and clinical isolates, confirming the PCR amplification using gel electrophoresis.</w:t>
      </w:r>
    </w:p>
    <w:p w14:paraId="3C5215E6" w14:textId="1DCA2D6A" w:rsidR="00B37D2B" w:rsidRDefault="00B37D2B" w:rsidP="00B37D2B">
      <w:pPr>
        <w:spacing w:after="0" w:line="480" w:lineRule="auto"/>
        <w:rPr>
          <w:rFonts w:ascii="Arial" w:hAnsi="Arial" w:cs="Arial"/>
          <w:b/>
          <w:bCs/>
        </w:rPr>
      </w:pPr>
    </w:p>
    <w:p w14:paraId="5AE83F7F" w14:textId="77777777" w:rsidR="009E27D5" w:rsidRPr="00B37D2B" w:rsidRDefault="009E27D5" w:rsidP="00B37D2B">
      <w:pPr>
        <w:spacing w:after="0" w:line="480" w:lineRule="auto"/>
        <w:rPr>
          <w:rFonts w:ascii="Arial" w:hAnsi="Arial" w:cs="Arial"/>
          <w:b/>
          <w:bCs/>
        </w:rPr>
      </w:pPr>
    </w:p>
    <w:p w14:paraId="341EE3A2" w14:textId="15A6D73D" w:rsidR="00B37D2B" w:rsidRPr="00B37D2B" w:rsidRDefault="00B37D2B" w:rsidP="00B37D2B">
      <w:pPr>
        <w:spacing w:after="0" w:line="480" w:lineRule="auto"/>
        <w:rPr>
          <w:rFonts w:ascii="Arial" w:hAnsi="Arial" w:cs="Arial"/>
          <w:b/>
          <w:bCs/>
        </w:rPr>
      </w:pPr>
      <w:r w:rsidRPr="00B37D2B">
        <w:rPr>
          <w:rFonts w:ascii="Arial" w:hAnsi="Arial" w:cs="Arial"/>
          <w:b/>
          <w:bCs/>
        </w:rPr>
        <w:lastRenderedPageBreak/>
        <w:t>Materials and Methods</w:t>
      </w:r>
    </w:p>
    <w:p w14:paraId="200F97D8" w14:textId="77777777" w:rsidR="00B37D2B" w:rsidRDefault="00B37D2B" w:rsidP="00B37D2B">
      <w:pPr>
        <w:spacing w:after="0" w:line="480" w:lineRule="auto"/>
        <w:rPr>
          <w:rFonts w:ascii="Arial" w:hAnsi="Arial" w:cs="Arial"/>
        </w:rPr>
      </w:pPr>
      <w:r w:rsidRPr="00B37D2B">
        <w:rPr>
          <w:rFonts w:ascii="Arial" w:hAnsi="Arial" w:cs="Arial"/>
          <w:b/>
          <w:bCs/>
        </w:rPr>
        <w:tab/>
      </w:r>
      <w:r w:rsidRPr="00B37D2B">
        <w:rPr>
          <w:rFonts w:ascii="Arial" w:hAnsi="Arial" w:cs="Arial"/>
        </w:rPr>
        <w:t>The experiment was conducted under the protocol given by Coventry University (2025).</w:t>
      </w:r>
    </w:p>
    <w:p w14:paraId="4A02377C" w14:textId="77777777" w:rsidR="00B37D2B" w:rsidRPr="00B37D2B" w:rsidRDefault="00B37D2B" w:rsidP="00B37D2B">
      <w:pPr>
        <w:spacing w:after="0" w:line="480" w:lineRule="auto"/>
        <w:rPr>
          <w:rFonts w:ascii="Arial" w:hAnsi="Arial" w:cs="Arial"/>
        </w:rPr>
      </w:pPr>
    </w:p>
    <w:p w14:paraId="1140F2B8" w14:textId="77777777" w:rsidR="00B37D2B" w:rsidRPr="00B37D2B" w:rsidRDefault="00B37D2B" w:rsidP="00B37D2B">
      <w:pPr>
        <w:spacing w:after="0" w:line="480" w:lineRule="auto"/>
        <w:rPr>
          <w:rFonts w:ascii="Arial" w:hAnsi="Arial" w:cs="Arial"/>
          <w:b/>
          <w:bCs/>
        </w:rPr>
      </w:pPr>
      <w:r w:rsidRPr="00B37D2B">
        <w:rPr>
          <w:rFonts w:ascii="Arial" w:hAnsi="Arial" w:cs="Arial"/>
          <w:b/>
          <w:bCs/>
        </w:rPr>
        <w:t>Results</w:t>
      </w:r>
    </w:p>
    <w:p w14:paraId="03AC27A2" w14:textId="77777777" w:rsidR="00B37D2B" w:rsidRPr="00B37D2B" w:rsidRDefault="00B37D2B" w:rsidP="00B37D2B">
      <w:pPr>
        <w:spacing w:after="0" w:line="480" w:lineRule="auto"/>
        <w:rPr>
          <w:rFonts w:ascii="Arial" w:hAnsi="Arial" w:cs="Arial"/>
        </w:rPr>
      </w:pPr>
      <w:r w:rsidRPr="00B37D2B">
        <w:rPr>
          <w:rFonts w:ascii="Arial" w:hAnsi="Arial" w:cs="Arial"/>
          <w:b/>
          <w:bCs/>
        </w:rPr>
        <w:tab/>
      </w:r>
      <w:r w:rsidRPr="00B37D2B">
        <w:rPr>
          <w:rFonts w:ascii="Arial" w:hAnsi="Arial" w:cs="Arial"/>
        </w:rPr>
        <w:t xml:space="preserve">Figure 2 shows the nanodrop spectrum of each extracted DNA, all three characterised by a steeply decreasing slope. What is remarkable about these graphs is the peak at 230nm rather than 260nm, which indicates the presence of contaminants such as chaotropic salts, phenol, or ethanol. (Koetsier and Cantor, 2019) </w:t>
      </w:r>
    </w:p>
    <w:p w14:paraId="7E791A76" w14:textId="77777777" w:rsidR="00B37D2B" w:rsidRPr="00B37D2B" w:rsidRDefault="00B37D2B" w:rsidP="00B37D2B">
      <w:pPr>
        <w:spacing w:after="0" w:line="480" w:lineRule="auto"/>
        <w:rPr>
          <w:rFonts w:ascii="Arial" w:hAnsi="Arial" w:cs="Arial"/>
        </w:rPr>
      </w:pPr>
    </w:p>
    <w:p w14:paraId="06F90BF2" w14:textId="77777777" w:rsidR="00B37D2B" w:rsidRPr="00B37D2B" w:rsidRDefault="00B37D2B" w:rsidP="00B37D2B">
      <w:pPr>
        <w:spacing w:after="0" w:line="480" w:lineRule="auto"/>
        <w:rPr>
          <w:rFonts w:ascii="Arial" w:hAnsi="Arial" w:cs="Arial"/>
          <w:b/>
          <w:bCs/>
        </w:rPr>
      </w:pPr>
      <w:r w:rsidRPr="00B37D2B">
        <w:rPr>
          <w:rFonts w:ascii="Arial" w:hAnsi="Arial" w:cs="Arial"/>
          <w:b/>
          <w:bCs/>
        </w:rPr>
        <w:t>Figure 2</w:t>
      </w:r>
    </w:p>
    <w:p w14:paraId="1B4BE5C2" w14:textId="77777777" w:rsidR="00B37D2B" w:rsidRPr="00B37D2B" w:rsidRDefault="00B37D2B" w:rsidP="00B37D2B">
      <w:pPr>
        <w:spacing w:after="0" w:line="480" w:lineRule="auto"/>
        <w:rPr>
          <w:rFonts w:ascii="Arial" w:hAnsi="Arial" w:cs="Arial"/>
          <w:i/>
          <w:iCs/>
        </w:rPr>
      </w:pPr>
      <w:r w:rsidRPr="00B37D2B">
        <w:rPr>
          <w:rFonts w:ascii="Arial" w:hAnsi="Arial" w:cs="Arial"/>
          <w:i/>
          <w:iCs/>
        </w:rPr>
        <w:t>Nanodrop Spectrum of Sample 6 (Clinical Isolate), MRSA, MSSA</w:t>
      </w:r>
    </w:p>
    <w:p w14:paraId="49BA08B6" w14:textId="77777777" w:rsidR="00B37D2B" w:rsidRPr="00B37D2B" w:rsidRDefault="00B37D2B" w:rsidP="00B37D2B">
      <w:pPr>
        <w:spacing w:after="0" w:line="480" w:lineRule="auto"/>
        <w:rPr>
          <w:rFonts w:ascii="Arial" w:hAnsi="Arial" w:cs="Arial"/>
          <w:b/>
          <w:bCs/>
        </w:rPr>
      </w:pPr>
      <w:r w:rsidRPr="00B37D2B">
        <w:rPr>
          <w:rFonts w:ascii="Arial" w:hAnsi="Arial" w:cs="Arial"/>
          <w:noProof/>
        </w:rPr>
        <w:drawing>
          <wp:inline distT="0" distB="0" distL="0" distR="0" wp14:anchorId="3C9DBAEB" wp14:editId="0A18AAC8">
            <wp:extent cx="5731510" cy="1092200"/>
            <wp:effectExtent l="0" t="0" r="2540" b="0"/>
            <wp:docPr id="178104283" name="Picture 1"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4283" name="Picture 1" descr="A graph of a number of objects&#10;&#10;AI-generated content may be incorrect."/>
                    <pic:cNvPicPr/>
                  </pic:nvPicPr>
                  <pic:blipFill>
                    <a:blip r:embed="rId7"/>
                    <a:stretch>
                      <a:fillRect/>
                    </a:stretch>
                  </pic:blipFill>
                  <pic:spPr>
                    <a:xfrm>
                      <a:off x="0" y="0"/>
                      <a:ext cx="5731510" cy="1092200"/>
                    </a:xfrm>
                    <a:prstGeom prst="rect">
                      <a:avLst/>
                    </a:prstGeom>
                  </pic:spPr>
                </pic:pic>
              </a:graphicData>
            </a:graphic>
          </wp:inline>
        </w:drawing>
      </w:r>
    </w:p>
    <w:p w14:paraId="00ED01AB" w14:textId="77777777" w:rsidR="00B37D2B" w:rsidRPr="00B37D2B" w:rsidRDefault="00B37D2B" w:rsidP="00B37D2B">
      <w:pPr>
        <w:spacing w:after="0" w:line="480" w:lineRule="auto"/>
        <w:rPr>
          <w:rFonts w:ascii="Arial" w:hAnsi="Arial" w:cs="Arial"/>
        </w:rPr>
      </w:pPr>
      <w:r w:rsidRPr="00B37D2B">
        <w:rPr>
          <w:rFonts w:ascii="Arial" w:hAnsi="Arial" w:cs="Arial"/>
          <w:b/>
          <w:bCs/>
        </w:rPr>
        <w:t>Note</w:t>
      </w:r>
      <w:r w:rsidRPr="00B37D2B">
        <w:rPr>
          <w:rFonts w:ascii="Arial" w:hAnsi="Arial" w:cs="Arial"/>
        </w:rPr>
        <w:t>. 6, M and S (left top corner) refer to Clinical isolate, MRSA, and MSSA, respectively. The X-axis represents wavelength (nm), and the Y-axis shows absorbance measured over a 10nm optical path length.</w:t>
      </w:r>
    </w:p>
    <w:p w14:paraId="1F659E8B" w14:textId="77777777" w:rsidR="00B37D2B" w:rsidRPr="00B37D2B" w:rsidRDefault="00B37D2B" w:rsidP="00B37D2B">
      <w:pPr>
        <w:spacing w:after="0" w:line="480" w:lineRule="auto"/>
        <w:rPr>
          <w:rFonts w:ascii="Arial" w:hAnsi="Arial" w:cs="Arial"/>
        </w:rPr>
      </w:pPr>
    </w:p>
    <w:p w14:paraId="187FEE6D" w14:textId="77777777" w:rsidR="00B37D2B" w:rsidRPr="00B37D2B" w:rsidRDefault="00B37D2B" w:rsidP="00B37D2B">
      <w:pPr>
        <w:spacing w:after="0" w:line="480" w:lineRule="auto"/>
        <w:rPr>
          <w:rFonts w:ascii="Arial" w:hAnsi="Arial" w:cs="Arial"/>
          <w:b/>
          <w:bCs/>
        </w:rPr>
      </w:pPr>
      <w:r w:rsidRPr="00B37D2B">
        <w:rPr>
          <w:rFonts w:ascii="Arial" w:hAnsi="Arial" w:cs="Arial"/>
          <w:b/>
          <w:bCs/>
        </w:rPr>
        <w:t>Table 2</w:t>
      </w:r>
    </w:p>
    <w:p w14:paraId="7EEA85DA" w14:textId="77777777" w:rsidR="00B37D2B" w:rsidRPr="00B37D2B" w:rsidRDefault="00B37D2B" w:rsidP="00B37D2B">
      <w:pPr>
        <w:spacing w:after="0" w:line="480" w:lineRule="auto"/>
        <w:rPr>
          <w:rFonts w:ascii="Arial" w:hAnsi="Arial" w:cs="Arial"/>
          <w:i/>
          <w:iCs/>
        </w:rPr>
      </w:pPr>
      <w:r w:rsidRPr="00B37D2B">
        <w:rPr>
          <w:rFonts w:ascii="Arial" w:hAnsi="Arial" w:cs="Arial"/>
          <w:i/>
          <w:iCs/>
        </w:rPr>
        <w:t>DNA Concentration and Purity Ratios of Controls and the Clinical Sample</w:t>
      </w:r>
    </w:p>
    <w:tbl>
      <w:tblPr>
        <w:tblStyle w:val="TableGrid"/>
        <w:tblW w:w="0" w:type="auto"/>
        <w:tblLook w:val="04A0" w:firstRow="1" w:lastRow="0" w:firstColumn="1" w:lastColumn="0" w:noHBand="0" w:noVBand="1"/>
      </w:tblPr>
      <w:tblGrid>
        <w:gridCol w:w="2254"/>
        <w:gridCol w:w="2254"/>
        <w:gridCol w:w="2254"/>
        <w:gridCol w:w="2254"/>
      </w:tblGrid>
      <w:tr w:rsidR="00B37D2B" w:rsidRPr="00B37D2B" w14:paraId="480C73F1" w14:textId="77777777" w:rsidTr="000166A9">
        <w:tc>
          <w:tcPr>
            <w:tcW w:w="2254" w:type="dxa"/>
          </w:tcPr>
          <w:p w14:paraId="061DF1E0" w14:textId="77777777" w:rsidR="00B37D2B" w:rsidRPr="00B37D2B" w:rsidRDefault="00B37D2B" w:rsidP="000166A9">
            <w:pPr>
              <w:spacing w:line="480" w:lineRule="auto"/>
              <w:rPr>
                <w:rFonts w:ascii="Arial" w:hAnsi="Arial" w:cs="Arial"/>
              </w:rPr>
            </w:pPr>
            <w:r w:rsidRPr="00B37D2B">
              <w:rPr>
                <w:rFonts w:ascii="Arial" w:hAnsi="Arial" w:cs="Arial"/>
              </w:rPr>
              <w:t>Extract</w:t>
            </w:r>
          </w:p>
        </w:tc>
        <w:tc>
          <w:tcPr>
            <w:tcW w:w="2254" w:type="dxa"/>
          </w:tcPr>
          <w:p w14:paraId="45D4C902" w14:textId="77777777" w:rsidR="00B37D2B" w:rsidRPr="00B37D2B" w:rsidRDefault="00B37D2B" w:rsidP="000166A9">
            <w:pPr>
              <w:spacing w:line="480" w:lineRule="auto"/>
              <w:jc w:val="center"/>
              <w:rPr>
                <w:rFonts w:ascii="Arial" w:hAnsi="Arial" w:cs="Arial"/>
              </w:rPr>
            </w:pPr>
            <w:r w:rsidRPr="00B37D2B">
              <w:rPr>
                <w:rFonts w:ascii="Arial" w:hAnsi="Arial" w:cs="Arial"/>
              </w:rPr>
              <w:t>DNA concentration</w:t>
            </w:r>
          </w:p>
        </w:tc>
        <w:tc>
          <w:tcPr>
            <w:tcW w:w="4508" w:type="dxa"/>
            <w:gridSpan w:val="2"/>
          </w:tcPr>
          <w:p w14:paraId="0F303922" w14:textId="77777777" w:rsidR="00B37D2B" w:rsidRPr="00B37D2B" w:rsidRDefault="00B37D2B" w:rsidP="000166A9">
            <w:pPr>
              <w:spacing w:line="480" w:lineRule="auto"/>
              <w:jc w:val="center"/>
              <w:rPr>
                <w:rFonts w:ascii="Arial" w:hAnsi="Arial" w:cs="Arial"/>
              </w:rPr>
            </w:pPr>
            <w:r w:rsidRPr="00B37D2B">
              <w:rPr>
                <w:rFonts w:ascii="Arial" w:hAnsi="Arial" w:cs="Arial"/>
              </w:rPr>
              <w:t>Ratio</w:t>
            </w:r>
          </w:p>
        </w:tc>
      </w:tr>
      <w:tr w:rsidR="00B37D2B" w:rsidRPr="00B37D2B" w14:paraId="7EEDF55C" w14:textId="77777777" w:rsidTr="000166A9">
        <w:tc>
          <w:tcPr>
            <w:tcW w:w="2254" w:type="dxa"/>
          </w:tcPr>
          <w:p w14:paraId="20C8ACEF" w14:textId="77777777" w:rsidR="00B37D2B" w:rsidRPr="00B37D2B" w:rsidRDefault="00B37D2B" w:rsidP="000166A9">
            <w:pPr>
              <w:spacing w:line="480" w:lineRule="auto"/>
              <w:rPr>
                <w:rFonts w:ascii="Arial" w:hAnsi="Arial" w:cs="Arial"/>
              </w:rPr>
            </w:pPr>
          </w:p>
        </w:tc>
        <w:tc>
          <w:tcPr>
            <w:tcW w:w="2254" w:type="dxa"/>
          </w:tcPr>
          <w:p w14:paraId="4D9F1222" w14:textId="77777777" w:rsidR="00B37D2B" w:rsidRPr="00B37D2B" w:rsidRDefault="00B37D2B" w:rsidP="000166A9">
            <w:pPr>
              <w:spacing w:line="480" w:lineRule="auto"/>
              <w:jc w:val="center"/>
              <w:rPr>
                <w:rFonts w:ascii="Arial" w:hAnsi="Arial" w:cs="Arial"/>
              </w:rPr>
            </w:pPr>
            <w:r w:rsidRPr="00B37D2B">
              <w:rPr>
                <w:rFonts w:ascii="Arial" w:hAnsi="Arial" w:cs="Arial"/>
              </w:rPr>
              <w:t>ng/μl</w:t>
            </w:r>
          </w:p>
        </w:tc>
        <w:tc>
          <w:tcPr>
            <w:tcW w:w="2254" w:type="dxa"/>
          </w:tcPr>
          <w:p w14:paraId="6A877CDD" w14:textId="77777777" w:rsidR="00B37D2B" w:rsidRPr="00B37D2B" w:rsidRDefault="00B37D2B" w:rsidP="000166A9">
            <w:pPr>
              <w:spacing w:line="480" w:lineRule="auto"/>
              <w:jc w:val="center"/>
              <w:rPr>
                <w:rFonts w:ascii="Arial" w:hAnsi="Arial" w:cs="Arial"/>
              </w:rPr>
            </w:pPr>
            <w:r w:rsidRPr="00B37D2B">
              <w:rPr>
                <w:rFonts w:ascii="Arial" w:hAnsi="Arial" w:cs="Arial"/>
              </w:rPr>
              <w:t>260/280nm</w:t>
            </w:r>
          </w:p>
        </w:tc>
        <w:tc>
          <w:tcPr>
            <w:tcW w:w="2254" w:type="dxa"/>
          </w:tcPr>
          <w:p w14:paraId="6ACE144E" w14:textId="77777777" w:rsidR="00B37D2B" w:rsidRPr="00B37D2B" w:rsidRDefault="00B37D2B" w:rsidP="000166A9">
            <w:pPr>
              <w:spacing w:line="480" w:lineRule="auto"/>
              <w:jc w:val="center"/>
              <w:rPr>
                <w:rFonts w:ascii="Arial" w:hAnsi="Arial" w:cs="Arial"/>
              </w:rPr>
            </w:pPr>
            <w:r w:rsidRPr="00B37D2B">
              <w:rPr>
                <w:rFonts w:ascii="Arial" w:hAnsi="Arial" w:cs="Arial"/>
              </w:rPr>
              <w:t>260/230nm</w:t>
            </w:r>
          </w:p>
        </w:tc>
      </w:tr>
      <w:tr w:rsidR="00B37D2B" w:rsidRPr="00B37D2B" w14:paraId="0BFB8FAD" w14:textId="77777777" w:rsidTr="000166A9">
        <w:tc>
          <w:tcPr>
            <w:tcW w:w="2254" w:type="dxa"/>
          </w:tcPr>
          <w:p w14:paraId="09EAC289" w14:textId="77777777" w:rsidR="00B37D2B" w:rsidRPr="00B37D2B" w:rsidRDefault="00B37D2B" w:rsidP="000166A9">
            <w:pPr>
              <w:spacing w:line="480" w:lineRule="auto"/>
              <w:rPr>
                <w:rFonts w:ascii="Arial" w:hAnsi="Arial" w:cs="Arial"/>
              </w:rPr>
            </w:pPr>
            <w:r w:rsidRPr="00B37D2B">
              <w:rPr>
                <w:rFonts w:ascii="Arial" w:hAnsi="Arial" w:cs="Arial"/>
              </w:rPr>
              <w:t>Control MSSA strain</w:t>
            </w:r>
          </w:p>
        </w:tc>
        <w:tc>
          <w:tcPr>
            <w:tcW w:w="2254" w:type="dxa"/>
          </w:tcPr>
          <w:p w14:paraId="0E35BBD8" w14:textId="77777777" w:rsidR="00B37D2B" w:rsidRPr="00B37D2B" w:rsidRDefault="00B37D2B" w:rsidP="000166A9">
            <w:pPr>
              <w:spacing w:line="480" w:lineRule="auto"/>
              <w:rPr>
                <w:rFonts w:ascii="Arial" w:hAnsi="Arial" w:cs="Arial"/>
              </w:rPr>
            </w:pPr>
            <w:r w:rsidRPr="00B37D2B">
              <w:rPr>
                <w:rFonts w:ascii="Arial" w:hAnsi="Arial" w:cs="Arial"/>
              </w:rPr>
              <w:t>5.7</w:t>
            </w:r>
          </w:p>
        </w:tc>
        <w:tc>
          <w:tcPr>
            <w:tcW w:w="2254" w:type="dxa"/>
          </w:tcPr>
          <w:p w14:paraId="3E73F82E" w14:textId="77777777" w:rsidR="00B37D2B" w:rsidRPr="00B37D2B" w:rsidRDefault="00B37D2B" w:rsidP="000166A9">
            <w:pPr>
              <w:spacing w:line="480" w:lineRule="auto"/>
              <w:rPr>
                <w:rFonts w:ascii="Arial" w:hAnsi="Arial" w:cs="Arial"/>
              </w:rPr>
            </w:pPr>
            <w:r w:rsidRPr="00B37D2B">
              <w:rPr>
                <w:rFonts w:ascii="Arial" w:hAnsi="Arial" w:cs="Arial"/>
              </w:rPr>
              <w:t>2.06</w:t>
            </w:r>
          </w:p>
        </w:tc>
        <w:tc>
          <w:tcPr>
            <w:tcW w:w="2254" w:type="dxa"/>
          </w:tcPr>
          <w:p w14:paraId="0204C4B9" w14:textId="77777777" w:rsidR="00B37D2B" w:rsidRPr="00B37D2B" w:rsidRDefault="00B37D2B" w:rsidP="000166A9">
            <w:pPr>
              <w:spacing w:line="480" w:lineRule="auto"/>
              <w:rPr>
                <w:rFonts w:ascii="Arial" w:hAnsi="Arial" w:cs="Arial"/>
              </w:rPr>
            </w:pPr>
            <w:r w:rsidRPr="00B37D2B">
              <w:rPr>
                <w:rFonts w:ascii="Arial" w:hAnsi="Arial" w:cs="Arial"/>
              </w:rPr>
              <w:t>0.10</w:t>
            </w:r>
          </w:p>
        </w:tc>
      </w:tr>
      <w:tr w:rsidR="00B37D2B" w:rsidRPr="00B37D2B" w14:paraId="2D5523C5" w14:textId="77777777" w:rsidTr="000166A9">
        <w:tc>
          <w:tcPr>
            <w:tcW w:w="2254" w:type="dxa"/>
          </w:tcPr>
          <w:p w14:paraId="4CC3A89B" w14:textId="77777777" w:rsidR="00B37D2B" w:rsidRPr="00B37D2B" w:rsidRDefault="00B37D2B" w:rsidP="000166A9">
            <w:pPr>
              <w:spacing w:line="480" w:lineRule="auto"/>
              <w:rPr>
                <w:rFonts w:ascii="Arial" w:hAnsi="Arial" w:cs="Arial"/>
              </w:rPr>
            </w:pPr>
            <w:r w:rsidRPr="00B37D2B">
              <w:rPr>
                <w:rFonts w:ascii="Arial" w:hAnsi="Arial" w:cs="Arial"/>
              </w:rPr>
              <w:t>Control MRSA strain</w:t>
            </w:r>
          </w:p>
        </w:tc>
        <w:tc>
          <w:tcPr>
            <w:tcW w:w="2254" w:type="dxa"/>
          </w:tcPr>
          <w:p w14:paraId="09281B18" w14:textId="77777777" w:rsidR="00B37D2B" w:rsidRPr="00B37D2B" w:rsidRDefault="00B37D2B" w:rsidP="000166A9">
            <w:pPr>
              <w:spacing w:line="480" w:lineRule="auto"/>
              <w:rPr>
                <w:rFonts w:ascii="Arial" w:hAnsi="Arial" w:cs="Arial"/>
              </w:rPr>
            </w:pPr>
            <w:r w:rsidRPr="00B37D2B">
              <w:rPr>
                <w:rFonts w:ascii="Arial" w:hAnsi="Arial" w:cs="Arial"/>
              </w:rPr>
              <w:t>9.7</w:t>
            </w:r>
          </w:p>
        </w:tc>
        <w:tc>
          <w:tcPr>
            <w:tcW w:w="2254" w:type="dxa"/>
          </w:tcPr>
          <w:p w14:paraId="62A41546" w14:textId="77777777" w:rsidR="00B37D2B" w:rsidRPr="00B37D2B" w:rsidRDefault="00B37D2B" w:rsidP="000166A9">
            <w:pPr>
              <w:spacing w:line="480" w:lineRule="auto"/>
              <w:rPr>
                <w:rFonts w:ascii="Arial" w:hAnsi="Arial" w:cs="Arial"/>
              </w:rPr>
            </w:pPr>
            <w:r w:rsidRPr="00B37D2B">
              <w:rPr>
                <w:rFonts w:ascii="Arial" w:hAnsi="Arial" w:cs="Arial"/>
              </w:rPr>
              <w:t>1.79</w:t>
            </w:r>
          </w:p>
        </w:tc>
        <w:tc>
          <w:tcPr>
            <w:tcW w:w="2254" w:type="dxa"/>
          </w:tcPr>
          <w:p w14:paraId="4BD1090D" w14:textId="77777777" w:rsidR="00B37D2B" w:rsidRPr="00B37D2B" w:rsidRDefault="00B37D2B" w:rsidP="000166A9">
            <w:pPr>
              <w:spacing w:line="480" w:lineRule="auto"/>
              <w:rPr>
                <w:rFonts w:ascii="Arial" w:hAnsi="Arial" w:cs="Arial"/>
              </w:rPr>
            </w:pPr>
            <w:r w:rsidRPr="00B37D2B">
              <w:rPr>
                <w:rFonts w:ascii="Arial" w:hAnsi="Arial" w:cs="Arial"/>
              </w:rPr>
              <w:t>0.12</w:t>
            </w:r>
          </w:p>
        </w:tc>
      </w:tr>
      <w:tr w:rsidR="00B37D2B" w:rsidRPr="00B37D2B" w14:paraId="06F47996" w14:textId="77777777" w:rsidTr="000166A9">
        <w:tc>
          <w:tcPr>
            <w:tcW w:w="2254" w:type="dxa"/>
          </w:tcPr>
          <w:p w14:paraId="364A138F" w14:textId="77777777" w:rsidR="00B37D2B" w:rsidRPr="00B37D2B" w:rsidRDefault="00B37D2B" w:rsidP="000166A9">
            <w:pPr>
              <w:spacing w:line="480" w:lineRule="auto"/>
              <w:rPr>
                <w:rFonts w:ascii="Arial" w:hAnsi="Arial" w:cs="Arial"/>
              </w:rPr>
            </w:pPr>
            <w:r w:rsidRPr="00B37D2B">
              <w:rPr>
                <w:rFonts w:ascii="Arial" w:hAnsi="Arial" w:cs="Arial"/>
              </w:rPr>
              <w:t>Clinical sample</w:t>
            </w:r>
          </w:p>
        </w:tc>
        <w:tc>
          <w:tcPr>
            <w:tcW w:w="2254" w:type="dxa"/>
          </w:tcPr>
          <w:p w14:paraId="52DD2A5E" w14:textId="77777777" w:rsidR="00B37D2B" w:rsidRPr="00B37D2B" w:rsidRDefault="00B37D2B" w:rsidP="000166A9">
            <w:pPr>
              <w:spacing w:line="480" w:lineRule="auto"/>
              <w:rPr>
                <w:rFonts w:ascii="Arial" w:hAnsi="Arial" w:cs="Arial"/>
              </w:rPr>
            </w:pPr>
            <w:r w:rsidRPr="00B37D2B">
              <w:rPr>
                <w:rFonts w:ascii="Arial" w:hAnsi="Arial" w:cs="Arial"/>
              </w:rPr>
              <w:t>5.4</w:t>
            </w:r>
          </w:p>
        </w:tc>
        <w:tc>
          <w:tcPr>
            <w:tcW w:w="2254" w:type="dxa"/>
          </w:tcPr>
          <w:p w14:paraId="09AF34B0" w14:textId="77777777" w:rsidR="00B37D2B" w:rsidRPr="00B37D2B" w:rsidRDefault="00B37D2B" w:rsidP="000166A9">
            <w:pPr>
              <w:spacing w:line="480" w:lineRule="auto"/>
              <w:rPr>
                <w:rFonts w:ascii="Arial" w:hAnsi="Arial" w:cs="Arial"/>
              </w:rPr>
            </w:pPr>
            <w:r w:rsidRPr="00B37D2B">
              <w:rPr>
                <w:rFonts w:ascii="Arial" w:hAnsi="Arial" w:cs="Arial"/>
              </w:rPr>
              <w:t>1.87</w:t>
            </w:r>
          </w:p>
        </w:tc>
        <w:tc>
          <w:tcPr>
            <w:tcW w:w="2254" w:type="dxa"/>
          </w:tcPr>
          <w:p w14:paraId="218503EE" w14:textId="77777777" w:rsidR="00B37D2B" w:rsidRPr="00B37D2B" w:rsidRDefault="00B37D2B" w:rsidP="000166A9">
            <w:pPr>
              <w:spacing w:line="480" w:lineRule="auto"/>
              <w:rPr>
                <w:rFonts w:ascii="Arial" w:hAnsi="Arial" w:cs="Arial"/>
              </w:rPr>
            </w:pPr>
            <w:r w:rsidRPr="00B37D2B">
              <w:rPr>
                <w:rFonts w:ascii="Arial" w:hAnsi="Arial" w:cs="Arial"/>
              </w:rPr>
              <w:t>0.10</w:t>
            </w:r>
          </w:p>
        </w:tc>
      </w:tr>
    </w:tbl>
    <w:p w14:paraId="6BE924D7" w14:textId="77777777" w:rsidR="00B37D2B" w:rsidRPr="00B37D2B" w:rsidRDefault="00B37D2B" w:rsidP="00B37D2B">
      <w:pPr>
        <w:spacing w:after="0" w:line="480" w:lineRule="auto"/>
        <w:rPr>
          <w:rFonts w:ascii="Arial" w:hAnsi="Arial" w:cs="Arial"/>
          <w:b/>
          <w:bCs/>
        </w:rPr>
      </w:pPr>
    </w:p>
    <w:p w14:paraId="6A373288" w14:textId="77777777" w:rsidR="00B37D2B" w:rsidRPr="00B37D2B" w:rsidRDefault="00B37D2B" w:rsidP="00B37D2B">
      <w:pPr>
        <w:spacing w:after="0" w:line="480" w:lineRule="auto"/>
        <w:rPr>
          <w:rFonts w:ascii="Arial" w:hAnsi="Arial" w:cs="Arial"/>
        </w:rPr>
      </w:pPr>
      <w:r w:rsidRPr="00B37D2B">
        <w:rPr>
          <w:rFonts w:ascii="Arial" w:hAnsi="Arial" w:cs="Arial"/>
        </w:rPr>
        <w:t xml:space="preserve">As summarised in Table 2, DNA concentration varies from 5.7-9.7 ng/μl. 260/280nm ratios were around 1.79-2.06, whilst 260/230nm ratios were significantly lower at 0.10-0.12. </w:t>
      </w:r>
    </w:p>
    <w:p w14:paraId="2A8E5292" w14:textId="77777777" w:rsidR="009E27D5" w:rsidRDefault="009E27D5" w:rsidP="00B37D2B">
      <w:pPr>
        <w:spacing w:after="0" w:line="480" w:lineRule="auto"/>
        <w:rPr>
          <w:rFonts w:ascii="Arial" w:hAnsi="Arial" w:cs="Arial"/>
        </w:rPr>
      </w:pPr>
    </w:p>
    <w:p w14:paraId="59EB5F62" w14:textId="405C2899" w:rsidR="00B37D2B" w:rsidRPr="00B37D2B" w:rsidRDefault="00B37D2B" w:rsidP="00B37D2B">
      <w:pPr>
        <w:spacing w:after="0" w:line="480" w:lineRule="auto"/>
        <w:rPr>
          <w:rFonts w:ascii="Arial" w:hAnsi="Arial" w:cs="Arial"/>
          <w:b/>
          <w:bCs/>
        </w:rPr>
      </w:pPr>
      <w:r w:rsidRPr="00B37D2B">
        <w:rPr>
          <w:rFonts w:ascii="Arial" w:hAnsi="Arial" w:cs="Arial"/>
          <w:b/>
          <w:bCs/>
        </w:rPr>
        <w:t>Figure 3</w:t>
      </w:r>
    </w:p>
    <w:p w14:paraId="35B71548" w14:textId="77777777" w:rsidR="00B37D2B" w:rsidRPr="00B37D2B" w:rsidRDefault="00B37D2B" w:rsidP="00B37D2B">
      <w:pPr>
        <w:spacing w:after="0" w:line="480" w:lineRule="auto"/>
        <w:rPr>
          <w:rFonts w:ascii="Arial" w:hAnsi="Arial" w:cs="Arial"/>
          <w:i/>
          <w:iCs/>
        </w:rPr>
      </w:pPr>
      <w:r w:rsidRPr="00B37D2B">
        <w:rPr>
          <w:rFonts w:ascii="Arial" w:hAnsi="Arial" w:cs="Arial"/>
          <w:i/>
          <w:iCs/>
        </w:rPr>
        <w:t>Gel Electrophoresis from the PCR Products</w:t>
      </w:r>
    </w:p>
    <w:p w14:paraId="4BB84D76" w14:textId="77777777" w:rsidR="00B37D2B" w:rsidRPr="00B37D2B" w:rsidRDefault="00B37D2B" w:rsidP="00B37D2B">
      <w:pPr>
        <w:spacing w:after="0" w:line="480" w:lineRule="auto"/>
        <w:rPr>
          <w:rFonts w:ascii="Arial" w:hAnsi="Arial" w:cs="Arial"/>
          <w:b/>
          <w:bCs/>
        </w:rPr>
      </w:pPr>
      <w:r w:rsidRPr="00B37D2B">
        <w:rPr>
          <w:rFonts w:ascii="Arial" w:hAnsi="Arial" w:cs="Arial"/>
          <w:noProof/>
        </w:rPr>
        <w:drawing>
          <wp:inline distT="0" distB="0" distL="0" distR="0" wp14:anchorId="6F5C7339" wp14:editId="48BD573B">
            <wp:extent cx="5731510" cy="2794000"/>
            <wp:effectExtent l="0" t="0" r="2540" b="6350"/>
            <wp:docPr id="792322307" name="Picture 1" descr="A close-up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22307" name="Picture 1" descr="A close-up of a test&#10;&#10;AI-generated content may be incorrect."/>
                    <pic:cNvPicPr/>
                  </pic:nvPicPr>
                  <pic:blipFill>
                    <a:blip r:embed="rId8"/>
                    <a:stretch>
                      <a:fillRect/>
                    </a:stretch>
                  </pic:blipFill>
                  <pic:spPr>
                    <a:xfrm>
                      <a:off x="0" y="0"/>
                      <a:ext cx="5731510" cy="2794000"/>
                    </a:xfrm>
                    <a:prstGeom prst="rect">
                      <a:avLst/>
                    </a:prstGeom>
                  </pic:spPr>
                </pic:pic>
              </a:graphicData>
            </a:graphic>
          </wp:inline>
        </w:drawing>
      </w:r>
    </w:p>
    <w:p w14:paraId="78808DB1" w14:textId="77777777" w:rsidR="00B37D2B" w:rsidRPr="00B37D2B" w:rsidRDefault="00B37D2B" w:rsidP="00B37D2B">
      <w:pPr>
        <w:spacing w:after="0" w:line="480" w:lineRule="auto"/>
        <w:rPr>
          <w:rFonts w:ascii="Arial" w:hAnsi="Arial" w:cs="Arial"/>
        </w:rPr>
      </w:pPr>
      <w:r w:rsidRPr="00B37D2B">
        <w:rPr>
          <w:rFonts w:ascii="Arial" w:hAnsi="Arial" w:cs="Arial"/>
        </w:rPr>
        <w:t>(From Coventry University, 2025)</w:t>
      </w:r>
    </w:p>
    <w:p w14:paraId="76C8B9BB" w14:textId="77777777" w:rsidR="00B37D2B" w:rsidRPr="00B37D2B" w:rsidRDefault="00B37D2B" w:rsidP="00B37D2B">
      <w:pPr>
        <w:spacing w:after="0" w:line="480" w:lineRule="auto"/>
        <w:rPr>
          <w:rFonts w:ascii="Arial" w:hAnsi="Arial" w:cs="Arial"/>
        </w:rPr>
      </w:pPr>
      <w:r w:rsidRPr="00B37D2B">
        <w:rPr>
          <w:rFonts w:ascii="Arial" w:hAnsi="Arial" w:cs="Arial"/>
          <w:b/>
          <w:bCs/>
        </w:rPr>
        <w:t>Note</w:t>
      </w:r>
      <w:r w:rsidRPr="00B37D2B">
        <w:rPr>
          <w:rFonts w:ascii="Arial" w:hAnsi="Arial" w:cs="Arial"/>
        </w:rPr>
        <w:t>. The data was provided by Coventry University as a successful outcome: sample data was used in this lab report due to unreadable original data, which is included in the Appendix.</w:t>
      </w:r>
    </w:p>
    <w:p w14:paraId="0D8A33A5" w14:textId="77777777" w:rsidR="00B37D2B" w:rsidRPr="00B37D2B" w:rsidRDefault="00B37D2B" w:rsidP="00B37D2B">
      <w:pPr>
        <w:spacing w:after="0" w:line="480" w:lineRule="auto"/>
        <w:rPr>
          <w:rFonts w:ascii="Arial" w:hAnsi="Arial" w:cs="Arial"/>
        </w:rPr>
      </w:pPr>
    </w:p>
    <w:p w14:paraId="09EC0C66" w14:textId="77777777" w:rsidR="00B37D2B" w:rsidRPr="00B37D2B" w:rsidRDefault="00B37D2B" w:rsidP="00B37D2B">
      <w:pPr>
        <w:spacing w:after="0" w:line="480" w:lineRule="auto"/>
        <w:rPr>
          <w:rFonts w:ascii="Arial" w:hAnsi="Arial" w:cs="Arial"/>
        </w:rPr>
      </w:pPr>
      <w:r w:rsidRPr="00B37D2B">
        <w:rPr>
          <w:rFonts w:ascii="Arial" w:hAnsi="Arial" w:cs="Arial"/>
        </w:rPr>
        <w:t>Figure 3 illustrates the sample data of gel electrophoresis from the PCR products read under UV light. DNA ladder, negative control (water), MRSA control, MSSA control, and clinical isolate were loaded to Lane 1-5, respectively. Lane 3 (MRSA Control) and Lane 5 (Clinical Isolate) showed a clear band around 300 bp, and Lane 4 (MSSA Control) did not show any bands.</w:t>
      </w:r>
    </w:p>
    <w:p w14:paraId="1E63D0E6" w14:textId="2B11ED73" w:rsidR="00B37D2B" w:rsidRDefault="00B37D2B" w:rsidP="00B37D2B">
      <w:pPr>
        <w:spacing w:after="0" w:line="480" w:lineRule="auto"/>
        <w:rPr>
          <w:rFonts w:ascii="Arial" w:hAnsi="Arial" w:cs="Arial"/>
          <w:b/>
          <w:bCs/>
        </w:rPr>
      </w:pPr>
    </w:p>
    <w:p w14:paraId="45550414" w14:textId="77777777" w:rsidR="009E27D5" w:rsidRPr="00B37D2B" w:rsidRDefault="009E27D5" w:rsidP="00B37D2B">
      <w:pPr>
        <w:spacing w:after="0" w:line="480" w:lineRule="auto"/>
        <w:rPr>
          <w:rFonts w:ascii="Arial" w:hAnsi="Arial" w:cs="Arial"/>
          <w:b/>
          <w:bCs/>
        </w:rPr>
      </w:pPr>
    </w:p>
    <w:p w14:paraId="7651DA92" w14:textId="77777777" w:rsidR="00B37D2B" w:rsidRPr="00B37D2B" w:rsidRDefault="00B37D2B" w:rsidP="00B37D2B">
      <w:pPr>
        <w:spacing w:after="0" w:line="480" w:lineRule="auto"/>
        <w:rPr>
          <w:rFonts w:ascii="Arial" w:hAnsi="Arial" w:cs="Arial"/>
          <w:b/>
          <w:bCs/>
        </w:rPr>
      </w:pPr>
      <w:r w:rsidRPr="00B37D2B">
        <w:rPr>
          <w:rFonts w:ascii="Arial" w:hAnsi="Arial" w:cs="Arial"/>
          <w:b/>
          <w:bCs/>
        </w:rPr>
        <w:lastRenderedPageBreak/>
        <w:t>Discussion</w:t>
      </w:r>
    </w:p>
    <w:p w14:paraId="3D3B1D22" w14:textId="77777777" w:rsidR="00B37D2B" w:rsidRPr="00B37D2B" w:rsidRDefault="00B37D2B" w:rsidP="00B37D2B">
      <w:pPr>
        <w:spacing w:after="0" w:line="480" w:lineRule="auto"/>
        <w:ind w:firstLine="720"/>
        <w:rPr>
          <w:rFonts w:ascii="Arial" w:hAnsi="Arial" w:cs="Arial"/>
        </w:rPr>
      </w:pPr>
      <w:r w:rsidRPr="00B37D2B">
        <w:rPr>
          <w:rFonts w:ascii="Arial" w:hAnsi="Arial" w:cs="Arial"/>
        </w:rPr>
        <w:t xml:space="preserve">The original aim of the experiment was to define the clinical isolate by checking the presence of the </w:t>
      </w:r>
      <w:r w:rsidRPr="00B37D2B">
        <w:rPr>
          <w:rFonts w:ascii="Arial" w:hAnsi="Arial" w:cs="Arial"/>
          <w:i/>
          <w:iCs/>
        </w:rPr>
        <w:t xml:space="preserve">mecA </w:t>
      </w:r>
      <w:r w:rsidRPr="00B37D2B">
        <w:rPr>
          <w:rFonts w:ascii="Arial" w:hAnsi="Arial" w:cs="Arial"/>
        </w:rPr>
        <w:t>gene via DNA extraction, PCR, and gel electrophoresis. The unexpected nanodrop spectra peak at 230nm from all three DNA extractions led to a significantly lower 260/230 ratio (0.10-0.102) than the ideal, which is 2.3-2.4. (Koetsier and Cantor, 2019) A possible reason for this is insufficient removal of buffer AW1 and AW2, which contain guanidine hydrochloride and ethanol. (QIAGEN, 2021) Figure 4 represents two nanodrop curves from DNA extraction, initial DNA and desalinated DNA. It is clear that the desalination led to lower absorbance at 230nm, which supports the hypothesis that the unusual peak at 230nm was due to the salt contamination.</w:t>
      </w:r>
    </w:p>
    <w:p w14:paraId="1FD97234" w14:textId="77777777" w:rsidR="00B37D2B" w:rsidRPr="00B37D2B" w:rsidRDefault="00B37D2B" w:rsidP="00B37D2B">
      <w:pPr>
        <w:spacing w:after="0" w:line="480" w:lineRule="auto"/>
        <w:rPr>
          <w:rFonts w:ascii="Arial" w:hAnsi="Arial" w:cs="Arial"/>
        </w:rPr>
      </w:pPr>
    </w:p>
    <w:p w14:paraId="73FEE7FD" w14:textId="77777777" w:rsidR="00B37D2B" w:rsidRPr="00B37D2B" w:rsidRDefault="00B37D2B" w:rsidP="00B37D2B">
      <w:pPr>
        <w:spacing w:after="0" w:line="480" w:lineRule="auto"/>
        <w:rPr>
          <w:rFonts w:ascii="Arial" w:hAnsi="Arial" w:cs="Arial"/>
          <w:b/>
          <w:bCs/>
        </w:rPr>
      </w:pPr>
      <w:r w:rsidRPr="00B37D2B">
        <w:rPr>
          <w:rFonts w:ascii="Arial" w:hAnsi="Arial" w:cs="Arial"/>
          <w:b/>
          <w:bCs/>
        </w:rPr>
        <w:t>Figure 4</w:t>
      </w:r>
    </w:p>
    <w:p w14:paraId="1516D078" w14:textId="77777777" w:rsidR="00B37D2B" w:rsidRPr="00B37D2B" w:rsidRDefault="00B37D2B" w:rsidP="00B37D2B">
      <w:pPr>
        <w:spacing w:after="0" w:line="480" w:lineRule="auto"/>
        <w:rPr>
          <w:rFonts w:ascii="Arial" w:hAnsi="Arial" w:cs="Arial"/>
          <w:i/>
          <w:iCs/>
        </w:rPr>
      </w:pPr>
      <w:r w:rsidRPr="00B37D2B">
        <w:rPr>
          <w:rFonts w:ascii="Arial" w:hAnsi="Arial" w:cs="Arial"/>
          <w:i/>
          <w:iCs/>
        </w:rPr>
        <w:t>Typical Nanodrop Curves Generated from DNA Extract</w:t>
      </w:r>
    </w:p>
    <w:p w14:paraId="2748534D" w14:textId="77777777" w:rsidR="00B37D2B" w:rsidRPr="00B37D2B" w:rsidRDefault="00B37D2B" w:rsidP="00B37D2B">
      <w:pPr>
        <w:spacing w:after="0" w:line="480" w:lineRule="auto"/>
        <w:rPr>
          <w:rFonts w:ascii="Arial" w:hAnsi="Arial" w:cs="Arial"/>
        </w:rPr>
      </w:pPr>
      <w:r w:rsidRPr="00B37D2B">
        <w:rPr>
          <w:rFonts w:ascii="Arial" w:hAnsi="Arial" w:cs="Arial"/>
          <w:noProof/>
        </w:rPr>
        <w:drawing>
          <wp:inline distT="0" distB="0" distL="0" distR="0" wp14:anchorId="22C84049" wp14:editId="7756FFCA">
            <wp:extent cx="4381470" cy="3048000"/>
            <wp:effectExtent l="0" t="0" r="635" b="0"/>
            <wp:docPr id="1799523556" name="Picture 1" descr="A graph showing a sample of a dna extra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23556" name="Picture 1" descr="A graph showing a sample of a dna extractio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8947" cy="3053201"/>
                    </a:xfrm>
                    <a:prstGeom prst="rect">
                      <a:avLst/>
                    </a:prstGeom>
                    <a:noFill/>
                    <a:ln>
                      <a:noFill/>
                    </a:ln>
                  </pic:spPr>
                </pic:pic>
              </a:graphicData>
            </a:graphic>
          </wp:inline>
        </w:drawing>
      </w:r>
    </w:p>
    <w:p w14:paraId="1CB0844C" w14:textId="77777777" w:rsidR="00B37D2B" w:rsidRPr="00B37D2B" w:rsidRDefault="00B37D2B" w:rsidP="00B37D2B">
      <w:pPr>
        <w:spacing w:after="0" w:line="480" w:lineRule="auto"/>
        <w:rPr>
          <w:rFonts w:ascii="Arial" w:hAnsi="Arial" w:cs="Arial"/>
        </w:rPr>
      </w:pPr>
      <w:r w:rsidRPr="00B37D2B">
        <w:rPr>
          <w:rFonts w:ascii="Arial" w:hAnsi="Arial" w:cs="Arial"/>
        </w:rPr>
        <w:t>(From Boesenberg-Smith et al., 2012)</w:t>
      </w:r>
    </w:p>
    <w:p w14:paraId="3AD00A7D" w14:textId="77777777" w:rsidR="00B37D2B" w:rsidRPr="00B37D2B" w:rsidRDefault="00B37D2B" w:rsidP="00B37D2B">
      <w:pPr>
        <w:spacing w:after="0" w:line="480" w:lineRule="auto"/>
        <w:rPr>
          <w:rFonts w:ascii="Arial" w:hAnsi="Arial" w:cs="Arial"/>
        </w:rPr>
      </w:pPr>
    </w:p>
    <w:p w14:paraId="5A2F1DB3" w14:textId="77BE151A" w:rsidR="00B37D2B" w:rsidRPr="00B37D2B" w:rsidRDefault="00B37D2B" w:rsidP="00B37D2B">
      <w:pPr>
        <w:spacing w:after="0" w:line="480" w:lineRule="auto"/>
        <w:rPr>
          <w:rFonts w:ascii="Arial" w:hAnsi="Arial" w:cs="Arial"/>
        </w:rPr>
      </w:pPr>
      <w:r w:rsidRPr="00B37D2B">
        <w:rPr>
          <w:rFonts w:ascii="Arial" w:hAnsi="Arial" w:cs="Arial"/>
        </w:rPr>
        <w:t xml:space="preserve">260/280 ratio and DNA concentration are in an acceptable range: according to QIAGEN (n.d.), pure DNA has a 260/280 ratio of 1.7-1.9 and DNA concentration of 1-50ng/μl, which </w:t>
      </w:r>
      <w:r w:rsidRPr="00B37D2B">
        <w:rPr>
          <w:rFonts w:ascii="Arial" w:hAnsi="Arial" w:cs="Arial"/>
        </w:rPr>
        <w:lastRenderedPageBreak/>
        <w:t>can fulfil the amount of starting DNA for a 25µL PCR reaction</w:t>
      </w:r>
      <w:r w:rsidR="002F2827">
        <w:rPr>
          <w:rFonts w:ascii="Arial" w:hAnsi="Arial" w:cs="Arial" w:hint="eastAsia"/>
        </w:rPr>
        <w:t xml:space="preserve">. As reported </w:t>
      </w:r>
      <w:r w:rsidR="00702DC5">
        <w:rPr>
          <w:rFonts w:ascii="Arial" w:hAnsi="Arial" w:cs="Arial"/>
        </w:rPr>
        <w:t>from</w:t>
      </w:r>
      <w:r w:rsidR="002F2827">
        <w:rPr>
          <w:rFonts w:ascii="Arial" w:hAnsi="Arial" w:cs="Arial" w:hint="eastAsia"/>
        </w:rPr>
        <w:t xml:space="preserve"> The Jackson Laboratory (</w:t>
      </w:r>
      <w:r w:rsidR="00BC324D">
        <w:rPr>
          <w:rFonts w:ascii="Arial" w:hAnsi="Arial" w:cs="Arial" w:hint="eastAsia"/>
        </w:rPr>
        <w:t>2019</w:t>
      </w:r>
      <w:r w:rsidR="002F2827">
        <w:rPr>
          <w:rFonts w:ascii="Arial" w:hAnsi="Arial" w:cs="Arial" w:hint="eastAsia"/>
        </w:rPr>
        <w:t xml:space="preserve">), </w:t>
      </w:r>
      <w:r w:rsidR="00702DC5">
        <w:rPr>
          <w:rFonts w:ascii="Arial" w:hAnsi="Arial" w:cs="Arial"/>
        </w:rPr>
        <w:t xml:space="preserve">a </w:t>
      </w:r>
      <w:r w:rsidR="002F2827" w:rsidRPr="00B37D2B">
        <w:rPr>
          <w:rFonts w:ascii="Arial" w:hAnsi="Arial" w:cs="Arial"/>
        </w:rPr>
        <w:t>25µL PCR reaction</w:t>
      </w:r>
      <w:r w:rsidR="002F2827">
        <w:rPr>
          <w:rFonts w:ascii="Arial" w:hAnsi="Arial" w:cs="Arial" w:hint="eastAsia"/>
        </w:rPr>
        <w:t xml:space="preserve"> typically requires ~5ng of pure DNA or 40-50ng of lower-quality DNA. </w:t>
      </w:r>
      <w:r w:rsidRPr="00B37D2B">
        <w:rPr>
          <w:rFonts w:ascii="Arial" w:hAnsi="Arial" w:cs="Arial"/>
        </w:rPr>
        <w:t xml:space="preserve"> To improve the purity of DNA, lengthening the ethanol drying time and increasing the number of washing times of AW1/AW2 buffer can be considered as methods to do so.</w:t>
      </w:r>
    </w:p>
    <w:p w14:paraId="5C933005" w14:textId="06A2AAA8" w:rsidR="00B37D2B" w:rsidRPr="00B37D2B" w:rsidRDefault="00B37D2B" w:rsidP="00B37D2B">
      <w:pPr>
        <w:spacing w:after="0" w:line="480" w:lineRule="auto"/>
        <w:ind w:firstLine="720"/>
        <w:rPr>
          <w:rFonts w:ascii="Arial" w:hAnsi="Arial" w:cs="Arial"/>
        </w:rPr>
      </w:pPr>
      <w:r w:rsidRPr="00B37D2B">
        <w:rPr>
          <w:rFonts w:ascii="Arial" w:hAnsi="Arial" w:cs="Arial"/>
        </w:rPr>
        <w:t>The low DNA purity can be the reason for the blundered original data, however, while it is true that there was significant contamination of the DNA extracted, the sample gel electrophoresis result showed clear bands, which indicates that the PCR was successfully conducted. A possible explanation for this is the inhibitor tolerance of the PCR mastermix. According to Hedman et al. (2011), different sources of DNA polymerase can make it differ in its tolerance therefore</w:t>
      </w:r>
      <w:r w:rsidR="0063448F">
        <w:rPr>
          <w:rFonts w:ascii="Arial" w:hAnsi="Arial" w:cs="Arial"/>
        </w:rPr>
        <w:t>, an</w:t>
      </w:r>
      <w:r w:rsidRPr="00B37D2B">
        <w:rPr>
          <w:rFonts w:ascii="Arial" w:hAnsi="Arial" w:cs="Arial"/>
        </w:rPr>
        <w:t xml:space="preserve"> appropriate DNA polymerase-buffer system reduces PCR inhibition, which can be an alternative to DNA purification. As the PCR was successful, it can be inferred that the original data was unreadable due to failed gel electrophoresis. The reasons can be overloaded samples, physical agitation during running. To review the errors and improve the results, the experiment can be conducted in duplicates while applying the methods to enhance the purity of DNA.</w:t>
      </w:r>
    </w:p>
    <w:p w14:paraId="15A62169" w14:textId="0CC13E13" w:rsidR="00B37D2B" w:rsidRPr="00B37D2B" w:rsidRDefault="00B37D2B" w:rsidP="00B37D2B">
      <w:pPr>
        <w:spacing w:after="0" w:line="480" w:lineRule="auto"/>
        <w:ind w:firstLine="720"/>
        <w:rPr>
          <w:rFonts w:ascii="Arial" w:hAnsi="Arial" w:cs="Arial"/>
        </w:rPr>
      </w:pPr>
      <w:r w:rsidRPr="00B37D2B">
        <w:rPr>
          <w:rFonts w:ascii="Arial" w:hAnsi="Arial" w:cs="Arial"/>
        </w:rPr>
        <w:t xml:space="preserve">The band around 300bp at Lane 5 (clinical isolate) of the sample data suggests the presence of the </w:t>
      </w:r>
      <w:r w:rsidRPr="00B37D2B">
        <w:rPr>
          <w:rFonts w:ascii="Arial" w:hAnsi="Arial" w:cs="Arial"/>
          <w:i/>
          <w:iCs/>
        </w:rPr>
        <w:t>mecA</w:t>
      </w:r>
      <w:r w:rsidRPr="00B37D2B">
        <w:rPr>
          <w:rFonts w:ascii="Arial" w:hAnsi="Arial" w:cs="Arial"/>
        </w:rPr>
        <w:t xml:space="preserve"> gene</w:t>
      </w:r>
      <w:r w:rsidR="00697FC5">
        <w:rPr>
          <w:rFonts w:ascii="Arial" w:hAnsi="Arial" w:cs="Arial"/>
        </w:rPr>
        <w:t>,</w:t>
      </w:r>
      <w:r w:rsidRPr="00B37D2B">
        <w:rPr>
          <w:rFonts w:ascii="Arial" w:hAnsi="Arial" w:cs="Arial"/>
        </w:rPr>
        <w:t xml:space="preserve"> as the band was present in the MRSA sample but not in the MSSA sample. Therefore, it can be concluded that the clinical isolate is a MRSA strain.</w:t>
      </w:r>
    </w:p>
    <w:p w14:paraId="215C7AB6" w14:textId="77777777" w:rsidR="00B37D2B" w:rsidRPr="00B37D2B" w:rsidRDefault="00B37D2B" w:rsidP="00B37D2B">
      <w:pPr>
        <w:spacing w:after="0" w:line="480" w:lineRule="auto"/>
        <w:ind w:firstLine="720"/>
        <w:rPr>
          <w:rFonts w:ascii="Arial" w:hAnsi="Arial" w:cs="Arial"/>
        </w:rPr>
      </w:pPr>
      <w:r w:rsidRPr="00B37D2B">
        <w:rPr>
          <w:rFonts w:ascii="Arial" w:hAnsi="Arial" w:cs="Arial"/>
        </w:rPr>
        <w:t xml:space="preserve">Another gene that can be targeted is the </w:t>
      </w:r>
      <w:r w:rsidRPr="00B37D2B">
        <w:rPr>
          <w:rFonts w:ascii="Arial" w:hAnsi="Arial" w:cs="Arial"/>
          <w:i/>
          <w:iCs/>
        </w:rPr>
        <w:t xml:space="preserve">mecC </w:t>
      </w:r>
      <w:r w:rsidRPr="00B37D2B">
        <w:rPr>
          <w:rFonts w:ascii="Arial" w:hAnsi="Arial" w:cs="Arial"/>
        </w:rPr>
        <w:t xml:space="preserve">gene, a homolog of </w:t>
      </w:r>
      <w:r w:rsidRPr="00B37D2B">
        <w:rPr>
          <w:rFonts w:ascii="Arial" w:hAnsi="Arial" w:cs="Arial"/>
          <w:i/>
          <w:iCs/>
        </w:rPr>
        <w:t>mecA</w:t>
      </w:r>
      <w:r w:rsidRPr="00B37D2B">
        <w:rPr>
          <w:rFonts w:ascii="Arial" w:hAnsi="Arial" w:cs="Arial"/>
        </w:rPr>
        <w:t xml:space="preserve"> and is found in 3% of MRSA strains. (Khan et al., 2020) It requires different primer pairs for PCR and commercial slide agglutination assays for mecA-encoded PBP2a can also not detect the mecC gene due to its nucleic acid sequence divergences. (Paterson et al., 2014) As there was a visible </w:t>
      </w:r>
      <w:r w:rsidRPr="00B37D2B">
        <w:rPr>
          <w:rFonts w:ascii="Arial" w:hAnsi="Arial" w:cs="Arial"/>
          <w:i/>
          <w:iCs/>
        </w:rPr>
        <w:t xml:space="preserve">mecA </w:t>
      </w:r>
      <w:r w:rsidRPr="00B37D2B">
        <w:rPr>
          <w:rFonts w:ascii="Arial" w:hAnsi="Arial" w:cs="Arial"/>
        </w:rPr>
        <w:t xml:space="preserve">gene in the results, alternative primers for the </w:t>
      </w:r>
      <w:r w:rsidRPr="00B37D2B">
        <w:rPr>
          <w:rFonts w:ascii="Arial" w:hAnsi="Arial" w:cs="Arial"/>
          <w:i/>
          <w:iCs/>
        </w:rPr>
        <w:t>mecA</w:t>
      </w:r>
      <w:r w:rsidRPr="00B37D2B">
        <w:rPr>
          <w:rFonts w:ascii="Arial" w:hAnsi="Arial" w:cs="Arial"/>
        </w:rPr>
        <w:t xml:space="preserve"> gene were designed. To conduct a successful PCR, using adequate primers for the targeted sequence is crucial. </w:t>
      </w:r>
    </w:p>
    <w:p w14:paraId="73DC491E" w14:textId="77777777" w:rsidR="00B37D2B" w:rsidRPr="00B37D2B" w:rsidRDefault="00B37D2B" w:rsidP="00B37D2B">
      <w:pPr>
        <w:spacing w:after="0" w:line="480" w:lineRule="auto"/>
        <w:rPr>
          <w:rFonts w:ascii="Arial" w:hAnsi="Arial" w:cs="Arial"/>
        </w:rPr>
      </w:pPr>
    </w:p>
    <w:p w14:paraId="64EDFC28" w14:textId="77777777" w:rsidR="00B37D2B" w:rsidRPr="00B37D2B" w:rsidRDefault="00B37D2B" w:rsidP="00B37D2B">
      <w:pPr>
        <w:spacing w:after="0" w:line="480" w:lineRule="auto"/>
        <w:rPr>
          <w:rFonts w:ascii="Arial" w:hAnsi="Arial" w:cs="Arial"/>
          <w:b/>
          <w:bCs/>
        </w:rPr>
      </w:pPr>
      <w:r w:rsidRPr="00B37D2B">
        <w:rPr>
          <w:rFonts w:ascii="Arial" w:hAnsi="Arial" w:cs="Arial"/>
          <w:b/>
          <w:bCs/>
        </w:rPr>
        <w:lastRenderedPageBreak/>
        <w:t>Figure 5</w:t>
      </w:r>
    </w:p>
    <w:p w14:paraId="18EF78E7" w14:textId="77777777" w:rsidR="00B37D2B" w:rsidRPr="00B37D2B" w:rsidRDefault="00B37D2B" w:rsidP="00B37D2B">
      <w:pPr>
        <w:spacing w:after="0" w:line="480" w:lineRule="auto"/>
        <w:rPr>
          <w:rFonts w:ascii="Arial" w:hAnsi="Arial" w:cs="Arial"/>
          <w:i/>
          <w:iCs/>
        </w:rPr>
      </w:pPr>
      <w:r w:rsidRPr="00B37D2B">
        <w:rPr>
          <w:rFonts w:ascii="Arial" w:hAnsi="Arial" w:cs="Arial"/>
          <w:i/>
          <w:iCs/>
        </w:rPr>
        <w:t>Primer Pair Designed for the MecA Gene</w:t>
      </w:r>
    </w:p>
    <w:p w14:paraId="35FDFEC0" w14:textId="77777777" w:rsidR="00B37D2B" w:rsidRPr="00B37D2B" w:rsidRDefault="00B37D2B" w:rsidP="00B37D2B">
      <w:pPr>
        <w:spacing w:after="0" w:line="480" w:lineRule="auto"/>
        <w:rPr>
          <w:rFonts w:ascii="Arial" w:hAnsi="Arial" w:cs="Arial"/>
        </w:rPr>
      </w:pPr>
      <w:r w:rsidRPr="00B37D2B">
        <w:rPr>
          <w:rFonts w:ascii="Arial" w:hAnsi="Arial" w:cs="Arial"/>
          <w:noProof/>
        </w:rPr>
        <w:drawing>
          <wp:inline distT="0" distB="0" distL="0" distR="0" wp14:anchorId="5F9FEF54" wp14:editId="15AD489A">
            <wp:extent cx="5731510" cy="450215"/>
            <wp:effectExtent l="0" t="0" r="2540" b="6985"/>
            <wp:docPr id="4727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4367" name=""/>
                    <pic:cNvPicPr/>
                  </pic:nvPicPr>
                  <pic:blipFill>
                    <a:blip r:embed="rId10"/>
                    <a:stretch>
                      <a:fillRect/>
                    </a:stretch>
                  </pic:blipFill>
                  <pic:spPr>
                    <a:xfrm>
                      <a:off x="0" y="0"/>
                      <a:ext cx="5731510" cy="450215"/>
                    </a:xfrm>
                    <a:prstGeom prst="rect">
                      <a:avLst/>
                    </a:prstGeom>
                  </pic:spPr>
                </pic:pic>
              </a:graphicData>
            </a:graphic>
          </wp:inline>
        </w:drawing>
      </w:r>
    </w:p>
    <w:p w14:paraId="6C22D481" w14:textId="77777777" w:rsidR="00B37D2B" w:rsidRPr="00B37D2B" w:rsidRDefault="00B37D2B" w:rsidP="00B37D2B">
      <w:pPr>
        <w:spacing w:after="0" w:line="480" w:lineRule="auto"/>
        <w:rPr>
          <w:rFonts w:ascii="Arial" w:hAnsi="Arial" w:cs="Arial"/>
        </w:rPr>
      </w:pPr>
    </w:p>
    <w:p w14:paraId="0F3F4104" w14:textId="77777777" w:rsidR="00B37D2B" w:rsidRPr="00B37D2B" w:rsidRDefault="00B37D2B" w:rsidP="00B37D2B">
      <w:pPr>
        <w:spacing w:after="0" w:line="480" w:lineRule="auto"/>
        <w:rPr>
          <w:rFonts w:ascii="Arial" w:hAnsi="Arial" w:cs="Arial"/>
        </w:rPr>
      </w:pPr>
      <w:r w:rsidRPr="00B37D2B">
        <w:rPr>
          <w:rFonts w:ascii="Arial" w:hAnsi="Arial" w:cs="Arial"/>
        </w:rPr>
        <w:t xml:space="preserve">Typically, the primers must have similar melting temperatures (Tm): temperatures should not differ more than 2°C to allow both primers to bind at the same time. (Prediger, 2024) It is also required to have balanced G/C content with low self-complementarity. (Ye et al., 2012) Figure 5 shows the forward primer, 5’-TCAGGTTACGACAAGGTGA-3’, and reverse primer 5’-TGGCAGACAAATTGGGTGGT-3’.  This primer pair anneal to the region of the </w:t>
      </w:r>
      <w:r w:rsidRPr="00B37D2B">
        <w:rPr>
          <w:rFonts w:ascii="Arial" w:hAnsi="Arial" w:cs="Arial"/>
          <w:i/>
          <w:iCs/>
        </w:rPr>
        <w:t>mecA</w:t>
      </w:r>
      <w:r w:rsidRPr="00B37D2B">
        <w:rPr>
          <w:rFonts w:ascii="Arial" w:hAnsi="Arial" w:cs="Arial"/>
        </w:rPr>
        <w:t xml:space="preserve"> gene (Fig. 6) and ultimately defines the amplicon size.</w:t>
      </w:r>
    </w:p>
    <w:p w14:paraId="08ADFC84" w14:textId="77777777" w:rsidR="00B37D2B" w:rsidRPr="00B37D2B" w:rsidRDefault="00B37D2B" w:rsidP="00B37D2B">
      <w:pPr>
        <w:spacing w:after="0" w:line="480" w:lineRule="auto"/>
        <w:rPr>
          <w:rFonts w:ascii="Arial" w:hAnsi="Arial" w:cs="Arial"/>
        </w:rPr>
      </w:pPr>
    </w:p>
    <w:p w14:paraId="15BD0110" w14:textId="77777777" w:rsidR="00B37D2B" w:rsidRPr="00B37D2B" w:rsidRDefault="00B37D2B" w:rsidP="00B37D2B">
      <w:pPr>
        <w:spacing w:after="0" w:line="480" w:lineRule="auto"/>
        <w:rPr>
          <w:rFonts w:ascii="Arial" w:hAnsi="Arial" w:cs="Arial"/>
          <w:b/>
          <w:bCs/>
        </w:rPr>
      </w:pPr>
      <w:r w:rsidRPr="00B37D2B">
        <w:rPr>
          <w:rFonts w:ascii="Arial" w:hAnsi="Arial" w:cs="Arial"/>
          <w:b/>
          <w:bCs/>
        </w:rPr>
        <w:t>Figure 6</w:t>
      </w:r>
    </w:p>
    <w:p w14:paraId="0EDE83A1" w14:textId="77777777" w:rsidR="00B37D2B" w:rsidRPr="00B37D2B" w:rsidRDefault="00B37D2B" w:rsidP="00B37D2B">
      <w:pPr>
        <w:spacing w:after="0" w:line="480" w:lineRule="auto"/>
        <w:rPr>
          <w:rFonts w:ascii="Arial" w:hAnsi="Arial" w:cs="Arial"/>
          <w:i/>
          <w:iCs/>
        </w:rPr>
      </w:pPr>
      <w:r w:rsidRPr="00B37D2B">
        <w:rPr>
          <w:rFonts w:ascii="Arial" w:hAnsi="Arial" w:cs="Arial"/>
          <w:i/>
          <w:iCs/>
        </w:rPr>
        <w:t>Location of the Binding Section of the mecA Gene and Primer Pair</w:t>
      </w:r>
    </w:p>
    <w:p w14:paraId="096C6F8A" w14:textId="77777777" w:rsidR="00B37D2B" w:rsidRPr="00B37D2B" w:rsidRDefault="00B37D2B" w:rsidP="00B37D2B">
      <w:pPr>
        <w:spacing w:after="0" w:line="480" w:lineRule="auto"/>
        <w:rPr>
          <w:rFonts w:ascii="Arial" w:hAnsi="Arial" w:cs="Arial"/>
        </w:rPr>
      </w:pPr>
      <w:r w:rsidRPr="00B37D2B">
        <w:rPr>
          <w:rFonts w:ascii="Arial" w:hAnsi="Arial" w:cs="Arial"/>
          <w:noProof/>
        </w:rPr>
        <w:drawing>
          <wp:inline distT="0" distB="0" distL="0" distR="0" wp14:anchorId="33C702AE" wp14:editId="0391175D">
            <wp:extent cx="5731510" cy="1104900"/>
            <wp:effectExtent l="0" t="0" r="2540" b="0"/>
            <wp:docPr id="1247669766" name="Picture 1" descr="A close up of a dn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69766" name="Picture 1" descr="A close up of a dna&#10;&#10;AI-generated content may be incorrect."/>
                    <pic:cNvPicPr/>
                  </pic:nvPicPr>
                  <pic:blipFill>
                    <a:blip r:embed="rId11"/>
                    <a:stretch>
                      <a:fillRect/>
                    </a:stretch>
                  </pic:blipFill>
                  <pic:spPr>
                    <a:xfrm>
                      <a:off x="0" y="0"/>
                      <a:ext cx="5731510" cy="1104900"/>
                    </a:xfrm>
                    <a:prstGeom prst="rect">
                      <a:avLst/>
                    </a:prstGeom>
                  </pic:spPr>
                </pic:pic>
              </a:graphicData>
            </a:graphic>
          </wp:inline>
        </w:drawing>
      </w:r>
    </w:p>
    <w:p w14:paraId="1FFFAF84" w14:textId="77777777" w:rsidR="00B37D2B" w:rsidRPr="00B37D2B" w:rsidRDefault="00B37D2B" w:rsidP="00B37D2B">
      <w:pPr>
        <w:spacing w:after="0" w:line="480" w:lineRule="auto"/>
        <w:rPr>
          <w:rFonts w:ascii="Arial" w:hAnsi="Arial" w:cs="Arial"/>
        </w:rPr>
      </w:pPr>
    </w:p>
    <w:p w14:paraId="2EFD1F24" w14:textId="77777777" w:rsidR="00B37D2B" w:rsidRPr="00B37D2B" w:rsidRDefault="00B37D2B" w:rsidP="00B37D2B">
      <w:pPr>
        <w:spacing w:after="0" w:line="480" w:lineRule="auto"/>
        <w:rPr>
          <w:rFonts w:ascii="Arial" w:hAnsi="Arial" w:cs="Arial"/>
        </w:rPr>
      </w:pPr>
      <w:r w:rsidRPr="00B37D2B">
        <w:rPr>
          <w:rFonts w:ascii="Arial" w:hAnsi="Arial" w:cs="Arial"/>
        </w:rPr>
        <w:t xml:space="preserve">Using this primer pair, it is expected that the size of the amplicon will be around 300nm, which was achieved in the experiment. In the case of targeting the </w:t>
      </w:r>
      <w:r w:rsidRPr="00B37D2B">
        <w:rPr>
          <w:rFonts w:ascii="Arial" w:hAnsi="Arial" w:cs="Arial"/>
          <w:i/>
          <w:iCs/>
        </w:rPr>
        <w:t>mecC</w:t>
      </w:r>
      <w:r w:rsidRPr="00B37D2B">
        <w:rPr>
          <w:rFonts w:ascii="Arial" w:hAnsi="Arial" w:cs="Arial"/>
        </w:rPr>
        <w:t xml:space="preserve"> gene, the band will show up at 137bp. (Salam and Saleh, 2020)</w:t>
      </w:r>
    </w:p>
    <w:p w14:paraId="5D8122DB" w14:textId="39F41748" w:rsidR="00697FC5" w:rsidRDefault="00B37D2B" w:rsidP="00DB6241">
      <w:pPr>
        <w:spacing w:after="0" w:line="480" w:lineRule="auto"/>
        <w:ind w:firstLine="720"/>
        <w:rPr>
          <w:rFonts w:ascii="Arial" w:hAnsi="Arial" w:cs="Arial"/>
        </w:rPr>
      </w:pPr>
      <w:r w:rsidRPr="00B37D2B">
        <w:rPr>
          <w:rFonts w:ascii="Arial" w:hAnsi="Arial" w:cs="Arial"/>
        </w:rPr>
        <w:t xml:space="preserve">Quantitative PCR, also known as real-time PCR, requires less starting concentration of DNA, and no necessity to conduct gel electrophoresis as it measures fluorescence to measure DNA concentration. (Gautam and Kumar, 2020) Studies from Ho et al. (2009) and Kwon et al. (2012) confirm that qPCR can be successfully employed to amplify the </w:t>
      </w:r>
      <w:r w:rsidRPr="00B37D2B">
        <w:rPr>
          <w:rFonts w:ascii="Arial" w:hAnsi="Arial" w:cs="Arial"/>
          <w:i/>
          <w:iCs/>
        </w:rPr>
        <w:t>mecA</w:t>
      </w:r>
      <w:r w:rsidRPr="00B37D2B">
        <w:rPr>
          <w:rFonts w:ascii="Arial" w:hAnsi="Arial" w:cs="Arial"/>
        </w:rPr>
        <w:t xml:space="preserve"> gene.  To target both </w:t>
      </w:r>
      <w:r w:rsidRPr="00B37D2B">
        <w:rPr>
          <w:rFonts w:ascii="Arial" w:hAnsi="Arial" w:cs="Arial"/>
          <w:i/>
          <w:iCs/>
        </w:rPr>
        <w:t>mecA</w:t>
      </w:r>
      <w:r w:rsidRPr="00B37D2B">
        <w:rPr>
          <w:rFonts w:ascii="Arial" w:hAnsi="Arial" w:cs="Arial"/>
        </w:rPr>
        <w:t xml:space="preserve"> and </w:t>
      </w:r>
      <w:r w:rsidRPr="00B37D2B">
        <w:rPr>
          <w:rFonts w:ascii="Arial" w:hAnsi="Arial" w:cs="Arial"/>
          <w:i/>
          <w:iCs/>
        </w:rPr>
        <w:t>mecC</w:t>
      </w:r>
      <w:r w:rsidRPr="00B37D2B">
        <w:rPr>
          <w:rFonts w:ascii="Arial" w:hAnsi="Arial" w:cs="Arial"/>
        </w:rPr>
        <w:t xml:space="preserve"> genes, multiplex-PCR can be used. Multiplex PCR </w:t>
      </w:r>
      <w:r w:rsidRPr="00B37D2B">
        <w:rPr>
          <w:rFonts w:ascii="Arial" w:hAnsi="Arial" w:cs="Arial"/>
        </w:rPr>
        <w:lastRenderedPageBreak/>
        <w:t>enables the amplification of two or more DNAs with a single reaction (Deharvengt and Tsongalis, 2018), and multiple experiments proved that it is possible to detect both mecA and mecC genes using multiplex-PCR. (Geha et al., 1994; Becker et al., 2013)</w:t>
      </w:r>
    </w:p>
    <w:p w14:paraId="556279E0" w14:textId="77777777" w:rsidR="00DB6241" w:rsidRPr="00B37D2B" w:rsidRDefault="00DB6241" w:rsidP="00DB6241">
      <w:pPr>
        <w:spacing w:after="0" w:line="480" w:lineRule="auto"/>
        <w:rPr>
          <w:rFonts w:ascii="Arial" w:hAnsi="Arial" w:cs="Arial"/>
        </w:rPr>
      </w:pPr>
    </w:p>
    <w:p w14:paraId="6896F3C9" w14:textId="77777777" w:rsidR="00B37D2B" w:rsidRPr="00B37D2B" w:rsidRDefault="00B37D2B" w:rsidP="00B37D2B">
      <w:pPr>
        <w:spacing w:after="0" w:line="480" w:lineRule="auto"/>
        <w:rPr>
          <w:rFonts w:ascii="Arial" w:hAnsi="Arial" w:cs="Arial"/>
          <w:b/>
          <w:bCs/>
        </w:rPr>
      </w:pPr>
      <w:r w:rsidRPr="00B37D2B">
        <w:rPr>
          <w:rFonts w:ascii="Arial" w:hAnsi="Arial" w:cs="Arial"/>
          <w:b/>
          <w:bCs/>
        </w:rPr>
        <w:t>Conclusion</w:t>
      </w:r>
    </w:p>
    <w:p w14:paraId="03CDF04A" w14:textId="7AFBD6C3" w:rsidR="00B37D2B" w:rsidRPr="00B37D2B" w:rsidRDefault="00B37D2B" w:rsidP="00B37D2B">
      <w:pPr>
        <w:spacing w:after="0" w:line="480" w:lineRule="auto"/>
        <w:rPr>
          <w:rFonts w:ascii="Arial" w:hAnsi="Arial" w:cs="Arial"/>
        </w:rPr>
      </w:pPr>
      <w:r w:rsidRPr="00B37D2B">
        <w:rPr>
          <w:rFonts w:ascii="Arial" w:hAnsi="Arial" w:cs="Arial"/>
        </w:rPr>
        <w:tab/>
        <w:t xml:space="preserve">The primary goal of this experiment is to extract DNA from the clinical isolate and other control samples, amplify the targeted </w:t>
      </w:r>
      <w:r w:rsidRPr="00B37D2B">
        <w:rPr>
          <w:rFonts w:ascii="Arial" w:hAnsi="Arial" w:cs="Arial"/>
          <w:i/>
          <w:iCs/>
        </w:rPr>
        <w:t>mecA</w:t>
      </w:r>
      <w:r w:rsidRPr="00B37D2B">
        <w:rPr>
          <w:rFonts w:ascii="Arial" w:hAnsi="Arial" w:cs="Arial"/>
        </w:rPr>
        <w:t xml:space="preserve"> gene via PCR, and confirm the presence of the gene from gel electrophoresis. Although the purity of extracted DNA was extremely low due to the possible contamination from guanidine salt and ethanol, the analysis of the sample result of the gel electrophoresis confirms that the </w:t>
      </w:r>
      <w:r w:rsidRPr="00B37D2B">
        <w:rPr>
          <w:rFonts w:ascii="Arial" w:hAnsi="Arial" w:cs="Arial"/>
          <w:i/>
          <w:iCs/>
        </w:rPr>
        <w:t xml:space="preserve">mecA </w:t>
      </w:r>
      <w:r w:rsidRPr="00B37D2B">
        <w:rPr>
          <w:rFonts w:ascii="Arial" w:hAnsi="Arial" w:cs="Arial"/>
        </w:rPr>
        <w:t xml:space="preserve">gene was present in the clinical isolate, as it showed a clear band around 300bp, identical to MRSA. The original result, on the other hand, did not show any bands other than the DNA ladder, which the contamination can be the reason. To overcome the inaccuracy of the result in future works, qPCR, which has higher sensitivity and tolerance, can be utilised, or the </w:t>
      </w:r>
      <w:r w:rsidRPr="00B37D2B">
        <w:rPr>
          <w:rFonts w:ascii="Arial" w:hAnsi="Arial" w:cs="Arial"/>
          <w:i/>
          <w:iCs/>
        </w:rPr>
        <w:t>mecC</w:t>
      </w:r>
      <w:r w:rsidRPr="00B37D2B">
        <w:rPr>
          <w:rFonts w:ascii="Arial" w:hAnsi="Arial" w:cs="Arial"/>
        </w:rPr>
        <w:t xml:space="preserve"> gene can also be targeted using multiplex-PCR.</w:t>
      </w:r>
    </w:p>
    <w:p w14:paraId="0E87EB87" w14:textId="77777777" w:rsidR="00B37D2B" w:rsidRPr="00B37D2B" w:rsidRDefault="00B37D2B" w:rsidP="00B37D2B">
      <w:pPr>
        <w:spacing w:after="0" w:line="480" w:lineRule="auto"/>
        <w:rPr>
          <w:rFonts w:ascii="Arial" w:hAnsi="Arial" w:cs="Arial"/>
          <w:b/>
          <w:bCs/>
        </w:rPr>
      </w:pPr>
    </w:p>
    <w:p w14:paraId="0F6346B4" w14:textId="77777777" w:rsidR="00B37D2B" w:rsidRPr="00B37D2B" w:rsidRDefault="00B37D2B" w:rsidP="00B37D2B">
      <w:pPr>
        <w:spacing w:after="0" w:line="480" w:lineRule="auto"/>
        <w:rPr>
          <w:rFonts w:ascii="Arial" w:hAnsi="Arial" w:cs="Arial"/>
          <w:b/>
          <w:bCs/>
        </w:rPr>
      </w:pPr>
    </w:p>
    <w:p w14:paraId="6E9C24C1" w14:textId="77777777" w:rsidR="00B37D2B" w:rsidRDefault="00B37D2B" w:rsidP="00B37D2B">
      <w:pPr>
        <w:spacing w:after="0" w:line="480" w:lineRule="auto"/>
        <w:rPr>
          <w:rFonts w:ascii="Arial" w:hAnsi="Arial" w:cs="Arial"/>
          <w:b/>
          <w:bCs/>
        </w:rPr>
      </w:pPr>
    </w:p>
    <w:p w14:paraId="7A5AEF5D" w14:textId="77777777" w:rsidR="009E27D5" w:rsidRDefault="009E27D5" w:rsidP="00B37D2B">
      <w:pPr>
        <w:spacing w:after="0" w:line="480" w:lineRule="auto"/>
        <w:rPr>
          <w:rFonts w:ascii="Arial" w:hAnsi="Arial" w:cs="Arial"/>
          <w:b/>
          <w:bCs/>
        </w:rPr>
      </w:pPr>
    </w:p>
    <w:p w14:paraId="78C41047" w14:textId="77777777" w:rsidR="009E27D5" w:rsidRDefault="009E27D5" w:rsidP="00B37D2B">
      <w:pPr>
        <w:spacing w:after="0" w:line="480" w:lineRule="auto"/>
        <w:rPr>
          <w:rFonts w:ascii="Arial" w:hAnsi="Arial" w:cs="Arial"/>
          <w:b/>
          <w:bCs/>
        </w:rPr>
      </w:pPr>
    </w:p>
    <w:p w14:paraId="74578B01" w14:textId="77777777" w:rsidR="009E27D5" w:rsidRPr="00B37D2B" w:rsidRDefault="009E27D5" w:rsidP="00B37D2B">
      <w:pPr>
        <w:spacing w:after="0" w:line="480" w:lineRule="auto"/>
        <w:rPr>
          <w:rFonts w:ascii="Arial" w:hAnsi="Arial" w:cs="Arial"/>
          <w:b/>
          <w:bCs/>
        </w:rPr>
      </w:pPr>
    </w:p>
    <w:p w14:paraId="773AF73F" w14:textId="77777777" w:rsidR="00B37D2B" w:rsidRPr="00B37D2B" w:rsidRDefault="00B37D2B" w:rsidP="00B37D2B">
      <w:pPr>
        <w:spacing w:after="0" w:line="480" w:lineRule="auto"/>
        <w:rPr>
          <w:rFonts w:ascii="Arial" w:hAnsi="Arial" w:cs="Arial"/>
          <w:b/>
          <w:bCs/>
        </w:rPr>
      </w:pPr>
    </w:p>
    <w:p w14:paraId="2C2C24E6" w14:textId="77777777" w:rsidR="00B37D2B" w:rsidRPr="00B37D2B" w:rsidRDefault="00B37D2B" w:rsidP="00B37D2B">
      <w:pPr>
        <w:spacing w:after="0" w:line="480" w:lineRule="auto"/>
        <w:rPr>
          <w:rFonts w:ascii="Arial" w:hAnsi="Arial" w:cs="Arial"/>
          <w:b/>
          <w:bCs/>
        </w:rPr>
      </w:pPr>
    </w:p>
    <w:p w14:paraId="34904C85" w14:textId="77777777" w:rsidR="00B37D2B" w:rsidRPr="00B37D2B" w:rsidRDefault="00B37D2B" w:rsidP="00B37D2B">
      <w:pPr>
        <w:spacing w:after="0" w:line="480" w:lineRule="auto"/>
        <w:rPr>
          <w:rFonts w:ascii="Arial" w:hAnsi="Arial" w:cs="Arial"/>
          <w:b/>
          <w:bCs/>
        </w:rPr>
      </w:pPr>
    </w:p>
    <w:p w14:paraId="1ED4504D" w14:textId="77777777" w:rsidR="00B37D2B" w:rsidRDefault="00B37D2B" w:rsidP="00B37D2B">
      <w:pPr>
        <w:spacing w:after="0" w:line="480" w:lineRule="auto"/>
        <w:rPr>
          <w:rFonts w:ascii="Arial" w:hAnsi="Arial" w:cs="Arial"/>
          <w:b/>
          <w:bCs/>
        </w:rPr>
      </w:pPr>
    </w:p>
    <w:p w14:paraId="6390EE9E" w14:textId="77777777" w:rsidR="00DB6241" w:rsidRPr="00B37D2B" w:rsidRDefault="00DB6241" w:rsidP="00B37D2B">
      <w:pPr>
        <w:spacing w:after="0" w:line="480" w:lineRule="auto"/>
        <w:rPr>
          <w:rFonts w:ascii="Arial" w:hAnsi="Arial" w:cs="Arial"/>
          <w:b/>
          <w:bCs/>
        </w:rPr>
      </w:pPr>
    </w:p>
    <w:p w14:paraId="52196679" w14:textId="77777777" w:rsidR="00B37D2B" w:rsidRPr="00B37D2B" w:rsidRDefault="00B37D2B" w:rsidP="00B37D2B">
      <w:pPr>
        <w:spacing w:after="0" w:line="480" w:lineRule="auto"/>
        <w:rPr>
          <w:rFonts w:ascii="Arial" w:hAnsi="Arial" w:cs="Arial"/>
          <w:b/>
          <w:bCs/>
        </w:rPr>
      </w:pPr>
    </w:p>
    <w:p w14:paraId="22A3964C" w14:textId="3D305B97" w:rsidR="00DB6241" w:rsidRDefault="00875233" w:rsidP="005978E3">
      <w:pPr>
        <w:spacing w:after="0" w:line="480" w:lineRule="auto"/>
        <w:jc w:val="both"/>
        <w:rPr>
          <w:rFonts w:ascii="Arial" w:hAnsi="Arial" w:cs="Arial"/>
          <w:b/>
          <w:bCs/>
          <w:sz w:val="24"/>
          <w:szCs w:val="24"/>
        </w:rPr>
      </w:pPr>
      <w:r>
        <w:rPr>
          <w:rFonts w:ascii="Arial" w:hAnsi="Arial" w:cs="Arial" w:hint="eastAsia"/>
          <w:b/>
          <w:bCs/>
          <w:sz w:val="24"/>
          <w:szCs w:val="24"/>
        </w:rPr>
        <w:lastRenderedPageBreak/>
        <w:t>1,512 words</w:t>
      </w:r>
    </w:p>
    <w:p w14:paraId="1F1C8833" w14:textId="4A1F022F" w:rsidR="005978E3" w:rsidRPr="005978E3" w:rsidRDefault="005978E3" w:rsidP="005978E3">
      <w:pPr>
        <w:spacing w:after="0" w:line="480" w:lineRule="auto"/>
        <w:jc w:val="both"/>
        <w:rPr>
          <w:rFonts w:ascii="Arial" w:hAnsi="Arial" w:cs="Arial"/>
          <w:b/>
          <w:bCs/>
          <w:sz w:val="24"/>
          <w:szCs w:val="24"/>
        </w:rPr>
      </w:pPr>
      <w:r w:rsidRPr="005978E3">
        <w:rPr>
          <w:rFonts w:ascii="Arial" w:hAnsi="Arial" w:cs="Arial"/>
          <w:b/>
          <w:bCs/>
          <w:sz w:val="24"/>
          <w:szCs w:val="24"/>
        </w:rPr>
        <w:t>Summary of AI Use</w:t>
      </w:r>
    </w:p>
    <w:tbl>
      <w:tblPr>
        <w:tblStyle w:val="TableGrid"/>
        <w:tblW w:w="0" w:type="auto"/>
        <w:tblLook w:val="04A0" w:firstRow="1" w:lastRow="0" w:firstColumn="1" w:lastColumn="0" w:noHBand="0" w:noVBand="1"/>
      </w:tblPr>
      <w:tblGrid>
        <w:gridCol w:w="4508"/>
        <w:gridCol w:w="4508"/>
      </w:tblGrid>
      <w:tr w:rsidR="005978E3" w:rsidRPr="005978E3" w14:paraId="3B491F92" w14:textId="77777777" w:rsidTr="000166A9">
        <w:tc>
          <w:tcPr>
            <w:tcW w:w="4508" w:type="dxa"/>
            <w:shd w:val="clear" w:color="auto" w:fill="DAE9F7" w:themeFill="text2" w:themeFillTint="1A"/>
          </w:tcPr>
          <w:p w14:paraId="24A1CA58" w14:textId="77777777" w:rsidR="005978E3" w:rsidRPr="005978E3" w:rsidRDefault="005978E3" w:rsidP="000166A9">
            <w:pPr>
              <w:spacing w:line="360" w:lineRule="auto"/>
              <w:jc w:val="both"/>
              <w:rPr>
                <w:rFonts w:ascii="Arial" w:hAnsi="Arial" w:cs="Arial"/>
                <w:sz w:val="24"/>
                <w:szCs w:val="24"/>
              </w:rPr>
            </w:pPr>
            <w:r w:rsidRPr="005978E3">
              <w:rPr>
                <w:rFonts w:ascii="Arial" w:hAnsi="Arial" w:cs="Arial"/>
                <w:sz w:val="24"/>
                <w:szCs w:val="24"/>
              </w:rPr>
              <w:t>Tool</w:t>
            </w:r>
          </w:p>
        </w:tc>
        <w:tc>
          <w:tcPr>
            <w:tcW w:w="4508" w:type="dxa"/>
            <w:shd w:val="clear" w:color="auto" w:fill="DAE9F7" w:themeFill="text2" w:themeFillTint="1A"/>
          </w:tcPr>
          <w:p w14:paraId="6DDC6630" w14:textId="77777777" w:rsidR="005978E3" w:rsidRPr="005978E3" w:rsidRDefault="005978E3" w:rsidP="000166A9">
            <w:pPr>
              <w:spacing w:line="360" w:lineRule="auto"/>
              <w:jc w:val="both"/>
              <w:rPr>
                <w:rFonts w:ascii="Arial" w:hAnsi="Arial" w:cs="Arial"/>
                <w:sz w:val="24"/>
                <w:szCs w:val="24"/>
              </w:rPr>
            </w:pPr>
            <w:r w:rsidRPr="005978E3">
              <w:rPr>
                <w:rFonts w:ascii="Arial" w:hAnsi="Arial" w:cs="Arial"/>
                <w:sz w:val="24"/>
                <w:szCs w:val="24"/>
              </w:rPr>
              <w:t>How is it used in this assignment</w:t>
            </w:r>
          </w:p>
        </w:tc>
      </w:tr>
      <w:tr w:rsidR="005978E3" w:rsidRPr="005978E3" w14:paraId="472FED0F" w14:textId="77777777" w:rsidTr="000166A9">
        <w:tc>
          <w:tcPr>
            <w:tcW w:w="4508" w:type="dxa"/>
          </w:tcPr>
          <w:p w14:paraId="7F4CFFAC" w14:textId="77777777" w:rsidR="005978E3" w:rsidRPr="005978E3" w:rsidRDefault="005978E3" w:rsidP="000166A9">
            <w:pPr>
              <w:spacing w:line="360" w:lineRule="auto"/>
              <w:jc w:val="both"/>
              <w:rPr>
                <w:rFonts w:ascii="Arial" w:hAnsi="Arial" w:cs="Arial"/>
                <w:sz w:val="24"/>
                <w:szCs w:val="24"/>
              </w:rPr>
            </w:pPr>
            <w:r w:rsidRPr="005978E3">
              <w:rPr>
                <w:rFonts w:ascii="Arial" w:hAnsi="Arial" w:cs="Arial"/>
                <w:sz w:val="24"/>
                <w:szCs w:val="24"/>
              </w:rPr>
              <w:t>Grammarly</w:t>
            </w:r>
          </w:p>
        </w:tc>
        <w:tc>
          <w:tcPr>
            <w:tcW w:w="4508" w:type="dxa"/>
          </w:tcPr>
          <w:p w14:paraId="47F96F4E" w14:textId="77777777" w:rsidR="005978E3" w:rsidRPr="005978E3" w:rsidRDefault="005978E3" w:rsidP="000166A9">
            <w:pPr>
              <w:spacing w:line="360" w:lineRule="auto"/>
              <w:jc w:val="both"/>
              <w:rPr>
                <w:rFonts w:ascii="Arial" w:hAnsi="Arial" w:cs="Arial"/>
                <w:sz w:val="24"/>
                <w:szCs w:val="24"/>
              </w:rPr>
            </w:pPr>
            <w:r w:rsidRPr="005978E3">
              <w:rPr>
                <w:rFonts w:ascii="Arial" w:hAnsi="Arial" w:cs="Arial"/>
                <w:sz w:val="24"/>
                <w:szCs w:val="24"/>
              </w:rPr>
              <w:t>To check spelling, grammar, or punctuation errors</w:t>
            </w:r>
          </w:p>
        </w:tc>
      </w:tr>
      <w:tr w:rsidR="005978E3" w:rsidRPr="005978E3" w14:paraId="42312077" w14:textId="77777777" w:rsidTr="000166A9">
        <w:tc>
          <w:tcPr>
            <w:tcW w:w="4508" w:type="dxa"/>
          </w:tcPr>
          <w:p w14:paraId="14A63D9B" w14:textId="77777777" w:rsidR="005978E3" w:rsidRPr="005978E3" w:rsidRDefault="005978E3" w:rsidP="000166A9">
            <w:pPr>
              <w:spacing w:line="360" w:lineRule="auto"/>
              <w:jc w:val="both"/>
              <w:rPr>
                <w:rFonts w:ascii="Arial" w:hAnsi="Arial" w:cs="Arial"/>
                <w:sz w:val="24"/>
                <w:szCs w:val="24"/>
              </w:rPr>
            </w:pPr>
            <w:r w:rsidRPr="005978E3">
              <w:rPr>
                <w:rFonts w:ascii="Arial" w:hAnsi="Arial" w:cs="Arial"/>
                <w:sz w:val="24"/>
                <w:szCs w:val="24"/>
              </w:rPr>
              <w:t>Google Gemini 2.5</w:t>
            </w:r>
          </w:p>
        </w:tc>
        <w:tc>
          <w:tcPr>
            <w:tcW w:w="4508" w:type="dxa"/>
          </w:tcPr>
          <w:p w14:paraId="48961F07" w14:textId="77777777" w:rsidR="005978E3" w:rsidRPr="005978E3" w:rsidRDefault="005978E3" w:rsidP="000166A9">
            <w:pPr>
              <w:spacing w:line="360" w:lineRule="auto"/>
              <w:jc w:val="both"/>
              <w:rPr>
                <w:rFonts w:ascii="Arial" w:hAnsi="Arial" w:cs="Arial"/>
                <w:sz w:val="24"/>
                <w:szCs w:val="24"/>
              </w:rPr>
            </w:pPr>
            <w:r w:rsidRPr="005978E3">
              <w:rPr>
                <w:rFonts w:ascii="Arial" w:hAnsi="Arial" w:cs="Arial"/>
                <w:sz w:val="24"/>
                <w:szCs w:val="24"/>
              </w:rPr>
              <w:t>To refine academic tone and language clarity</w:t>
            </w:r>
          </w:p>
        </w:tc>
      </w:tr>
    </w:tbl>
    <w:p w14:paraId="5DC72CB6" w14:textId="77777777" w:rsidR="005978E3" w:rsidRDefault="005978E3" w:rsidP="00B37D2B">
      <w:pPr>
        <w:spacing w:after="0" w:line="480" w:lineRule="auto"/>
        <w:rPr>
          <w:rFonts w:ascii="Arial" w:hAnsi="Arial" w:cs="Arial"/>
          <w:b/>
          <w:bCs/>
        </w:rPr>
      </w:pPr>
    </w:p>
    <w:p w14:paraId="20B4E254" w14:textId="77777777" w:rsidR="00A33964" w:rsidRPr="00A33964" w:rsidRDefault="00A33964" w:rsidP="00A33964">
      <w:pPr>
        <w:spacing w:after="0" w:line="480" w:lineRule="auto"/>
        <w:rPr>
          <w:rFonts w:ascii="Arial" w:hAnsi="Arial" w:cs="Arial"/>
          <w:b/>
          <w:bCs/>
        </w:rPr>
      </w:pPr>
      <w:r w:rsidRPr="00A33964">
        <w:rPr>
          <w:rFonts w:ascii="Arial" w:hAnsi="Arial" w:cs="Arial"/>
          <w:b/>
          <w:bCs/>
        </w:rPr>
        <w:t>References</w:t>
      </w:r>
    </w:p>
    <w:p w14:paraId="374AFFAF" w14:textId="77777777" w:rsidR="00A33964" w:rsidRDefault="00A33964" w:rsidP="00A33964">
      <w:pPr>
        <w:spacing w:after="0" w:line="480" w:lineRule="auto"/>
        <w:rPr>
          <w:rFonts w:ascii="Arial" w:hAnsi="Arial" w:cs="Arial"/>
        </w:rPr>
      </w:pPr>
      <w:r w:rsidRPr="00A33964">
        <w:rPr>
          <w:rFonts w:ascii="Arial" w:hAnsi="Arial" w:cs="Arial"/>
        </w:rPr>
        <w:t xml:space="preserve">Becker, K., Larsen, A. R., Skov, R. L., Paterson, G. K., Holmes, M. A., Sabat, A. J., Friedrich, </w:t>
      </w:r>
    </w:p>
    <w:p w14:paraId="565B64D1" w14:textId="16A4472B" w:rsidR="00A33964" w:rsidRPr="00A33964" w:rsidRDefault="00A33964" w:rsidP="00A33964">
      <w:pPr>
        <w:spacing w:after="0" w:line="480" w:lineRule="auto"/>
        <w:ind w:left="720"/>
        <w:rPr>
          <w:rFonts w:ascii="Arial" w:hAnsi="Arial" w:cs="Arial"/>
        </w:rPr>
      </w:pPr>
      <w:r w:rsidRPr="00A33964">
        <w:rPr>
          <w:rFonts w:ascii="Arial" w:hAnsi="Arial" w:cs="Arial"/>
        </w:rPr>
        <w:t xml:space="preserve">A. W., Köck, R., Peters, G., &amp; </w:t>
      </w:r>
      <w:proofErr w:type="spellStart"/>
      <w:r w:rsidRPr="00A33964">
        <w:rPr>
          <w:rFonts w:ascii="Arial" w:hAnsi="Arial" w:cs="Arial"/>
        </w:rPr>
        <w:t>Kriegeskorte</w:t>
      </w:r>
      <w:proofErr w:type="spellEnd"/>
      <w:r w:rsidRPr="00A33964">
        <w:rPr>
          <w:rFonts w:ascii="Arial" w:hAnsi="Arial" w:cs="Arial"/>
        </w:rPr>
        <w:t xml:space="preserve">, A. (2013). Evaluation of a Modular Multiplex-PCR Methicillin-Resistant Staphylococcus aureus Detection Assay Adapted </w:t>
      </w:r>
      <w:proofErr w:type="spellStart"/>
      <w:r w:rsidRPr="00A33964">
        <w:rPr>
          <w:rFonts w:ascii="Arial" w:hAnsi="Arial" w:cs="Arial"/>
        </w:rPr>
        <w:t>for</w:t>
      </w:r>
      <w:r w:rsidRPr="00A33964">
        <w:rPr>
          <w:rFonts w:ascii="Arial" w:hAnsi="Arial" w:cs="Arial"/>
          <w:i/>
          <w:iCs/>
        </w:rPr>
        <w:t>mecC</w:t>
      </w:r>
      <w:r w:rsidRPr="00A33964">
        <w:rPr>
          <w:rFonts w:ascii="Arial" w:hAnsi="Arial" w:cs="Arial"/>
        </w:rPr>
        <w:t>Detection</w:t>
      </w:r>
      <w:proofErr w:type="spellEnd"/>
      <w:r w:rsidRPr="00A33964">
        <w:rPr>
          <w:rFonts w:ascii="Arial" w:hAnsi="Arial" w:cs="Arial"/>
        </w:rPr>
        <w:t xml:space="preserve">. </w:t>
      </w:r>
      <w:r w:rsidRPr="00A33964">
        <w:rPr>
          <w:rFonts w:ascii="Arial" w:hAnsi="Arial" w:cs="Arial"/>
          <w:i/>
          <w:iCs/>
        </w:rPr>
        <w:t>Journal of Clinical Microbiology</w:t>
      </w:r>
      <w:r w:rsidRPr="00A33964">
        <w:rPr>
          <w:rFonts w:ascii="Arial" w:hAnsi="Arial" w:cs="Arial"/>
        </w:rPr>
        <w:t xml:space="preserve">, </w:t>
      </w:r>
      <w:r w:rsidRPr="00A33964">
        <w:rPr>
          <w:rFonts w:ascii="Arial" w:hAnsi="Arial" w:cs="Arial"/>
          <w:i/>
          <w:iCs/>
        </w:rPr>
        <w:t>51</w:t>
      </w:r>
      <w:r w:rsidRPr="00A33964">
        <w:rPr>
          <w:rFonts w:ascii="Arial" w:hAnsi="Arial" w:cs="Arial"/>
        </w:rPr>
        <w:t>(6), 1917–1919. https://doi.org/10.1128/jcm.00075-13</w:t>
      </w:r>
    </w:p>
    <w:p w14:paraId="4BCA8EC3" w14:textId="77777777" w:rsidR="00A33964" w:rsidRDefault="00A33964" w:rsidP="00A33964">
      <w:pPr>
        <w:spacing w:after="0" w:line="480" w:lineRule="auto"/>
        <w:rPr>
          <w:rFonts w:ascii="Arial" w:hAnsi="Arial" w:cs="Arial"/>
        </w:rPr>
      </w:pPr>
      <w:r w:rsidRPr="00A33964">
        <w:rPr>
          <w:rFonts w:ascii="Arial" w:hAnsi="Arial" w:cs="Arial"/>
        </w:rPr>
        <w:t xml:space="preserve">Boesenberg-Smith, K. A., </w:t>
      </w:r>
      <w:proofErr w:type="spellStart"/>
      <w:r w:rsidRPr="00A33964">
        <w:rPr>
          <w:rFonts w:ascii="Arial" w:hAnsi="Arial" w:cs="Arial"/>
        </w:rPr>
        <w:t>Pessarakli</w:t>
      </w:r>
      <w:proofErr w:type="spellEnd"/>
      <w:r w:rsidRPr="00A33964">
        <w:rPr>
          <w:rFonts w:ascii="Arial" w:hAnsi="Arial" w:cs="Arial"/>
        </w:rPr>
        <w:t xml:space="preserve">, M. M., &amp; Wolk, D. M. (2012). Assessment of DNA Yield </w:t>
      </w:r>
    </w:p>
    <w:p w14:paraId="0B377787" w14:textId="19282320" w:rsidR="00A33964" w:rsidRDefault="00A33964" w:rsidP="00A33964">
      <w:pPr>
        <w:spacing w:after="0" w:line="480" w:lineRule="auto"/>
        <w:ind w:left="720"/>
        <w:rPr>
          <w:rFonts w:ascii="Arial" w:hAnsi="Arial" w:cs="Arial"/>
        </w:rPr>
      </w:pPr>
      <w:r w:rsidRPr="00A33964">
        <w:rPr>
          <w:rFonts w:ascii="Arial" w:hAnsi="Arial" w:cs="Arial"/>
        </w:rPr>
        <w:t xml:space="preserve">and Purity: an Overlooked Detail of PCR Troubleshooting. </w:t>
      </w:r>
      <w:r w:rsidRPr="00A33964">
        <w:rPr>
          <w:rFonts w:ascii="Arial" w:hAnsi="Arial" w:cs="Arial"/>
          <w:i/>
          <w:iCs/>
        </w:rPr>
        <w:t>Clinical Microbiology Newsletter</w:t>
      </w:r>
      <w:r w:rsidRPr="00A33964">
        <w:rPr>
          <w:rFonts w:ascii="Arial" w:hAnsi="Arial" w:cs="Arial"/>
        </w:rPr>
        <w:t xml:space="preserve">, </w:t>
      </w:r>
      <w:r w:rsidRPr="00A33964">
        <w:rPr>
          <w:rFonts w:ascii="Arial" w:hAnsi="Arial" w:cs="Arial"/>
          <w:i/>
          <w:iCs/>
        </w:rPr>
        <w:t>34</w:t>
      </w:r>
      <w:r w:rsidRPr="00A33964">
        <w:rPr>
          <w:rFonts w:ascii="Arial" w:hAnsi="Arial" w:cs="Arial"/>
        </w:rPr>
        <w:t xml:space="preserve">(1), 1–6. </w:t>
      </w:r>
      <w:r w:rsidR="00D57375" w:rsidRPr="004B4877">
        <w:rPr>
          <w:rFonts w:ascii="Arial" w:hAnsi="Arial" w:cs="Arial"/>
        </w:rPr>
        <w:t>https://doi.org/10.1016/j.clinmicnews.2011.12.002</w:t>
      </w:r>
    </w:p>
    <w:p w14:paraId="6C4BB789" w14:textId="77777777" w:rsidR="00282D33" w:rsidRDefault="00D57375" w:rsidP="00282D33">
      <w:pPr>
        <w:spacing w:after="0" w:line="480" w:lineRule="auto"/>
        <w:rPr>
          <w:rFonts w:ascii="Arial" w:hAnsi="Arial" w:cs="Arial"/>
          <w:i/>
          <w:iCs/>
        </w:rPr>
      </w:pPr>
      <w:r w:rsidRPr="00D57375">
        <w:rPr>
          <w:rFonts w:ascii="Arial" w:hAnsi="Arial" w:cs="Arial"/>
        </w:rPr>
        <w:t>Coventry University (202</w:t>
      </w:r>
      <w:r>
        <w:rPr>
          <w:rFonts w:ascii="Arial" w:hAnsi="Arial" w:cs="Arial" w:hint="eastAsia"/>
        </w:rPr>
        <w:t>5</w:t>
      </w:r>
      <w:r w:rsidRPr="00D57375">
        <w:rPr>
          <w:rFonts w:ascii="Arial" w:hAnsi="Arial" w:cs="Arial"/>
        </w:rPr>
        <w:t>).</w:t>
      </w:r>
      <w:r>
        <w:rPr>
          <w:rFonts w:ascii="Arial" w:hAnsi="Arial" w:cs="Arial" w:hint="eastAsia"/>
        </w:rPr>
        <w:t xml:space="preserve"> 5007</w:t>
      </w:r>
      <w:r w:rsidRPr="00D57375">
        <w:rPr>
          <w:rFonts w:ascii="Arial" w:hAnsi="Arial" w:cs="Arial"/>
          <w:i/>
          <w:iCs/>
        </w:rPr>
        <w:t xml:space="preserve">BIO </w:t>
      </w:r>
      <w:r w:rsidR="00446B25" w:rsidRPr="00D57375">
        <w:rPr>
          <w:rFonts w:ascii="Arial" w:hAnsi="Arial" w:cs="Arial"/>
          <w:i/>
          <w:iCs/>
        </w:rPr>
        <w:t>La</w:t>
      </w:r>
      <w:r w:rsidR="00E13F50">
        <w:rPr>
          <w:rFonts w:ascii="Arial" w:hAnsi="Arial" w:cs="Arial" w:hint="eastAsia"/>
          <w:i/>
          <w:iCs/>
        </w:rPr>
        <w:t>borat</w:t>
      </w:r>
      <w:r w:rsidR="00446B25">
        <w:rPr>
          <w:rFonts w:ascii="Arial" w:hAnsi="Arial" w:cs="Arial"/>
          <w:i/>
          <w:iCs/>
        </w:rPr>
        <w:t>ory</w:t>
      </w:r>
      <w:r w:rsidR="00446B25">
        <w:rPr>
          <w:rFonts w:ascii="Arial" w:hAnsi="Arial" w:cs="Arial" w:hint="eastAsia"/>
          <w:i/>
          <w:iCs/>
        </w:rPr>
        <w:t xml:space="preserve"> Schedules</w:t>
      </w:r>
      <w:r w:rsidRPr="00D57375">
        <w:rPr>
          <w:rFonts w:ascii="Arial" w:hAnsi="Arial" w:cs="Arial"/>
          <w:i/>
          <w:iCs/>
        </w:rPr>
        <w:t xml:space="preserve"> </w:t>
      </w:r>
      <w:r w:rsidR="00AD3AF1">
        <w:rPr>
          <w:rFonts w:ascii="Arial" w:hAnsi="Arial" w:cs="Arial" w:hint="eastAsia"/>
        </w:rPr>
        <w:t>2</w:t>
      </w:r>
      <w:r w:rsidR="00282D33">
        <w:rPr>
          <w:rFonts w:ascii="Arial" w:hAnsi="Arial" w:cs="Arial" w:hint="eastAsia"/>
        </w:rPr>
        <w:t>,3</w:t>
      </w:r>
      <w:r w:rsidRPr="00D57375">
        <w:rPr>
          <w:rFonts w:ascii="Arial" w:hAnsi="Arial" w:cs="Arial"/>
          <w:i/>
          <w:iCs/>
        </w:rPr>
        <w:t xml:space="preserve"> </w:t>
      </w:r>
      <w:r w:rsidR="0061242C" w:rsidRPr="0061242C">
        <w:rPr>
          <w:rFonts w:ascii="Arial" w:hAnsi="Arial" w:cs="Arial"/>
          <w:i/>
          <w:iCs/>
        </w:rPr>
        <w:t>DNA extraction and PCR</w:t>
      </w:r>
      <w:r w:rsidRPr="00D57375">
        <w:rPr>
          <w:rFonts w:ascii="Arial" w:hAnsi="Arial" w:cs="Arial"/>
          <w:i/>
          <w:iCs/>
        </w:rPr>
        <w:t xml:space="preserve">. </w:t>
      </w:r>
      <w:r w:rsidR="00282D33">
        <w:rPr>
          <w:rFonts w:ascii="Arial" w:hAnsi="Arial" w:cs="Arial" w:hint="eastAsia"/>
          <w:i/>
          <w:iCs/>
        </w:rPr>
        <w:t xml:space="preserve">&amp; </w:t>
      </w:r>
    </w:p>
    <w:p w14:paraId="07010BFC" w14:textId="12A558C8" w:rsidR="00282D33" w:rsidRPr="00282D33" w:rsidRDefault="00282D33" w:rsidP="00282D33">
      <w:pPr>
        <w:spacing w:after="0" w:line="480" w:lineRule="auto"/>
        <w:ind w:firstLine="720"/>
        <w:rPr>
          <w:rFonts w:ascii="Arial" w:hAnsi="Arial" w:cs="Arial"/>
          <w:i/>
          <w:iCs/>
        </w:rPr>
      </w:pPr>
      <w:r w:rsidRPr="00282D33">
        <w:rPr>
          <w:rFonts w:ascii="Arial" w:hAnsi="Arial" w:cs="Arial"/>
          <w:i/>
          <w:iCs/>
        </w:rPr>
        <w:t xml:space="preserve">PCR part 2 and some other fun </w:t>
      </w:r>
      <w:r w:rsidR="00D57375" w:rsidRPr="00D57375">
        <w:rPr>
          <w:rFonts w:ascii="Arial" w:hAnsi="Arial" w:cs="Arial"/>
        </w:rPr>
        <w:t>Coventry University.</w:t>
      </w:r>
    </w:p>
    <w:p w14:paraId="356B5EDC" w14:textId="77777777" w:rsidR="00A33964" w:rsidRDefault="00A33964" w:rsidP="00A33964">
      <w:pPr>
        <w:spacing w:after="0" w:line="480" w:lineRule="auto"/>
        <w:rPr>
          <w:rFonts w:ascii="Arial" w:hAnsi="Arial" w:cs="Arial"/>
          <w:i/>
          <w:iCs/>
        </w:rPr>
      </w:pPr>
      <w:r w:rsidRPr="00D57375">
        <w:rPr>
          <w:rFonts w:ascii="Arial" w:hAnsi="Arial" w:cs="Arial"/>
        </w:rPr>
        <w:t>Deharvengt, S. J., &amp; Tsongalis</w:t>
      </w:r>
      <w:r w:rsidRPr="00A33964">
        <w:rPr>
          <w:rFonts w:ascii="Arial" w:hAnsi="Arial" w:cs="Arial"/>
        </w:rPr>
        <w:t xml:space="preserve">, G. J. (2018). </w:t>
      </w:r>
      <w:r w:rsidRPr="00A33964">
        <w:rPr>
          <w:rFonts w:ascii="Arial" w:hAnsi="Arial" w:cs="Arial"/>
          <w:i/>
          <w:iCs/>
        </w:rPr>
        <w:t xml:space="preserve">Molecular </w:t>
      </w:r>
      <w:proofErr w:type="gramStart"/>
      <w:r w:rsidRPr="00A33964">
        <w:rPr>
          <w:rFonts w:ascii="Arial" w:hAnsi="Arial" w:cs="Arial"/>
          <w:i/>
          <w:iCs/>
        </w:rPr>
        <w:t>pathology :</w:t>
      </w:r>
      <w:proofErr w:type="gramEnd"/>
      <w:r w:rsidRPr="00A33964">
        <w:rPr>
          <w:rFonts w:ascii="Arial" w:hAnsi="Arial" w:cs="Arial"/>
          <w:i/>
          <w:iCs/>
        </w:rPr>
        <w:t xml:space="preserve"> the molecular basis of </w:t>
      </w:r>
    </w:p>
    <w:p w14:paraId="69F12219" w14:textId="34D39E44" w:rsidR="00A33964" w:rsidRPr="00A33964" w:rsidRDefault="00A33964" w:rsidP="00A33964">
      <w:pPr>
        <w:spacing w:after="0" w:line="480" w:lineRule="auto"/>
        <w:ind w:firstLine="720"/>
        <w:rPr>
          <w:rFonts w:ascii="Arial" w:hAnsi="Arial" w:cs="Arial"/>
        </w:rPr>
      </w:pPr>
      <w:r w:rsidRPr="00A33964">
        <w:rPr>
          <w:rFonts w:ascii="Arial" w:hAnsi="Arial" w:cs="Arial"/>
          <w:i/>
          <w:iCs/>
        </w:rPr>
        <w:t>human disease</w:t>
      </w:r>
      <w:r w:rsidRPr="00A33964">
        <w:rPr>
          <w:rFonts w:ascii="Arial" w:hAnsi="Arial" w:cs="Arial"/>
        </w:rPr>
        <w:t xml:space="preserve"> (pp. 709–730). Academic Press, An Imprint Of Elsevier.</w:t>
      </w:r>
    </w:p>
    <w:p w14:paraId="1F11EAD1" w14:textId="77777777" w:rsidR="00A33964" w:rsidRDefault="00A33964" w:rsidP="00A33964">
      <w:pPr>
        <w:spacing w:after="0" w:line="480" w:lineRule="auto"/>
        <w:rPr>
          <w:rFonts w:ascii="Arial" w:hAnsi="Arial" w:cs="Arial"/>
        </w:rPr>
      </w:pPr>
      <w:r w:rsidRPr="00A33964">
        <w:rPr>
          <w:rFonts w:ascii="Arial" w:hAnsi="Arial" w:cs="Arial"/>
        </w:rPr>
        <w:t xml:space="preserve">Fishovitz, J., Hermoso, J. A., Chang, M., &amp; </w:t>
      </w:r>
      <w:proofErr w:type="spellStart"/>
      <w:r w:rsidRPr="00A33964">
        <w:rPr>
          <w:rFonts w:ascii="Arial" w:hAnsi="Arial" w:cs="Arial"/>
        </w:rPr>
        <w:t>Mobashery</w:t>
      </w:r>
      <w:proofErr w:type="spellEnd"/>
      <w:r w:rsidRPr="00A33964">
        <w:rPr>
          <w:rFonts w:ascii="Arial" w:hAnsi="Arial" w:cs="Arial"/>
        </w:rPr>
        <w:t xml:space="preserve">, S. (2014). Penicillin-binding Protein </w:t>
      </w:r>
    </w:p>
    <w:p w14:paraId="62B611CA" w14:textId="7322F4B0" w:rsidR="00A33964" w:rsidRPr="00A33964" w:rsidRDefault="00A33964" w:rsidP="00A33964">
      <w:pPr>
        <w:spacing w:after="0" w:line="480" w:lineRule="auto"/>
        <w:ind w:left="720"/>
        <w:rPr>
          <w:rFonts w:ascii="Arial" w:hAnsi="Arial" w:cs="Arial"/>
        </w:rPr>
      </w:pPr>
      <w:r w:rsidRPr="00A33964">
        <w:rPr>
          <w:rFonts w:ascii="Arial" w:hAnsi="Arial" w:cs="Arial"/>
        </w:rPr>
        <w:t xml:space="preserve">2a of Methicillin-resistant Staphylococcus aureus. </w:t>
      </w:r>
      <w:r w:rsidRPr="00A33964">
        <w:rPr>
          <w:rFonts w:ascii="Arial" w:hAnsi="Arial" w:cs="Arial"/>
          <w:i/>
          <w:iCs/>
        </w:rPr>
        <w:t>IUBMB Life</w:t>
      </w:r>
      <w:r w:rsidRPr="00A33964">
        <w:rPr>
          <w:rFonts w:ascii="Arial" w:hAnsi="Arial" w:cs="Arial"/>
        </w:rPr>
        <w:t xml:space="preserve">, </w:t>
      </w:r>
      <w:r w:rsidRPr="00A33964">
        <w:rPr>
          <w:rFonts w:ascii="Arial" w:hAnsi="Arial" w:cs="Arial"/>
          <w:i/>
          <w:iCs/>
        </w:rPr>
        <w:t>66</w:t>
      </w:r>
      <w:r w:rsidRPr="00A33964">
        <w:rPr>
          <w:rFonts w:ascii="Arial" w:hAnsi="Arial" w:cs="Arial"/>
        </w:rPr>
        <w:t>(8), 572–577. https://doi.org/10.1002/iub.1289</w:t>
      </w:r>
    </w:p>
    <w:p w14:paraId="39EF71F7" w14:textId="77777777" w:rsidR="00A33964" w:rsidRDefault="00A33964" w:rsidP="00A33964">
      <w:pPr>
        <w:spacing w:after="0" w:line="480" w:lineRule="auto"/>
        <w:rPr>
          <w:rFonts w:ascii="Arial" w:hAnsi="Arial" w:cs="Arial"/>
        </w:rPr>
      </w:pPr>
      <w:r w:rsidRPr="00A33964">
        <w:rPr>
          <w:rFonts w:ascii="Arial" w:hAnsi="Arial" w:cs="Arial"/>
        </w:rPr>
        <w:t xml:space="preserve">Geha, D. J., Uhl, J. R., </w:t>
      </w:r>
      <w:proofErr w:type="spellStart"/>
      <w:r w:rsidRPr="00A33964">
        <w:rPr>
          <w:rFonts w:ascii="Arial" w:hAnsi="Arial" w:cs="Arial"/>
        </w:rPr>
        <w:t>Gustaferro</w:t>
      </w:r>
      <w:proofErr w:type="spellEnd"/>
      <w:r w:rsidRPr="00A33964">
        <w:rPr>
          <w:rFonts w:ascii="Arial" w:hAnsi="Arial" w:cs="Arial"/>
        </w:rPr>
        <w:t xml:space="preserve">, C. A., &amp; Persing, D. H. (1994). Multiplex PCR for </w:t>
      </w:r>
    </w:p>
    <w:p w14:paraId="7DD5641F" w14:textId="0D6A168A" w:rsidR="00A33964" w:rsidRPr="00A33964" w:rsidRDefault="00A33964" w:rsidP="00A33964">
      <w:pPr>
        <w:spacing w:after="0" w:line="480" w:lineRule="auto"/>
        <w:ind w:left="720"/>
        <w:rPr>
          <w:rFonts w:ascii="Arial" w:hAnsi="Arial" w:cs="Arial"/>
        </w:rPr>
      </w:pPr>
      <w:r w:rsidRPr="00A33964">
        <w:rPr>
          <w:rFonts w:ascii="Arial" w:hAnsi="Arial" w:cs="Arial"/>
        </w:rPr>
        <w:t xml:space="preserve">identification of methicillin-resistant staphylococci in the clinical laboratory. </w:t>
      </w:r>
      <w:r w:rsidRPr="00A33964">
        <w:rPr>
          <w:rFonts w:ascii="Arial" w:hAnsi="Arial" w:cs="Arial"/>
          <w:i/>
          <w:iCs/>
        </w:rPr>
        <w:t>Journal of Clinical Microbiology</w:t>
      </w:r>
      <w:r w:rsidRPr="00A33964">
        <w:rPr>
          <w:rFonts w:ascii="Arial" w:hAnsi="Arial" w:cs="Arial"/>
        </w:rPr>
        <w:t xml:space="preserve">, </w:t>
      </w:r>
      <w:r w:rsidRPr="00A33964">
        <w:rPr>
          <w:rFonts w:ascii="Arial" w:hAnsi="Arial" w:cs="Arial"/>
          <w:i/>
          <w:iCs/>
        </w:rPr>
        <w:t>32</w:t>
      </w:r>
      <w:r w:rsidRPr="00A33964">
        <w:rPr>
          <w:rFonts w:ascii="Arial" w:hAnsi="Arial" w:cs="Arial"/>
        </w:rPr>
        <w:t>(7), 1768–1772. https://doi.org/10.1128/jcm.32.7.1768-1772.1994</w:t>
      </w:r>
    </w:p>
    <w:p w14:paraId="77242191" w14:textId="77777777" w:rsidR="00A33964" w:rsidRDefault="00A33964" w:rsidP="00A33964">
      <w:pPr>
        <w:spacing w:after="0" w:line="480" w:lineRule="auto"/>
        <w:rPr>
          <w:rFonts w:ascii="Arial" w:hAnsi="Arial" w:cs="Arial"/>
        </w:rPr>
      </w:pPr>
      <w:r w:rsidRPr="00A33964">
        <w:rPr>
          <w:rFonts w:ascii="Arial" w:hAnsi="Arial" w:cs="Arial"/>
        </w:rPr>
        <w:lastRenderedPageBreak/>
        <w:t xml:space="preserve">Hedman, J., Dufva, C., Norén, L., Ansell, C., Albinsson, L., &amp; Ansell, R. (2011). Applying a </w:t>
      </w:r>
    </w:p>
    <w:p w14:paraId="7E6EEF1F" w14:textId="31F3F5A9" w:rsidR="00A33964" w:rsidRPr="00A33964" w:rsidRDefault="00A33964" w:rsidP="00A33964">
      <w:pPr>
        <w:spacing w:after="0" w:line="480" w:lineRule="auto"/>
        <w:ind w:left="720"/>
        <w:rPr>
          <w:rFonts w:ascii="Arial" w:hAnsi="Arial" w:cs="Arial"/>
        </w:rPr>
      </w:pPr>
      <w:r w:rsidRPr="00A33964">
        <w:rPr>
          <w:rFonts w:ascii="Arial" w:hAnsi="Arial" w:cs="Arial"/>
        </w:rPr>
        <w:t xml:space="preserve">PCR inhibitor tolerant DNA polymerase blend in forensic DNA profiling. </w:t>
      </w:r>
      <w:r w:rsidRPr="00A33964">
        <w:rPr>
          <w:rFonts w:ascii="Arial" w:hAnsi="Arial" w:cs="Arial"/>
          <w:i/>
          <w:iCs/>
        </w:rPr>
        <w:t>Forensic Science International: Genetics Supplement Series</w:t>
      </w:r>
      <w:r w:rsidRPr="00A33964">
        <w:rPr>
          <w:rFonts w:ascii="Arial" w:hAnsi="Arial" w:cs="Arial"/>
        </w:rPr>
        <w:t xml:space="preserve">, </w:t>
      </w:r>
      <w:r w:rsidRPr="00A33964">
        <w:rPr>
          <w:rFonts w:ascii="Arial" w:hAnsi="Arial" w:cs="Arial"/>
          <w:i/>
          <w:iCs/>
        </w:rPr>
        <w:t>3</w:t>
      </w:r>
      <w:r w:rsidRPr="00A33964">
        <w:rPr>
          <w:rFonts w:ascii="Arial" w:hAnsi="Arial" w:cs="Arial"/>
        </w:rPr>
        <w:t>(1), e349–e350. https://doi.org/10.1016/j.fsigss.2011.09.037</w:t>
      </w:r>
    </w:p>
    <w:p w14:paraId="75A73E88" w14:textId="77777777" w:rsidR="00A33964" w:rsidRDefault="00A33964" w:rsidP="00A33964">
      <w:pPr>
        <w:spacing w:after="0" w:line="480" w:lineRule="auto"/>
        <w:rPr>
          <w:rFonts w:ascii="Arial" w:hAnsi="Arial" w:cs="Arial"/>
        </w:rPr>
      </w:pPr>
      <w:r w:rsidRPr="00A33964">
        <w:rPr>
          <w:rFonts w:ascii="Arial" w:hAnsi="Arial" w:cs="Arial"/>
        </w:rPr>
        <w:t xml:space="preserve">Ho, Y.-C., Chang, S.-C., Lin, S.-R., &amp; Wang, W.-K. (2009). High Levels of mecA DNA </w:t>
      </w:r>
    </w:p>
    <w:p w14:paraId="00D86DD4" w14:textId="4028BB53" w:rsidR="00A33964" w:rsidRPr="00A33964" w:rsidRDefault="00A33964" w:rsidP="00A33964">
      <w:pPr>
        <w:spacing w:after="0" w:line="480" w:lineRule="auto"/>
        <w:ind w:left="720"/>
        <w:rPr>
          <w:rFonts w:ascii="Arial" w:hAnsi="Arial" w:cs="Arial"/>
        </w:rPr>
      </w:pPr>
      <w:r w:rsidRPr="00A33964">
        <w:rPr>
          <w:rFonts w:ascii="Arial" w:hAnsi="Arial" w:cs="Arial"/>
        </w:rPr>
        <w:t xml:space="preserve">Detected by a Quantitative Real-Time PCR Assay Are Associated with Mortality in Patients with Methicillin-Resistant Staphylococcus aureus </w:t>
      </w:r>
      <w:proofErr w:type="spellStart"/>
      <w:r w:rsidRPr="00A33964">
        <w:rPr>
          <w:rFonts w:ascii="Arial" w:hAnsi="Arial" w:cs="Arial"/>
        </w:rPr>
        <w:t>Bacteremia</w:t>
      </w:r>
      <w:proofErr w:type="spellEnd"/>
      <w:r w:rsidRPr="00A33964">
        <w:rPr>
          <w:rFonts w:ascii="Arial" w:hAnsi="Arial" w:cs="Arial"/>
        </w:rPr>
        <w:t xml:space="preserve">. </w:t>
      </w:r>
      <w:r w:rsidRPr="00A33964">
        <w:rPr>
          <w:rFonts w:ascii="Arial" w:hAnsi="Arial" w:cs="Arial"/>
          <w:i/>
          <w:iCs/>
        </w:rPr>
        <w:t>Journal of Clinical Microbiology</w:t>
      </w:r>
      <w:r w:rsidRPr="00A33964">
        <w:rPr>
          <w:rFonts w:ascii="Arial" w:hAnsi="Arial" w:cs="Arial"/>
        </w:rPr>
        <w:t xml:space="preserve">, </w:t>
      </w:r>
      <w:r w:rsidRPr="00A33964">
        <w:rPr>
          <w:rFonts w:ascii="Arial" w:hAnsi="Arial" w:cs="Arial"/>
          <w:i/>
          <w:iCs/>
        </w:rPr>
        <w:t>47</w:t>
      </w:r>
      <w:r w:rsidRPr="00A33964">
        <w:rPr>
          <w:rFonts w:ascii="Arial" w:hAnsi="Arial" w:cs="Arial"/>
        </w:rPr>
        <w:t>(5), 1443–1451. https://doi.org/10.1128/jcm.01197-08</w:t>
      </w:r>
    </w:p>
    <w:p w14:paraId="07106E37" w14:textId="77777777" w:rsidR="00A33964" w:rsidRDefault="00A33964" w:rsidP="00A33964">
      <w:pPr>
        <w:spacing w:after="0" w:line="480" w:lineRule="auto"/>
        <w:rPr>
          <w:rFonts w:ascii="Arial" w:hAnsi="Arial" w:cs="Arial"/>
        </w:rPr>
      </w:pPr>
      <w:r w:rsidRPr="00A33964">
        <w:rPr>
          <w:rFonts w:ascii="Arial" w:hAnsi="Arial" w:cs="Arial"/>
        </w:rPr>
        <w:t xml:space="preserve">Khan, A. A., Ali, A., </w:t>
      </w:r>
      <w:proofErr w:type="spellStart"/>
      <w:r w:rsidRPr="00A33964">
        <w:rPr>
          <w:rFonts w:ascii="Arial" w:hAnsi="Arial" w:cs="Arial"/>
        </w:rPr>
        <w:t>Tharmalingam</w:t>
      </w:r>
      <w:proofErr w:type="spellEnd"/>
      <w:r w:rsidRPr="00A33964">
        <w:rPr>
          <w:rFonts w:ascii="Arial" w:hAnsi="Arial" w:cs="Arial"/>
        </w:rPr>
        <w:t xml:space="preserve">, N., </w:t>
      </w:r>
      <w:proofErr w:type="spellStart"/>
      <w:r w:rsidRPr="00A33964">
        <w:rPr>
          <w:rFonts w:ascii="Arial" w:hAnsi="Arial" w:cs="Arial"/>
        </w:rPr>
        <w:t>Mylonakis</w:t>
      </w:r>
      <w:proofErr w:type="spellEnd"/>
      <w:r w:rsidRPr="00A33964">
        <w:rPr>
          <w:rFonts w:ascii="Arial" w:hAnsi="Arial" w:cs="Arial"/>
        </w:rPr>
        <w:t xml:space="preserve">, E., &amp; Zahra, R. (2020). First report of </w:t>
      </w:r>
    </w:p>
    <w:p w14:paraId="09FA1158" w14:textId="2C16F060" w:rsidR="00A33964" w:rsidRPr="00A33964" w:rsidRDefault="00A33964" w:rsidP="00A33964">
      <w:pPr>
        <w:spacing w:after="0" w:line="480" w:lineRule="auto"/>
        <w:ind w:left="720"/>
        <w:rPr>
          <w:rFonts w:ascii="Arial" w:hAnsi="Arial" w:cs="Arial"/>
        </w:rPr>
      </w:pPr>
      <w:r w:rsidRPr="00A33964">
        <w:rPr>
          <w:rFonts w:ascii="Arial" w:hAnsi="Arial" w:cs="Arial"/>
        </w:rPr>
        <w:t xml:space="preserve">mecC gene in clinical methicillin resistant S. aureus (MRSA) from tertiary care hospital Islamabad, Pakistan. </w:t>
      </w:r>
      <w:r w:rsidRPr="00A33964">
        <w:rPr>
          <w:rFonts w:ascii="Arial" w:hAnsi="Arial" w:cs="Arial"/>
          <w:i/>
          <w:iCs/>
        </w:rPr>
        <w:t>Journal of Infection and Public Health</w:t>
      </w:r>
      <w:r w:rsidRPr="00A33964">
        <w:rPr>
          <w:rFonts w:ascii="Arial" w:hAnsi="Arial" w:cs="Arial"/>
        </w:rPr>
        <w:t xml:space="preserve">, </w:t>
      </w:r>
      <w:r w:rsidRPr="00A33964">
        <w:rPr>
          <w:rFonts w:ascii="Arial" w:hAnsi="Arial" w:cs="Arial"/>
          <w:i/>
          <w:iCs/>
        </w:rPr>
        <w:t>13</w:t>
      </w:r>
      <w:r w:rsidRPr="00A33964">
        <w:rPr>
          <w:rFonts w:ascii="Arial" w:hAnsi="Arial" w:cs="Arial"/>
        </w:rPr>
        <w:t>(10), 1501–1507. https://doi.org/10.1016/j.jiph.2020.05.017</w:t>
      </w:r>
    </w:p>
    <w:p w14:paraId="4F06495F" w14:textId="77777777" w:rsidR="00A33964" w:rsidRDefault="00A33964" w:rsidP="00A33964">
      <w:pPr>
        <w:spacing w:after="0" w:line="480" w:lineRule="auto"/>
        <w:rPr>
          <w:rFonts w:ascii="Arial" w:hAnsi="Arial" w:cs="Arial"/>
          <w:i/>
          <w:iCs/>
        </w:rPr>
      </w:pPr>
      <w:r w:rsidRPr="00A33964">
        <w:rPr>
          <w:rFonts w:ascii="Arial" w:hAnsi="Arial" w:cs="Arial"/>
        </w:rPr>
        <w:t xml:space="preserve">Koetsier, G., &amp; Cantor, E. (2019). </w:t>
      </w:r>
      <w:r w:rsidRPr="00A33964">
        <w:rPr>
          <w:rFonts w:ascii="Arial" w:hAnsi="Arial" w:cs="Arial"/>
          <w:i/>
          <w:iCs/>
        </w:rPr>
        <w:t xml:space="preserve">A Practical Guide to </w:t>
      </w:r>
      <w:proofErr w:type="spellStart"/>
      <w:r w:rsidRPr="00A33964">
        <w:rPr>
          <w:rFonts w:ascii="Arial" w:hAnsi="Arial" w:cs="Arial"/>
          <w:i/>
          <w:iCs/>
        </w:rPr>
        <w:t>Analyzing</w:t>
      </w:r>
      <w:proofErr w:type="spellEnd"/>
      <w:r w:rsidRPr="00A33964">
        <w:rPr>
          <w:rFonts w:ascii="Arial" w:hAnsi="Arial" w:cs="Arial"/>
          <w:i/>
          <w:iCs/>
        </w:rPr>
        <w:t xml:space="preserve"> Nucleic Acid Concentration </w:t>
      </w:r>
    </w:p>
    <w:p w14:paraId="597820B4" w14:textId="5A4D4C46" w:rsidR="00A33964" w:rsidRPr="00A33964" w:rsidRDefault="00A33964" w:rsidP="00B77384">
      <w:pPr>
        <w:spacing w:after="0" w:line="480" w:lineRule="auto"/>
        <w:ind w:left="720"/>
        <w:rPr>
          <w:rFonts w:ascii="Arial" w:hAnsi="Arial" w:cs="Arial"/>
        </w:rPr>
      </w:pPr>
      <w:r w:rsidRPr="00A33964">
        <w:rPr>
          <w:rFonts w:ascii="Arial" w:hAnsi="Arial" w:cs="Arial"/>
          <w:i/>
          <w:iCs/>
        </w:rPr>
        <w:t>and Purity with Microvolume Spectrophotometers</w:t>
      </w:r>
      <w:r w:rsidRPr="00A33964">
        <w:rPr>
          <w:rFonts w:ascii="Arial" w:hAnsi="Arial" w:cs="Arial"/>
        </w:rPr>
        <w:t xml:space="preserve">. </w:t>
      </w:r>
      <w:r w:rsidR="00B77384" w:rsidRPr="004B4877">
        <w:rPr>
          <w:rFonts w:ascii="Arial" w:hAnsi="Arial" w:cs="Arial"/>
        </w:rPr>
        <w:t>https://www.neb.com/-</w:t>
      </w:r>
      <w:r w:rsidR="00B77384">
        <w:rPr>
          <w:rFonts w:ascii="Arial" w:hAnsi="Arial" w:cs="Arial" w:hint="eastAsia"/>
        </w:rPr>
        <w:t xml:space="preserve"> </w:t>
      </w:r>
      <w:r w:rsidRPr="00A33964">
        <w:rPr>
          <w:rFonts w:ascii="Arial" w:hAnsi="Arial" w:cs="Arial"/>
        </w:rPr>
        <w:t>/media/nebus/files/application-notes/technote_mvs_analysis_of_nucleic_acid_concentration_and_purity.pdf?rev=c24cea043416420d84fb6bf7b554dbbb</w:t>
      </w:r>
    </w:p>
    <w:p w14:paraId="398E7BB6" w14:textId="77777777" w:rsidR="00B77384" w:rsidRDefault="00A33964" w:rsidP="00A33964">
      <w:pPr>
        <w:spacing w:after="0" w:line="480" w:lineRule="auto"/>
        <w:rPr>
          <w:rFonts w:ascii="Arial" w:hAnsi="Arial" w:cs="Arial"/>
        </w:rPr>
      </w:pPr>
      <w:r w:rsidRPr="00A33964">
        <w:rPr>
          <w:rFonts w:ascii="Arial" w:hAnsi="Arial" w:cs="Arial"/>
        </w:rPr>
        <w:t xml:space="preserve">Kumar, S., &amp; Kumar, A. (2020). </w:t>
      </w:r>
      <w:r w:rsidRPr="00A33964">
        <w:rPr>
          <w:rFonts w:ascii="Arial" w:hAnsi="Arial" w:cs="Arial"/>
          <w:i/>
          <w:iCs/>
        </w:rPr>
        <w:t>Natural remedies for pest, disease and weed control</w:t>
      </w:r>
      <w:r w:rsidRPr="00A33964">
        <w:rPr>
          <w:rFonts w:ascii="Arial" w:hAnsi="Arial" w:cs="Arial"/>
        </w:rPr>
        <w:t xml:space="preserve"> (pp. </w:t>
      </w:r>
    </w:p>
    <w:p w14:paraId="708B8685" w14:textId="06EC7D45" w:rsidR="00A33964" w:rsidRPr="00A33964" w:rsidRDefault="00A33964" w:rsidP="00B77384">
      <w:pPr>
        <w:spacing w:after="0" w:line="480" w:lineRule="auto"/>
        <w:ind w:firstLine="720"/>
        <w:rPr>
          <w:rFonts w:ascii="Arial" w:hAnsi="Arial" w:cs="Arial"/>
        </w:rPr>
      </w:pPr>
      <w:r w:rsidRPr="00A33964">
        <w:rPr>
          <w:rFonts w:ascii="Arial" w:hAnsi="Arial" w:cs="Arial"/>
        </w:rPr>
        <w:t>135–142). London, United Kingdom] Academic Press.</w:t>
      </w:r>
    </w:p>
    <w:p w14:paraId="07CF49EF" w14:textId="77777777" w:rsidR="00B77384" w:rsidRDefault="00A33964" w:rsidP="00A33964">
      <w:pPr>
        <w:spacing w:after="0" w:line="480" w:lineRule="auto"/>
        <w:rPr>
          <w:rFonts w:ascii="Arial" w:hAnsi="Arial" w:cs="Arial"/>
        </w:rPr>
      </w:pPr>
      <w:r w:rsidRPr="00A33964">
        <w:rPr>
          <w:rFonts w:ascii="Arial" w:hAnsi="Arial" w:cs="Arial"/>
        </w:rPr>
        <w:t xml:space="preserve">Kwon, S.-J., Jeon, T., Seo, D., Na, M., Choi, E.-G., Son, J.-W., Yoo, E.-H., Park, C.-G., Lee, </w:t>
      </w:r>
    </w:p>
    <w:p w14:paraId="33B49ED8" w14:textId="5EC35CE3" w:rsidR="00A33964" w:rsidRPr="00A33964" w:rsidRDefault="00A33964" w:rsidP="00B77384">
      <w:pPr>
        <w:spacing w:after="0" w:line="480" w:lineRule="auto"/>
        <w:ind w:left="720"/>
        <w:rPr>
          <w:rFonts w:ascii="Arial" w:hAnsi="Arial" w:cs="Arial"/>
        </w:rPr>
      </w:pPr>
      <w:r w:rsidRPr="00A33964">
        <w:rPr>
          <w:rFonts w:ascii="Arial" w:hAnsi="Arial" w:cs="Arial"/>
        </w:rPr>
        <w:t>H. Y., Kim, J. O., Kim, S.-Y., &amp; Kang, J. (2012). Quantitative PCR for Etiologic Diagnosis of Methicillin-</w:t>
      </w:r>
      <w:proofErr w:type="spellStart"/>
      <w:r w:rsidRPr="00A33964">
        <w:rPr>
          <w:rFonts w:ascii="Arial" w:hAnsi="Arial" w:cs="Arial"/>
        </w:rPr>
        <w:t>ResistantStaphylococcus</w:t>
      </w:r>
      <w:proofErr w:type="spellEnd"/>
      <w:r w:rsidRPr="00A33964">
        <w:rPr>
          <w:rFonts w:ascii="Arial" w:hAnsi="Arial" w:cs="Arial"/>
        </w:rPr>
        <w:t xml:space="preserve"> </w:t>
      </w:r>
      <w:proofErr w:type="spellStart"/>
      <w:r w:rsidRPr="00A33964">
        <w:rPr>
          <w:rFonts w:ascii="Arial" w:hAnsi="Arial" w:cs="Arial"/>
        </w:rPr>
        <w:t>aureusPneumonia</w:t>
      </w:r>
      <w:proofErr w:type="spellEnd"/>
      <w:r w:rsidRPr="00A33964">
        <w:rPr>
          <w:rFonts w:ascii="Arial" w:hAnsi="Arial" w:cs="Arial"/>
        </w:rPr>
        <w:t xml:space="preserve"> in Intensive Care Unit. </w:t>
      </w:r>
      <w:r w:rsidRPr="00A33964">
        <w:rPr>
          <w:rFonts w:ascii="Arial" w:hAnsi="Arial" w:cs="Arial"/>
          <w:i/>
          <w:iCs/>
        </w:rPr>
        <w:t>Tuberculosis and Respiratory Diseases</w:t>
      </w:r>
      <w:r w:rsidRPr="00A33964">
        <w:rPr>
          <w:rFonts w:ascii="Arial" w:hAnsi="Arial" w:cs="Arial"/>
        </w:rPr>
        <w:t xml:space="preserve">, </w:t>
      </w:r>
      <w:r w:rsidRPr="00A33964">
        <w:rPr>
          <w:rFonts w:ascii="Arial" w:hAnsi="Arial" w:cs="Arial"/>
          <w:i/>
          <w:iCs/>
        </w:rPr>
        <w:t>72</w:t>
      </w:r>
      <w:r w:rsidRPr="00A33964">
        <w:rPr>
          <w:rFonts w:ascii="Arial" w:hAnsi="Arial" w:cs="Arial"/>
        </w:rPr>
        <w:t>(3), 293. https://doi.org/10.4046/trd.2012.72.3.293</w:t>
      </w:r>
    </w:p>
    <w:p w14:paraId="504368A9" w14:textId="77777777" w:rsidR="00B77384" w:rsidRDefault="00A33964" w:rsidP="00A33964">
      <w:pPr>
        <w:spacing w:after="0" w:line="480" w:lineRule="auto"/>
        <w:rPr>
          <w:rFonts w:ascii="Arial" w:hAnsi="Arial" w:cs="Arial"/>
        </w:rPr>
      </w:pPr>
      <w:r w:rsidRPr="00A33964">
        <w:rPr>
          <w:rFonts w:ascii="Arial" w:hAnsi="Arial" w:cs="Arial"/>
        </w:rPr>
        <w:t xml:space="preserve">Malachowa, N., &amp; DeLeo, F. R. (2010). Mobile genetic elements of Staphylococcus aureus. </w:t>
      </w:r>
    </w:p>
    <w:p w14:paraId="333E8821" w14:textId="45130E1C" w:rsidR="00A33964" w:rsidRPr="00A33964" w:rsidRDefault="00A33964" w:rsidP="00B77384">
      <w:pPr>
        <w:spacing w:after="0" w:line="480" w:lineRule="auto"/>
        <w:ind w:firstLine="720"/>
        <w:rPr>
          <w:rFonts w:ascii="Arial" w:hAnsi="Arial" w:cs="Arial"/>
        </w:rPr>
      </w:pPr>
      <w:r w:rsidRPr="00A33964">
        <w:rPr>
          <w:rFonts w:ascii="Arial" w:hAnsi="Arial" w:cs="Arial"/>
          <w:i/>
          <w:iCs/>
        </w:rPr>
        <w:t>Cellular and Molecular Life Sciences</w:t>
      </w:r>
      <w:r w:rsidRPr="00A33964">
        <w:rPr>
          <w:rFonts w:ascii="Arial" w:hAnsi="Arial" w:cs="Arial"/>
        </w:rPr>
        <w:t xml:space="preserve">, </w:t>
      </w:r>
      <w:r w:rsidRPr="00A33964">
        <w:rPr>
          <w:rFonts w:ascii="Arial" w:hAnsi="Arial" w:cs="Arial"/>
          <w:i/>
          <w:iCs/>
        </w:rPr>
        <w:t>67</w:t>
      </w:r>
      <w:r w:rsidRPr="00A33964">
        <w:rPr>
          <w:rFonts w:ascii="Arial" w:hAnsi="Arial" w:cs="Arial"/>
        </w:rPr>
        <w:t>(18), 3057–3071. https://</w:t>
      </w:r>
      <w:r w:rsidR="00B77384">
        <w:rPr>
          <w:rFonts w:ascii="Arial" w:hAnsi="Arial" w:cs="Arial"/>
        </w:rPr>
        <w:tab/>
      </w:r>
      <w:r w:rsidRPr="00A33964">
        <w:rPr>
          <w:rFonts w:ascii="Arial" w:hAnsi="Arial" w:cs="Arial"/>
        </w:rPr>
        <w:t>doi.org/10.1007/s00018-010-0389-4</w:t>
      </w:r>
    </w:p>
    <w:p w14:paraId="37D9B8AF" w14:textId="77777777" w:rsidR="00B77384" w:rsidRDefault="00A33964" w:rsidP="00A33964">
      <w:pPr>
        <w:spacing w:after="0" w:line="480" w:lineRule="auto"/>
        <w:rPr>
          <w:rFonts w:ascii="Arial" w:hAnsi="Arial" w:cs="Arial"/>
        </w:rPr>
      </w:pPr>
      <w:r w:rsidRPr="00A33964">
        <w:rPr>
          <w:rFonts w:ascii="Arial" w:hAnsi="Arial" w:cs="Arial"/>
        </w:rPr>
        <w:lastRenderedPageBreak/>
        <w:t xml:space="preserve">Paterson, G. K., Harrison, E. M., &amp; Holmes, M. A. (2014). The emergence of mecC </w:t>
      </w:r>
    </w:p>
    <w:p w14:paraId="00F934A8" w14:textId="07112589" w:rsidR="00A33964" w:rsidRPr="00A33964" w:rsidRDefault="00A33964" w:rsidP="00B77384">
      <w:pPr>
        <w:spacing w:after="0" w:line="480" w:lineRule="auto"/>
        <w:ind w:left="720"/>
        <w:rPr>
          <w:rFonts w:ascii="Arial" w:hAnsi="Arial" w:cs="Arial"/>
        </w:rPr>
      </w:pPr>
      <w:r w:rsidRPr="00A33964">
        <w:rPr>
          <w:rFonts w:ascii="Arial" w:hAnsi="Arial" w:cs="Arial"/>
        </w:rPr>
        <w:t xml:space="preserve">methicillin-resistant Staphylococcus aureus. </w:t>
      </w:r>
      <w:r w:rsidRPr="00A33964">
        <w:rPr>
          <w:rFonts w:ascii="Arial" w:hAnsi="Arial" w:cs="Arial"/>
          <w:i/>
          <w:iCs/>
        </w:rPr>
        <w:t>Trends in Microbiology</w:t>
      </w:r>
      <w:r w:rsidRPr="00A33964">
        <w:rPr>
          <w:rFonts w:ascii="Arial" w:hAnsi="Arial" w:cs="Arial"/>
        </w:rPr>
        <w:t xml:space="preserve">, </w:t>
      </w:r>
      <w:r w:rsidRPr="00A33964">
        <w:rPr>
          <w:rFonts w:ascii="Arial" w:hAnsi="Arial" w:cs="Arial"/>
          <w:i/>
          <w:iCs/>
        </w:rPr>
        <w:t>22</w:t>
      </w:r>
      <w:r w:rsidRPr="00A33964">
        <w:rPr>
          <w:rFonts w:ascii="Arial" w:hAnsi="Arial" w:cs="Arial"/>
        </w:rPr>
        <w:t>(1), 42–47. https://doi.org/10.1016/j.tim.2013.11.003</w:t>
      </w:r>
    </w:p>
    <w:p w14:paraId="2390F731" w14:textId="3576AFFB" w:rsidR="00B77384" w:rsidRDefault="00A33964" w:rsidP="00A33964">
      <w:pPr>
        <w:spacing w:after="0" w:line="480" w:lineRule="auto"/>
        <w:rPr>
          <w:rFonts w:ascii="Arial" w:hAnsi="Arial" w:cs="Arial"/>
        </w:rPr>
      </w:pPr>
      <w:r w:rsidRPr="00A33964">
        <w:rPr>
          <w:rFonts w:ascii="Arial" w:hAnsi="Arial" w:cs="Arial"/>
        </w:rPr>
        <w:t xml:space="preserve">Prediger, E. (2024). </w:t>
      </w:r>
      <w:r w:rsidRPr="00A33964">
        <w:rPr>
          <w:rFonts w:ascii="Arial" w:hAnsi="Arial" w:cs="Arial"/>
          <w:i/>
          <w:iCs/>
        </w:rPr>
        <w:t>Rules and Tips for PCR &amp; qPCR Primer Design | IDT</w:t>
      </w:r>
      <w:r w:rsidRPr="00A33964">
        <w:rPr>
          <w:rFonts w:ascii="Arial" w:hAnsi="Arial" w:cs="Arial"/>
        </w:rPr>
        <w:t xml:space="preserve">. IDT. </w:t>
      </w:r>
    </w:p>
    <w:p w14:paraId="7365BC43" w14:textId="4A02DABD" w:rsidR="00A33964" w:rsidRPr="00A33964" w:rsidRDefault="00B77384" w:rsidP="00B77384">
      <w:pPr>
        <w:spacing w:after="0" w:line="480" w:lineRule="auto"/>
        <w:ind w:left="720"/>
        <w:rPr>
          <w:rFonts w:ascii="Arial" w:hAnsi="Arial" w:cs="Arial"/>
        </w:rPr>
      </w:pPr>
      <w:r w:rsidRPr="004B4877">
        <w:rPr>
          <w:rFonts w:ascii="Arial" w:hAnsi="Arial" w:cs="Arial"/>
        </w:rPr>
        <w:t>https://eu.idtdna.com/page/support-and-education/decoded-plus/how-to-design-</w:t>
      </w:r>
      <w:r w:rsidR="00A33964" w:rsidRPr="00A33964">
        <w:rPr>
          <w:rFonts w:ascii="Arial" w:hAnsi="Arial" w:cs="Arial"/>
        </w:rPr>
        <w:t>primers-and-probes-for-pcr-and-qpcr/</w:t>
      </w:r>
    </w:p>
    <w:p w14:paraId="4929CF77" w14:textId="77777777" w:rsidR="00B77384" w:rsidRDefault="00A33964" w:rsidP="00A33964">
      <w:pPr>
        <w:spacing w:after="0" w:line="480" w:lineRule="auto"/>
        <w:rPr>
          <w:rFonts w:ascii="Arial" w:hAnsi="Arial" w:cs="Arial"/>
        </w:rPr>
      </w:pPr>
      <w:r w:rsidRPr="00A33964">
        <w:rPr>
          <w:rFonts w:ascii="Arial" w:hAnsi="Arial" w:cs="Arial"/>
        </w:rPr>
        <w:t xml:space="preserve">QIAGEN. (n.d.). </w:t>
      </w:r>
      <w:r w:rsidRPr="00A33964">
        <w:rPr>
          <w:rFonts w:ascii="Arial" w:hAnsi="Arial" w:cs="Arial"/>
          <w:i/>
          <w:iCs/>
        </w:rPr>
        <w:t>Quantification of DNA</w:t>
      </w:r>
      <w:r w:rsidRPr="00A33964">
        <w:rPr>
          <w:rFonts w:ascii="Arial" w:hAnsi="Arial" w:cs="Arial"/>
        </w:rPr>
        <w:t xml:space="preserve">. Qiagen.com. Retrieved November 23, 2025, from </w:t>
      </w:r>
    </w:p>
    <w:p w14:paraId="20F44F21" w14:textId="537FFB8B" w:rsidR="00A33964" w:rsidRPr="00A33964" w:rsidRDefault="00B77384" w:rsidP="00B77384">
      <w:pPr>
        <w:spacing w:after="0" w:line="480" w:lineRule="auto"/>
        <w:ind w:left="720"/>
        <w:rPr>
          <w:rFonts w:ascii="Arial" w:hAnsi="Arial" w:cs="Arial"/>
        </w:rPr>
      </w:pPr>
      <w:r w:rsidRPr="004B4877">
        <w:rPr>
          <w:rFonts w:ascii="Arial" w:hAnsi="Arial" w:cs="Arial"/>
        </w:rPr>
        <w:t>https://www.qiagen.com/gb/knowledge-and-support/knowledge-hub/bench-</w:t>
      </w:r>
      <w:r w:rsidR="00A33964" w:rsidRPr="00A33964">
        <w:rPr>
          <w:rFonts w:ascii="Arial" w:hAnsi="Arial" w:cs="Arial"/>
        </w:rPr>
        <w:t>guide/dna/analysing-dna/quantification-of-dna#Spectrophotometry</w:t>
      </w:r>
    </w:p>
    <w:p w14:paraId="578C5C82" w14:textId="77777777" w:rsidR="00A33964" w:rsidRPr="00A33964" w:rsidRDefault="00A33964" w:rsidP="00A33964">
      <w:pPr>
        <w:spacing w:after="0" w:line="480" w:lineRule="auto"/>
        <w:rPr>
          <w:rFonts w:ascii="Arial" w:hAnsi="Arial" w:cs="Arial"/>
        </w:rPr>
      </w:pPr>
      <w:r w:rsidRPr="00A33964">
        <w:rPr>
          <w:rFonts w:ascii="Arial" w:hAnsi="Arial" w:cs="Arial"/>
        </w:rPr>
        <w:t xml:space="preserve">QIAGEN. (2021). </w:t>
      </w:r>
      <w:r w:rsidRPr="00A33964">
        <w:rPr>
          <w:rFonts w:ascii="Arial" w:hAnsi="Arial" w:cs="Arial"/>
          <w:i/>
          <w:iCs/>
        </w:rPr>
        <w:t>Buffer AW1 Safety Data Sheet (SDS) cover letter for product: Buffer AW1</w:t>
      </w:r>
      <w:r w:rsidRPr="00A33964">
        <w:rPr>
          <w:rFonts w:ascii="Arial" w:hAnsi="Arial" w:cs="Arial"/>
        </w:rPr>
        <w:t>.</w:t>
      </w:r>
    </w:p>
    <w:p w14:paraId="776DF52B" w14:textId="77777777" w:rsidR="00875B98" w:rsidRDefault="00A33964" w:rsidP="00A33964">
      <w:pPr>
        <w:spacing w:after="0" w:line="480" w:lineRule="auto"/>
        <w:rPr>
          <w:rFonts w:ascii="Arial" w:hAnsi="Arial" w:cs="Arial"/>
          <w:i/>
          <w:iCs/>
        </w:rPr>
      </w:pPr>
      <w:r w:rsidRPr="00A33964">
        <w:rPr>
          <w:rFonts w:ascii="Arial" w:hAnsi="Arial" w:cs="Arial"/>
        </w:rPr>
        <w:t xml:space="preserve">Rao, A., Fader, B., &amp; Hocker, K. (2010). </w:t>
      </w:r>
      <w:r w:rsidRPr="00A33964">
        <w:rPr>
          <w:rFonts w:ascii="Arial" w:hAnsi="Arial" w:cs="Arial"/>
          <w:i/>
          <w:iCs/>
        </w:rPr>
        <w:t xml:space="preserve">Molecular </w:t>
      </w:r>
      <w:proofErr w:type="gramStart"/>
      <w:r w:rsidRPr="00A33964">
        <w:rPr>
          <w:rFonts w:ascii="Arial" w:hAnsi="Arial" w:cs="Arial"/>
          <w:i/>
          <w:iCs/>
        </w:rPr>
        <w:t>diagnostics :</w:t>
      </w:r>
      <w:proofErr w:type="gramEnd"/>
      <w:r w:rsidRPr="00A33964">
        <w:rPr>
          <w:rFonts w:ascii="Arial" w:hAnsi="Arial" w:cs="Arial"/>
          <w:i/>
          <w:iCs/>
        </w:rPr>
        <w:t xml:space="preserve"> techniques and applications </w:t>
      </w:r>
    </w:p>
    <w:p w14:paraId="3EC5D7EB" w14:textId="171E108F" w:rsidR="00A33964" w:rsidRPr="00A33964" w:rsidRDefault="00A33964" w:rsidP="00875B98">
      <w:pPr>
        <w:spacing w:after="0" w:line="480" w:lineRule="auto"/>
        <w:ind w:firstLine="720"/>
        <w:rPr>
          <w:rFonts w:ascii="Arial" w:hAnsi="Arial" w:cs="Arial"/>
        </w:rPr>
      </w:pPr>
      <w:r w:rsidRPr="00A33964">
        <w:rPr>
          <w:rFonts w:ascii="Arial" w:hAnsi="Arial" w:cs="Arial"/>
          <w:i/>
          <w:iCs/>
        </w:rPr>
        <w:t>for the clinical laboratory</w:t>
      </w:r>
      <w:r w:rsidRPr="00A33964">
        <w:rPr>
          <w:rFonts w:ascii="Arial" w:hAnsi="Arial" w:cs="Arial"/>
        </w:rPr>
        <w:t xml:space="preserve"> (pp. 327–340). Elsevier/Academic Press.</w:t>
      </w:r>
    </w:p>
    <w:p w14:paraId="117842FE" w14:textId="5A296BD9" w:rsidR="00875B98" w:rsidRDefault="00A33964" w:rsidP="00A33964">
      <w:pPr>
        <w:spacing w:after="0" w:line="480" w:lineRule="auto"/>
        <w:rPr>
          <w:rFonts w:ascii="Arial" w:hAnsi="Arial" w:cs="Arial"/>
          <w:i/>
          <w:iCs/>
        </w:rPr>
      </w:pPr>
      <w:r w:rsidRPr="00A33964">
        <w:rPr>
          <w:rFonts w:ascii="Arial" w:hAnsi="Arial" w:cs="Arial"/>
        </w:rPr>
        <w:t xml:space="preserve">Salam, S. A., &amp; Saleh, A. N. (2020). </w:t>
      </w:r>
      <w:r w:rsidRPr="00A33964">
        <w:rPr>
          <w:rFonts w:ascii="Arial" w:hAnsi="Arial" w:cs="Arial"/>
          <w:i/>
          <w:iCs/>
        </w:rPr>
        <w:t xml:space="preserve">Prevalence of MecC Gene Among Methicillin </w:t>
      </w:r>
    </w:p>
    <w:p w14:paraId="44C35423" w14:textId="77777777" w:rsidR="00875B98" w:rsidRDefault="00A33964" w:rsidP="00875B98">
      <w:pPr>
        <w:spacing w:after="0" w:line="480" w:lineRule="auto"/>
        <w:ind w:firstLine="720"/>
        <w:rPr>
          <w:rFonts w:ascii="Arial" w:hAnsi="Arial" w:cs="Arial"/>
          <w:i/>
          <w:iCs/>
        </w:rPr>
      </w:pPr>
      <w:r w:rsidRPr="00A33964">
        <w:rPr>
          <w:rFonts w:ascii="Arial" w:hAnsi="Arial" w:cs="Arial"/>
          <w:i/>
          <w:iCs/>
        </w:rPr>
        <w:t xml:space="preserve">Resistant Staphylococcus aureus isolated from Patients in Ain-Shams University </w:t>
      </w:r>
    </w:p>
    <w:p w14:paraId="46F93367" w14:textId="4DAEC4DE" w:rsidR="00A33964" w:rsidRPr="00A33964" w:rsidRDefault="00A33964" w:rsidP="00875B98">
      <w:pPr>
        <w:spacing w:after="0" w:line="480" w:lineRule="auto"/>
        <w:ind w:left="720"/>
        <w:rPr>
          <w:rFonts w:ascii="Arial" w:hAnsi="Arial" w:cs="Arial"/>
        </w:rPr>
      </w:pPr>
      <w:r w:rsidRPr="00A33964">
        <w:rPr>
          <w:rFonts w:ascii="Arial" w:hAnsi="Arial" w:cs="Arial"/>
          <w:i/>
          <w:iCs/>
        </w:rPr>
        <w:t>Hospital</w:t>
      </w:r>
      <w:r w:rsidRPr="00A33964">
        <w:rPr>
          <w:rFonts w:ascii="Arial" w:hAnsi="Arial" w:cs="Arial"/>
        </w:rPr>
        <w:t>. ResearchGate. https://www.researchgate.net/publication/356392032_Prevalence_of_MecC_Gene_Among_Methicillin_Resistant_Staphylococcus_aureus_isolated_from_Patients_in_Ain-Shams_University_Hospital</w:t>
      </w:r>
    </w:p>
    <w:p w14:paraId="7D66B39C" w14:textId="77777777" w:rsidR="00875B98" w:rsidRDefault="00A33964" w:rsidP="00A33964">
      <w:pPr>
        <w:spacing w:after="0" w:line="480" w:lineRule="auto"/>
        <w:rPr>
          <w:rFonts w:ascii="Arial" w:hAnsi="Arial" w:cs="Arial"/>
        </w:rPr>
      </w:pPr>
      <w:r w:rsidRPr="00A33964">
        <w:rPr>
          <w:rFonts w:ascii="Arial" w:hAnsi="Arial" w:cs="Arial"/>
        </w:rPr>
        <w:t xml:space="preserve">Shahkarami, F., </w:t>
      </w:r>
      <w:proofErr w:type="spellStart"/>
      <w:r w:rsidRPr="00A33964">
        <w:rPr>
          <w:rFonts w:ascii="Arial" w:hAnsi="Arial" w:cs="Arial"/>
        </w:rPr>
        <w:t>Rashki</w:t>
      </w:r>
      <w:proofErr w:type="spellEnd"/>
      <w:r w:rsidRPr="00A33964">
        <w:rPr>
          <w:rFonts w:ascii="Arial" w:hAnsi="Arial" w:cs="Arial"/>
        </w:rPr>
        <w:t xml:space="preserve">, A., &amp; </w:t>
      </w:r>
      <w:proofErr w:type="spellStart"/>
      <w:r w:rsidRPr="00A33964">
        <w:rPr>
          <w:rFonts w:ascii="Arial" w:hAnsi="Arial" w:cs="Arial"/>
        </w:rPr>
        <w:t>Rashki</w:t>
      </w:r>
      <w:proofErr w:type="spellEnd"/>
      <w:r w:rsidRPr="00A33964">
        <w:rPr>
          <w:rFonts w:ascii="Arial" w:hAnsi="Arial" w:cs="Arial"/>
        </w:rPr>
        <w:t xml:space="preserve"> </w:t>
      </w:r>
      <w:proofErr w:type="spellStart"/>
      <w:r w:rsidRPr="00A33964">
        <w:rPr>
          <w:rFonts w:ascii="Arial" w:hAnsi="Arial" w:cs="Arial"/>
        </w:rPr>
        <w:t>Ghalehnoo</w:t>
      </w:r>
      <w:proofErr w:type="spellEnd"/>
      <w:r w:rsidRPr="00A33964">
        <w:rPr>
          <w:rFonts w:ascii="Arial" w:hAnsi="Arial" w:cs="Arial"/>
        </w:rPr>
        <w:t xml:space="preserve">, Z. (2014). Microbial Susceptibility and </w:t>
      </w:r>
    </w:p>
    <w:p w14:paraId="6135D8DF" w14:textId="147F943D" w:rsidR="00A33964" w:rsidRPr="00A33964" w:rsidRDefault="00A33964" w:rsidP="00875B98">
      <w:pPr>
        <w:spacing w:after="0" w:line="480" w:lineRule="auto"/>
        <w:ind w:left="720"/>
        <w:rPr>
          <w:rFonts w:ascii="Arial" w:hAnsi="Arial" w:cs="Arial"/>
        </w:rPr>
      </w:pPr>
      <w:r w:rsidRPr="00A33964">
        <w:rPr>
          <w:rFonts w:ascii="Arial" w:hAnsi="Arial" w:cs="Arial"/>
        </w:rPr>
        <w:t xml:space="preserve">Plasmid Profiles of Methicillin-Resistant Staphylococcus aureus and Methicillin-Susceptible S. aureus. </w:t>
      </w:r>
      <w:proofErr w:type="spellStart"/>
      <w:r w:rsidRPr="00A33964">
        <w:rPr>
          <w:rFonts w:ascii="Arial" w:hAnsi="Arial" w:cs="Arial"/>
          <w:i/>
          <w:iCs/>
        </w:rPr>
        <w:t>Jundishapur</w:t>
      </w:r>
      <w:proofErr w:type="spellEnd"/>
      <w:r w:rsidRPr="00A33964">
        <w:rPr>
          <w:rFonts w:ascii="Arial" w:hAnsi="Arial" w:cs="Arial"/>
          <w:i/>
          <w:iCs/>
        </w:rPr>
        <w:t xml:space="preserve"> Journal of Microbiology</w:t>
      </w:r>
      <w:r w:rsidRPr="00A33964">
        <w:rPr>
          <w:rFonts w:ascii="Arial" w:hAnsi="Arial" w:cs="Arial"/>
        </w:rPr>
        <w:t xml:space="preserve">, </w:t>
      </w:r>
      <w:r w:rsidRPr="00A33964">
        <w:rPr>
          <w:rFonts w:ascii="Arial" w:hAnsi="Arial" w:cs="Arial"/>
          <w:i/>
          <w:iCs/>
        </w:rPr>
        <w:t>7</w:t>
      </w:r>
      <w:r w:rsidRPr="00A33964">
        <w:rPr>
          <w:rFonts w:ascii="Arial" w:hAnsi="Arial" w:cs="Arial"/>
        </w:rPr>
        <w:t>(7). https://doi.org/10.5812/jjm.16984</w:t>
      </w:r>
    </w:p>
    <w:p w14:paraId="31ED7404" w14:textId="234B3D36" w:rsidR="00875B98" w:rsidRDefault="00A33964" w:rsidP="00A33964">
      <w:pPr>
        <w:spacing w:after="0" w:line="480" w:lineRule="auto"/>
        <w:rPr>
          <w:rFonts w:ascii="Arial" w:hAnsi="Arial" w:cs="Arial"/>
          <w:i/>
          <w:iCs/>
        </w:rPr>
      </w:pPr>
      <w:r w:rsidRPr="00A33964">
        <w:rPr>
          <w:rFonts w:ascii="Arial" w:hAnsi="Arial" w:cs="Arial"/>
        </w:rPr>
        <w:t xml:space="preserve">Siddiqui, A., &amp; Koirala, J. (2023). </w:t>
      </w:r>
      <w:r w:rsidRPr="00A33964">
        <w:rPr>
          <w:rFonts w:ascii="Arial" w:hAnsi="Arial" w:cs="Arial"/>
          <w:i/>
          <w:iCs/>
        </w:rPr>
        <w:t xml:space="preserve">Methicillin resistant Staphylococcus aureus </w:t>
      </w:r>
    </w:p>
    <w:p w14:paraId="69CDD6C6" w14:textId="68056480" w:rsidR="00A33964" w:rsidRPr="00A33964" w:rsidRDefault="00A33964" w:rsidP="00875B98">
      <w:pPr>
        <w:spacing w:after="0" w:line="480" w:lineRule="auto"/>
        <w:ind w:left="720"/>
        <w:rPr>
          <w:rFonts w:ascii="Arial" w:hAnsi="Arial" w:cs="Arial"/>
        </w:rPr>
      </w:pPr>
      <w:r w:rsidRPr="00A33964">
        <w:rPr>
          <w:rFonts w:ascii="Arial" w:hAnsi="Arial" w:cs="Arial"/>
          <w:i/>
          <w:iCs/>
        </w:rPr>
        <w:t>(MRSA)</w:t>
      </w:r>
      <w:r w:rsidRPr="00A33964">
        <w:rPr>
          <w:rFonts w:ascii="Arial" w:hAnsi="Arial" w:cs="Arial"/>
        </w:rPr>
        <w:t>. National Library of Medicine; StatPearls Publishing. https://www.ncbi.nlm.nih.gov/books/NBK482221/</w:t>
      </w:r>
    </w:p>
    <w:p w14:paraId="1470FAE7" w14:textId="77777777" w:rsidR="00875B98" w:rsidRDefault="00A33964" w:rsidP="00A33964">
      <w:pPr>
        <w:spacing w:after="0" w:line="480" w:lineRule="auto"/>
        <w:rPr>
          <w:rFonts w:ascii="Arial" w:hAnsi="Arial" w:cs="Arial"/>
        </w:rPr>
      </w:pPr>
      <w:r w:rsidRPr="00A33964">
        <w:rPr>
          <w:rFonts w:ascii="Arial" w:hAnsi="Arial" w:cs="Arial"/>
        </w:rPr>
        <w:t xml:space="preserve">Taylor, T. A., &amp; Unakal, C. G. (2023). </w:t>
      </w:r>
      <w:r w:rsidRPr="00A33964">
        <w:rPr>
          <w:rFonts w:ascii="Arial" w:hAnsi="Arial" w:cs="Arial"/>
          <w:i/>
          <w:iCs/>
        </w:rPr>
        <w:t>Staphylococcus aureus infection</w:t>
      </w:r>
      <w:r w:rsidRPr="00A33964">
        <w:rPr>
          <w:rFonts w:ascii="Arial" w:hAnsi="Arial" w:cs="Arial"/>
        </w:rPr>
        <w:t xml:space="preserve">. National Library of </w:t>
      </w:r>
    </w:p>
    <w:p w14:paraId="18B55C20" w14:textId="4BE467DA" w:rsidR="00A33964" w:rsidRPr="00A33964" w:rsidRDefault="00A33964" w:rsidP="00875B98">
      <w:pPr>
        <w:spacing w:after="0" w:line="480" w:lineRule="auto"/>
        <w:ind w:firstLine="720"/>
        <w:rPr>
          <w:rFonts w:ascii="Arial" w:hAnsi="Arial" w:cs="Arial"/>
        </w:rPr>
      </w:pPr>
      <w:r w:rsidRPr="00A33964">
        <w:rPr>
          <w:rFonts w:ascii="Arial" w:hAnsi="Arial" w:cs="Arial"/>
        </w:rPr>
        <w:t>Medicine; StatPearls Publishing. https://www.ncbi.nlm.nih.gov/books/NBK441868/</w:t>
      </w:r>
    </w:p>
    <w:p w14:paraId="01A2AA74" w14:textId="717EB52C" w:rsidR="00875B98" w:rsidRDefault="00A33964" w:rsidP="00A33964">
      <w:pPr>
        <w:spacing w:after="0" w:line="480" w:lineRule="auto"/>
        <w:rPr>
          <w:rFonts w:ascii="Arial" w:hAnsi="Arial" w:cs="Arial"/>
        </w:rPr>
      </w:pPr>
      <w:r w:rsidRPr="00A33964">
        <w:rPr>
          <w:rFonts w:ascii="Arial" w:hAnsi="Arial" w:cs="Arial"/>
        </w:rPr>
        <w:lastRenderedPageBreak/>
        <w:t xml:space="preserve">The Jackson Laboratory. (2019). </w:t>
      </w:r>
      <w:r w:rsidRPr="00A33964">
        <w:rPr>
          <w:rFonts w:ascii="Arial" w:hAnsi="Arial" w:cs="Arial"/>
          <w:i/>
          <w:iCs/>
        </w:rPr>
        <w:t>PCR Tips</w:t>
      </w:r>
      <w:r w:rsidRPr="00A33964">
        <w:rPr>
          <w:rFonts w:ascii="Arial" w:hAnsi="Arial" w:cs="Arial"/>
        </w:rPr>
        <w:t xml:space="preserve">. The Jackson Laboratory. </w:t>
      </w:r>
      <w:r w:rsidR="00875B98" w:rsidRPr="004B4877">
        <w:rPr>
          <w:rFonts w:ascii="Arial" w:hAnsi="Arial" w:cs="Arial"/>
        </w:rPr>
        <w:t>https://www.jax.org/jax-</w:t>
      </w:r>
    </w:p>
    <w:p w14:paraId="009BE436" w14:textId="7F086F4C" w:rsidR="00A33964" w:rsidRPr="00A33964" w:rsidRDefault="00A33964" w:rsidP="00875B98">
      <w:pPr>
        <w:spacing w:after="0" w:line="480" w:lineRule="auto"/>
        <w:ind w:left="720"/>
        <w:rPr>
          <w:rFonts w:ascii="Arial" w:hAnsi="Arial" w:cs="Arial"/>
        </w:rPr>
      </w:pPr>
      <w:r w:rsidRPr="00A33964">
        <w:rPr>
          <w:rFonts w:ascii="Arial" w:hAnsi="Arial" w:cs="Arial"/>
        </w:rPr>
        <w:t>mice-and-services/customer-support/technical-support/genotyping-resources/general-pcr-reminders-dos-and-donts</w:t>
      </w:r>
    </w:p>
    <w:p w14:paraId="027C354C" w14:textId="476CD6BB" w:rsidR="00761E06" w:rsidRDefault="00A33964" w:rsidP="00A33964">
      <w:pPr>
        <w:spacing w:after="0" w:line="480" w:lineRule="auto"/>
        <w:rPr>
          <w:rFonts w:ascii="Arial" w:hAnsi="Arial" w:cs="Arial"/>
          <w:i/>
          <w:iCs/>
        </w:rPr>
      </w:pPr>
      <w:r w:rsidRPr="00A33964">
        <w:rPr>
          <w:rFonts w:ascii="Arial" w:hAnsi="Arial" w:cs="Arial"/>
        </w:rPr>
        <w:t xml:space="preserve">UK. </w:t>
      </w:r>
      <w:r w:rsidR="00761E06">
        <w:rPr>
          <w:rFonts w:ascii="Arial" w:hAnsi="Arial" w:cs="Arial"/>
        </w:rPr>
        <w:t>Health Security</w:t>
      </w:r>
      <w:r w:rsidR="00761E06">
        <w:rPr>
          <w:rFonts w:ascii="Arial" w:hAnsi="Arial" w:cs="Arial" w:hint="eastAsia"/>
        </w:rPr>
        <w:t xml:space="preserve"> Agency. </w:t>
      </w:r>
      <w:r w:rsidRPr="00A33964">
        <w:rPr>
          <w:rFonts w:ascii="Arial" w:hAnsi="Arial" w:cs="Arial"/>
        </w:rPr>
        <w:t xml:space="preserve">(2024). </w:t>
      </w:r>
      <w:r w:rsidRPr="00A33964">
        <w:rPr>
          <w:rFonts w:ascii="Arial" w:hAnsi="Arial" w:cs="Arial"/>
          <w:i/>
          <w:iCs/>
        </w:rPr>
        <w:t xml:space="preserve">Quarterly epidemiological commentary: </w:t>
      </w:r>
    </w:p>
    <w:p w14:paraId="1D023B64" w14:textId="51FD6E45" w:rsidR="00761E06" w:rsidRDefault="00A33964" w:rsidP="00761E06">
      <w:pPr>
        <w:spacing w:after="0" w:line="480" w:lineRule="auto"/>
        <w:ind w:firstLine="720"/>
        <w:rPr>
          <w:rFonts w:ascii="Arial" w:hAnsi="Arial" w:cs="Arial"/>
          <w:i/>
          <w:iCs/>
        </w:rPr>
      </w:pPr>
      <w:r w:rsidRPr="00A33964">
        <w:rPr>
          <w:rFonts w:ascii="Arial" w:hAnsi="Arial" w:cs="Arial"/>
          <w:i/>
          <w:iCs/>
        </w:rPr>
        <w:t xml:space="preserve">mandatory Gram-negative </w:t>
      </w:r>
    </w:p>
    <w:p w14:paraId="778EA203" w14:textId="752EBC7F" w:rsidR="00A33964" w:rsidRPr="00A33964" w:rsidRDefault="00A33964" w:rsidP="00761E06">
      <w:pPr>
        <w:spacing w:after="0" w:line="480" w:lineRule="auto"/>
        <w:ind w:left="720"/>
        <w:rPr>
          <w:rFonts w:ascii="Arial" w:hAnsi="Arial" w:cs="Arial"/>
        </w:rPr>
      </w:pPr>
      <w:r w:rsidRPr="00A33964">
        <w:rPr>
          <w:rFonts w:ascii="Arial" w:hAnsi="Arial" w:cs="Arial"/>
          <w:i/>
          <w:iCs/>
        </w:rPr>
        <w:t>bacteraemia, MRSA, MSSA and C. difficile infections (data up to October to December 2024)</w:t>
      </w:r>
      <w:r w:rsidRPr="00A33964">
        <w:rPr>
          <w:rFonts w:ascii="Arial" w:hAnsi="Arial" w:cs="Arial"/>
        </w:rPr>
        <w:t>. GOV.UK. https://www.gov.uk/government/statistics/mrsa-mssa-gram-negative-bacteraemia-and-cdi-quarterly-report/quarterly-epidemiological-commentary-mandatory-gram-negative-bacteraemia-mrsa-mssa-and-c-difficile-infections-data-up-to-october-to-december-2024</w:t>
      </w:r>
    </w:p>
    <w:p w14:paraId="35EFCC0A" w14:textId="77777777" w:rsidR="00761E06" w:rsidRDefault="00A33964" w:rsidP="00A33964">
      <w:pPr>
        <w:spacing w:after="0" w:line="480" w:lineRule="auto"/>
        <w:rPr>
          <w:rFonts w:ascii="Arial" w:hAnsi="Arial" w:cs="Arial"/>
          <w:i/>
          <w:iCs/>
        </w:rPr>
      </w:pPr>
      <w:r w:rsidRPr="00A33964">
        <w:rPr>
          <w:rFonts w:ascii="Arial" w:hAnsi="Arial" w:cs="Arial"/>
        </w:rPr>
        <w:t xml:space="preserve">UK Health Security Agency. (2023). </w:t>
      </w:r>
      <w:r w:rsidRPr="00A33964">
        <w:rPr>
          <w:rFonts w:ascii="Arial" w:hAnsi="Arial" w:cs="Arial"/>
          <w:i/>
          <w:iCs/>
        </w:rPr>
        <w:t xml:space="preserve">Annual epidemiological commentary: Gram-negative, </w:t>
      </w:r>
    </w:p>
    <w:p w14:paraId="35EA4859" w14:textId="72154B1F" w:rsidR="00A33964" w:rsidRPr="00A33964" w:rsidRDefault="00A33964" w:rsidP="00761E06">
      <w:pPr>
        <w:spacing w:after="0" w:line="480" w:lineRule="auto"/>
        <w:ind w:left="720"/>
        <w:rPr>
          <w:rFonts w:ascii="Arial" w:hAnsi="Arial" w:cs="Arial"/>
        </w:rPr>
      </w:pPr>
      <w:r w:rsidRPr="00A33964">
        <w:rPr>
          <w:rFonts w:ascii="Arial" w:hAnsi="Arial" w:cs="Arial"/>
          <w:i/>
          <w:iCs/>
        </w:rPr>
        <w:t>MRSA, MSSA bacteraemia and C. difficile infections, up to and including financial year 2022 to 2023</w:t>
      </w:r>
      <w:r w:rsidRPr="00A33964">
        <w:rPr>
          <w:rFonts w:ascii="Arial" w:hAnsi="Arial" w:cs="Arial"/>
        </w:rPr>
        <w:t>. GOV.UK. https://www.gov.uk/government/statistics/mrsa-mssa-and-e-coli-bacteraemia-and-c-difficile-infection-annual-epidemiological-commentary/annual-epidemiological-commentary-gram-negative-mrsa-mssa-bacteraemia-and-c-difficile-infections-up-to-and-including-financial-year-2022-to-2023</w:t>
      </w:r>
    </w:p>
    <w:p w14:paraId="286B6940" w14:textId="77777777" w:rsidR="00761E06" w:rsidRDefault="00A33964" w:rsidP="00A33964">
      <w:pPr>
        <w:spacing w:after="0" w:line="480" w:lineRule="auto"/>
        <w:rPr>
          <w:rFonts w:ascii="Arial" w:hAnsi="Arial" w:cs="Arial"/>
        </w:rPr>
      </w:pPr>
      <w:r w:rsidRPr="00A33964">
        <w:rPr>
          <w:rFonts w:ascii="Arial" w:hAnsi="Arial" w:cs="Arial"/>
        </w:rPr>
        <w:t xml:space="preserve">Ye, J., </w:t>
      </w:r>
      <w:proofErr w:type="spellStart"/>
      <w:r w:rsidRPr="00A33964">
        <w:rPr>
          <w:rFonts w:ascii="Arial" w:hAnsi="Arial" w:cs="Arial"/>
        </w:rPr>
        <w:t>Coulouris</w:t>
      </w:r>
      <w:proofErr w:type="spellEnd"/>
      <w:r w:rsidRPr="00A33964">
        <w:rPr>
          <w:rFonts w:ascii="Arial" w:hAnsi="Arial" w:cs="Arial"/>
        </w:rPr>
        <w:t xml:space="preserve">, G., Zaretskaya, I., </w:t>
      </w:r>
      <w:proofErr w:type="spellStart"/>
      <w:r w:rsidRPr="00A33964">
        <w:rPr>
          <w:rFonts w:ascii="Arial" w:hAnsi="Arial" w:cs="Arial"/>
        </w:rPr>
        <w:t>Cutcutache</w:t>
      </w:r>
      <w:proofErr w:type="spellEnd"/>
      <w:r w:rsidRPr="00A33964">
        <w:rPr>
          <w:rFonts w:ascii="Arial" w:hAnsi="Arial" w:cs="Arial"/>
        </w:rPr>
        <w:t xml:space="preserve">, I., Rozen, S., &amp; Madden, T. L. (2012). </w:t>
      </w:r>
    </w:p>
    <w:p w14:paraId="77E65C10" w14:textId="4B737C11" w:rsidR="00A33964" w:rsidRPr="00A33964" w:rsidRDefault="00A33964" w:rsidP="00761E06">
      <w:pPr>
        <w:spacing w:after="0" w:line="480" w:lineRule="auto"/>
        <w:ind w:left="720"/>
        <w:rPr>
          <w:rFonts w:ascii="Arial" w:hAnsi="Arial" w:cs="Arial"/>
        </w:rPr>
      </w:pPr>
      <w:r w:rsidRPr="00A33964">
        <w:rPr>
          <w:rFonts w:ascii="Arial" w:hAnsi="Arial" w:cs="Arial"/>
        </w:rPr>
        <w:t xml:space="preserve">Primer-BLAST: A tool to design target-specific primers for polymerase chain reaction. </w:t>
      </w:r>
      <w:r w:rsidRPr="00A33964">
        <w:rPr>
          <w:rFonts w:ascii="Arial" w:hAnsi="Arial" w:cs="Arial"/>
          <w:i/>
          <w:iCs/>
        </w:rPr>
        <w:t>BMC Bioinformatics</w:t>
      </w:r>
      <w:r w:rsidRPr="00A33964">
        <w:rPr>
          <w:rFonts w:ascii="Arial" w:hAnsi="Arial" w:cs="Arial"/>
        </w:rPr>
        <w:t xml:space="preserve">, </w:t>
      </w:r>
      <w:r w:rsidRPr="00A33964">
        <w:rPr>
          <w:rFonts w:ascii="Arial" w:hAnsi="Arial" w:cs="Arial"/>
          <w:i/>
          <w:iCs/>
        </w:rPr>
        <w:t>13</w:t>
      </w:r>
      <w:r w:rsidRPr="00A33964">
        <w:rPr>
          <w:rFonts w:ascii="Arial" w:hAnsi="Arial" w:cs="Arial"/>
        </w:rPr>
        <w:t>(1). https://doi.org/10.1186/1471-2105-13-134</w:t>
      </w:r>
    </w:p>
    <w:p w14:paraId="53B2A6A3" w14:textId="25721F60" w:rsidR="00217469" w:rsidRPr="00A33964" w:rsidRDefault="00217469" w:rsidP="00B37D2B">
      <w:pPr>
        <w:spacing w:after="0" w:line="480" w:lineRule="auto"/>
        <w:rPr>
          <w:rFonts w:ascii="Arial" w:hAnsi="Arial" w:cs="Arial"/>
        </w:rPr>
      </w:pPr>
    </w:p>
    <w:p w14:paraId="79CA3FA8" w14:textId="77777777" w:rsidR="00217469" w:rsidRDefault="00217469" w:rsidP="00B37D2B">
      <w:pPr>
        <w:spacing w:after="0" w:line="480" w:lineRule="auto"/>
        <w:rPr>
          <w:rFonts w:ascii="Arial" w:hAnsi="Arial" w:cs="Arial"/>
          <w:b/>
          <w:bCs/>
        </w:rPr>
      </w:pPr>
    </w:p>
    <w:p w14:paraId="0D7ED053" w14:textId="77777777" w:rsidR="009E27D5" w:rsidRDefault="009E27D5" w:rsidP="00B37D2B">
      <w:pPr>
        <w:spacing w:after="0" w:line="480" w:lineRule="auto"/>
        <w:rPr>
          <w:rFonts w:ascii="Arial" w:hAnsi="Arial" w:cs="Arial"/>
          <w:b/>
          <w:bCs/>
        </w:rPr>
      </w:pPr>
    </w:p>
    <w:p w14:paraId="19DE7387" w14:textId="77777777" w:rsidR="009E27D5" w:rsidRDefault="009E27D5" w:rsidP="00B37D2B">
      <w:pPr>
        <w:spacing w:after="0" w:line="480" w:lineRule="auto"/>
        <w:rPr>
          <w:rFonts w:ascii="Arial" w:hAnsi="Arial" w:cs="Arial"/>
          <w:b/>
          <w:bCs/>
        </w:rPr>
      </w:pPr>
    </w:p>
    <w:p w14:paraId="352AB0C0" w14:textId="77777777" w:rsidR="009E27D5" w:rsidRDefault="009E27D5" w:rsidP="00B37D2B">
      <w:pPr>
        <w:spacing w:after="0" w:line="480" w:lineRule="auto"/>
        <w:rPr>
          <w:rFonts w:ascii="Arial" w:hAnsi="Arial" w:cs="Arial"/>
          <w:b/>
          <w:bCs/>
        </w:rPr>
      </w:pPr>
    </w:p>
    <w:p w14:paraId="38DA8AD5" w14:textId="77777777" w:rsidR="009E27D5" w:rsidRDefault="009E27D5" w:rsidP="00B37D2B">
      <w:pPr>
        <w:spacing w:after="0" w:line="480" w:lineRule="auto"/>
        <w:rPr>
          <w:rFonts w:ascii="Arial" w:hAnsi="Arial" w:cs="Arial"/>
          <w:b/>
          <w:bCs/>
        </w:rPr>
      </w:pPr>
    </w:p>
    <w:p w14:paraId="0D91293D" w14:textId="77777777" w:rsidR="009E27D5" w:rsidRDefault="009E27D5" w:rsidP="00B37D2B">
      <w:pPr>
        <w:spacing w:after="0" w:line="480" w:lineRule="auto"/>
        <w:rPr>
          <w:rFonts w:ascii="Arial" w:hAnsi="Arial" w:cs="Arial"/>
          <w:b/>
          <w:bCs/>
        </w:rPr>
      </w:pPr>
    </w:p>
    <w:p w14:paraId="1B8410A3" w14:textId="77777777" w:rsidR="009E27D5" w:rsidRDefault="009E27D5" w:rsidP="00B37D2B">
      <w:pPr>
        <w:spacing w:after="0" w:line="480" w:lineRule="auto"/>
        <w:rPr>
          <w:rFonts w:ascii="Arial" w:hAnsi="Arial" w:cs="Arial"/>
          <w:b/>
          <w:bCs/>
        </w:rPr>
      </w:pPr>
    </w:p>
    <w:p w14:paraId="0EB40AB0" w14:textId="5309ED69" w:rsidR="00B37D2B" w:rsidRDefault="00B37D2B" w:rsidP="00B37D2B">
      <w:pPr>
        <w:spacing w:after="0" w:line="480" w:lineRule="auto"/>
        <w:rPr>
          <w:rFonts w:ascii="Arial" w:hAnsi="Arial" w:cs="Arial"/>
          <w:b/>
          <w:bCs/>
        </w:rPr>
      </w:pPr>
      <w:r w:rsidRPr="00B37D2B">
        <w:rPr>
          <w:rFonts w:ascii="Arial" w:hAnsi="Arial" w:cs="Arial"/>
          <w:b/>
          <w:bCs/>
        </w:rPr>
        <w:lastRenderedPageBreak/>
        <w:t>Appendix</w:t>
      </w:r>
    </w:p>
    <w:p w14:paraId="1D29DFB8" w14:textId="77777777" w:rsidR="005D7851" w:rsidRPr="00B37D2B" w:rsidRDefault="005D7851" w:rsidP="005D7851">
      <w:pPr>
        <w:spacing w:after="0" w:line="480" w:lineRule="auto"/>
        <w:rPr>
          <w:rFonts w:ascii="Arial" w:hAnsi="Arial" w:cs="Arial"/>
          <w:b/>
          <w:bCs/>
        </w:rPr>
      </w:pPr>
      <w:r w:rsidRPr="00B37D2B">
        <w:rPr>
          <w:rFonts w:ascii="Arial" w:hAnsi="Arial" w:cs="Arial"/>
          <w:b/>
          <w:bCs/>
        </w:rPr>
        <w:t>Table 1</w:t>
      </w:r>
    </w:p>
    <w:p w14:paraId="6A785E72" w14:textId="77777777" w:rsidR="005D7851" w:rsidRPr="00B37D2B" w:rsidRDefault="005D7851" w:rsidP="005D7851">
      <w:pPr>
        <w:spacing w:after="0" w:line="480" w:lineRule="auto"/>
        <w:rPr>
          <w:rFonts w:ascii="Arial" w:hAnsi="Arial" w:cs="Arial"/>
          <w:i/>
          <w:iCs/>
        </w:rPr>
      </w:pPr>
      <w:r w:rsidRPr="00B37D2B">
        <w:rPr>
          <w:rFonts w:ascii="Arial" w:hAnsi="Arial" w:cs="Arial"/>
          <w:i/>
          <w:iCs/>
        </w:rPr>
        <w:t>Prevalence of healthcare-associated MRSA (HA-MRSA) and community-acquired MRSA (CA-MRSA) in Different Countries</w:t>
      </w:r>
    </w:p>
    <w:tbl>
      <w:tblPr>
        <w:tblStyle w:val="TableGrid"/>
        <w:tblW w:w="0" w:type="auto"/>
        <w:tblLook w:val="04A0" w:firstRow="1" w:lastRow="0" w:firstColumn="1" w:lastColumn="0" w:noHBand="0" w:noVBand="1"/>
      </w:tblPr>
      <w:tblGrid>
        <w:gridCol w:w="1230"/>
        <w:gridCol w:w="1436"/>
        <w:gridCol w:w="1258"/>
        <w:gridCol w:w="2245"/>
        <w:gridCol w:w="1076"/>
        <w:gridCol w:w="1771"/>
      </w:tblGrid>
      <w:tr w:rsidR="005D7851" w:rsidRPr="00B37D2B" w14:paraId="2EB2FB73" w14:textId="77777777" w:rsidTr="00282D33">
        <w:tc>
          <w:tcPr>
            <w:tcW w:w="1278" w:type="dxa"/>
          </w:tcPr>
          <w:p w14:paraId="26CC3BFE"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Year of study</w:t>
            </w:r>
          </w:p>
        </w:tc>
        <w:tc>
          <w:tcPr>
            <w:tcW w:w="1471" w:type="dxa"/>
          </w:tcPr>
          <w:p w14:paraId="04264D6D"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Prevalence</w:t>
            </w:r>
          </w:p>
        </w:tc>
        <w:tc>
          <w:tcPr>
            <w:tcW w:w="1300" w:type="dxa"/>
          </w:tcPr>
          <w:p w14:paraId="4C751362"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Sample size</w:t>
            </w:r>
          </w:p>
        </w:tc>
        <w:tc>
          <w:tcPr>
            <w:tcW w:w="2325" w:type="dxa"/>
          </w:tcPr>
          <w:p w14:paraId="427566B3"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Sample sources</w:t>
            </w:r>
          </w:p>
        </w:tc>
        <w:tc>
          <w:tcPr>
            <w:tcW w:w="849" w:type="dxa"/>
          </w:tcPr>
          <w:p w14:paraId="2CF1C189"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Country</w:t>
            </w:r>
          </w:p>
        </w:tc>
        <w:tc>
          <w:tcPr>
            <w:tcW w:w="1793" w:type="dxa"/>
          </w:tcPr>
          <w:p w14:paraId="519A7CCF"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References</w:t>
            </w:r>
          </w:p>
        </w:tc>
      </w:tr>
      <w:tr w:rsidR="005D7851" w:rsidRPr="00B37D2B" w14:paraId="7C880FC7" w14:textId="77777777" w:rsidTr="000166A9">
        <w:tc>
          <w:tcPr>
            <w:tcW w:w="9016" w:type="dxa"/>
            <w:gridSpan w:val="6"/>
            <w:shd w:val="clear" w:color="auto" w:fill="D1D1D1" w:themeFill="background2" w:themeFillShade="E6"/>
          </w:tcPr>
          <w:p w14:paraId="236533FC"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Hospital-acquired MRSA (HA-MRSA)</w:t>
            </w:r>
          </w:p>
        </w:tc>
      </w:tr>
      <w:tr w:rsidR="005D7851" w:rsidRPr="00B37D2B" w14:paraId="47653794" w14:textId="77777777" w:rsidTr="00282D33">
        <w:tc>
          <w:tcPr>
            <w:tcW w:w="1278" w:type="dxa"/>
          </w:tcPr>
          <w:p w14:paraId="0AD23F34"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2004</w:t>
            </w:r>
          </w:p>
        </w:tc>
        <w:tc>
          <w:tcPr>
            <w:tcW w:w="1471" w:type="dxa"/>
          </w:tcPr>
          <w:p w14:paraId="3ECF75BF"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25.0%</w:t>
            </w:r>
          </w:p>
        </w:tc>
        <w:tc>
          <w:tcPr>
            <w:tcW w:w="1300" w:type="dxa"/>
          </w:tcPr>
          <w:p w14:paraId="37E501A5"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color w:val="1B1B1B"/>
                <w:sz w:val="18"/>
                <w:szCs w:val="18"/>
              </w:rPr>
              <w:t>758</w:t>
            </w:r>
          </w:p>
        </w:tc>
        <w:tc>
          <w:tcPr>
            <w:tcW w:w="2325" w:type="dxa"/>
          </w:tcPr>
          <w:p w14:paraId="677CE7F0"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color w:val="1B1B1B"/>
                <w:sz w:val="18"/>
                <w:szCs w:val="18"/>
              </w:rPr>
              <w:t>Human patients</w:t>
            </w:r>
          </w:p>
        </w:tc>
        <w:tc>
          <w:tcPr>
            <w:tcW w:w="849" w:type="dxa"/>
          </w:tcPr>
          <w:p w14:paraId="3DDAC997"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United States</w:t>
            </w:r>
          </w:p>
        </w:tc>
        <w:tc>
          <w:tcPr>
            <w:tcW w:w="1793" w:type="dxa"/>
          </w:tcPr>
          <w:p w14:paraId="0D7472CF"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Davis et al., 2004</w:t>
            </w:r>
          </w:p>
        </w:tc>
      </w:tr>
      <w:tr w:rsidR="005D7851" w:rsidRPr="00B37D2B" w14:paraId="47D12E58" w14:textId="77777777" w:rsidTr="00282D33">
        <w:tc>
          <w:tcPr>
            <w:tcW w:w="1278" w:type="dxa"/>
          </w:tcPr>
          <w:p w14:paraId="11121471"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color w:val="1B1B1B"/>
                <w:sz w:val="18"/>
                <w:szCs w:val="18"/>
              </w:rPr>
              <w:t>2009</w:t>
            </w:r>
          </w:p>
        </w:tc>
        <w:tc>
          <w:tcPr>
            <w:tcW w:w="1471" w:type="dxa"/>
          </w:tcPr>
          <w:p w14:paraId="7DA6E733"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color w:val="1B1B1B"/>
                <w:sz w:val="18"/>
                <w:szCs w:val="18"/>
              </w:rPr>
              <w:t>46.0%</w:t>
            </w:r>
          </w:p>
        </w:tc>
        <w:tc>
          <w:tcPr>
            <w:tcW w:w="1300" w:type="dxa"/>
          </w:tcPr>
          <w:p w14:paraId="0700798E"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color w:val="1B1B1B"/>
                <w:sz w:val="18"/>
                <w:szCs w:val="18"/>
              </w:rPr>
              <w:t>6743</w:t>
            </w:r>
          </w:p>
        </w:tc>
        <w:tc>
          <w:tcPr>
            <w:tcW w:w="2325" w:type="dxa"/>
          </w:tcPr>
          <w:p w14:paraId="3843F0F6"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color w:val="1B1B1B"/>
                <w:sz w:val="18"/>
                <w:szCs w:val="18"/>
              </w:rPr>
              <w:t>Humans</w:t>
            </w:r>
          </w:p>
        </w:tc>
        <w:tc>
          <w:tcPr>
            <w:tcW w:w="849" w:type="dxa"/>
          </w:tcPr>
          <w:p w14:paraId="217FE5EF"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color w:val="1B1B1B"/>
                <w:sz w:val="18"/>
                <w:szCs w:val="18"/>
              </w:rPr>
              <w:t>India</w:t>
            </w:r>
          </w:p>
        </w:tc>
        <w:tc>
          <w:tcPr>
            <w:tcW w:w="1793" w:type="dxa"/>
          </w:tcPr>
          <w:p w14:paraId="42A4D020"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Arora et al., 2010</w:t>
            </w:r>
          </w:p>
        </w:tc>
      </w:tr>
      <w:tr w:rsidR="005D7851" w:rsidRPr="00B37D2B" w14:paraId="40946DAD" w14:textId="77777777" w:rsidTr="00282D33">
        <w:tc>
          <w:tcPr>
            <w:tcW w:w="1278" w:type="dxa"/>
          </w:tcPr>
          <w:p w14:paraId="3EEBD430"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color w:val="1B1B1B"/>
                <w:sz w:val="18"/>
                <w:szCs w:val="18"/>
              </w:rPr>
              <w:t>2013</w:t>
            </w:r>
          </w:p>
        </w:tc>
        <w:tc>
          <w:tcPr>
            <w:tcW w:w="1471" w:type="dxa"/>
          </w:tcPr>
          <w:p w14:paraId="783816B1"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color w:val="1B1B1B"/>
                <w:sz w:val="18"/>
                <w:szCs w:val="18"/>
              </w:rPr>
              <w:t>58.4%</w:t>
            </w:r>
          </w:p>
        </w:tc>
        <w:tc>
          <w:tcPr>
            <w:tcW w:w="1300" w:type="dxa"/>
          </w:tcPr>
          <w:p w14:paraId="1ACB7BAA"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color w:val="1B1B1B"/>
                <w:sz w:val="18"/>
                <w:szCs w:val="18"/>
              </w:rPr>
              <w:t>1487</w:t>
            </w:r>
          </w:p>
        </w:tc>
        <w:tc>
          <w:tcPr>
            <w:tcW w:w="2325" w:type="dxa"/>
          </w:tcPr>
          <w:p w14:paraId="0B53E9E0"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color w:val="1B1B1B"/>
                <w:sz w:val="18"/>
                <w:szCs w:val="18"/>
              </w:rPr>
              <w:t>Humans</w:t>
            </w:r>
          </w:p>
        </w:tc>
        <w:tc>
          <w:tcPr>
            <w:tcW w:w="849" w:type="dxa"/>
          </w:tcPr>
          <w:p w14:paraId="2D3FE3EF"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color w:val="1B1B1B"/>
                <w:sz w:val="18"/>
                <w:szCs w:val="18"/>
              </w:rPr>
              <w:t>Portugal</w:t>
            </w:r>
          </w:p>
        </w:tc>
        <w:tc>
          <w:tcPr>
            <w:tcW w:w="1793" w:type="dxa"/>
          </w:tcPr>
          <w:p w14:paraId="07180C16"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Tavares et al., 2013</w:t>
            </w:r>
          </w:p>
        </w:tc>
      </w:tr>
      <w:tr w:rsidR="005D7851" w:rsidRPr="00B37D2B" w14:paraId="2236DA91" w14:textId="77777777" w:rsidTr="00282D33">
        <w:tc>
          <w:tcPr>
            <w:tcW w:w="1278" w:type="dxa"/>
          </w:tcPr>
          <w:p w14:paraId="19405CD8"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color w:val="1B1B1B"/>
                <w:sz w:val="18"/>
                <w:szCs w:val="18"/>
              </w:rPr>
              <w:t>2016</w:t>
            </w:r>
          </w:p>
        </w:tc>
        <w:tc>
          <w:tcPr>
            <w:tcW w:w="1471" w:type="dxa"/>
          </w:tcPr>
          <w:p w14:paraId="55367986"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color w:val="1B1B1B"/>
                <w:sz w:val="18"/>
                <w:szCs w:val="18"/>
              </w:rPr>
              <w:t>4.6%</w:t>
            </w:r>
          </w:p>
        </w:tc>
        <w:tc>
          <w:tcPr>
            <w:tcW w:w="1300" w:type="dxa"/>
          </w:tcPr>
          <w:p w14:paraId="25E0E638"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color w:val="1B1B1B"/>
                <w:sz w:val="18"/>
                <w:szCs w:val="18"/>
              </w:rPr>
              <w:t>726</w:t>
            </w:r>
          </w:p>
        </w:tc>
        <w:tc>
          <w:tcPr>
            <w:tcW w:w="2325" w:type="dxa"/>
          </w:tcPr>
          <w:p w14:paraId="3FECB255"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color w:val="1B1B1B"/>
                <w:sz w:val="18"/>
                <w:szCs w:val="18"/>
              </w:rPr>
              <w:t>Health care workers</w:t>
            </w:r>
          </w:p>
        </w:tc>
        <w:tc>
          <w:tcPr>
            <w:tcW w:w="849" w:type="dxa"/>
          </w:tcPr>
          <w:p w14:paraId="7682455C"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color w:val="1B1B1B"/>
                <w:sz w:val="18"/>
                <w:szCs w:val="18"/>
              </w:rPr>
              <w:t>Germany</w:t>
            </w:r>
          </w:p>
        </w:tc>
        <w:tc>
          <w:tcPr>
            <w:tcW w:w="1793" w:type="dxa"/>
          </w:tcPr>
          <w:p w14:paraId="7EABDC7E"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Sassmannshausen et al., 2016</w:t>
            </w:r>
          </w:p>
        </w:tc>
      </w:tr>
      <w:tr w:rsidR="005D7851" w:rsidRPr="00B37D2B" w14:paraId="565D7426" w14:textId="77777777" w:rsidTr="00282D33">
        <w:tc>
          <w:tcPr>
            <w:tcW w:w="1278" w:type="dxa"/>
          </w:tcPr>
          <w:p w14:paraId="2D6BABD7"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2008–2016</w:t>
            </w:r>
          </w:p>
        </w:tc>
        <w:tc>
          <w:tcPr>
            <w:tcW w:w="1471" w:type="dxa"/>
          </w:tcPr>
          <w:p w14:paraId="16AC35AB"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38.9%</w:t>
            </w:r>
          </w:p>
        </w:tc>
        <w:tc>
          <w:tcPr>
            <w:tcW w:w="1300" w:type="dxa"/>
          </w:tcPr>
          <w:p w14:paraId="67939D70"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318</w:t>
            </w:r>
          </w:p>
        </w:tc>
        <w:tc>
          <w:tcPr>
            <w:tcW w:w="2325" w:type="dxa"/>
          </w:tcPr>
          <w:p w14:paraId="250BB3FF"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Nose, ear, blood, pus, wounds, abscesses, eyes, genital</w:t>
            </w:r>
          </w:p>
        </w:tc>
        <w:tc>
          <w:tcPr>
            <w:tcW w:w="849" w:type="dxa"/>
          </w:tcPr>
          <w:p w14:paraId="4D04FD1A"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Norway</w:t>
            </w:r>
          </w:p>
        </w:tc>
        <w:tc>
          <w:tcPr>
            <w:tcW w:w="1793" w:type="dxa"/>
          </w:tcPr>
          <w:p w14:paraId="536EA284"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Enger et al., 2022</w:t>
            </w:r>
          </w:p>
        </w:tc>
      </w:tr>
      <w:tr w:rsidR="005D7851" w:rsidRPr="00B37D2B" w14:paraId="49102AE8" w14:textId="77777777" w:rsidTr="00282D33">
        <w:tc>
          <w:tcPr>
            <w:tcW w:w="1278" w:type="dxa"/>
          </w:tcPr>
          <w:p w14:paraId="5A3DB99C"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2015–2017</w:t>
            </w:r>
          </w:p>
        </w:tc>
        <w:tc>
          <w:tcPr>
            <w:tcW w:w="1471" w:type="dxa"/>
          </w:tcPr>
          <w:p w14:paraId="0D066D6B"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45.0% (658/1466)</w:t>
            </w:r>
          </w:p>
        </w:tc>
        <w:tc>
          <w:tcPr>
            <w:tcW w:w="1300" w:type="dxa"/>
          </w:tcPr>
          <w:p w14:paraId="4AA049E2"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1466</w:t>
            </w:r>
          </w:p>
        </w:tc>
        <w:tc>
          <w:tcPr>
            <w:tcW w:w="2325" w:type="dxa"/>
          </w:tcPr>
          <w:p w14:paraId="023F3CCB"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Hospital patients</w:t>
            </w:r>
          </w:p>
        </w:tc>
        <w:tc>
          <w:tcPr>
            <w:tcW w:w="849" w:type="dxa"/>
          </w:tcPr>
          <w:p w14:paraId="4F0BFB7B"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China</w:t>
            </w:r>
          </w:p>
        </w:tc>
        <w:tc>
          <w:tcPr>
            <w:tcW w:w="1793" w:type="dxa"/>
          </w:tcPr>
          <w:p w14:paraId="19BB7F52"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Chen et al., 2022</w:t>
            </w:r>
          </w:p>
        </w:tc>
      </w:tr>
      <w:tr w:rsidR="005D7851" w:rsidRPr="00B37D2B" w14:paraId="693303D3" w14:textId="77777777" w:rsidTr="00282D33">
        <w:tc>
          <w:tcPr>
            <w:tcW w:w="1278" w:type="dxa"/>
          </w:tcPr>
          <w:p w14:paraId="0C4AD004"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2017</w:t>
            </w:r>
          </w:p>
        </w:tc>
        <w:tc>
          <w:tcPr>
            <w:tcW w:w="1471" w:type="dxa"/>
          </w:tcPr>
          <w:p w14:paraId="2D1AD2BD"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52%</w:t>
            </w:r>
          </w:p>
        </w:tc>
        <w:tc>
          <w:tcPr>
            <w:tcW w:w="1300" w:type="dxa"/>
          </w:tcPr>
          <w:p w14:paraId="791379B8"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180</w:t>
            </w:r>
          </w:p>
        </w:tc>
        <w:tc>
          <w:tcPr>
            <w:tcW w:w="2325" w:type="dxa"/>
          </w:tcPr>
          <w:p w14:paraId="7B31789C"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Human blood</w:t>
            </w:r>
          </w:p>
        </w:tc>
        <w:tc>
          <w:tcPr>
            <w:tcW w:w="849" w:type="dxa"/>
          </w:tcPr>
          <w:p w14:paraId="33ECE0C0"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Pakistan</w:t>
            </w:r>
          </w:p>
        </w:tc>
        <w:tc>
          <w:tcPr>
            <w:tcW w:w="1793" w:type="dxa"/>
          </w:tcPr>
          <w:p w14:paraId="2176E4C4"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Siddiqui et al., 2017</w:t>
            </w:r>
          </w:p>
        </w:tc>
      </w:tr>
      <w:tr w:rsidR="005D7851" w:rsidRPr="00B37D2B" w14:paraId="741E8EC3" w14:textId="77777777" w:rsidTr="00282D33">
        <w:tc>
          <w:tcPr>
            <w:tcW w:w="1278" w:type="dxa"/>
          </w:tcPr>
          <w:p w14:paraId="6526A093"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2011–2019</w:t>
            </w:r>
          </w:p>
        </w:tc>
        <w:tc>
          <w:tcPr>
            <w:tcW w:w="1471" w:type="dxa"/>
          </w:tcPr>
          <w:p w14:paraId="15EB08F6"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35.1%</w:t>
            </w:r>
          </w:p>
        </w:tc>
        <w:tc>
          <w:tcPr>
            <w:tcW w:w="1300" w:type="dxa"/>
          </w:tcPr>
          <w:p w14:paraId="74C38BDF"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210</w:t>
            </w:r>
          </w:p>
        </w:tc>
        <w:tc>
          <w:tcPr>
            <w:tcW w:w="2325" w:type="dxa"/>
          </w:tcPr>
          <w:p w14:paraId="0CD9E74C"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Inpatients and outpatients</w:t>
            </w:r>
          </w:p>
        </w:tc>
        <w:tc>
          <w:tcPr>
            <w:tcW w:w="849" w:type="dxa"/>
          </w:tcPr>
          <w:p w14:paraId="1E8AF6B3"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Japan</w:t>
            </w:r>
          </w:p>
        </w:tc>
        <w:tc>
          <w:tcPr>
            <w:tcW w:w="1793" w:type="dxa"/>
          </w:tcPr>
          <w:p w14:paraId="5426EB52"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Hosaka et al., 2022</w:t>
            </w:r>
          </w:p>
        </w:tc>
      </w:tr>
      <w:tr w:rsidR="005D7851" w:rsidRPr="00B37D2B" w14:paraId="6AC4A18F" w14:textId="77777777" w:rsidTr="00282D33">
        <w:tc>
          <w:tcPr>
            <w:tcW w:w="1278" w:type="dxa"/>
          </w:tcPr>
          <w:p w14:paraId="5357D735"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2018–2019</w:t>
            </w:r>
          </w:p>
        </w:tc>
        <w:tc>
          <w:tcPr>
            <w:tcW w:w="1471" w:type="dxa"/>
          </w:tcPr>
          <w:p w14:paraId="6BE7FC92"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21.0%</w:t>
            </w:r>
          </w:p>
        </w:tc>
        <w:tc>
          <w:tcPr>
            <w:tcW w:w="1300" w:type="dxa"/>
          </w:tcPr>
          <w:p w14:paraId="3DD15198"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164</w:t>
            </w:r>
          </w:p>
        </w:tc>
        <w:tc>
          <w:tcPr>
            <w:tcW w:w="2325" w:type="dxa"/>
          </w:tcPr>
          <w:p w14:paraId="22340512"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Blood and soft tissues</w:t>
            </w:r>
          </w:p>
        </w:tc>
        <w:tc>
          <w:tcPr>
            <w:tcW w:w="849" w:type="dxa"/>
          </w:tcPr>
          <w:p w14:paraId="40B336A4"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Japan</w:t>
            </w:r>
          </w:p>
        </w:tc>
        <w:tc>
          <w:tcPr>
            <w:tcW w:w="1793" w:type="dxa"/>
          </w:tcPr>
          <w:p w14:paraId="364406C6"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Ogura et al., 2022</w:t>
            </w:r>
          </w:p>
        </w:tc>
      </w:tr>
      <w:tr w:rsidR="005D7851" w:rsidRPr="00B37D2B" w14:paraId="4791D628" w14:textId="77777777" w:rsidTr="00282D33">
        <w:tc>
          <w:tcPr>
            <w:tcW w:w="1278" w:type="dxa"/>
          </w:tcPr>
          <w:p w14:paraId="1476DDAB"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2019</w:t>
            </w:r>
          </w:p>
        </w:tc>
        <w:tc>
          <w:tcPr>
            <w:tcW w:w="1471" w:type="dxa"/>
          </w:tcPr>
          <w:p w14:paraId="2F22A032"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50%</w:t>
            </w:r>
          </w:p>
        </w:tc>
        <w:tc>
          <w:tcPr>
            <w:tcW w:w="1300" w:type="dxa"/>
          </w:tcPr>
          <w:p w14:paraId="5E68650B"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742</w:t>
            </w:r>
          </w:p>
        </w:tc>
        <w:tc>
          <w:tcPr>
            <w:tcW w:w="2325" w:type="dxa"/>
          </w:tcPr>
          <w:p w14:paraId="65F950C1"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children</w:t>
            </w:r>
          </w:p>
        </w:tc>
        <w:tc>
          <w:tcPr>
            <w:tcW w:w="849" w:type="dxa"/>
          </w:tcPr>
          <w:p w14:paraId="289BDC53"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Uganda</w:t>
            </w:r>
          </w:p>
        </w:tc>
        <w:tc>
          <w:tcPr>
            <w:tcW w:w="1793" w:type="dxa"/>
          </w:tcPr>
          <w:p w14:paraId="7E601851"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Kateete et al., 2019</w:t>
            </w:r>
          </w:p>
        </w:tc>
      </w:tr>
      <w:tr w:rsidR="005D7851" w:rsidRPr="00B37D2B" w14:paraId="63DF1189" w14:textId="77777777" w:rsidTr="00282D33">
        <w:tc>
          <w:tcPr>
            <w:tcW w:w="1278" w:type="dxa"/>
          </w:tcPr>
          <w:p w14:paraId="40D1AAC0"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2014–2020</w:t>
            </w:r>
          </w:p>
        </w:tc>
        <w:tc>
          <w:tcPr>
            <w:tcW w:w="1471" w:type="dxa"/>
          </w:tcPr>
          <w:p w14:paraId="46906902"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23.4%</w:t>
            </w:r>
          </w:p>
        </w:tc>
        <w:tc>
          <w:tcPr>
            <w:tcW w:w="1300" w:type="dxa"/>
          </w:tcPr>
          <w:p w14:paraId="2D1942BA"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565</w:t>
            </w:r>
          </w:p>
        </w:tc>
        <w:tc>
          <w:tcPr>
            <w:tcW w:w="2325" w:type="dxa"/>
          </w:tcPr>
          <w:p w14:paraId="3D219A9C"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Blood, pus, wound exudate, sputum</w:t>
            </w:r>
          </w:p>
        </w:tc>
        <w:tc>
          <w:tcPr>
            <w:tcW w:w="849" w:type="dxa"/>
          </w:tcPr>
          <w:p w14:paraId="4D351F9F"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China</w:t>
            </w:r>
          </w:p>
        </w:tc>
        <w:tc>
          <w:tcPr>
            <w:tcW w:w="1793" w:type="dxa"/>
          </w:tcPr>
          <w:p w14:paraId="0A0B0582"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Wang et al., 2022</w:t>
            </w:r>
          </w:p>
        </w:tc>
      </w:tr>
      <w:tr w:rsidR="005D7851" w:rsidRPr="00B37D2B" w14:paraId="59574E3D" w14:textId="77777777" w:rsidTr="00282D33">
        <w:tc>
          <w:tcPr>
            <w:tcW w:w="1278" w:type="dxa"/>
          </w:tcPr>
          <w:p w14:paraId="7FB08F48"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2019–2020</w:t>
            </w:r>
          </w:p>
        </w:tc>
        <w:tc>
          <w:tcPr>
            <w:tcW w:w="1471" w:type="dxa"/>
          </w:tcPr>
          <w:p w14:paraId="3375A72E"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55.7%</w:t>
            </w:r>
          </w:p>
        </w:tc>
        <w:tc>
          <w:tcPr>
            <w:tcW w:w="1300" w:type="dxa"/>
          </w:tcPr>
          <w:p w14:paraId="439B6A73"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97</w:t>
            </w:r>
          </w:p>
        </w:tc>
        <w:tc>
          <w:tcPr>
            <w:tcW w:w="2325" w:type="dxa"/>
          </w:tcPr>
          <w:p w14:paraId="3C4F9658"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Wound, pus, CSF, blood, skin lesions, sputum, joint fluid, ear, nose, throat</w:t>
            </w:r>
          </w:p>
        </w:tc>
        <w:tc>
          <w:tcPr>
            <w:tcW w:w="849" w:type="dxa"/>
          </w:tcPr>
          <w:p w14:paraId="54477C45"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Iran</w:t>
            </w:r>
          </w:p>
        </w:tc>
        <w:tc>
          <w:tcPr>
            <w:tcW w:w="1793" w:type="dxa"/>
          </w:tcPr>
          <w:p w14:paraId="557735C9" w14:textId="77777777" w:rsidR="005D7851" w:rsidRPr="00B37D2B" w:rsidRDefault="005D7851" w:rsidP="000166A9">
            <w:pPr>
              <w:rPr>
                <w:rFonts w:ascii="Times New Roman" w:hAnsi="Times New Roman" w:cs="Times New Roman"/>
                <w:sz w:val="18"/>
                <w:szCs w:val="18"/>
              </w:rPr>
            </w:pPr>
            <w:r w:rsidRPr="00B37D2B">
              <w:rPr>
                <w:rFonts w:ascii="Times New Roman" w:hAnsi="Times New Roman" w:cs="Times New Roman"/>
                <w:sz w:val="18"/>
                <w:szCs w:val="18"/>
              </w:rPr>
              <w:t>Tabandeh et al., 2022</w:t>
            </w:r>
          </w:p>
        </w:tc>
      </w:tr>
      <w:tr w:rsidR="005D7851" w:rsidRPr="00B37D2B" w14:paraId="420E67D7" w14:textId="77777777" w:rsidTr="00282D33">
        <w:tc>
          <w:tcPr>
            <w:tcW w:w="1278" w:type="dxa"/>
          </w:tcPr>
          <w:p w14:paraId="05615B6C"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2020</w:t>
            </w:r>
          </w:p>
        </w:tc>
        <w:tc>
          <w:tcPr>
            <w:tcW w:w="1471" w:type="dxa"/>
          </w:tcPr>
          <w:p w14:paraId="02FCE8DF"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43.44%</w:t>
            </w:r>
          </w:p>
        </w:tc>
        <w:tc>
          <w:tcPr>
            <w:tcW w:w="1300" w:type="dxa"/>
          </w:tcPr>
          <w:p w14:paraId="3B7E740D"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200</w:t>
            </w:r>
          </w:p>
        </w:tc>
        <w:tc>
          <w:tcPr>
            <w:tcW w:w="2325" w:type="dxa"/>
          </w:tcPr>
          <w:p w14:paraId="7D36E3AC"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Wound, nose, cerebrospinal fluid of patients</w:t>
            </w:r>
          </w:p>
        </w:tc>
        <w:tc>
          <w:tcPr>
            <w:tcW w:w="849" w:type="dxa"/>
          </w:tcPr>
          <w:p w14:paraId="3DC9433B"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Pakistan</w:t>
            </w:r>
          </w:p>
        </w:tc>
        <w:tc>
          <w:tcPr>
            <w:tcW w:w="1793" w:type="dxa"/>
          </w:tcPr>
          <w:p w14:paraId="6D25111D" w14:textId="77777777" w:rsidR="005D7851" w:rsidRPr="00B37D2B" w:rsidRDefault="005D7851" w:rsidP="000166A9">
            <w:pPr>
              <w:spacing w:line="480" w:lineRule="auto"/>
              <w:rPr>
                <w:rFonts w:ascii="Times New Roman" w:hAnsi="Times New Roman" w:cs="Times New Roman"/>
                <w:sz w:val="18"/>
                <w:szCs w:val="18"/>
              </w:rPr>
            </w:pPr>
            <w:proofErr w:type="spellStart"/>
            <w:r w:rsidRPr="00B37D2B">
              <w:rPr>
                <w:rFonts w:ascii="Times New Roman" w:hAnsi="Times New Roman" w:cs="Times New Roman"/>
                <w:sz w:val="18"/>
                <w:szCs w:val="18"/>
              </w:rPr>
              <w:t>ur</w:t>
            </w:r>
            <w:proofErr w:type="spellEnd"/>
            <w:r w:rsidRPr="00B37D2B">
              <w:rPr>
                <w:rFonts w:ascii="Times New Roman" w:hAnsi="Times New Roman" w:cs="Times New Roman"/>
                <w:sz w:val="18"/>
                <w:szCs w:val="18"/>
              </w:rPr>
              <w:t xml:space="preserve"> Rehman et al., 2020</w:t>
            </w:r>
          </w:p>
        </w:tc>
      </w:tr>
      <w:tr w:rsidR="005D7851" w:rsidRPr="00B37D2B" w14:paraId="6677F497" w14:textId="77777777" w:rsidTr="00282D33">
        <w:tc>
          <w:tcPr>
            <w:tcW w:w="1278" w:type="dxa"/>
          </w:tcPr>
          <w:p w14:paraId="3DB288EF"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2020</w:t>
            </w:r>
          </w:p>
        </w:tc>
        <w:tc>
          <w:tcPr>
            <w:tcW w:w="1471" w:type="dxa"/>
          </w:tcPr>
          <w:p w14:paraId="053C0CE6"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15.1%</w:t>
            </w:r>
          </w:p>
        </w:tc>
        <w:tc>
          <w:tcPr>
            <w:tcW w:w="1300" w:type="dxa"/>
          </w:tcPr>
          <w:p w14:paraId="6BC77F63"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456</w:t>
            </w:r>
          </w:p>
        </w:tc>
        <w:tc>
          <w:tcPr>
            <w:tcW w:w="2325" w:type="dxa"/>
          </w:tcPr>
          <w:p w14:paraId="5F6EDCC5"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Blood</w:t>
            </w:r>
          </w:p>
        </w:tc>
        <w:tc>
          <w:tcPr>
            <w:tcW w:w="849" w:type="dxa"/>
          </w:tcPr>
          <w:p w14:paraId="3B18494F"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Australia</w:t>
            </w:r>
          </w:p>
        </w:tc>
        <w:tc>
          <w:tcPr>
            <w:tcW w:w="1793" w:type="dxa"/>
          </w:tcPr>
          <w:p w14:paraId="2DC12A13"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Coombs et al., 2022</w:t>
            </w:r>
          </w:p>
        </w:tc>
      </w:tr>
      <w:tr w:rsidR="005D7851" w:rsidRPr="00B37D2B" w14:paraId="7D2E8924" w14:textId="77777777" w:rsidTr="00282D33">
        <w:tc>
          <w:tcPr>
            <w:tcW w:w="1278" w:type="dxa"/>
          </w:tcPr>
          <w:p w14:paraId="22EF2EF5"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2017–2021</w:t>
            </w:r>
          </w:p>
        </w:tc>
        <w:tc>
          <w:tcPr>
            <w:tcW w:w="1471" w:type="dxa"/>
          </w:tcPr>
          <w:p w14:paraId="4CE92846"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26.0%</w:t>
            </w:r>
          </w:p>
        </w:tc>
        <w:tc>
          <w:tcPr>
            <w:tcW w:w="1300" w:type="dxa"/>
          </w:tcPr>
          <w:p w14:paraId="27BAD2E8"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76</w:t>
            </w:r>
          </w:p>
        </w:tc>
        <w:tc>
          <w:tcPr>
            <w:tcW w:w="2325" w:type="dxa"/>
          </w:tcPr>
          <w:p w14:paraId="4539E114"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 xml:space="preserve">Ear, rectal swabs, oropharyngeal, nose, skin, </w:t>
            </w:r>
            <w:r w:rsidRPr="00B37D2B">
              <w:rPr>
                <w:rFonts w:ascii="Times New Roman" w:hAnsi="Times New Roman" w:cs="Times New Roman"/>
                <w:color w:val="1B1B1B"/>
                <w:sz w:val="18"/>
                <w:szCs w:val="18"/>
              </w:rPr>
              <w:lastRenderedPageBreak/>
              <w:t>wound, conjunctiva, bone, urine, synovial and peritoneal fluid, lymph node</w:t>
            </w:r>
          </w:p>
        </w:tc>
        <w:tc>
          <w:tcPr>
            <w:tcW w:w="849" w:type="dxa"/>
          </w:tcPr>
          <w:p w14:paraId="587C8B17"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lastRenderedPageBreak/>
              <w:t>Italy</w:t>
            </w:r>
          </w:p>
        </w:tc>
        <w:tc>
          <w:tcPr>
            <w:tcW w:w="1793" w:type="dxa"/>
          </w:tcPr>
          <w:p w14:paraId="3CF0CE7E"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La Vecchia et al., 2022</w:t>
            </w:r>
          </w:p>
        </w:tc>
      </w:tr>
      <w:tr w:rsidR="005D7851" w:rsidRPr="00B37D2B" w14:paraId="1E4D5840" w14:textId="77777777" w:rsidTr="00282D33">
        <w:tc>
          <w:tcPr>
            <w:tcW w:w="1278" w:type="dxa"/>
          </w:tcPr>
          <w:p w14:paraId="7D503451"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2021</w:t>
            </w:r>
          </w:p>
        </w:tc>
        <w:tc>
          <w:tcPr>
            <w:tcW w:w="1471" w:type="dxa"/>
          </w:tcPr>
          <w:p w14:paraId="08F40C94"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19.1%</w:t>
            </w:r>
          </w:p>
        </w:tc>
        <w:tc>
          <w:tcPr>
            <w:tcW w:w="1300" w:type="dxa"/>
          </w:tcPr>
          <w:p w14:paraId="159334B4"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47</w:t>
            </w:r>
          </w:p>
        </w:tc>
        <w:tc>
          <w:tcPr>
            <w:tcW w:w="2325" w:type="dxa"/>
          </w:tcPr>
          <w:p w14:paraId="4B5993F0"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Nose, pharynx, and mobile phone</w:t>
            </w:r>
          </w:p>
        </w:tc>
        <w:tc>
          <w:tcPr>
            <w:tcW w:w="849" w:type="dxa"/>
          </w:tcPr>
          <w:p w14:paraId="468D4105"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Mexico</w:t>
            </w:r>
          </w:p>
        </w:tc>
        <w:tc>
          <w:tcPr>
            <w:tcW w:w="1793" w:type="dxa"/>
          </w:tcPr>
          <w:p w14:paraId="340426B2"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Hamdan-Partida et al., 2022</w:t>
            </w:r>
          </w:p>
        </w:tc>
      </w:tr>
      <w:tr w:rsidR="005D7851" w:rsidRPr="00B37D2B" w14:paraId="45EBB125" w14:textId="77777777" w:rsidTr="00282D33">
        <w:trPr>
          <w:trHeight w:val="846"/>
        </w:trPr>
        <w:tc>
          <w:tcPr>
            <w:tcW w:w="1278" w:type="dxa"/>
          </w:tcPr>
          <w:p w14:paraId="183F6412"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2021</w:t>
            </w:r>
          </w:p>
        </w:tc>
        <w:tc>
          <w:tcPr>
            <w:tcW w:w="1471" w:type="dxa"/>
          </w:tcPr>
          <w:p w14:paraId="52EED1B1"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34.8%</w:t>
            </w:r>
          </w:p>
        </w:tc>
        <w:tc>
          <w:tcPr>
            <w:tcW w:w="1300" w:type="dxa"/>
          </w:tcPr>
          <w:p w14:paraId="2EEF5442"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295</w:t>
            </w:r>
          </w:p>
        </w:tc>
        <w:tc>
          <w:tcPr>
            <w:tcW w:w="2325" w:type="dxa"/>
          </w:tcPr>
          <w:p w14:paraId="2E804377"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Urine, sputum, wound swabs, nasal swabs, fomites</w:t>
            </w:r>
          </w:p>
        </w:tc>
        <w:tc>
          <w:tcPr>
            <w:tcW w:w="849" w:type="dxa"/>
          </w:tcPr>
          <w:p w14:paraId="09A8FDC2"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color w:val="1B1B1B"/>
                <w:sz w:val="18"/>
                <w:szCs w:val="18"/>
              </w:rPr>
              <w:t>Nigeria</w:t>
            </w:r>
          </w:p>
        </w:tc>
        <w:tc>
          <w:tcPr>
            <w:tcW w:w="1793" w:type="dxa"/>
          </w:tcPr>
          <w:p w14:paraId="331BA091"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Ugwu et al., 2022</w:t>
            </w:r>
          </w:p>
        </w:tc>
      </w:tr>
      <w:tr w:rsidR="005D7851" w:rsidRPr="00B37D2B" w14:paraId="20461F70" w14:textId="77777777" w:rsidTr="000166A9">
        <w:tc>
          <w:tcPr>
            <w:tcW w:w="9016" w:type="dxa"/>
            <w:gridSpan w:val="6"/>
            <w:shd w:val="clear" w:color="auto" w:fill="D1D1D1" w:themeFill="background2" w:themeFillShade="E6"/>
          </w:tcPr>
          <w:p w14:paraId="7DF7A371"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Community-acquired MRSA (CA-MRSA)</w:t>
            </w:r>
          </w:p>
        </w:tc>
      </w:tr>
      <w:tr w:rsidR="005D7851" w:rsidRPr="00B37D2B" w14:paraId="006CE7BD" w14:textId="77777777" w:rsidTr="00282D33">
        <w:tc>
          <w:tcPr>
            <w:tcW w:w="1278" w:type="dxa"/>
          </w:tcPr>
          <w:p w14:paraId="3D30C90E"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2005</w:t>
            </w:r>
          </w:p>
        </w:tc>
        <w:tc>
          <w:tcPr>
            <w:tcW w:w="1471" w:type="dxa"/>
          </w:tcPr>
          <w:p w14:paraId="139DEEDD"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7.3%</w:t>
            </w:r>
          </w:p>
        </w:tc>
        <w:tc>
          <w:tcPr>
            <w:tcW w:w="1300" w:type="dxa"/>
          </w:tcPr>
          <w:p w14:paraId="2CE1406B"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726</w:t>
            </w:r>
          </w:p>
        </w:tc>
        <w:tc>
          <w:tcPr>
            <w:tcW w:w="2325" w:type="dxa"/>
          </w:tcPr>
          <w:p w14:paraId="5871222F"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Anterior nares culture</w:t>
            </w:r>
          </w:p>
        </w:tc>
        <w:tc>
          <w:tcPr>
            <w:tcW w:w="849" w:type="dxa"/>
          </w:tcPr>
          <w:p w14:paraId="073952B3"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United States</w:t>
            </w:r>
          </w:p>
        </w:tc>
        <w:tc>
          <w:tcPr>
            <w:tcW w:w="1793" w:type="dxa"/>
          </w:tcPr>
          <w:p w14:paraId="3D26468A"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Hidron et al., 2005</w:t>
            </w:r>
          </w:p>
        </w:tc>
      </w:tr>
      <w:tr w:rsidR="005D7851" w:rsidRPr="00B37D2B" w14:paraId="2E0B2082" w14:textId="77777777" w:rsidTr="00282D33">
        <w:tc>
          <w:tcPr>
            <w:tcW w:w="1278" w:type="dxa"/>
          </w:tcPr>
          <w:p w14:paraId="6D02FBB3"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2005</w:t>
            </w:r>
          </w:p>
        </w:tc>
        <w:tc>
          <w:tcPr>
            <w:tcW w:w="1471" w:type="dxa"/>
          </w:tcPr>
          <w:p w14:paraId="267EEB28"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12.82%</w:t>
            </w:r>
          </w:p>
        </w:tc>
        <w:tc>
          <w:tcPr>
            <w:tcW w:w="1300" w:type="dxa"/>
          </w:tcPr>
          <w:p w14:paraId="6E10168D"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14253</w:t>
            </w:r>
          </w:p>
        </w:tc>
        <w:tc>
          <w:tcPr>
            <w:tcW w:w="2325" w:type="dxa"/>
          </w:tcPr>
          <w:p w14:paraId="7A3E01D3"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Nasal and inguinal swabs</w:t>
            </w:r>
          </w:p>
        </w:tc>
        <w:tc>
          <w:tcPr>
            <w:tcW w:w="849" w:type="dxa"/>
          </w:tcPr>
          <w:p w14:paraId="37D8FD5B" w14:textId="77777777" w:rsidR="005D7851" w:rsidRPr="00B37D2B" w:rsidRDefault="005D7851" w:rsidP="000166A9">
            <w:pPr>
              <w:spacing w:line="480" w:lineRule="auto"/>
              <w:rPr>
                <w:rFonts w:ascii="Times New Roman" w:hAnsi="Times New Roman" w:cs="Times New Roman"/>
                <w:color w:val="1B1B1B"/>
                <w:sz w:val="18"/>
                <w:szCs w:val="18"/>
              </w:rPr>
            </w:pPr>
            <w:r w:rsidRPr="00B37D2B">
              <w:rPr>
                <w:rFonts w:ascii="Times New Roman" w:hAnsi="Times New Roman" w:cs="Times New Roman"/>
                <w:sz w:val="18"/>
                <w:szCs w:val="18"/>
              </w:rPr>
              <w:t>Switzerland</w:t>
            </w:r>
          </w:p>
        </w:tc>
        <w:tc>
          <w:tcPr>
            <w:tcW w:w="1793" w:type="dxa"/>
          </w:tcPr>
          <w:p w14:paraId="1A7C4FB9"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Harbarth et al., 2005</w:t>
            </w:r>
          </w:p>
        </w:tc>
      </w:tr>
      <w:tr w:rsidR="005D7851" w:rsidRPr="00B37D2B" w14:paraId="2B19861F" w14:textId="77777777" w:rsidTr="00282D33">
        <w:tc>
          <w:tcPr>
            <w:tcW w:w="1278" w:type="dxa"/>
          </w:tcPr>
          <w:p w14:paraId="7BEAECD2"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2009</w:t>
            </w:r>
          </w:p>
        </w:tc>
        <w:tc>
          <w:tcPr>
            <w:tcW w:w="1471" w:type="dxa"/>
          </w:tcPr>
          <w:p w14:paraId="7E8C2D12"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38.5%</w:t>
            </w:r>
          </w:p>
        </w:tc>
        <w:tc>
          <w:tcPr>
            <w:tcW w:w="1300" w:type="dxa"/>
          </w:tcPr>
          <w:p w14:paraId="62AA043F"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120</w:t>
            </w:r>
          </w:p>
        </w:tc>
        <w:tc>
          <w:tcPr>
            <w:tcW w:w="2325" w:type="dxa"/>
          </w:tcPr>
          <w:p w14:paraId="2F71D6B4"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Dialysis patients</w:t>
            </w:r>
          </w:p>
        </w:tc>
        <w:tc>
          <w:tcPr>
            <w:tcW w:w="849" w:type="dxa"/>
          </w:tcPr>
          <w:p w14:paraId="3D468DDC"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United Kingdom</w:t>
            </w:r>
          </w:p>
        </w:tc>
        <w:tc>
          <w:tcPr>
            <w:tcW w:w="1793" w:type="dxa"/>
          </w:tcPr>
          <w:p w14:paraId="56BCFBED"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Johnson et al., 2009</w:t>
            </w:r>
          </w:p>
        </w:tc>
      </w:tr>
      <w:tr w:rsidR="005D7851" w:rsidRPr="00B37D2B" w14:paraId="7EF45516" w14:textId="77777777" w:rsidTr="00282D33">
        <w:tc>
          <w:tcPr>
            <w:tcW w:w="1278" w:type="dxa"/>
          </w:tcPr>
          <w:p w14:paraId="0D3B10A2"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2012</w:t>
            </w:r>
          </w:p>
        </w:tc>
        <w:tc>
          <w:tcPr>
            <w:tcW w:w="1471" w:type="dxa"/>
          </w:tcPr>
          <w:p w14:paraId="2DF9C143"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64.7%</w:t>
            </w:r>
          </w:p>
        </w:tc>
        <w:tc>
          <w:tcPr>
            <w:tcW w:w="1300" w:type="dxa"/>
          </w:tcPr>
          <w:p w14:paraId="6177F9D6"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178</w:t>
            </w:r>
          </w:p>
        </w:tc>
        <w:tc>
          <w:tcPr>
            <w:tcW w:w="2325" w:type="dxa"/>
          </w:tcPr>
          <w:p w14:paraId="52B8600E"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Pus sample</w:t>
            </w:r>
          </w:p>
        </w:tc>
        <w:tc>
          <w:tcPr>
            <w:tcW w:w="849" w:type="dxa"/>
          </w:tcPr>
          <w:p w14:paraId="0649E6B6"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India</w:t>
            </w:r>
          </w:p>
        </w:tc>
        <w:tc>
          <w:tcPr>
            <w:tcW w:w="1793" w:type="dxa"/>
          </w:tcPr>
          <w:p w14:paraId="5C247DA0"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Alvarez-Uria and Reddy, 2012</w:t>
            </w:r>
          </w:p>
        </w:tc>
      </w:tr>
      <w:tr w:rsidR="005D7851" w:rsidRPr="00B37D2B" w14:paraId="1DA1BF47" w14:textId="77777777" w:rsidTr="00282D33">
        <w:tc>
          <w:tcPr>
            <w:tcW w:w="1278" w:type="dxa"/>
          </w:tcPr>
          <w:p w14:paraId="7E7137C2"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2008–2016</w:t>
            </w:r>
          </w:p>
        </w:tc>
        <w:tc>
          <w:tcPr>
            <w:tcW w:w="1471" w:type="dxa"/>
          </w:tcPr>
          <w:p w14:paraId="5874F69A"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61.0%</w:t>
            </w:r>
          </w:p>
        </w:tc>
        <w:tc>
          <w:tcPr>
            <w:tcW w:w="1300" w:type="dxa"/>
          </w:tcPr>
          <w:p w14:paraId="1A2545CB"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318</w:t>
            </w:r>
          </w:p>
        </w:tc>
        <w:tc>
          <w:tcPr>
            <w:tcW w:w="2325" w:type="dxa"/>
          </w:tcPr>
          <w:p w14:paraId="22F33A0A"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Nose, ear, blood, pus, wounds, abscesses, eyes, genital</w:t>
            </w:r>
          </w:p>
        </w:tc>
        <w:tc>
          <w:tcPr>
            <w:tcW w:w="849" w:type="dxa"/>
          </w:tcPr>
          <w:p w14:paraId="68065B6F"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Norway</w:t>
            </w:r>
          </w:p>
        </w:tc>
        <w:tc>
          <w:tcPr>
            <w:tcW w:w="1793" w:type="dxa"/>
          </w:tcPr>
          <w:p w14:paraId="56EEAE4E"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Enger et al., 2022</w:t>
            </w:r>
          </w:p>
        </w:tc>
      </w:tr>
      <w:tr w:rsidR="005D7851" w:rsidRPr="00B37D2B" w14:paraId="7946B904" w14:textId="77777777" w:rsidTr="00282D33">
        <w:tc>
          <w:tcPr>
            <w:tcW w:w="1278" w:type="dxa"/>
          </w:tcPr>
          <w:p w14:paraId="6133D192"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2015–2017</w:t>
            </w:r>
          </w:p>
        </w:tc>
        <w:tc>
          <w:tcPr>
            <w:tcW w:w="1471" w:type="dxa"/>
          </w:tcPr>
          <w:p w14:paraId="1BFBB285"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24.0% (105/434)</w:t>
            </w:r>
          </w:p>
        </w:tc>
        <w:tc>
          <w:tcPr>
            <w:tcW w:w="1300" w:type="dxa"/>
          </w:tcPr>
          <w:p w14:paraId="21FC620C"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434</w:t>
            </w:r>
          </w:p>
        </w:tc>
        <w:tc>
          <w:tcPr>
            <w:tcW w:w="2325" w:type="dxa"/>
          </w:tcPr>
          <w:p w14:paraId="6A4A3602"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Community settings</w:t>
            </w:r>
          </w:p>
        </w:tc>
        <w:tc>
          <w:tcPr>
            <w:tcW w:w="849" w:type="dxa"/>
          </w:tcPr>
          <w:p w14:paraId="3C06C7CA"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China</w:t>
            </w:r>
          </w:p>
        </w:tc>
        <w:tc>
          <w:tcPr>
            <w:tcW w:w="1793" w:type="dxa"/>
          </w:tcPr>
          <w:p w14:paraId="6B2B5AC9"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Chen et al., 2022</w:t>
            </w:r>
          </w:p>
        </w:tc>
      </w:tr>
      <w:tr w:rsidR="005D7851" w:rsidRPr="00B37D2B" w14:paraId="66B56CB7" w14:textId="77777777" w:rsidTr="00282D33">
        <w:tc>
          <w:tcPr>
            <w:tcW w:w="1278" w:type="dxa"/>
          </w:tcPr>
          <w:p w14:paraId="2934D327"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2017</w:t>
            </w:r>
          </w:p>
        </w:tc>
        <w:tc>
          <w:tcPr>
            <w:tcW w:w="1471" w:type="dxa"/>
          </w:tcPr>
          <w:p w14:paraId="6A954D04"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1.7%</w:t>
            </w:r>
          </w:p>
        </w:tc>
        <w:tc>
          <w:tcPr>
            <w:tcW w:w="1300" w:type="dxa"/>
          </w:tcPr>
          <w:p w14:paraId="7CB88816"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753</w:t>
            </w:r>
          </w:p>
        </w:tc>
        <w:tc>
          <w:tcPr>
            <w:tcW w:w="2325" w:type="dxa"/>
          </w:tcPr>
          <w:p w14:paraId="4E49BAF0"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Nasal sample</w:t>
            </w:r>
          </w:p>
        </w:tc>
        <w:tc>
          <w:tcPr>
            <w:tcW w:w="849" w:type="dxa"/>
          </w:tcPr>
          <w:p w14:paraId="7D956845"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China</w:t>
            </w:r>
          </w:p>
        </w:tc>
        <w:tc>
          <w:tcPr>
            <w:tcW w:w="1793" w:type="dxa"/>
          </w:tcPr>
          <w:p w14:paraId="67CE0C29"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Bi et al., 2018</w:t>
            </w:r>
          </w:p>
        </w:tc>
      </w:tr>
      <w:tr w:rsidR="005D7851" w:rsidRPr="00B37D2B" w14:paraId="1688801E" w14:textId="77777777" w:rsidTr="00282D33">
        <w:tc>
          <w:tcPr>
            <w:tcW w:w="1278" w:type="dxa"/>
          </w:tcPr>
          <w:p w14:paraId="591890EE"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2017</w:t>
            </w:r>
          </w:p>
        </w:tc>
        <w:tc>
          <w:tcPr>
            <w:tcW w:w="1471" w:type="dxa"/>
          </w:tcPr>
          <w:p w14:paraId="1E7CDC3F"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2.8%</w:t>
            </w:r>
          </w:p>
        </w:tc>
        <w:tc>
          <w:tcPr>
            <w:tcW w:w="1300" w:type="dxa"/>
          </w:tcPr>
          <w:p w14:paraId="371A11F0"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404</w:t>
            </w:r>
          </w:p>
        </w:tc>
        <w:tc>
          <w:tcPr>
            <w:tcW w:w="2325" w:type="dxa"/>
          </w:tcPr>
          <w:p w14:paraId="7E2EEEBD"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Pig ear swab</w:t>
            </w:r>
          </w:p>
        </w:tc>
        <w:tc>
          <w:tcPr>
            <w:tcW w:w="849" w:type="dxa"/>
          </w:tcPr>
          <w:p w14:paraId="6989BE98"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China</w:t>
            </w:r>
          </w:p>
        </w:tc>
        <w:tc>
          <w:tcPr>
            <w:tcW w:w="1793" w:type="dxa"/>
          </w:tcPr>
          <w:p w14:paraId="6461C9D3"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Bi et al., 2018</w:t>
            </w:r>
          </w:p>
        </w:tc>
      </w:tr>
      <w:tr w:rsidR="005D7851" w:rsidRPr="00B37D2B" w14:paraId="054D4F42" w14:textId="77777777" w:rsidTr="00282D33">
        <w:tc>
          <w:tcPr>
            <w:tcW w:w="1278" w:type="dxa"/>
          </w:tcPr>
          <w:p w14:paraId="0DA7B7EC"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2018</w:t>
            </w:r>
          </w:p>
        </w:tc>
        <w:tc>
          <w:tcPr>
            <w:tcW w:w="1471" w:type="dxa"/>
          </w:tcPr>
          <w:p w14:paraId="764794F9"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23.5%</w:t>
            </w:r>
          </w:p>
        </w:tc>
        <w:tc>
          <w:tcPr>
            <w:tcW w:w="1300" w:type="dxa"/>
          </w:tcPr>
          <w:p w14:paraId="332B1629"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152</w:t>
            </w:r>
          </w:p>
        </w:tc>
        <w:tc>
          <w:tcPr>
            <w:tcW w:w="2325" w:type="dxa"/>
          </w:tcPr>
          <w:p w14:paraId="16FDE68F"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Nasal swabs</w:t>
            </w:r>
          </w:p>
        </w:tc>
        <w:tc>
          <w:tcPr>
            <w:tcW w:w="849" w:type="dxa"/>
          </w:tcPr>
          <w:p w14:paraId="2582B040"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Pacific Asia</w:t>
            </w:r>
          </w:p>
        </w:tc>
        <w:tc>
          <w:tcPr>
            <w:tcW w:w="1793" w:type="dxa"/>
          </w:tcPr>
          <w:p w14:paraId="21B058D9"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Wong et al., 2018</w:t>
            </w:r>
          </w:p>
        </w:tc>
      </w:tr>
      <w:tr w:rsidR="005D7851" w:rsidRPr="00B37D2B" w14:paraId="767BAC60" w14:textId="77777777" w:rsidTr="00282D33">
        <w:tc>
          <w:tcPr>
            <w:tcW w:w="1278" w:type="dxa"/>
          </w:tcPr>
          <w:p w14:paraId="01E642F7"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2018–2019</w:t>
            </w:r>
          </w:p>
        </w:tc>
        <w:tc>
          <w:tcPr>
            <w:tcW w:w="1471" w:type="dxa"/>
          </w:tcPr>
          <w:p w14:paraId="79A3A2BE"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79.0%</w:t>
            </w:r>
          </w:p>
        </w:tc>
        <w:tc>
          <w:tcPr>
            <w:tcW w:w="1300" w:type="dxa"/>
          </w:tcPr>
          <w:p w14:paraId="15A748E4"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164</w:t>
            </w:r>
          </w:p>
        </w:tc>
        <w:tc>
          <w:tcPr>
            <w:tcW w:w="2325" w:type="dxa"/>
          </w:tcPr>
          <w:p w14:paraId="4DA41297"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Blood and soft tissues</w:t>
            </w:r>
          </w:p>
        </w:tc>
        <w:tc>
          <w:tcPr>
            <w:tcW w:w="849" w:type="dxa"/>
          </w:tcPr>
          <w:p w14:paraId="2A6A1ACD"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Japan</w:t>
            </w:r>
          </w:p>
        </w:tc>
        <w:tc>
          <w:tcPr>
            <w:tcW w:w="1793" w:type="dxa"/>
          </w:tcPr>
          <w:p w14:paraId="4392EC2F"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Ogura et al., 2022</w:t>
            </w:r>
          </w:p>
        </w:tc>
      </w:tr>
      <w:tr w:rsidR="005D7851" w:rsidRPr="00B37D2B" w14:paraId="3DE67EE3" w14:textId="77777777" w:rsidTr="00282D33">
        <w:tc>
          <w:tcPr>
            <w:tcW w:w="1278" w:type="dxa"/>
          </w:tcPr>
          <w:p w14:paraId="0190CEE6"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2019–2020</w:t>
            </w:r>
          </w:p>
        </w:tc>
        <w:tc>
          <w:tcPr>
            <w:tcW w:w="1471" w:type="dxa"/>
          </w:tcPr>
          <w:p w14:paraId="2B5DEFF3"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16.0%</w:t>
            </w:r>
          </w:p>
        </w:tc>
        <w:tc>
          <w:tcPr>
            <w:tcW w:w="1300" w:type="dxa"/>
          </w:tcPr>
          <w:p w14:paraId="4DCAFF11"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25</w:t>
            </w:r>
          </w:p>
        </w:tc>
        <w:tc>
          <w:tcPr>
            <w:tcW w:w="2325" w:type="dxa"/>
          </w:tcPr>
          <w:p w14:paraId="7FA80095"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Nasal swabs</w:t>
            </w:r>
          </w:p>
        </w:tc>
        <w:tc>
          <w:tcPr>
            <w:tcW w:w="849" w:type="dxa"/>
          </w:tcPr>
          <w:p w14:paraId="6B2B4EB6"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Egypt</w:t>
            </w:r>
          </w:p>
        </w:tc>
        <w:tc>
          <w:tcPr>
            <w:tcW w:w="1793" w:type="dxa"/>
          </w:tcPr>
          <w:p w14:paraId="77777C3F"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Mostafa et al., 2022</w:t>
            </w:r>
          </w:p>
        </w:tc>
      </w:tr>
      <w:tr w:rsidR="005D7851" w:rsidRPr="00B37D2B" w14:paraId="4D7F7F9A" w14:textId="77777777" w:rsidTr="00282D33">
        <w:tc>
          <w:tcPr>
            <w:tcW w:w="1278" w:type="dxa"/>
          </w:tcPr>
          <w:p w14:paraId="4E9EA9FF"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2019–2020</w:t>
            </w:r>
          </w:p>
        </w:tc>
        <w:tc>
          <w:tcPr>
            <w:tcW w:w="1471" w:type="dxa"/>
          </w:tcPr>
          <w:p w14:paraId="37EC8C2E"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44.3%</w:t>
            </w:r>
          </w:p>
        </w:tc>
        <w:tc>
          <w:tcPr>
            <w:tcW w:w="1300" w:type="dxa"/>
          </w:tcPr>
          <w:p w14:paraId="08CA93CF"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97</w:t>
            </w:r>
          </w:p>
        </w:tc>
        <w:tc>
          <w:tcPr>
            <w:tcW w:w="2325" w:type="dxa"/>
          </w:tcPr>
          <w:p w14:paraId="5E953088"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Wound, pus, CSF, blood, skin lesions, sputum, joint fluid, ear, nose, throat</w:t>
            </w:r>
          </w:p>
        </w:tc>
        <w:tc>
          <w:tcPr>
            <w:tcW w:w="849" w:type="dxa"/>
          </w:tcPr>
          <w:p w14:paraId="1C73C46C"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Iran</w:t>
            </w:r>
          </w:p>
        </w:tc>
        <w:tc>
          <w:tcPr>
            <w:tcW w:w="1793" w:type="dxa"/>
          </w:tcPr>
          <w:p w14:paraId="2043361B"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Tabandeh et al., 2022</w:t>
            </w:r>
          </w:p>
        </w:tc>
      </w:tr>
      <w:tr w:rsidR="005D7851" w:rsidRPr="00B37D2B" w14:paraId="22B7BA2D" w14:textId="77777777" w:rsidTr="00282D33">
        <w:tc>
          <w:tcPr>
            <w:tcW w:w="1278" w:type="dxa"/>
          </w:tcPr>
          <w:p w14:paraId="2F4F0FF6"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2020</w:t>
            </w:r>
          </w:p>
        </w:tc>
        <w:tc>
          <w:tcPr>
            <w:tcW w:w="1471" w:type="dxa"/>
          </w:tcPr>
          <w:p w14:paraId="0724221E"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84.9%</w:t>
            </w:r>
          </w:p>
        </w:tc>
        <w:tc>
          <w:tcPr>
            <w:tcW w:w="1300" w:type="dxa"/>
          </w:tcPr>
          <w:p w14:paraId="103D92E5"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456</w:t>
            </w:r>
          </w:p>
        </w:tc>
        <w:tc>
          <w:tcPr>
            <w:tcW w:w="2325" w:type="dxa"/>
          </w:tcPr>
          <w:p w14:paraId="2539254C"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Blood</w:t>
            </w:r>
          </w:p>
        </w:tc>
        <w:tc>
          <w:tcPr>
            <w:tcW w:w="849" w:type="dxa"/>
          </w:tcPr>
          <w:p w14:paraId="1C58A0BD"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Australia</w:t>
            </w:r>
          </w:p>
        </w:tc>
        <w:tc>
          <w:tcPr>
            <w:tcW w:w="1793" w:type="dxa"/>
          </w:tcPr>
          <w:p w14:paraId="0F1B3B1E"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Coombs et al., 2022</w:t>
            </w:r>
          </w:p>
        </w:tc>
      </w:tr>
      <w:tr w:rsidR="005D7851" w:rsidRPr="00B37D2B" w14:paraId="7B119FD3" w14:textId="77777777" w:rsidTr="00282D33">
        <w:tc>
          <w:tcPr>
            <w:tcW w:w="1278" w:type="dxa"/>
          </w:tcPr>
          <w:p w14:paraId="7D6E26BD"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2021</w:t>
            </w:r>
          </w:p>
        </w:tc>
        <w:tc>
          <w:tcPr>
            <w:tcW w:w="1471" w:type="dxa"/>
          </w:tcPr>
          <w:p w14:paraId="05D10B10"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28.7%</w:t>
            </w:r>
          </w:p>
        </w:tc>
        <w:tc>
          <w:tcPr>
            <w:tcW w:w="1300" w:type="dxa"/>
          </w:tcPr>
          <w:p w14:paraId="3FA21597"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295</w:t>
            </w:r>
          </w:p>
        </w:tc>
        <w:tc>
          <w:tcPr>
            <w:tcW w:w="2325" w:type="dxa"/>
          </w:tcPr>
          <w:p w14:paraId="48232536"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Urine, sputum, wound swabs, nasal swabs, fomites</w:t>
            </w:r>
          </w:p>
        </w:tc>
        <w:tc>
          <w:tcPr>
            <w:tcW w:w="849" w:type="dxa"/>
          </w:tcPr>
          <w:p w14:paraId="07575CEA"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Nigeria</w:t>
            </w:r>
          </w:p>
        </w:tc>
        <w:tc>
          <w:tcPr>
            <w:tcW w:w="1793" w:type="dxa"/>
          </w:tcPr>
          <w:p w14:paraId="3D943DBF" w14:textId="77777777" w:rsidR="005D7851" w:rsidRPr="00B37D2B" w:rsidRDefault="005D7851" w:rsidP="000166A9">
            <w:pPr>
              <w:spacing w:line="480" w:lineRule="auto"/>
              <w:rPr>
                <w:rFonts w:ascii="Times New Roman" w:hAnsi="Times New Roman" w:cs="Times New Roman"/>
                <w:sz w:val="18"/>
                <w:szCs w:val="18"/>
              </w:rPr>
            </w:pPr>
            <w:r w:rsidRPr="00B37D2B">
              <w:rPr>
                <w:rFonts w:ascii="Times New Roman" w:hAnsi="Times New Roman" w:cs="Times New Roman"/>
                <w:sz w:val="18"/>
                <w:szCs w:val="18"/>
              </w:rPr>
              <w:t>Ugwu et al., 2022</w:t>
            </w:r>
          </w:p>
        </w:tc>
      </w:tr>
    </w:tbl>
    <w:p w14:paraId="6E2D60E1" w14:textId="77777777" w:rsidR="005D7851" w:rsidRPr="00B37D2B" w:rsidRDefault="005D7851" w:rsidP="005D7851">
      <w:pPr>
        <w:spacing w:after="0" w:line="480" w:lineRule="auto"/>
        <w:rPr>
          <w:rFonts w:ascii="Arial" w:hAnsi="Arial" w:cs="Arial"/>
        </w:rPr>
      </w:pPr>
      <w:r w:rsidRPr="00B37D2B">
        <w:rPr>
          <w:rFonts w:ascii="Arial" w:hAnsi="Arial" w:cs="Arial"/>
        </w:rPr>
        <w:lastRenderedPageBreak/>
        <w:t>(From Shoaib et al., 2023)</w:t>
      </w:r>
    </w:p>
    <w:p w14:paraId="5DEA820F" w14:textId="77777777" w:rsidR="005D7851" w:rsidRPr="00B37D2B" w:rsidRDefault="005D7851" w:rsidP="005D7851">
      <w:pPr>
        <w:spacing w:after="0" w:line="480" w:lineRule="auto"/>
        <w:rPr>
          <w:rFonts w:ascii="Arial" w:hAnsi="Arial" w:cs="Arial"/>
        </w:rPr>
      </w:pPr>
      <w:r w:rsidRPr="00B37D2B">
        <w:rPr>
          <w:rFonts w:ascii="Arial" w:hAnsi="Arial" w:cs="Arial"/>
          <w:b/>
          <w:bCs/>
        </w:rPr>
        <w:t>Note</w:t>
      </w:r>
      <w:r w:rsidRPr="00B37D2B">
        <w:rPr>
          <w:rFonts w:ascii="Arial" w:hAnsi="Arial" w:cs="Arial"/>
        </w:rPr>
        <w:t xml:space="preserve">. This table was reordered from the original data chronologically to facilitate understanding of long-term trends. Original data can be accessed via: </w:t>
      </w:r>
      <w:hyperlink r:id="rId12" w:history="1">
        <w:r w:rsidRPr="00B37D2B">
          <w:rPr>
            <w:rStyle w:val="Hyperlink"/>
            <w:rFonts w:ascii="Arial" w:hAnsi="Arial" w:cs="Arial"/>
          </w:rPr>
          <w:t>https://pmc.ncbi.nlm.nih.gov/articles/PMC9871788/</w:t>
        </w:r>
      </w:hyperlink>
    </w:p>
    <w:p w14:paraId="12C7FC61" w14:textId="77777777" w:rsidR="005D7851" w:rsidRPr="00B37D2B" w:rsidRDefault="005D7851" w:rsidP="00B37D2B">
      <w:pPr>
        <w:spacing w:after="0" w:line="480" w:lineRule="auto"/>
        <w:rPr>
          <w:rFonts w:ascii="Arial" w:hAnsi="Arial" w:cs="Arial"/>
          <w:b/>
          <w:bCs/>
        </w:rPr>
      </w:pPr>
    </w:p>
    <w:p w14:paraId="2C0AB45E" w14:textId="77777777" w:rsidR="00B37D2B" w:rsidRPr="00B37D2B" w:rsidRDefault="00B37D2B" w:rsidP="00B37D2B">
      <w:pPr>
        <w:spacing w:after="0" w:line="480" w:lineRule="auto"/>
        <w:rPr>
          <w:rFonts w:ascii="Arial" w:hAnsi="Arial" w:cs="Arial"/>
          <w:b/>
          <w:bCs/>
        </w:rPr>
      </w:pPr>
      <w:r w:rsidRPr="00B37D2B">
        <w:rPr>
          <w:rFonts w:ascii="Arial" w:hAnsi="Arial" w:cs="Arial"/>
          <w:b/>
          <w:bCs/>
        </w:rPr>
        <w:t>Figure 1</w:t>
      </w:r>
    </w:p>
    <w:p w14:paraId="31B636FE" w14:textId="77777777" w:rsidR="00B37D2B" w:rsidRPr="00B37D2B" w:rsidRDefault="00B37D2B" w:rsidP="00B37D2B">
      <w:pPr>
        <w:spacing w:after="0" w:line="480" w:lineRule="auto"/>
        <w:rPr>
          <w:rFonts w:ascii="Arial" w:hAnsi="Arial" w:cs="Arial"/>
          <w:i/>
          <w:iCs/>
        </w:rPr>
      </w:pPr>
      <w:r w:rsidRPr="00B37D2B">
        <w:rPr>
          <w:rFonts w:ascii="Arial" w:hAnsi="Arial" w:cs="Arial"/>
          <w:i/>
          <w:iCs/>
        </w:rPr>
        <w:t>The Original Gel Electrophoresis Data</w:t>
      </w:r>
    </w:p>
    <w:p w14:paraId="366874A2" w14:textId="77777777" w:rsidR="00B37D2B" w:rsidRPr="00B37D2B" w:rsidRDefault="00B37D2B" w:rsidP="00B37D2B">
      <w:pPr>
        <w:spacing w:after="0" w:line="480" w:lineRule="auto"/>
        <w:rPr>
          <w:rFonts w:ascii="Arial" w:hAnsi="Arial" w:cs="Arial"/>
          <w:b/>
          <w:bCs/>
        </w:rPr>
      </w:pPr>
      <w:r w:rsidRPr="00B37D2B">
        <w:rPr>
          <w:rFonts w:ascii="Arial" w:hAnsi="Arial" w:cs="Arial"/>
          <w:noProof/>
        </w:rPr>
        <w:drawing>
          <wp:inline distT="0" distB="0" distL="0" distR="0" wp14:anchorId="4E0D9292" wp14:editId="79BCCCF8">
            <wp:extent cx="5731510" cy="3326130"/>
            <wp:effectExtent l="0" t="0" r="2540" b="7620"/>
            <wp:docPr id="1498583957" name="Picture 1" descr="A close-up of a dn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83957" name="Picture 1" descr="A close-up of a dna test&#10;&#10;AI-generated content may be incorrect."/>
                    <pic:cNvPicPr/>
                  </pic:nvPicPr>
                  <pic:blipFill>
                    <a:blip r:embed="rId13"/>
                    <a:stretch>
                      <a:fillRect/>
                    </a:stretch>
                  </pic:blipFill>
                  <pic:spPr>
                    <a:xfrm>
                      <a:off x="0" y="0"/>
                      <a:ext cx="5731510" cy="3326130"/>
                    </a:xfrm>
                    <a:prstGeom prst="rect">
                      <a:avLst/>
                    </a:prstGeom>
                  </pic:spPr>
                </pic:pic>
              </a:graphicData>
            </a:graphic>
          </wp:inline>
        </w:drawing>
      </w:r>
    </w:p>
    <w:p w14:paraId="0617132C" w14:textId="77777777" w:rsidR="009E27D5" w:rsidRDefault="009E27D5" w:rsidP="00B37D2B">
      <w:pPr>
        <w:spacing w:after="0" w:line="480" w:lineRule="auto"/>
        <w:rPr>
          <w:rFonts w:ascii="Arial" w:hAnsi="Arial" w:cs="Arial"/>
          <w:b/>
          <w:bCs/>
        </w:rPr>
      </w:pPr>
    </w:p>
    <w:p w14:paraId="4AD53CA5" w14:textId="77777777" w:rsidR="009E27D5" w:rsidRDefault="009E27D5" w:rsidP="00B37D2B">
      <w:pPr>
        <w:spacing w:after="0" w:line="480" w:lineRule="auto"/>
        <w:rPr>
          <w:rFonts w:ascii="Arial" w:hAnsi="Arial" w:cs="Arial"/>
          <w:b/>
          <w:bCs/>
        </w:rPr>
      </w:pPr>
    </w:p>
    <w:p w14:paraId="7E838B84" w14:textId="77777777" w:rsidR="009E27D5" w:rsidRDefault="009E27D5" w:rsidP="00B37D2B">
      <w:pPr>
        <w:spacing w:after="0" w:line="480" w:lineRule="auto"/>
        <w:rPr>
          <w:rFonts w:ascii="Arial" w:hAnsi="Arial" w:cs="Arial"/>
          <w:b/>
          <w:bCs/>
        </w:rPr>
      </w:pPr>
    </w:p>
    <w:p w14:paraId="789BBD6B" w14:textId="77777777" w:rsidR="009E27D5" w:rsidRDefault="009E27D5" w:rsidP="00B37D2B">
      <w:pPr>
        <w:spacing w:after="0" w:line="480" w:lineRule="auto"/>
        <w:rPr>
          <w:rFonts w:ascii="Arial" w:hAnsi="Arial" w:cs="Arial"/>
          <w:b/>
          <w:bCs/>
        </w:rPr>
      </w:pPr>
    </w:p>
    <w:p w14:paraId="74AA9B18" w14:textId="77777777" w:rsidR="00282D33" w:rsidRDefault="00282D33" w:rsidP="00B37D2B">
      <w:pPr>
        <w:spacing w:after="0" w:line="480" w:lineRule="auto"/>
        <w:rPr>
          <w:rFonts w:ascii="Arial" w:hAnsi="Arial" w:cs="Arial"/>
          <w:b/>
          <w:bCs/>
        </w:rPr>
      </w:pPr>
    </w:p>
    <w:p w14:paraId="1866CEDD" w14:textId="77777777" w:rsidR="00282D33" w:rsidRDefault="00282D33" w:rsidP="00B37D2B">
      <w:pPr>
        <w:spacing w:after="0" w:line="480" w:lineRule="auto"/>
        <w:rPr>
          <w:rFonts w:ascii="Arial" w:hAnsi="Arial" w:cs="Arial"/>
          <w:b/>
          <w:bCs/>
        </w:rPr>
      </w:pPr>
    </w:p>
    <w:p w14:paraId="09E1C729" w14:textId="77777777" w:rsidR="00282D33" w:rsidRDefault="00282D33" w:rsidP="00B37D2B">
      <w:pPr>
        <w:spacing w:after="0" w:line="480" w:lineRule="auto"/>
        <w:rPr>
          <w:rFonts w:ascii="Arial" w:hAnsi="Arial" w:cs="Arial"/>
          <w:b/>
          <w:bCs/>
        </w:rPr>
      </w:pPr>
    </w:p>
    <w:p w14:paraId="2892A0EB" w14:textId="77777777" w:rsidR="00282D33" w:rsidRDefault="00282D33" w:rsidP="00B37D2B">
      <w:pPr>
        <w:spacing w:after="0" w:line="480" w:lineRule="auto"/>
        <w:rPr>
          <w:rFonts w:ascii="Arial" w:hAnsi="Arial" w:cs="Arial"/>
          <w:b/>
          <w:bCs/>
        </w:rPr>
      </w:pPr>
    </w:p>
    <w:p w14:paraId="710D93E4" w14:textId="77777777" w:rsidR="009E27D5" w:rsidRDefault="009E27D5" w:rsidP="00B37D2B">
      <w:pPr>
        <w:spacing w:after="0" w:line="480" w:lineRule="auto"/>
        <w:rPr>
          <w:rFonts w:ascii="Arial" w:hAnsi="Arial" w:cs="Arial"/>
          <w:b/>
          <w:bCs/>
        </w:rPr>
      </w:pPr>
    </w:p>
    <w:p w14:paraId="604F33D4" w14:textId="09BEA005" w:rsidR="00B37D2B" w:rsidRPr="00B37D2B" w:rsidRDefault="00B37D2B" w:rsidP="00B37D2B">
      <w:pPr>
        <w:spacing w:after="0" w:line="480" w:lineRule="auto"/>
        <w:rPr>
          <w:rFonts w:ascii="Arial" w:hAnsi="Arial" w:cs="Arial"/>
          <w:b/>
          <w:bCs/>
        </w:rPr>
      </w:pPr>
      <w:r w:rsidRPr="00B37D2B">
        <w:rPr>
          <w:rFonts w:ascii="Arial" w:hAnsi="Arial" w:cs="Arial"/>
          <w:b/>
          <w:bCs/>
        </w:rPr>
        <w:lastRenderedPageBreak/>
        <w:t>Figure 2</w:t>
      </w:r>
    </w:p>
    <w:p w14:paraId="59844912" w14:textId="77777777" w:rsidR="00B37D2B" w:rsidRPr="00B37D2B" w:rsidRDefault="00B37D2B" w:rsidP="00B37D2B">
      <w:pPr>
        <w:spacing w:after="0" w:line="480" w:lineRule="auto"/>
        <w:rPr>
          <w:rFonts w:ascii="Arial" w:hAnsi="Arial" w:cs="Arial"/>
          <w:i/>
          <w:iCs/>
        </w:rPr>
      </w:pPr>
      <w:r w:rsidRPr="00B37D2B">
        <w:rPr>
          <w:rFonts w:ascii="Arial" w:hAnsi="Arial" w:cs="Arial"/>
          <w:i/>
          <w:iCs/>
        </w:rPr>
        <w:t>Full Sequence and Primer Binding Spot of the mecA Gene</w:t>
      </w:r>
    </w:p>
    <w:p w14:paraId="42F41773" w14:textId="77777777" w:rsidR="00B37D2B" w:rsidRPr="00B37D2B" w:rsidRDefault="00B37D2B" w:rsidP="00B37D2B">
      <w:pPr>
        <w:spacing w:after="0" w:line="480" w:lineRule="auto"/>
        <w:rPr>
          <w:rFonts w:ascii="Arial" w:hAnsi="Arial" w:cs="Arial"/>
        </w:rPr>
      </w:pPr>
      <w:r w:rsidRPr="00B37D2B">
        <w:rPr>
          <w:rFonts w:ascii="Arial" w:hAnsi="Arial" w:cs="Arial"/>
          <w:noProof/>
        </w:rPr>
        <w:drawing>
          <wp:inline distT="0" distB="0" distL="0" distR="0" wp14:anchorId="5B102F71" wp14:editId="16F8EAE1">
            <wp:extent cx="5731510" cy="6340475"/>
            <wp:effectExtent l="0" t="0" r="2540" b="3175"/>
            <wp:docPr id="900090115" name="Picture 1" descr="A yellow line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90115" name="Picture 1" descr="A yellow line with black letters&#10;&#10;AI-generated content may be incorrect."/>
                    <pic:cNvPicPr/>
                  </pic:nvPicPr>
                  <pic:blipFill>
                    <a:blip r:embed="rId14"/>
                    <a:stretch>
                      <a:fillRect/>
                    </a:stretch>
                  </pic:blipFill>
                  <pic:spPr>
                    <a:xfrm>
                      <a:off x="0" y="0"/>
                      <a:ext cx="5731510" cy="6340475"/>
                    </a:xfrm>
                    <a:prstGeom prst="rect">
                      <a:avLst/>
                    </a:prstGeom>
                  </pic:spPr>
                </pic:pic>
              </a:graphicData>
            </a:graphic>
          </wp:inline>
        </w:drawing>
      </w:r>
    </w:p>
    <w:p w14:paraId="57D3969C" w14:textId="77777777" w:rsidR="00B37D2B" w:rsidRPr="00B37D2B" w:rsidRDefault="00B37D2B" w:rsidP="00B37D2B">
      <w:pPr>
        <w:spacing w:after="0" w:line="480" w:lineRule="auto"/>
        <w:rPr>
          <w:rFonts w:ascii="Arial" w:hAnsi="Arial" w:cs="Arial"/>
          <w:b/>
          <w:bCs/>
        </w:rPr>
      </w:pPr>
    </w:p>
    <w:p w14:paraId="21F92913" w14:textId="77777777" w:rsidR="00F964CE" w:rsidRPr="00B37D2B" w:rsidRDefault="00F964CE">
      <w:pPr>
        <w:rPr>
          <w:rFonts w:ascii="Arial" w:hAnsi="Arial" w:cs="Arial"/>
        </w:rPr>
      </w:pPr>
    </w:p>
    <w:sectPr w:rsidR="00F964CE" w:rsidRPr="00B37D2B" w:rsidSect="00037318">
      <w:headerReference w:type="default" r:id="rId1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0E76E" w14:textId="77777777" w:rsidR="005D7851" w:rsidRDefault="005D7851" w:rsidP="005D7851">
      <w:pPr>
        <w:spacing w:after="0" w:line="240" w:lineRule="auto"/>
      </w:pPr>
      <w:r>
        <w:separator/>
      </w:r>
    </w:p>
  </w:endnote>
  <w:endnote w:type="continuationSeparator" w:id="0">
    <w:p w14:paraId="009972D4" w14:textId="77777777" w:rsidR="005D7851" w:rsidRDefault="005D7851" w:rsidP="005D7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F7C6D" w14:textId="77777777" w:rsidR="005D7851" w:rsidRDefault="005D7851" w:rsidP="005D7851">
      <w:pPr>
        <w:spacing w:after="0" w:line="240" w:lineRule="auto"/>
      </w:pPr>
      <w:r>
        <w:separator/>
      </w:r>
    </w:p>
  </w:footnote>
  <w:footnote w:type="continuationSeparator" w:id="0">
    <w:p w14:paraId="122E35C0" w14:textId="77777777" w:rsidR="005D7851" w:rsidRDefault="005D7851" w:rsidP="005D78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528219"/>
      <w:docPartObj>
        <w:docPartGallery w:val="Page Numbers (Top of Page)"/>
        <w:docPartUnique/>
      </w:docPartObj>
    </w:sdtPr>
    <w:sdtContent>
      <w:p w14:paraId="359DAB0B" w14:textId="297DDEA0" w:rsidR="00AD3AF1" w:rsidRDefault="00AD3AF1">
        <w:pPr>
          <w:pStyle w:val="Header"/>
          <w:jc w:val="right"/>
        </w:pPr>
        <w:r>
          <w:fldChar w:fldCharType="begin"/>
        </w:r>
        <w:r>
          <w:instrText>PAGE   \* MERGEFORMAT</w:instrText>
        </w:r>
        <w:r>
          <w:fldChar w:fldCharType="separate"/>
        </w:r>
        <w:r>
          <w:t>2</w:t>
        </w:r>
        <w:r>
          <w:fldChar w:fldCharType="end"/>
        </w:r>
      </w:p>
    </w:sdtContent>
  </w:sdt>
  <w:p w14:paraId="60E65165" w14:textId="77777777" w:rsidR="00AD3AF1" w:rsidRDefault="00AD3AF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D2B"/>
    <w:rsid w:val="000039DB"/>
    <w:rsid w:val="00016E22"/>
    <w:rsid w:val="00037318"/>
    <w:rsid w:val="000955BA"/>
    <w:rsid w:val="00186892"/>
    <w:rsid w:val="001F4B72"/>
    <w:rsid w:val="00217469"/>
    <w:rsid w:val="00282D33"/>
    <w:rsid w:val="002F2827"/>
    <w:rsid w:val="00366427"/>
    <w:rsid w:val="00446B25"/>
    <w:rsid w:val="00497E6D"/>
    <w:rsid w:val="004B4877"/>
    <w:rsid w:val="00573E5C"/>
    <w:rsid w:val="005978E3"/>
    <w:rsid w:val="005D7851"/>
    <w:rsid w:val="0061242C"/>
    <w:rsid w:val="0063448F"/>
    <w:rsid w:val="00697FA5"/>
    <w:rsid w:val="00697FC5"/>
    <w:rsid w:val="00702DC5"/>
    <w:rsid w:val="007108B2"/>
    <w:rsid w:val="00761E06"/>
    <w:rsid w:val="00812BBB"/>
    <w:rsid w:val="0081609D"/>
    <w:rsid w:val="00875233"/>
    <w:rsid w:val="00875B98"/>
    <w:rsid w:val="009E27D5"/>
    <w:rsid w:val="00A33964"/>
    <w:rsid w:val="00AD3AF1"/>
    <w:rsid w:val="00B106E9"/>
    <w:rsid w:val="00B37D2B"/>
    <w:rsid w:val="00B77384"/>
    <w:rsid w:val="00BC324D"/>
    <w:rsid w:val="00D57375"/>
    <w:rsid w:val="00D772B8"/>
    <w:rsid w:val="00DB6241"/>
    <w:rsid w:val="00DD3356"/>
    <w:rsid w:val="00DF2A2D"/>
    <w:rsid w:val="00E13F50"/>
    <w:rsid w:val="00F964CE"/>
    <w:rsid w:val="00FC0A9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1DF6F501"/>
  <w15:chartTrackingRefBased/>
  <w15:docId w15:val="{CD051FE8-3AC9-4023-96BB-F73831D14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851"/>
    <w:pPr>
      <w:widowControl w:val="0"/>
      <w:wordWrap w:val="0"/>
      <w:autoSpaceDE w:val="0"/>
      <w:autoSpaceDN w:val="0"/>
    </w:pPr>
  </w:style>
  <w:style w:type="paragraph" w:styleId="Heading1">
    <w:name w:val="heading 1"/>
    <w:basedOn w:val="Normal"/>
    <w:next w:val="Normal"/>
    <w:link w:val="Heading1Char"/>
    <w:uiPriority w:val="9"/>
    <w:qFormat/>
    <w:rsid w:val="00B37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D2B"/>
    <w:rPr>
      <w:rFonts w:eastAsiaTheme="majorEastAsia" w:cstheme="majorBidi"/>
      <w:color w:val="272727" w:themeColor="text1" w:themeTint="D8"/>
    </w:rPr>
  </w:style>
  <w:style w:type="paragraph" w:styleId="Title">
    <w:name w:val="Title"/>
    <w:basedOn w:val="Normal"/>
    <w:next w:val="Normal"/>
    <w:link w:val="TitleChar"/>
    <w:uiPriority w:val="10"/>
    <w:qFormat/>
    <w:rsid w:val="00B37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D2B"/>
    <w:pPr>
      <w:spacing w:before="160"/>
      <w:jc w:val="center"/>
    </w:pPr>
    <w:rPr>
      <w:i/>
      <w:iCs/>
      <w:color w:val="404040" w:themeColor="text1" w:themeTint="BF"/>
    </w:rPr>
  </w:style>
  <w:style w:type="character" w:customStyle="1" w:styleId="QuoteChar">
    <w:name w:val="Quote Char"/>
    <w:basedOn w:val="DefaultParagraphFont"/>
    <w:link w:val="Quote"/>
    <w:uiPriority w:val="29"/>
    <w:rsid w:val="00B37D2B"/>
    <w:rPr>
      <w:i/>
      <w:iCs/>
      <w:color w:val="404040" w:themeColor="text1" w:themeTint="BF"/>
    </w:rPr>
  </w:style>
  <w:style w:type="paragraph" w:styleId="ListParagraph">
    <w:name w:val="List Paragraph"/>
    <w:basedOn w:val="Normal"/>
    <w:uiPriority w:val="34"/>
    <w:qFormat/>
    <w:rsid w:val="00B37D2B"/>
    <w:pPr>
      <w:ind w:left="720"/>
      <w:contextualSpacing/>
    </w:pPr>
  </w:style>
  <w:style w:type="character" w:styleId="IntenseEmphasis">
    <w:name w:val="Intense Emphasis"/>
    <w:basedOn w:val="DefaultParagraphFont"/>
    <w:uiPriority w:val="21"/>
    <w:qFormat/>
    <w:rsid w:val="00B37D2B"/>
    <w:rPr>
      <w:i/>
      <w:iCs/>
      <w:color w:val="0F4761" w:themeColor="accent1" w:themeShade="BF"/>
    </w:rPr>
  </w:style>
  <w:style w:type="paragraph" w:styleId="IntenseQuote">
    <w:name w:val="Intense Quote"/>
    <w:basedOn w:val="Normal"/>
    <w:next w:val="Normal"/>
    <w:link w:val="IntenseQuoteChar"/>
    <w:uiPriority w:val="30"/>
    <w:qFormat/>
    <w:rsid w:val="00B37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D2B"/>
    <w:rPr>
      <w:i/>
      <w:iCs/>
      <w:color w:val="0F4761" w:themeColor="accent1" w:themeShade="BF"/>
    </w:rPr>
  </w:style>
  <w:style w:type="character" w:styleId="IntenseReference">
    <w:name w:val="Intense Reference"/>
    <w:basedOn w:val="DefaultParagraphFont"/>
    <w:uiPriority w:val="32"/>
    <w:qFormat/>
    <w:rsid w:val="00B37D2B"/>
    <w:rPr>
      <w:b/>
      <w:bCs/>
      <w:smallCaps/>
      <w:color w:val="0F4761" w:themeColor="accent1" w:themeShade="BF"/>
      <w:spacing w:val="5"/>
    </w:rPr>
  </w:style>
  <w:style w:type="paragraph" w:styleId="Date">
    <w:name w:val="Date"/>
    <w:basedOn w:val="Normal"/>
    <w:next w:val="Normal"/>
    <w:link w:val="DateChar"/>
    <w:uiPriority w:val="99"/>
    <w:semiHidden/>
    <w:unhideWhenUsed/>
    <w:rsid w:val="00B37D2B"/>
  </w:style>
  <w:style w:type="character" w:customStyle="1" w:styleId="DateChar">
    <w:name w:val="Date Char"/>
    <w:basedOn w:val="DefaultParagraphFont"/>
    <w:link w:val="Date"/>
    <w:uiPriority w:val="99"/>
    <w:semiHidden/>
    <w:rsid w:val="00B37D2B"/>
  </w:style>
  <w:style w:type="table" w:styleId="TableGrid">
    <w:name w:val="Table Grid"/>
    <w:basedOn w:val="TableNormal"/>
    <w:uiPriority w:val="39"/>
    <w:rsid w:val="00B37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7D2B"/>
    <w:rPr>
      <w:color w:val="0000FF"/>
      <w:u w:val="single"/>
    </w:rPr>
  </w:style>
  <w:style w:type="character" w:styleId="UnresolvedMention">
    <w:name w:val="Unresolved Mention"/>
    <w:basedOn w:val="DefaultParagraphFont"/>
    <w:uiPriority w:val="99"/>
    <w:semiHidden/>
    <w:unhideWhenUsed/>
    <w:rsid w:val="00A33964"/>
    <w:rPr>
      <w:color w:val="605E5C"/>
      <w:shd w:val="clear" w:color="auto" w:fill="E1DFDD"/>
    </w:rPr>
  </w:style>
  <w:style w:type="paragraph" w:styleId="Header">
    <w:name w:val="header"/>
    <w:basedOn w:val="Normal"/>
    <w:link w:val="HeaderChar"/>
    <w:uiPriority w:val="99"/>
    <w:unhideWhenUsed/>
    <w:rsid w:val="005D78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7851"/>
  </w:style>
  <w:style w:type="paragraph" w:styleId="Footer">
    <w:name w:val="footer"/>
    <w:basedOn w:val="Normal"/>
    <w:link w:val="FooterChar"/>
    <w:uiPriority w:val="99"/>
    <w:unhideWhenUsed/>
    <w:rsid w:val="005D78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78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pmc.ncbi.nlm.nih.gov/articles/PMC9871788/"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18</Pages>
  <Words>3113</Words>
  <Characters>19103</Characters>
  <Application>Microsoft Office Word</Application>
  <DocSecurity>0</DocSecurity>
  <Lines>658</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wldbs thd</dc:creator>
  <cp:keywords/>
  <dc:description/>
  <cp:lastModifiedBy>wldbs thd</cp:lastModifiedBy>
  <cp:revision>19</cp:revision>
  <dcterms:created xsi:type="dcterms:W3CDTF">2025-11-23T16:14:00Z</dcterms:created>
  <dcterms:modified xsi:type="dcterms:W3CDTF">2025-11-23T17:15:00Z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d7d65c85-0536-4ec4-ad6e-c5f32379eec9</vt:lpwstr>
  </property>
</Properties>
</file>