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900A2" w14:textId="77777777" w:rsidR="0086664C" w:rsidRDefault="0086664C" w:rsidP="0086664C">
      <w:pPr>
        <w:spacing w:after="0" w:line="480" w:lineRule="auto"/>
        <w:rPr>
          <w:rFonts w:ascii="Verdana" w:hAnsi="Verdana" w:cs="Calibri"/>
          <w:b/>
          <w:bCs/>
        </w:rPr>
      </w:pPr>
    </w:p>
    <w:p w14:paraId="3DA30235" w14:textId="77777777" w:rsidR="0086664C" w:rsidRDefault="0086664C" w:rsidP="0086664C">
      <w:pPr>
        <w:spacing w:after="0" w:line="480" w:lineRule="auto"/>
        <w:rPr>
          <w:rFonts w:ascii="Verdana" w:hAnsi="Verdana" w:cs="Calibri"/>
          <w:b/>
          <w:bCs/>
        </w:rPr>
      </w:pPr>
    </w:p>
    <w:p w14:paraId="42EBFEC1" w14:textId="77777777" w:rsidR="0086664C" w:rsidRDefault="0086664C" w:rsidP="0086664C">
      <w:pPr>
        <w:spacing w:after="0" w:line="480" w:lineRule="auto"/>
        <w:rPr>
          <w:rFonts w:ascii="Verdana" w:hAnsi="Verdana" w:cs="Calibri"/>
          <w:b/>
          <w:bCs/>
        </w:rPr>
      </w:pPr>
    </w:p>
    <w:p w14:paraId="732A6FCB" w14:textId="77777777" w:rsidR="0086664C" w:rsidRDefault="0086664C" w:rsidP="0086664C">
      <w:pPr>
        <w:spacing w:after="0" w:line="480" w:lineRule="auto"/>
        <w:rPr>
          <w:rFonts w:ascii="Verdana" w:hAnsi="Verdana" w:cs="Calibri"/>
          <w:b/>
          <w:bCs/>
        </w:rPr>
      </w:pPr>
    </w:p>
    <w:p w14:paraId="7D3FC078" w14:textId="77777777" w:rsidR="0086664C" w:rsidRDefault="0086664C" w:rsidP="0086664C">
      <w:pPr>
        <w:spacing w:after="0" w:line="480" w:lineRule="auto"/>
        <w:rPr>
          <w:rFonts w:ascii="Verdana" w:hAnsi="Verdana" w:cs="Calibri"/>
          <w:b/>
          <w:bCs/>
        </w:rPr>
      </w:pPr>
    </w:p>
    <w:p w14:paraId="35CCFAD2" w14:textId="77777777" w:rsidR="0086664C" w:rsidRDefault="0086664C" w:rsidP="0086664C">
      <w:pPr>
        <w:spacing w:after="0" w:line="480" w:lineRule="auto"/>
        <w:rPr>
          <w:rFonts w:ascii="Verdana" w:hAnsi="Verdana" w:cs="Calibri"/>
          <w:b/>
          <w:bCs/>
        </w:rPr>
      </w:pPr>
    </w:p>
    <w:p w14:paraId="10B666D0" w14:textId="77777777" w:rsidR="0086664C" w:rsidRDefault="0086664C" w:rsidP="0086664C">
      <w:pPr>
        <w:spacing w:after="0" w:line="480" w:lineRule="auto"/>
        <w:jc w:val="center"/>
        <w:rPr>
          <w:rFonts w:ascii="Arial" w:hAnsi="Arial" w:cs="Arial"/>
        </w:rPr>
      </w:pPr>
    </w:p>
    <w:p w14:paraId="5F0F90A4" w14:textId="77777777" w:rsidR="0086664C" w:rsidRDefault="0086664C" w:rsidP="0086664C">
      <w:pPr>
        <w:spacing w:after="0" w:line="480" w:lineRule="auto"/>
        <w:jc w:val="center"/>
        <w:rPr>
          <w:rFonts w:ascii="Arial" w:hAnsi="Arial" w:cs="Arial"/>
        </w:rPr>
      </w:pPr>
    </w:p>
    <w:p w14:paraId="17DE52DD" w14:textId="77777777" w:rsidR="0086664C" w:rsidRDefault="0086664C" w:rsidP="0086664C">
      <w:pPr>
        <w:spacing w:after="0" w:line="480" w:lineRule="auto"/>
        <w:jc w:val="center"/>
        <w:rPr>
          <w:rFonts w:ascii="Arial" w:hAnsi="Arial" w:cs="Arial"/>
        </w:rPr>
      </w:pPr>
    </w:p>
    <w:p w14:paraId="0EDC222C" w14:textId="77777777" w:rsidR="0086664C" w:rsidRDefault="0086664C" w:rsidP="0086664C">
      <w:pPr>
        <w:spacing w:after="0" w:line="480" w:lineRule="auto"/>
        <w:jc w:val="center"/>
        <w:rPr>
          <w:rFonts w:ascii="Arial" w:hAnsi="Arial" w:cs="Arial"/>
        </w:rPr>
      </w:pPr>
    </w:p>
    <w:p w14:paraId="264CFE00" w14:textId="7DC522FC" w:rsidR="0086664C" w:rsidRPr="0086664C" w:rsidRDefault="0086664C" w:rsidP="0086664C">
      <w:pPr>
        <w:spacing w:after="0" w:line="480" w:lineRule="auto"/>
        <w:jc w:val="center"/>
        <w:rPr>
          <w:rFonts w:ascii="Arial" w:hAnsi="Arial" w:cs="Arial"/>
        </w:rPr>
      </w:pPr>
      <w:r w:rsidRPr="0086664C">
        <w:rPr>
          <w:rFonts w:ascii="Arial" w:hAnsi="Arial" w:cs="Arial"/>
        </w:rPr>
        <w:t>Case Study: Biochemical, Hormonal, and Lifestyle Contributors to Maria’s Metabolic Imbalance</w:t>
      </w:r>
    </w:p>
    <w:p w14:paraId="5A796944" w14:textId="2D7E6445" w:rsidR="0086664C" w:rsidRPr="0086664C" w:rsidRDefault="0086664C" w:rsidP="0086664C">
      <w:pPr>
        <w:spacing w:after="0" w:line="480" w:lineRule="auto"/>
        <w:jc w:val="center"/>
        <w:rPr>
          <w:rFonts w:ascii="Arial" w:hAnsi="Arial" w:cs="Arial"/>
        </w:rPr>
      </w:pPr>
      <w:r w:rsidRPr="0086664C">
        <w:rPr>
          <w:rFonts w:ascii="Arial" w:hAnsi="Arial" w:cs="Arial"/>
        </w:rPr>
        <w:t>College of Engineering, Environment, and Sciences, Coventry University</w:t>
      </w:r>
    </w:p>
    <w:p w14:paraId="03B918E7" w14:textId="11E1E97E" w:rsidR="0086664C" w:rsidRPr="0086664C" w:rsidRDefault="0086664C" w:rsidP="0086664C">
      <w:pPr>
        <w:spacing w:after="0" w:line="480" w:lineRule="auto"/>
        <w:jc w:val="center"/>
        <w:rPr>
          <w:rFonts w:ascii="Arial" w:hAnsi="Arial" w:cs="Arial"/>
        </w:rPr>
      </w:pPr>
      <w:r w:rsidRPr="0086664C">
        <w:rPr>
          <w:rFonts w:ascii="Arial" w:hAnsi="Arial" w:cs="Arial"/>
        </w:rPr>
        <w:t>5018BIO: Healthy Human Physiology</w:t>
      </w:r>
    </w:p>
    <w:p w14:paraId="02325891" w14:textId="3B4101ED" w:rsidR="0086664C" w:rsidRPr="0086664C" w:rsidRDefault="00D92C37" w:rsidP="0086664C">
      <w:pPr>
        <w:spacing w:after="0" w:line="480" w:lineRule="auto"/>
        <w:jc w:val="center"/>
        <w:rPr>
          <w:rFonts w:ascii="Arial" w:hAnsi="Arial" w:cs="Arial"/>
        </w:rPr>
      </w:pPr>
      <w:r>
        <w:rPr>
          <w:rFonts w:ascii="Arial" w:hAnsi="Arial" w:cs="Arial"/>
        </w:rPr>
        <w:t>Dr</w:t>
      </w:r>
      <w:r w:rsidR="0086664C" w:rsidRPr="0086664C">
        <w:rPr>
          <w:rFonts w:ascii="Arial" w:hAnsi="Arial" w:cs="Arial"/>
        </w:rPr>
        <w:t xml:space="preserve"> Isadora Clivatti Furigo</w:t>
      </w:r>
    </w:p>
    <w:p w14:paraId="00061833" w14:textId="325CA0AB" w:rsidR="0086664C" w:rsidRPr="0086664C" w:rsidRDefault="0086664C" w:rsidP="0086664C">
      <w:pPr>
        <w:spacing w:after="0" w:line="480" w:lineRule="auto"/>
        <w:jc w:val="center"/>
        <w:rPr>
          <w:rFonts w:ascii="Arial" w:hAnsi="Arial" w:cs="Arial"/>
        </w:rPr>
      </w:pPr>
      <w:r w:rsidRPr="0086664C">
        <w:rPr>
          <w:rFonts w:ascii="Arial" w:hAnsi="Arial" w:cs="Arial"/>
        </w:rPr>
        <w:t>26 November, 2025</w:t>
      </w:r>
    </w:p>
    <w:p w14:paraId="3EBA5E4F" w14:textId="77777777" w:rsidR="0086664C" w:rsidRPr="0086664C" w:rsidRDefault="0086664C" w:rsidP="0086664C">
      <w:pPr>
        <w:spacing w:after="0" w:line="480" w:lineRule="auto"/>
        <w:rPr>
          <w:rFonts w:ascii="Arial" w:hAnsi="Arial" w:cs="Arial"/>
          <w:b/>
          <w:bCs/>
        </w:rPr>
      </w:pPr>
    </w:p>
    <w:p w14:paraId="17B6B503" w14:textId="77777777" w:rsidR="0086664C" w:rsidRPr="0086664C" w:rsidRDefault="0086664C" w:rsidP="0086664C">
      <w:pPr>
        <w:spacing w:after="0" w:line="480" w:lineRule="auto"/>
        <w:rPr>
          <w:rFonts w:ascii="Arial" w:hAnsi="Arial" w:cs="Arial"/>
          <w:b/>
          <w:bCs/>
        </w:rPr>
      </w:pPr>
    </w:p>
    <w:p w14:paraId="73908A15" w14:textId="77777777" w:rsidR="0086664C" w:rsidRPr="0086664C" w:rsidRDefault="0086664C" w:rsidP="0086664C">
      <w:pPr>
        <w:spacing w:after="0" w:line="480" w:lineRule="auto"/>
        <w:rPr>
          <w:rFonts w:ascii="Arial" w:hAnsi="Arial" w:cs="Arial"/>
          <w:b/>
          <w:bCs/>
        </w:rPr>
      </w:pPr>
    </w:p>
    <w:p w14:paraId="3A65B07A" w14:textId="77777777" w:rsidR="0086664C" w:rsidRPr="0086664C" w:rsidRDefault="0086664C" w:rsidP="0086664C">
      <w:pPr>
        <w:spacing w:after="0" w:line="480" w:lineRule="auto"/>
        <w:rPr>
          <w:rFonts w:ascii="Arial" w:hAnsi="Arial" w:cs="Arial"/>
          <w:b/>
          <w:bCs/>
        </w:rPr>
      </w:pPr>
    </w:p>
    <w:p w14:paraId="4F66B563" w14:textId="77777777" w:rsidR="0086664C" w:rsidRPr="0086664C" w:rsidRDefault="0086664C" w:rsidP="0086664C">
      <w:pPr>
        <w:spacing w:after="0" w:line="480" w:lineRule="auto"/>
        <w:rPr>
          <w:rFonts w:ascii="Arial" w:hAnsi="Arial" w:cs="Arial"/>
          <w:b/>
          <w:bCs/>
        </w:rPr>
      </w:pPr>
    </w:p>
    <w:p w14:paraId="481A2DC1" w14:textId="77777777" w:rsidR="0086664C" w:rsidRPr="0086664C" w:rsidRDefault="0086664C" w:rsidP="0086664C">
      <w:pPr>
        <w:spacing w:after="0" w:line="480" w:lineRule="auto"/>
        <w:rPr>
          <w:rFonts w:ascii="Arial" w:hAnsi="Arial" w:cs="Arial"/>
          <w:b/>
          <w:bCs/>
        </w:rPr>
      </w:pPr>
    </w:p>
    <w:p w14:paraId="31C0CD07" w14:textId="77777777" w:rsidR="0086664C" w:rsidRPr="0086664C" w:rsidRDefault="0086664C" w:rsidP="0086664C">
      <w:pPr>
        <w:spacing w:after="0" w:line="480" w:lineRule="auto"/>
        <w:rPr>
          <w:rFonts w:ascii="Arial" w:hAnsi="Arial" w:cs="Arial"/>
          <w:b/>
          <w:bCs/>
        </w:rPr>
      </w:pPr>
    </w:p>
    <w:p w14:paraId="56209126" w14:textId="77777777" w:rsidR="0086664C" w:rsidRPr="0086664C" w:rsidRDefault="0086664C" w:rsidP="0086664C">
      <w:pPr>
        <w:spacing w:after="0" w:line="480" w:lineRule="auto"/>
        <w:rPr>
          <w:rFonts w:ascii="Arial" w:hAnsi="Arial" w:cs="Arial"/>
          <w:b/>
          <w:bCs/>
        </w:rPr>
      </w:pPr>
    </w:p>
    <w:p w14:paraId="0CA6F228" w14:textId="77777777" w:rsidR="0086664C" w:rsidRPr="0086664C" w:rsidRDefault="0086664C" w:rsidP="0086664C">
      <w:pPr>
        <w:spacing w:after="0" w:line="480" w:lineRule="auto"/>
        <w:rPr>
          <w:rFonts w:ascii="Arial" w:hAnsi="Arial" w:cs="Arial"/>
          <w:b/>
          <w:bCs/>
        </w:rPr>
      </w:pPr>
    </w:p>
    <w:p w14:paraId="77CD8A31" w14:textId="77777777" w:rsidR="0086664C" w:rsidRPr="0086664C" w:rsidRDefault="0086664C" w:rsidP="0086664C">
      <w:pPr>
        <w:spacing w:after="0" w:line="480" w:lineRule="auto"/>
        <w:rPr>
          <w:rFonts w:ascii="Arial" w:hAnsi="Arial" w:cs="Arial"/>
          <w:b/>
          <w:bCs/>
        </w:rPr>
      </w:pPr>
    </w:p>
    <w:p w14:paraId="3D28BA13" w14:textId="77777777" w:rsidR="0086664C" w:rsidRPr="0086664C" w:rsidRDefault="0086664C" w:rsidP="0086664C">
      <w:pPr>
        <w:spacing w:after="0" w:line="480" w:lineRule="auto"/>
        <w:rPr>
          <w:rFonts w:ascii="Arial" w:hAnsi="Arial" w:cs="Arial"/>
          <w:b/>
          <w:bCs/>
        </w:rPr>
      </w:pPr>
    </w:p>
    <w:p w14:paraId="6D54B0CD" w14:textId="484821E7" w:rsidR="0086664C" w:rsidRPr="0086664C" w:rsidRDefault="0086664C" w:rsidP="0086664C">
      <w:pPr>
        <w:spacing w:after="0" w:line="480" w:lineRule="auto"/>
        <w:rPr>
          <w:rFonts w:ascii="Arial" w:hAnsi="Arial" w:cs="Arial"/>
          <w:b/>
          <w:bCs/>
        </w:rPr>
      </w:pPr>
      <w:r w:rsidRPr="0086664C">
        <w:rPr>
          <w:rFonts w:ascii="Arial" w:hAnsi="Arial" w:cs="Arial"/>
          <w:b/>
          <w:bCs/>
        </w:rPr>
        <w:lastRenderedPageBreak/>
        <w:t>Introduction</w:t>
      </w:r>
    </w:p>
    <w:p w14:paraId="650FA706" w14:textId="480D93BE" w:rsidR="0086664C" w:rsidRDefault="0086664C" w:rsidP="0086664C">
      <w:pPr>
        <w:spacing w:after="0" w:line="480" w:lineRule="auto"/>
        <w:ind w:firstLine="720"/>
        <w:rPr>
          <w:rFonts w:ascii="Arial" w:hAnsi="Arial" w:cs="Arial"/>
        </w:rPr>
      </w:pPr>
      <w:r w:rsidRPr="0086664C">
        <w:rPr>
          <w:rFonts w:ascii="Arial" w:hAnsi="Arial" w:cs="Arial"/>
        </w:rPr>
        <w:t xml:space="preserve">Out of approximately 13 million women who are currently menopausal or peri-menopausal in the UK (NHS, 2022), 75% of them experience menopause symptoms, while one-fourth of them go through severe menopause symptoms. (Wellbeing of Women, </w:t>
      </w:r>
      <w:r w:rsidR="0018732C">
        <w:rPr>
          <w:rFonts w:ascii="Arial" w:hAnsi="Arial" w:cs="Arial" w:hint="eastAsia"/>
        </w:rPr>
        <w:t>2025</w:t>
      </w:r>
      <w:r w:rsidRPr="0086664C">
        <w:rPr>
          <w:rFonts w:ascii="Arial" w:hAnsi="Arial" w:cs="Arial"/>
        </w:rPr>
        <w:t>) Menopause symptoms include vasomotor symptoms, sleep disturbances, and dryness of the vaginal wall, with increased risks of cardiovascular diseases and metabolic syndrome. These physiologic and metabolic changes are directly associated with oestrogen deficiency, which is the main characteristic of menopause. (Opoku et al., 2023)</w:t>
      </w:r>
    </w:p>
    <w:p w14:paraId="3787C451" w14:textId="10924C68" w:rsidR="007E57B2" w:rsidRPr="00E07B77" w:rsidRDefault="007E57B2" w:rsidP="0086664C">
      <w:pPr>
        <w:spacing w:after="0" w:line="480" w:lineRule="auto"/>
        <w:ind w:firstLine="720"/>
        <w:rPr>
          <w:rFonts w:ascii="Arial" w:hAnsi="Arial" w:cs="Arial"/>
        </w:rPr>
      </w:pPr>
      <w:r>
        <w:rPr>
          <w:rFonts w:ascii="Arial" w:hAnsi="Arial" w:cs="Arial" w:hint="eastAsia"/>
        </w:rPr>
        <w:t xml:space="preserve">These </w:t>
      </w:r>
      <w:r>
        <w:rPr>
          <w:rFonts w:ascii="Arial" w:hAnsi="Arial" w:cs="Arial"/>
        </w:rPr>
        <w:t>postmenopausal</w:t>
      </w:r>
      <w:r>
        <w:rPr>
          <w:rFonts w:ascii="Arial" w:hAnsi="Arial" w:cs="Arial" w:hint="eastAsia"/>
        </w:rPr>
        <w:t xml:space="preserve"> changes </w:t>
      </w:r>
      <w:r w:rsidR="00E07B77">
        <w:rPr>
          <w:rFonts w:ascii="Arial" w:hAnsi="Arial" w:cs="Arial" w:hint="eastAsia"/>
        </w:rPr>
        <w:t>can affect energy balance and appetite regulation</w:t>
      </w:r>
      <w:r w:rsidR="004A2546">
        <w:rPr>
          <w:rFonts w:ascii="Arial" w:hAnsi="Arial" w:cs="Arial" w:hint="eastAsia"/>
        </w:rPr>
        <w:t xml:space="preserve"> while interacting with </w:t>
      </w:r>
      <w:r w:rsidR="004A2546">
        <w:rPr>
          <w:rFonts w:ascii="Arial" w:hAnsi="Arial" w:cs="Arial"/>
        </w:rPr>
        <w:t>family</w:t>
      </w:r>
      <w:r w:rsidR="004A2546">
        <w:rPr>
          <w:rFonts w:ascii="Arial" w:hAnsi="Arial" w:cs="Arial" w:hint="eastAsia"/>
        </w:rPr>
        <w:t xml:space="preserve"> history and </w:t>
      </w:r>
      <w:r w:rsidR="004A2546">
        <w:rPr>
          <w:rFonts w:ascii="Arial" w:hAnsi="Arial" w:cs="Arial"/>
        </w:rPr>
        <w:t>lifestyle</w:t>
      </w:r>
      <w:r w:rsidR="004A2546">
        <w:rPr>
          <w:rFonts w:ascii="Arial" w:hAnsi="Arial" w:cs="Arial" w:hint="eastAsia"/>
        </w:rPr>
        <w:t xml:space="preserve">, </w:t>
      </w:r>
      <w:r w:rsidR="00E07B77">
        <w:rPr>
          <w:rFonts w:ascii="Arial" w:hAnsi="Arial" w:cs="Arial" w:hint="eastAsia"/>
        </w:rPr>
        <w:t>which is critical to understanding Maria</w:t>
      </w:r>
      <w:r w:rsidR="00E07B77">
        <w:rPr>
          <w:rFonts w:ascii="Arial" w:hAnsi="Arial" w:cs="Arial"/>
        </w:rPr>
        <w:t>’</w:t>
      </w:r>
      <w:r w:rsidR="00E07B77">
        <w:rPr>
          <w:rFonts w:ascii="Arial" w:hAnsi="Arial" w:cs="Arial" w:hint="eastAsia"/>
        </w:rPr>
        <w:t>s Case in metabolic</w:t>
      </w:r>
      <w:r w:rsidR="001B38D7">
        <w:rPr>
          <w:rFonts w:ascii="Arial" w:hAnsi="Arial" w:cs="Arial" w:hint="eastAsia"/>
        </w:rPr>
        <w:t xml:space="preserve"> imbalances.</w:t>
      </w:r>
    </w:p>
    <w:p w14:paraId="7EB07BFA" w14:textId="77777777" w:rsidR="0086664C" w:rsidRPr="0086664C" w:rsidRDefault="0086664C" w:rsidP="0086664C">
      <w:pPr>
        <w:spacing w:after="0" w:line="480" w:lineRule="auto"/>
        <w:ind w:firstLine="720"/>
        <w:rPr>
          <w:rFonts w:ascii="Arial" w:hAnsi="Arial" w:cs="Arial"/>
        </w:rPr>
      </w:pPr>
      <w:r w:rsidRPr="0086664C">
        <w:rPr>
          <w:rFonts w:ascii="Arial" w:hAnsi="Arial" w:cs="Arial"/>
        </w:rPr>
        <w:t>This case study highlights concepts of energy balance, hedonic and homeostatic eating, and hormones interfering with energy regulation. Also suggesting health interventions prioritising lifestyle-based strategies, this report aims to give an integrated understanding of the hormonal, physiological, and metabolic factors contributing to the condition.</w:t>
      </w:r>
    </w:p>
    <w:p w14:paraId="258178B7" w14:textId="77777777" w:rsidR="0086664C" w:rsidRPr="0086664C" w:rsidRDefault="0086664C" w:rsidP="0086664C">
      <w:pPr>
        <w:spacing w:after="0" w:line="480" w:lineRule="auto"/>
        <w:rPr>
          <w:rFonts w:ascii="Arial" w:hAnsi="Arial" w:cs="Arial"/>
        </w:rPr>
      </w:pPr>
    </w:p>
    <w:p w14:paraId="2753EF21" w14:textId="77777777" w:rsidR="0086664C" w:rsidRDefault="0086664C" w:rsidP="0086664C">
      <w:pPr>
        <w:spacing w:after="0" w:line="360" w:lineRule="auto"/>
        <w:rPr>
          <w:rFonts w:ascii="Arial" w:hAnsi="Arial" w:cs="Arial"/>
          <w:b/>
          <w:bCs/>
        </w:rPr>
      </w:pPr>
      <w:r w:rsidRPr="0086664C">
        <w:rPr>
          <w:rFonts w:ascii="Arial" w:hAnsi="Arial" w:cs="Arial"/>
          <w:b/>
          <w:bCs/>
        </w:rPr>
        <w:t>Case Presentation</w:t>
      </w:r>
    </w:p>
    <w:p w14:paraId="0C621DC0" w14:textId="77777777" w:rsidR="00901E17" w:rsidRDefault="00901E17" w:rsidP="0086664C">
      <w:pPr>
        <w:spacing w:after="0" w:line="360" w:lineRule="auto"/>
        <w:rPr>
          <w:rFonts w:ascii="Arial" w:hAnsi="Arial" w:cs="Arial"/>
          <w:b/>
          <w:bCs/>
        </w:rPr>
      </w:pPr>
    </w:p>
    <w:p w14:paraId="5A09977C" w14:textId="1804E18D" w:rsidR="0086664C" w:rsidRDefault="00901E17" w:rsidP="00901E17">
      <w:pPr>
        <w:spacing w:after="0" w:line="480" w:lineRule="auto"/>
        <w:ind w:firstLine="720"/>
        <w:rPr>
          <w:rFonts w:ascii="Arial" w:hAnsi="Arial" w:cs="Arial"/>
          <w:strike/>
        </w:rPr>
      </w:pPr>
      <w:r w:rsidRPr="0086664C">
        <w:rPr>
          <w:rFonts w:ascii="Arial" w:hAnsi="Arial" w:cs="Arial"/>
        </w:rPr>
        <w:t>Maria</w:t>
      </w:r>
      <w:r>
        <w:rPr>
          <w:rFonts w:ascii="Arial" w:hAnsi="Arial" w:cs="Arial" w:hint="eastAsia"/>
        </w:rPr>
        <w:t xml:space="preserve"> </w:t>
      </w:r>
      <w:r w:rsidRPr="0086664C">
        <w:rPr>
          <w:rFonts w:ascii="Arial" w:hAnsi="Arial" w:cs="Arial"/>
        </w:rPr>
        <w:t>is a 62-year-old female who went through menopause and also has a strong family history of type 2 diabetes mellitus and cardiovascular diseases. She suffers from fatigue, low motivation, and dissatisfaction with her body shape due to constant weight gain over the last decade. She had several attempts to lose weight via restrictive diets, which did not show any particular improvement, as she had difficulty maintaining a restrictive lifestyle and ‘emotional’ eating.</w:t>
      </w:r>
    </w:p>
    <w:p w14:paraId="29A24362" w14:textId="77777777" w:rsidR="00901E17" w:rsidRDefault="00901E17" w:rsidP="00901E17">
      <w:pPr>
        <w:spacing w:after="0" w:line="480" w:lineRule="auto"/>
        <w:rPr>
          <w:rFonts w:ascii="Arial" w:hAnsi="Arial" w:cs="Arial"/>
          <w:strike/>
        </w:rPr>
      </w:pPr>
    </w:p>
    <w:p w14:paraId="16C19CBB" w14:textId="77777777" w:rsidR="00B153B0" w:rsidRDefault="00B153B0" w:rsidP="00901E17">
      <w:pPr>
        <w:spacing w:after="0" w:line="480" w:lineRule="auto"/>
        <w:rPr>
          <w:rFonts w:ascii="Arial" w:hAnsi="Arial" w:cs="Arial"/>
          <w:strike/>
        </w:rPr>
      </w:pPr>
    </w:p>
    <w:p w14:paraId="3570AB9F" w14:textId="77777777" w:rsidR="00B153B0" w:rsidRDefault="00B153B0" w:rsidP="00901E17">
      <w:pPr>
        <w:spacing w:after="0" w:line="480" w:lineRule="auto"/>
        <w:rPr>
          <w:rFonts w:ascii="Arial" w:hAnsi="Arial" w:cs="Arial"/>
          <w:strike/>
        </w:rPr>
      </w:pPr>
    </w:p>
    <w:p w14:paraId="1FAF3A94" w14:textId="77777777" w:rsidR="00B153B0" w:rsidRPr="00901E17" w:rsidRDefault="00B153B0" w:rsidP="00901E17">
      <w:pPr>
        <w:spacing w:after="0" w:line="480" w:lineRule="auto"/>
        <w:rPr>
          <w:rFonts w:ascii="Arial" w:hAnsi="Arial" w:cs="Arial"/>
          <w:strike/>
        </w:rPr>
      </w:pPr>
    </w:p>
    <w:p w14:paraId="3D05495D" w14:textId="77777777" w:rsidR="0086664C" w:rsidRPr="0086664C" w:rsidRDefault="0086664C" w:rsidP="0086664C">
      <w:pPr>
        <w:spacing w:after="0" w:line="360" w:lineRule="auto"/>
        <w:rPr>
          <w:rFonts w:ascii="Arial" w:hAnsi="Arial" w:cs="Arial"/>
          <w:b/>
          <w:bCs/>
        </w:rPr>
      </w:pPr>
      <w:r w:rsidRPr="0086664C">
        <w:rPr>
          <w:rFonts w:ascii="Arial" w:hAnsi="Arial" w:cs="Arial"/>
          <w:b/>
          <w:bCs/>
        </w:rPr>
        <w:lastRenderedPageBreak/>
        <w:t>Table 1</w:t>
      </w:r>
    </w:p>
    <w:p w14:paraId="0EDC3C0C" w14:textId="77777777" w:rsidR="0086664C" w:rsidRPr="0086664C" w:rsidRDefault="0086664C" w:rsidP="0086664C">
      <w:pPr>
        <w:spacing w:after="0" w:line="360" w:lineRule="auto"/>
        <w:rPr>
          <w:rFonts w:ascii="Arial" w:hAnsi="Arial" w:cs="Arial"/>
          <w:i/>
          <w:iCs/>
        </w:rPr>
      </w:pPr>
      <w:r w:rsidRPr="0086664C">
        <w:rPr>
          <w:rFonts w:ascii="Arial" w:hAnsi="Arial" w:cs="Arial"/>
          <w:i/>
          <w:iCs/>
        </w:rPr>
        <w:t>Maria’s Body Composition</w:t>
      </w:r>
    </w:p>
    <w:tbl>
      <w:tblPr>
        <w:tblStyle w:val="TableGrid"/>
        <w:tblW w:w="0" w:type="auto"/>
        <w:tblLook w:val="04A0" w:firstRow="1" w:lastRow="0" w:firstColumn="1" w:lastColumn="0" w:noHBand="0" w:noVBand="1"/>
      </w:tblPr>
      <w:tblGrid>
        <w:gridCol w:w="2263"/>
        <w:gridCol w:w="2835"/>
      </w:tblGrid>
      <w:tr w:rsidR="0086664C" w:rsidRPr="0086664C" w14:paraId="59DA1270" w14:textId="77777777" w:rsidTr="00F16D31">
        <w:tc>
          <w:tcPr>
            <w:tcW w:w="2263" w:type="dxa"/>
          </w:tcPr>
          <w:p w14:paraId="31F841DF" w14:textId="77777777" w:rsidR="0086664C" w:rsidRPr="0086664C" w:rsidRDefault="0086664C" w:rsidP="006A5735">
            <w:pPr>
              <w:rPr>
                <w:rFonts w:ascii="Arial" w:hAnsi="Arial" w:cs="Arial"/>
              </w:rPr>
            </w:pPr>
            <w:r w:rsidRPr="0086664C">
              <w:rPr>
                <w:rFonts w:ascii="Arial" w:hAnsi="Arial" w:cs="Arial"/>
              </w:rPr>
              <w:t>Weight</w:t>
            </w:r>
          </w:p>
        </w:tc>
        <w:tc>
          <w:tcPr>
            <w:tcW w:w="2835" w:type="dxa"/>
          </w:tcPr>
          <w:p w14:paraId="1C03D39E" w14:textId="77777777" w:rsidR="0086664C" w:rsidRPr="0086664C" w:rsidRDefault="0086664C" w:rsidP="006A5735">
            <w:pPr>
              <w:spacing w:line="360" w:lineRule="auto"/>
              <w:rPr>
                <w:rFonts w:ascii="Arial" w:hAnsi="Arial" w:cs="Arial"/>
              </w:rPr>
            </w:pPr>
            <w:r w:rsidRPr="0086664C">
              <w:rPr>
                <w:rFonts w:ascii="Arial" w:hAnsi="Arial" w:cs="Arial"/>
              </w:rPr>
              <w:t>91.5kg (201 lbs)</w:t>
            </w:r>
          </w:p>
        </w:tc>
      </w:tr>
      <w:tr w:rsidR="0086664C" w:rsidRPr="0086664C" w14:paraId="3C3E8F91" w14:textId="77777777" w:rsidTr="00F16D31">
        <w:tc>
          <w:tcPr>
            <w:tcW w:w="2263" w:type="dxa"/>
          </w:tcPr>
          <w:p w14:paraId="1E023BD0" w14:textId="77777777" w:rsidR="0086664C" w:rsidRPr="0086664C" w:rsidRDefault="0086664C" w:rsidP="006A5735">
            <w:pPr>
              <w:rPr>
                <w:rFonts w:ascii="Arial" w:hAnsi="Arial" w:cs="Arial"/>
              </w:rPr>
            </w:pPr>
            <w:r w:rsidRPr="0086664C">
              <w:rPr>
                <w:rFonts w:ascii="Arial" w:hAnsi="Arial" w:cs="Arial"/>
              </w:rPr>
              <w:t>Height</w:t>
            </w:r>
          </w:p>
        </w:tc>
        <w:tc>
          <w:tcPr>
            <w:tcW w:w="2835" w:type="dxa"/>
          </w:tcPr>
          <w:p w14:paraId="56BD6E55" w14:textId="77777777" w:rsidR="0086664C" w:rsidRPr="0086664C" w:rsidRDefault="0086664C" w:rsidP="006A5735">
            <w:pPr>
              <w:spacing w:line="360" w:lineRule="auto"/>
              <w:rPr>
                <w:rFonts w:ascii="Arial" w:hAnsi="Arial" w:cs="Arial"/>
              </w:rPr>
            </w:pPr>
            <w:r w:rsidRPr="0086664C">
              <w:rPr>
                <w:rFonts w:ascii="Arial" w:hAnsi="Arial" w:cs="Arial"/>
              </w:rPr>
              <w:t>160cm (5.3 ft)</w:t>
            </w:r>
          </w:p>
        </w:tc>
      </w:tr>
      <w:tr w:rsidR="0086664C" w:rsidRPr="0086664C" w14:paraId="28E330F1" w14:textId="77777777" w:rsidTr="006A5735">
        <w:trPr>
          <w:trHeight w:val="561"/>
        </w:trPr>
        <w:tc>
          <w:tcPr>
            <w:tcW w:w="2263" w:type="dxa"/>
          </w:tcPr>
          <w:p w14:paraId="44909930" w14:textId="1F1B3AEC" w:rsidR="0086664C" w:rsidRPr="0086664C" w:rsidRDefault="0086664C" w:rsidP="006A5735">
            <w:pPr>
              <w:rPr>
                <w:rFonts w:ascii="Arial" w:hAnsi="Arial" w:cs="Arial"/>
              </w:rPr>
            </w:pPr>
            <w:r w:rsidRPr="0086664C">
              <w:rPr>
                <w:rFonts w:ascii="Arial" w:hAnsi="Arial" w:cs="Arial"/>
              </w:rPr>
              <w:t>Total fat mass percent</w:t>
            </w:r>
          </w:p>
        </w:tc>
        <w:tc>
          <w:tcPr>
            <w:tcW w:w="2835" w:type="dxa"/>
          </w:tcPr>
          <w:p w14:paraId="7A51A2E5" w14:textId="77777777" w:rsidR="0086664C" w:rsidRPr="0086664C" w:rsidRDefault="0086664C" w:rsidP="006A5735">
            <w:pPr>
              <w:spacing w:line="360" w:lineRule="auto"/>
              <w:rPr>
                <w:rFonts w:ascii="Arial" w:hAnsi="Arial" w:cs="Arial"/>
              </w:rPr>
            </w:pPr>
            <w:r w:rsidRPr="0086664C">
              <w:rPr>
                <w:rFonts w:ascii="Arial" w:hAnsi="Arial" w:cs="Arial"/>
              </w:rPr>
              <w:t>43%</w:t>
            </w:r>
          </w:p>
        </w:tc>
      </w:tr>
      <w:tr w:rsidR="0086664C" w:rsidRPr="0086664C" w14:paraId="7F189577" w14:textId="77777777" w:rsidTr="00F16D31">
        <w:tc>
          <w:tcPr>
            <w:tcW w:w="2263" w:type="dxa"/>
          </w:tcPr>
          <w:p w14:paraId="2ED949DF" w14:textId="77777777" w:rsidR="0086664C" w:rsidRPr="0086664C" w:rsidRDefault="0086664C" w:rsidP="006A5735">
            <w:pPr>
              <w:rPr>
                <w:rFonts w:ascii="Arial" w:hAnsi="Arial" w:cs="Arial"/>
              </w:rPr>
            </w:pPr>
            <w:r w:rsidRPr="0086664C">
              <w:rPr>
                <w:rFonts w:ascii="Arial" w:hAnsi="Arial" w:cs="Arial"/>
              </w:rPr>
              <w:t>Total lean body mass</w:t>
            </w:r>
          </w:p>
        </w:tc>
        <w:tc>
          <w:tcPr>
            <w:tcW w:w="2835" w:type="dxa"/>
          </w:tcPr>
          <w:p w14:paraId="60F3ABF4" w14:textId="77777777" w:rsidR="0086664C" w:rsidRPr="0086664C" w:rsidRDefault="0086664C" w:rsidP="006A5735">
            <w:pPr>
              <w:spacing w:line="360" w:lineRule="auto"/>
              <w:rPr>
                <w:rFonts w:ascii="Arial" w:hAnsi="Arial" w:cs="Arial"/>
              </w:rPr>
            </w:pPr>
            <w:r w:rsidRPr="0086664C">
              <w:rPr>
                <w:rFonts w:ascii="Arial" w:hAnsi="Arial" w:cs="Arial"/>
              </w:rPr>
              <w:t>52kg</w:t>
            </w:r>
          </w:p>
        </w:tc>
      </w:tr>
      <w:tr w:rsidR="0086664C" w:rsidRPr="0086664C" w14:paraId="2128E343" w14:textId="77777777" w:rsidTr="00F16D31">
        <w:tc>
          <w:tcPr>
            <w:tcW w:w="2263" w:type="dxa"/>
          </w:tcPr>
          <w:p w14:paraId="6D2AF0A9" w14:textId="77777777" w:rsidR="0086664C" w:rsidRPr="0086664C" w:rsidRDefault="0086664C" w:rsidP="006A5735">
            <w:pPr>
              <w:rPr>
                <w:rFonts w:ascii="Arial" w:hAnsi="Arial" w:cs="Arial"/>
              </w:rPr>
            </w:pPr>
            <w:r w:rsidRPr="0086664C">
              <w:rPr>
                <w:rFonts w:ascii="Arial" w:hAnsi="Arial" w:cs="Arial"/>
              </w:rPr>
              <w:t>Activity factor</w:t>
            </w:r>
          </w:p>
        </w:tc>
        <w:tc>
          <w:tcPr>
            <w:tcW w:w="2835" w:type="dxa"/>
          </w:tcPr>
          <w:p w14:paraId="235F7C1B" w14:textId="77777777" w:rsidR="0086664C" w:rsidRPr="0086664C" w:rsidRDefault="0086664C" w:rsidP="006A5735">
            <w:pPr>
              <w:spacing w:line="360" w:lineRule="auto"/>
              <w:rPr>
                <w:rFonts w:ascii="Arial" w:hAnsi="Arial" w:cs="Arial"/>
              </w:rPr>
            </w:pPr>
            <w:r w:rsidRPr="0086664C">
              <w:rPr>
                <w:rFonts w:ascii="Arial" w:hAnsi="Arial" w:cs="Arial"/>
              </w:rPr>
              <w:t>1.2</w:t>
            </w:r>
          </w:p>
        </w:tc>
      </w:tr>
    </w:tbl>
    <w:p w14:paraId="38A357CF" w14:textId="77777777" w:rsidR="0086664C" w:rsidRPr="0086664C" w:rsidRDefault="0086664C" w:rsidP="0086664C">
      <w:pPr>
        <w:spacing w:after="0" w:line="360" w:lineRule="auto"/>
        <w:ind w:firstLine="720"/>
        <w:rPr>
          <w:rFonts w:ascii="Arial" w:hAnsi="Arial" w:cs="Arial"/>
        </w:rPr>
      </w:pPr>
    </w:p>
    <w:p w14:paraId="6D6C6B33" w14:textId="77777777" w:rsidR="0086664C" w:rsidRPr="0086664C" w:rsidRDefault="0086664C" w:rsidP="0086664C">
      <w:pPr>
        <w:spacing w:after="0" w:line="480" w:lineRule="auto"/>
        <w:ind w:firstLine="720"/>
        <w:rPr>
          <w:rFonts w:ascii="Arial" w:hAnsi="Arial" w:cs="Arial"/>
        </w:rPr>
      </w:pPr>
      <w:r w:rsidRPr="0086664C">
        <w:rPr>
          <w:rFonts w:ascii="Arial" w:hAnsi="Arial" w:cs="Arial"/>
        </w:rPr>
        <w:t>Table 1 shows Maria’s body composition including the activity factor. From this information, calculations of BMI and BMR were conducted.</w:t>
      </w:r>
    </w:p>
    <w:p w14:paraId="73597CE9" w14:textId="77777777" w:rsidR="0086664C" w:rsidRPr="0086664C" w:rsidRDefault="0086664C" w:rsidP="0086664C">
      <w:pPr>
        <w:spacing w:after="0" w:line="480" w:lineRule="auto"/>
        <w:ind w:firstLine="720"/>
        <w:rPr>
          <w:rFonts w:ascii="Arial" w:hAnsi="Arial" w:cs="Arial"/>
        </w:rPr>
      </w:pPr>
      <w:r w:rsidRPr="0086664C">
        <w:rPr>
          <w:rFonts w:ascii="Arial" w:hAnsi="Arial" w:cs="Arial"/>
        </w:rPr>
        <w:t>The Body Mass Index (BMI) is used as an indirect measure of obesity, as a high level of BMI indicates high excess body mass, which is caused by body fat. (Hakeem et al., 2024) Maria’s BMI was calculated by following Equation (1):</w:t>
      </w:r>
    </w:p>
    <w:p w14:paraId="4B19DA60" w14:textId="77777777" w:rsidR="0086664C" w:rsidRPr="0086664C" w:rsidRDefault="0086664C" w:rsidP="0086664C">
      <w:pPr>
        <w:spacing w:after="0" w:line="480" w:lineRule="auto"/>
        <w:ind w:firstLine="720"/>
        <w:jc w:val="center"/>
        <w:rPr>
          <w:rFonts w:ascii="Arial" w:hAnsi="Arial" w:cs="Arial"/>
        </w:rPr>
      </w:pPr>
      <m:oMathPara>
        <m:oMathParaPr>
          <m:jc m:val="right"/>
        </m:oMathParaPr>
        <m:oMath>
          <m:r>
            <w:rPr>
              <w:rFonts w:ascii="Cambria Math" w:hAnsi="Cambria Math" w:cs="Arial"/>
            </w:rPr>
            <m:t>BMI=</m:t>
          </m:r>
          <m:f>
            <m:fPr>
              <m:ctrlPr>
                <w:rPr>
                  <w:rFonts w:ascii="Cambria Math" w:hAnsi="Cambria Math" w:cs="Arial"/>
                  <w:i/>
                </w:rPr>
              </m:ctrlPr>
            </m:fPr>
            <m:num>
              <m:r>
                <w:rPr>
                  <w:rFonts w:ascii="Cambria Math" w:hAnsi="Cambria Math" w:cs="Arial"/>
                </w:rPr>
                <m:t xml:space="preserve">Body weight </m:t>
              </m:r>
              <m:d>
                <m:dPr>
                  <m:ctrlPr>
                    <w:rPr>
                      <w:rFonts w:ascii="Cambria Math" w:hAnsi="Cambria Math" w:cs="Arial"/>
                      <w:i/>
                    </w:rPr>
                  </m:ctrlPr>
                </m:dPr>
                <m:e>
                  <m:r>
                    <w:rPr>
                      <w:rFonts w:ascii="Cambria Math" w:hAnsi="Cambria Math" w:cs="Arial"/>
                    </w:rPr>
                    <m:t>kg</m:t>
                  </m:r>
                </m:e>
              </m:d>
            </m:num>
            <m:den>
              <m:sSup>
                <m:sSupPr>
                  <m:ctrlPr>
                    <w:rPr>
                      <w:rFonts w:ascii="Cambria Math" w:hAnsi="Cambria Math" w:cs="Arial"/>
                      <w:i/>
                    </w:rPr>
                  </m:ctrlPr>
                </m:sSupPr>
                <m:e>
                  <m:d>
                    <m:dPr>
                      <m:begChr m:val="["/>
                      <m:endChr m:val="]"/>
                      <m:ctrlPr>
                        <w:rPr>
                          <w:rFonts w:ascii="Cambria Math" w:hAnsi="Cambria Math" w:cs="Arial"/>
                          <w:i/>
                        </w:rPr>
                      </m:ctrlPr>
                    </m:dPr>
                    <m:e>
                      <m:r>
                        <w:rPr>
                          <w:rFonts w:ascii="Cambria Math" w:hAnsi="Cambria Math" w:cs="Arial"/>
                        </w:rPr>
                        <m:t xml:space="preserve">Height </m:t>
                      </m:r>
                      <m:d>
                        <m:dPr>
                          <m:ctrlPr>
                            <w:rPr>
                              <w:rFonts w:ascii="Cambria Math" w:hAnsi="Cambria Math" w:cs="Arial"/>
                              <w:i/>
                            </w:rPr>
                          </m:ctrlPr>
                        </m:dPr>
                        <m:e>
                          <m:r>
                            <w:rPr>
                              <w:rFonts w:ascii="Cambria Math" w:hAnsi="Cambria Math" w:cs="Arial"/>
                            </w:rPr>
                            <m:t>m</m:t>
                          </m:r>
                        </m:e>
                      </m:d>
                    </m:e>
                  </m:d>
                </m:e>
                <m:sup>
                  <m:r>
                    <w:rPr>
                      <w:rFonts w:ascii="Cambria Math" w:hAnsi="Cambria Math" w:cs="Arial"/>
                    </w:rPr>
                    <m:t>2</m:t>
                  </m:r>
                </m:sup>
              </m:sSup>
            </m:den>
          </m:f>
          <m:r>
            <w:rPr>
              <w:rFonts w:ascii="Cambria Math" w:hAnsi="Cambria Math" w:cs="Arial"/>
            </w:rPr>
            <m:t xml:space="preserve">                                                              </m:t>
          </m:r>
          <m:d>
            <m:dPr>
              <m:ctrlPr>
                <w:rPr>
                  <w:rFonts w:ascii="Cambria Math" w:hAnsi="Cambria Math" w:cs="Arial"/>
                  <w:i/>
                </w:rPr>
              </m:ctrlPr>
            </m:dPr>
            <m:e>
              <m:r>
                <w:rPr>
                  <w:rFonts w:ascii="Cambria Math" w:hAnsi="Cambria Math" w:cs="Arial"/>
                </w:rPr>
                <m:t>1</m:t>
              </m:r>
            </m:e>
          </m:d>
        </m:oMath>
      </m:oMathPara>
    </w:p>
    <w:p w14:paraId="39DB65B9" w14:textId="77777777" w:rsidR="0086664C" w:rsidRPr="0086664C" w:rsidRDefault="0086664C" w:rsidP="0086664C">
      <w:pPr>
        <w:spacing w:after="0" w:line="480" w:lineRule="auto"/>
        <w:rPr>
          <w:rFonts w:ascii="Arial" w:hAnsi="Arial" w:cs="Arial"/>
        </w:rPr>
      </w:pPr>
      <w:r w:rsidRPr="0086664C">
        <w:rPr>
          <w:rFonts w:ascii="Arial" w:hAnsi="Arial" w:cs="Arial"/>
        </w:rPr>
        <w:t>From this equation, Maria’s BMI is calculated: 91.5/2.56=35.742…</w:t>
      </w:r>
      <m:oMath>
        <m:r>
          <w:rPr>
            <w:rFonts w:ascii="Cambria Math" w:hAnsi="Cambria Math" w:cs="Arial"/>
          </w:rPr>
          <m:t>≈</m:t>
        </m:r>
      </m:oMath>
      <w:r w:rsidRPr="0086664C">
        <w:rPr>
          <w:rFonts w:ascii="Arial" w:hAnsi="Arial" w:cs="Arial"/>
        </w:rPr>
        <w:t>35.7 kg/</w:t>
      </w:r>
      <w:r w:rsidRPr="0086664C">
        <w:rPr>
          <w:rFonts w:ascii="Arial" w:hAnsi="Arial" w:cs="Arial"/>
        </w:rPr>
        <w:t>㎡</w:t>
      </w:r>
      <w:r w:rsidRPr="0086664C">
        <w:rPr>
          <w:rFonts w:ascii="Arial" w:hAnsi="Arial" w:cs="Arial"/>
        </w:rPr>
        <w:t xml:space="preserve">(rounded to two decimal places) </w:t>
      </w:r>
    </w:p>
    <w:p w14:paraId="30DA43AC" w14:textId="660AD4F5" w:rsidR="0086664C" w:rsidRPr="0086664C" w:rsidRDefault="0086664C" w:rsidP="0086664C">
      <w:pPr>
        <w:spacing w:after="0" w:line="480" w:lineRule="auto"/>
        <w:ind w:firstLine="720"/>
        <w:rPr>
          <w:rFonts w:ascii="Arial" w:hAnsi="Arial" w:cs="Arial"/>
        </w:rPr>
      </w:pPr>
      <w:r w:rsidRPr="0086664C">
        <w:rPr>
          <w:rFonts w:ascii="Arial" w:hAnsi="Arial" w:cs="Arial"/>
        </w:rPr>
        <w:t>The Basal Metabolic Rate (BMR) is an important measure of one’s energy expenditure, accounting for up to 60% of total</w:t>
      </w:r>
      <w:r w:rsidR="00736E9E">
        <w:rPr>
          <w:rFonts w:ascii="Arial" w:hAnsi="Arial" w:cs="Arial"/>
        </w:rPr>
        <w:t xml:space="preserve"> energy</w:t>
      </w:r>
      <w:r w:rsidRPr="0086664C">
        <w:rPr>
          <w:rFonts w:ascii="Arial" w:hAnsi="Arial" w:cs="Arial"/>
        </w:rPr>
        <w:t xml:space="preserve">, and measures the amount of energy required for vital activities of the body. (Popson et al., 2023) </w:t>
      </w:r>
    </w:p>
    <w:p w14:paraId="4062F2AE" w14:textId="77777777" w:rsidR="0086664C" w:rsidRPr="0086664C" w:rsidRDefault="0086664C" w:rsidP="0086664C">
      <w:pPr>
        <w:spacing w:after="0" w:line="480" w:lineRule="auto"/>
        <w:rPr>
          <w:rFonts w:ascii="Arial" w:hAnsi="Arial" w:cs="Arial"/>
        </w:rPr>
      </w:pPr>
    </w:p>
    <w:p w14:paraId="2F04C4D8" w14:textId="77777777" w:rsidR="0086664C" w:rsidRPr="0086664C" w:rsidRDefault="0086664C" w:rsidP="0086664C">
      <w:pPr>
        <w:spacing w:after="0" w:line="360" w:lineRule="auto"/>
        <w:rPr>
          <w:rFonts w:ascii="Arial" w:hAnsi="Arial" w:cs="Arial"/>
          <w:b/>
          <w:bCs/>
        </w:rPr>
      </w:pPr>
      <w:r w:rsidRPr="0086664C">
        <w:rPr>
          <w:rFonts w:ascii="Arial" w:hAnsi="Arial" w:cs="Arial"/>
          <w:b/>
          <w:bCs/>
        </w:rPr>
        <w:t>Figure 1</w:t>
      </w:r>
    </w:p>
    <w:p w14:paraId="65005ED2" w14:textId="77777777" w:rsidR="0086664C" w:rsidRPr="0086664C" w:rsidRDefault="0086664C" w:rsidP="0086664C">
      <w:pPr>
        <w:spacing w:after="0" w:line="360" w:lineRule="auto"/>
        <w:rPr>
          <w:rFonts w:ascii="Arial" w:hAnsi="Arial" w:cs="Arial"/>
          <w:i/>
          <w:iCs/>
        </w:rPr>
      </w:pPr>
      <w:r w:rsidRPr="0086664C">
        <w:rPr>
          <w:rFonts w:ascii="Arial" w:hAnsi="Arial" w:cs="Arial"/>
          <w:i/>
          <w:iCs/>
        </w:rPr>
        <w:t>Maria’s Basal Metabolic Rate (BMR) Calculation</w:t>
      </w:r>
    </w:p>
    <w:p w14:paraId="5A427BA6" w14:textId="77777777" w:rsidR="0086664C" w:rsidRPr="0086664C" w:rsidRDefault="0086664C" w:rsidP="0086664C">
      <w:pPr>
        <w:spacing w:after="0" w:line="360" w:lineRule="auto"/>
        <w:rPr>
          <w:rFonts w:ascii="Arial" w:hAnsi="Arial" w:cs="Arial"/>
        </w:rPr>
      </w:pPr>
      <w:r w:rsidRPr="0086664C">
        <w:rPr>
          <w:rFonts w:ascii="Arial" w:hAnsi="Arial" w:cs="Arial"/>
          <w:noProof/>
        </w:rPr>
        <w:drawing>
          <wp:inline distT="0" distB="0" distL="0" distR="0" wp14:anchorId="065A6A4D" wp14:editId="55ACB99A">
            <wp:extent cx="5731510" cy="1393190"/>
            <wp:effectExtent l="0" t="0" r="2540" b="0"/>
            <wp:docPr id="1758156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56988" name="Picture 1" descr="A screenshot of a computer&#10;&#10;AI-generated content may be incorrect."/>
                    <pic:cNvPicPr/>
                  </pic:nvPicPr>
                  <pic:blipFill>
                    <a:blip r:embed="rId6"/>
                    <a:stretch>
                      <a:fillRect/>
                    </a:stretch>
                  </pic:blipFill>
                  <pic:spPr>
                    <a:xfrm>
                      <a:off x="0" y="0"/>
                      <a:ext cx="5731510" cy="1393190"/>
                    </a:xfrm>
                    <a:prstGeom prst="rect">
                      <a:avLst/>
                    </a:prstGeom>
                  </pic:spPr>
                </pic:pic>
              </a:graphicData>
            </a:graphic>
          </wp:inline>
        </w:drawing>
      </w:r>
    </w:p>
    <w:p w14:paraId="438E7595" w14:textId="77777777" w:rsidR="0086664C" w:rsidRPr="0086664C" w:rsidRDefault="0086664C" w:rsidP="0086664C">
      <w:pPr>
        <w:spacing w:after="0" w:line="360" w:lineRule="auto"/>
        <w:rPr>
          <w:rFonts w:ascii="Arial" w:hAnsi="Arial" w:cs="Arial"/>
        </w:rPr>
      </w:pPr>
    </w:p>
    <w:p w14:paraId="4B41ACA5" w14:textId="77777777" w:rsidR="0086664C" w:rsidRPr="0086664C" w:rsidRDefault="0086664C" w:rsidP="0086664C">
      <w:pPr>
        <w:spacing w:after="0" w:line="480" w:lineRule="auto"/>
        <w:rPr>
          <w:rFonts w:ascii="Arial" w:hAnsi="Arial" w:cs="Arial"/>
        </w:rPr>
      </w:pPr>
      <w:r w:rsidRPr="0086664C">
        <w:rPr>
          <w:rFonts w:ascii="Arial" w:hAnsi="Arial" w:cs="Arial"/>
        </w:rPr>
        <w:lastRenderedPageBreak/>
        <w:t>Figure 1 represents the BMR estimation of Maria from the average of the Harris-Benedict and other equations: 1,659kcal/day.</w:t>
      </w:r>
    </w:p>
    <w:p w14:paraId="6AE778EA" w14:textId="631C212F" w:rsidR="006A5735" w:rsidRDefault="0086664C" w:rsidP="00B153B0">
      <w:pPr>
        <w:spacing w:after="0" w:line="480" w:lineRule="auto"/>
        <w:rPr>
          <w:rFonts w:ascii="Arial" w:hAnsi="Arial" w:cs="Arial"/>
        </w:rPr>
      </w:pPr>
      <w:r w:rsidRPr="0086664C">
        <w:rPr>
          <w:rFonts w:ascii="Arial" w:hAnsi="Arial" w:cs="Arial"/>
        </w:rPr>
        <w:tab/>
        <w:t xml:space="preserve">To look </w:t>
      </w:r>
      <w:r w:rsidR="00736E9E">
        <w:rPr>
          <w:rFonts w:ascii="Arial" w:hAnsi="Arial" w:cs="Arial"/>
        </w:rPr>
        <w:t xml:space="preserve">at </w:t>
      </w:r>
      <w:r w:rsidRPr="0086664C">
        <w:rPr>
          <w:rFonts w:ascii="Arial" w:hAnsi="Arial" w:cs="Arial"/>
        </w:rPr>
        <w:t>the underlying hormonal and metabolic imbalance, a biochemistry test was conducted.</w:t>
      </w:r>
    </w:p>
    <w:p w14:paraId="1AA8F4B1" w14:textId="77777777" w:rsidR="00B153B0" w:rsidRPr="00B153B0" w:rsidRDefault="00B153B0" w:rsidP="00B153B0">
      <w:pPr>
        <w:spacing w:after="0" w:line="480" w:lineRule="auto"/>
        <w:rPr>
          <w:rFonts w:ascii="Arial" w:hAnsi="Arial" w:cs="Arial"/>
        </w:rPr>
      </w:pPr>
    </w:p>
    <w:p w14:paraId="0F51B029" w14:textId="3336771C" w:rsidR="0086664C" w:rsidRPr="0086664C" w:rsidRDefault="0086664C" w:rsidP="0086664C">
      <w:pPr>
        <w:spacing w:after="0" w:line="360" w:lineRule="auto"/>
        <w:rPr>
          <w:rFonts w:ascii="Arial" w:hAnsi="Arial" w:cs="Arial"/>
          <w:b/>
          <w:bCs/>
        </w:rPr>
      </w:pPr>
      <w:r w:rsidRPr="0086664C">
        <w:rPr>
          <w:rFonts w:ascii="Arial" w:hAnsi="Arial" w:cs="Arial"/>
          <w:b/>
          <w:bCs/>
        </w:rPr>
        <w:t>Table 2</w:t>
      </w:r>
    </w:p>
    <w:p w14:paraId="4BDFDACD" w14:textId="77777777" w:rsidR="0086664C" w:rsidRPr="0086664C" w:rsidRDefault="0086664C" w:rsidP="0086664C">
      <w:pPr>
        <w:spacing w:after="0" w:line="360" w:lineRule="auto"/>
        <w:rPr>
          <w:rFonts w:ascii="Arial" w:hAnsi="Arial" w:cs="Arial"/>
          <w:i/>
          <w:iCs/>
        </w:rPr>
      </w:pPr>
      <w:r w:rsidRPr="0086664C">
        <w:rPr>
          <w:rFonts w:ascii="Arial" w:hAnsi="Arial" w:cs="Arial"/>
          <w:i/>
          <w:iCs/>
        </w:rPr>
        <w:t>Maria’s Biochemical Test Results</w:t>
      </w:r>
    </w:p>
    <w:tbl>
      <w:tblPr>
        <w:tblStyle w:val="TableGrid"/>
        <w:tblW w:w="0" w:type="auto"/>
        <w:tblLook w:val="04A0" w:firstRow="1" w:lastRow="0" w:firstColumn="1" w:lastColumn="0" w:noHBand="0" w:noVBand="1"/>
      </w:tblPr>
      <w:tblGrid>
        <w:gridCol w:w="3005"/>
        <w:gridCol w:w="2235"/>
        <w:gridCol w:w="3776"/>
      </w:tblGrid>
      <w:tr w:rsidR="0086664C" w:rsidRPr="0086664C" w14:paraId="1D94122E" w14:textId="77777777" w:rsidTr="00F16D31">
        <w:tc>
          <w:tcPr>
            <w:tcW w:w="3005" w:type="dxa"/>
          </w:tcPr>
          <w:p w14:paraId="65D9D65E" w14:textId="77777777" w:rsidR="0086664C" w:rsidRPr="0086664C" w:rsidRDefault="0086664C" w:rsidP="00F16D31">
            <w:pPr>
              <w:spacing w:line="360" w:lineRule="auto"/>
              <w:rPr>
                <w:rFonts w:ascii="Arial" w:hAnsi="Arial" w:cs="Arial"/>
                <w:b/>
                <w:bCs/>
              </w:rPr>
            </w:pPr>
            <w:r w:rsidRPr="0086664C">
              <w:rPr>
                <w:rFonts w:ascii="Arial" w:hAnsi="Arial" w:cs="Arial"/>
                <w:b/>
                <w:bCs/>
              </w:rPr>
              <w:t>Analytes</w:t>
            </w:r>
          </w:p>
        </w:tc>
        <w:tc>
          <w:tcPr>
            <w:tcW w:w="2235" w:type="dxa"/>
          </w:tcPr>
          <w:p w14:paraId="7101C390" w14:textId="77777777" w:rsidR="0086664C" w:rsidRPr="0086664C" w:rsidRDefault="0086664C" w:rsidP="00F16D31">
            <w:pPr>
              <w:spacing w:line="360" w:lineRule="auto"/>
              <w:rPr>
                <w:rFonts w:ascii="Arial" w:hAnsi="Arial" w:cs="Arial"/>
                <w:b/>
                <w:bCs/>
              </w:rPr>
            </w:pPr>
            <w:r w:rsidRPr="0086664C">
              <w:rPr>
                <w:rFonts w:ascii="Arial" w:hAnsi="Arial" w:cs="Arial"/>
                <w:b/>
                <w:bCs/>
              </w:rPr>
              <w:t>Maria’s Results</w:t>
            </w:r>
          </w:p>
        </w:tc>
        <w:tc>
          <w:tcPr>
            <w:tcW w:w="3776" w:type="dxa"/>
          </w:tcPr>
          <w:p w14:paraId="6BB86F55" w14:textId="77777777" w:rsidR="0086664C" w:rsidRPr="0086664C" w:rsidRDefault="0086664C" w:rsidP="00F16D31">
            <w:pPr>
              <w:spacing w:line="360" w:lineRule="auto"/>
              <w:rPr>
                <w:rFonts w:ascii="Arial" w:hAnsi="Arial" w:cs="Arial"/>
                <w:b/>
                <w:bCs/>
              </w:rPr>
            </w:pPr>
            <w:r w:rsidRPr="0086664C">
              <w:rPr>
                <w:rFonts w:ascii="Arial" w:hAnsi="Arial" w:cs="Arial"/>
                <w:b/>
                <w:bCs/>
              </w:rPr>
              <w:t>Reference Range</w:t>
            </w:r>
          </w:p>
        </w:tc>
      </w:tr>
      <w:tr w:rsidR="0086664C" w:rsidRPr="0086664C" w14:paraId="1AB1C161" w14:textId="77777777" w:rsidTr="00F16D31">
        <w:tc>
          <w:tcPr>
            <w:tcW w:w="3005" w:type="dxa"/>
          </w:tcPr>
          <w:p w14:paraId="548A43C1" w14:textId="77777777" w:rsidR="0086664C" w:rsidRPr="0086664C" w:rsidRDefault="0086664C" w:rsidP="00F16D31">
            <w:pPr>
              <w:spacing w:line="360" w:lineRule="auto"/>
              <w:rPr>
                <w:rFonts w:ascii="Arial" w:hAnsi="Arial" w:cs="Arial"/>
                <w:b/>
                <w:bCs/>
              </w:rPr>
            </w:pPr>
            <w:r w:rsidRPr="0086664C">
              <w:rPr>
                <w:rFonts w:ascii="Arial" w:hAnsi="Arial" w:cs="Arial"/>
                <w:b/>
                <w:bCs/>
              </w:rPr>
              <w:t>Progesterone</w:t>
            </w:r>
          </w:p>
        </w:tc>
        <w:tc>
          <w:tcPr>
            <w:tcW w:w="2235" w:type="dxa"/>
          </w:tcPr>
          <w:p w14:paraId="5756232C" w14:textId="77777777" w:rsidR="0086664C" w:rsidRPr="0086664C" w:rsidRDefault="0086664C" w:rsidP="00F16D31">
            <w:pPr>
              <w:spacing w:line="360" w:lineRule="auto"/>
              <w:rPr>
                <w:rFonts w:ascii="Arial" w:hAnsi="Arial" w:cs="Arial"/>
              </w:rPr>
            </w:pPr>
            <w:r w:rsidRPr="0086664C">
              <w:rPr>
                <w:rFonts w:ascii="Arial" w:hAnsi="Arial" w:cs="Arial"/>
              </w:rPr>
              <w:t>0.2 ng/ml</w:t>
            </w:r>
          </w:p>
        </w:tc>
        <w:tc>
          <w:tcPr>
            <w:tcW w:w="3776" w:type="dxa"/>
          </w:tcPr>
          <w:p w14:paraId="1E902395" w14:textId="77777777" w:rsidR="0086664C" w:rsidRPr="0086664C" w:rsidRDefault="0086664C" w:rsidP="00F16D31">
            <w:pPr>
              <w:spacing w:line="360" w:lineRule="auto"/>
              <w:rPr>
                <w:rFonts w:ascii="Arial" w:hAnsi="Arial" w:cs="Arial"/>
              </w:rPr>
            </w:pPr>
            <w:r w:rsidRPr="0086664C">
              <w:rPr>
                <w:rFonts w:ascii="Arial" w:hAnsi="Arial" w:cs="Arial"/>
              </w:rPr>
              <w:t>0.1-0.8 ng/ml (postmenopausal)</w:t>
            </w:r>
          </w:p>
        </w:tc>
      </w:tr>
      <w:tr w:rsidR="0086664C" w:rsidRPr="0086664C" w14:paraId="0D4068E6" w14:textId="77777777" w:rsidTr="00F16D31">
        <w:tc>
          <w:tcPr>
            <w:tcW w:w="3005" w:type="dxa"/>
          </w:tcPr>
          <w:p w14:paraId="30546D32" w14:textId="77777777" w:rsidR="0086664C" w:rsidRPr="0086664C" w:rsidRDefault="0086664C" w:rsidP="00F16D31">
            <w:pPr>
              <w:spacing w:line="360" w:lineRule="auto"/>
              <w:rPr>
                <w:rFonts w:ascii="Arial" w:hAnsi="Arial" w:cs="Arial"/>
                <w:b/>
                <w:bCs/>
              </w:rPr>
            </w:pPr>
            <w:r w:rsidRPr="0086664C">
              <w:rPr>
                <w:rFonts w:ascii="Arial" w:hAnsi="Arial" w:cs="Arial"/>
                <w:b/>
                <w:bCs/>
              </w:rPr>
              <w:t>FSH</w:t>
            </w:r>
          </w:p>
        </w:tc>
        <w:tc>
          <w:tcPr>
            <w:tcW w:w="2235" w:type="dxa"/>
          </w:tcPr>
          <w:p w14:paraId="31EDF187" w14:textId="77777777" w:rsidR="0086664C" w:rsidRPr="0086664C" w:rsidRDefault="0086664C" w:rsidP="00F16D31">
            <w:pPr>
              <w:spacing w:line="360" w:lineRule="auto"/>
              <w:rPr>
                <w:rFonts w:ascii="Arial" w:hAnsi="Arial" w:cs="Arial"/>
              </w:rPr>
            </w:pPr>
            <w:r w:rsidRPr="0086664C">
              <w:rPr>
                <w:rFonts w:ascii="Arial" w:hAnsi="Arial" w:cs="Arial"/>
              </w:rPr>
              <w:t>75 IU/L</w:t>
            </w:r>
          </w:p>
        </w:tc>
        <w:tc>
          <w:tcPr>
            <w:tcW w:w="3776" w:type="dxa"/>
          </w:tcPr>
          <w:p w14:paraId="1057A422" w14:textId="77777777" w:rsidR="0086664C" w:rsidRPr="0086664C" w:rsidRDefault="0086664C" w:rsidP="00F16D31">
            <w:pPr>
              <w:spacing w:line="360" w:lineRule="auto"/>
              <w:rPr>
                <w:rFonts w:ascii="Arial" w:hAnsi="Arial" w:cs="Arial"/>
              </w:rPr>
            </w:pPr>
            <w:r w:rsidRPr="0086664C">
              <w:rPr>
                <w:rFonts w:ascii="Arial" w:hAnsi="Arial" w:cs="Arial"/>
              </w:rPr>
              <w:t>25-135 IU/L (postmenopausal)</w:t>
            </w:r>
          </w:p>
        </w:tc>
      </w:tr>
      <w:tr w:rsidR="0086664C" w:rsidRPr="0086664C" w14:paraId="3EFC622B" w14:textId="77777777" w:rsidTr="00F16D31">
        <w:tc>
          <w:tcPr>
            <w:tcW w:w="3005" w:type="dxa"/>
          </w:tcPr>
          <w:p w14:paraId="7B04EA09" w14:textId="77777777" w:rsidR="0086664C" w:rsidRPr="0086664C" w:rsidRDefault="0086664C" w:rsidP="00F16D31">
            <w:pPr>
              <w:spacing w:line="360" w:lineRule="auto"/>
              <w:rPr>
                <w:rFonts w:ascii="Arial" w:hAnsi="Arial" w:cs="Arial"/>
                <w:b/>
                <w:bCs/>
              </w:rPr>
            </w:pPr>
            <w:r w:rsidRPr="0086664C">
              <w:rPr>
                <w:rFonts w:ascii="Arial" w:hAnsi="Arial" w:cs="Arial"/>
                <w:b/>
                <w:bCs/>
              </w:rPr>
              <w:t>LH</w:t>
            </w:r>
          </w:p>
        </w:tc>
        <w:tc>
          <w:tcPr>
            <w:tcW w:w="2235" w:type="dxa"/>
          </w:tcPr>
          <w:p w14:paraId="06935B1A" w14:textId="77777777" w:rsidR="0086664C" w:rsidRPr="0086664C" w:rsidRDefault="0086664C" w:rsidP="00F16D31">
            <w:pPr>
              <w:spacing w:line="360" w:lineRule="auto"/>
              <w:rPr>
                <w:rFonts w:ascii="Arial" w:hAnsi="Arial" w:cs="Arial"/>
              </w:rPr>
            </w:pPr>
            <w:r w:rsidRPr="0086664C">
              <w:rPr>
                <w:rFonts w:ascii="Arial" w:hAnsi="Arial" w:cs="Arial"/>
              </w:rPr>
              <w:t>42 IU/L</w:t>
            </w:r>
          </w:p>
        </w:tc>
        <w:tc>
          <w:tcPr>
            <w:tcW w:w="3776" w:type="dxa"/>
          </w:tcPr>
          <w:p w14:paraId="5E1AA36D" w14:textId="77777777" w:rsidR="0086664C" w:rsidRPr="0086664C" w:rsidRDefault="0086664C" w:rsidP="00F16D31">
            <w:pPr>
              <w:spacing w:line="360" w:lineRule="auto"/>
              <w:rPr>
                <w:rFonts w:ascii="Arial" w:hAnsi="Arial" w:cs="Arial"/>
              </w:rPr>
            </w:pPr>
            <w:r w:rsidRPr="0086664C">
              <w:rPr>
                <w:rFonts w:ascii="Arial" w:hAnsi="Arial" w:cs="Arial"/>
              </w:rPr>
              <w:t>15-62 IU/L (postmenopausal)</w:t>
            </w:r>
          </w:p>
        </w:tc>
      </w:tr>
      <w:tr w:rsidR="0086664C" w:rsidRPr="0086664C" w14:paraId="25CB0C1B" w14:textId="77777777" w:rsidTr="00F16D31">
        <w:tc>
          <w:tcPr>
            <w:tcW w:w="3005" w:type="dxa"/>
          </w:tcPr>
          <w:p w14:paraId="734ECFBA" w14:textId="77777777" w:rsidR="0086664C" w:rsidRPr="0086664C" w:rsidRDefault="0086664C" w:rsidP="00F16D31">
            <w:pPr>
              <w:spacing w:line="360" w:lineRule="auto"/>
              <w:rPr>
                <w:rFonts w:ascii="Arial" w:hAnsi="Arial" w:cs="Arial"/>
                <w:b/>
                <w:bCs/>
              </w:rPr>
            </w:pPr>
            <w:r w:rsidRPr="0086664C">
              <w:rPr>
                <w:rFonts w:ascii="Arial" w:hAnsi="Arial" w:cs="Arial"/>
                <w:b/>
                <w:bCs/>
              </w:rPr>
              <w:t>Total Testosterone</w:t>
            </w:r>
          </w:p>
        </w:tc>
        <w:tc>
          <w:tcPr>
            <w:tcW w:w="2235" w:type="dxa"/>
          </w:tcPr>
          <w:p w14:paraId="3184170B" w14:textId="77777777" w:rsidR="0086664C" w:rsidRPr="0086664C" w:rsidRDefault="0086664C" w:rsidP="00F16D31">
            <w:pPr>
              <w:spacing w:line="360" w:lineRule="auto"/>
              <w:rPr>
                <w:rFonts w:ascii="Arial" w:hAnsi="Arial" w:cs="Arial"/>
              </w:rPr>
            </w:pPr>
            <w:r w:rsidRPr="0086664C">
              <w:rPr>
                <w:rFonts w:ascii="Arial" w:hAnsi="Arial" w:cs="Arial"/>
              </w:rPr>
              <w:t>28 ng/dl</w:t>
            </w:r>
          </w:p>
        </w:tc>
        <w:tc>
          <w:tcPr>
            <w:tcW w:w="3776" w:type="dxa"/>
          </w:tcPr>
          <w:p w14:paraId="3374E03B" w14:textId="77777777" w:rsidR="0086664C" w:rsidRPr="0086664C" w:rsidRDefault="0086664C" w:rsidP="00F16D31">
            <w:pPr>
              <w:spacing w:line="360" w:lineRule="auto"/>
              <w:rPr>
                <w:rFonts w:ascii="Arial" w:hAnsi="Arial" w:cs="Arial"/>
              </w:rPr>
            </w:pPr>
            <w:r w:rsidRPr="0086664C">
              <w:rPr>
                <w:rFonts w:ascii="Arial" w:hAnsi="Arial" w:cs="Arial"/>
              </w:rPr>
              <w:t>15-70 ng/dl (female)</w:t>
            </w:r>
          </w:p>
        </w:tc>
      </w:tr>
      <w:tr w:rsidR="0086664C" w:rsidRPr="0086664C" w14:paraId="41768676" w14:textId="77777777" w:rsidTr="00F16D31">
        <w:tc>
          <w:tcPr>
            <w:tcW w:w="3005" w:type="dxa"/>
          </w:tcPr>
          <w:p w14:paraId="799C2506" w14:textId="77777777" w:rsidR="0086664C" w:rsidRPr="0086664C" w:rsidRDefault="0086664C" w:rsidP="00F16D31">
            <w:pPr>
              <w:spacing w:line="360" w:lineRule="auto"/>
              <w:rPr>
                <w:rFonts w:ascii="Arial" w:hAnsi="Arial" w:cs="Arial"/>
                <w:b/>
                <w:bCs/>
              </w:rPr>
            </w:pPr>
            <w:r w:rsidRPr="0086664C">
              <w:rPr>
                <w:rFonts w:ascii="Arial" w:hAnsi="Arial" w:cs="Arial"/>
                <w:b/>
                <w:bCs/>
              </w:rPr>
              <w:t>Fasting glucose</w:t>
            </w:r>
          </w:p>
        </w:tc>
        <w:tc>
          <w:tcPr>
            <w:tcW w:w="2235" w:type="dxa"/>
          </w:tcPr>
          <w:p w14:paraId="76454060" w14:textId="77777777" w:rsidR="0086664C" w:rsidRPr="0086664C" w:rsidRDefault="0086664C" w:rsidP="00F16D31">
            <w:pPr>
              <w:spacing w:line="360" w:lineRule="auto"/>
              <w:rPr>
                <w:rFonts w:ascii="Arial" w:hAnsi="Arial" w:cs="Arial"/>
              </w:rPr>
            </w:pPr>
            <w:r w:rsidRPr="0086664C">
              <w:rPr>
                <w:rFonts w:ascii="Arial" w:hAnsi="Arial" w:cs="Arial"/>
              </w:rPr>
              <w:t>7.4 mmol/L</w:t>
            </w:r>
          </w:p>
        </w:tc>
        <w:tc>
          <w:tcPr>
            <w:tcW w:w="3776" w:type="dxa"/>
          </w:tcPr>
          <w:p w14:paraId="59C3A3FA" w14:textId="77777777" w:rsidR="0086664C" w:rsidRPr="0086664C" w:rsidRDefault="0086664C" w:rsidP="00F16D31">
            <w:pPr>
              <w:spacing w:line="360" w:lineRule="auto"/>
              <w:rPr>
                <w:rFonts w:ascii="Arial" w:hAnsi="Arial" w:cs="Arial"/>
              </w:rPr>
            </w:pPr>
            <w:r w:rsidRPr="0086664C">
              <w:rPr>
                <w:rFonts w:ascii="Arial" w:hAnsi="Arial" w:cs="Arial"/>
              </w:rPr>
              <w:t>4.0-5.5 mmol/L</w:t>
            </w:r>
          </w:p>
        </w:tc>
      </w:tr>
      <w:tr w:rsidR="0086664C" w:rsidRPr="0086664C" w14:paraId="7A4378A2" w14:textId="77777777" w:rsidTr="00F16D31">
        <w:tc>
          <w:tcPr>
            <w:tcW w:w="3005" w:type="dxa"/>
          </w:tcPr>
          <w:p w14:paraId="7B113222" w14:textId="77777777" w:rsidR="0086664C" w:rsidRPr="0086664C" w:rsidRDefault="0086664C" w:rsidP="00F16D31">
            <w:pPr>
              <w:spacing w:line="360" w:lineRule="auto"/>
              <w:rPr>
                <w:rFonts w:ascii="Arial" w:hAnsi="Arial" w:cs="Arial"/>
                <w:b/>
                <w:bCs/>
              </w:rPr>
            </w:pPr>
            <w:r w:rsidRPr="0086664C">
              <w:rPr>
                <w:rFonts w:ascii="Arial" w:hAnsi="Arial" w:cs="Arial"/>
                <w:b/>
                <w:bCs/>
              </w:rPr>
              <w:t>HbA1C</w:t>
            </w:r>
          </w:p>
        </w:tc>
        <w:tc>
          <w:tcPr>
            <w:tcW w:w="2235" w:type="dxa"/>
          </w:tcPr>
          <w:p w14:paraId="5DBD3750" w14:textId="77777777" w:rsidR="0086664C" w:rsidRPr="0086664C" w:rsidRDefault="0086664C" w:rsidP="00F16D31">
            <w:pPr>
              <w:spacing w:line="360" w:lineRule="auto"/>
              <w:rPr>
                <w:rFonts w:ascii="Arial" w:hAnsi="Arial" w:cs="Arial"/>
              </w:rPr>
            </w:pPr>
            <w:r w:rsidRPr="0086664C">
              <w:rPr>
                <w:rFonts w:ascii="Arial" w:hAnsi="Arial" w:cs="Arial"/>
              </w:rPr>
              <w:t>8.3%</w:t>
            </w:r>
          </w:p>
        </w:tc>
        <w:tc>
          <w:tcPr>
            <w:tcW w:w="3776" w:type="dxa"/>
          </w:tcPr>
          <w:p w14:paraId="3EFFE6BB" w14:textId="77777777" w:rsidR="0086664C" w:rsidRPr="0086664C" w:rsidRDefault="0086664C" w:rsidP="00F16D31">
            <w:pPr>
              <w:spacing w:line="360" w:lineRule="auto"/>
              <w:rPr>
                <w:rFonts w:ascii="Arial" w:hAnsi="Arial" w:cs="Arial"/>
              </w:rPr>
            </w:pPr>
            <w:r w:rsidRPr="0086664C">
              <w:rPr>
                <w:rFonts w:ascii="Arial" w:hAnsi="Arial" w:cs="Arial"/>
              </w:rPr>
              <w:t>4.0-5.6%</w:t>
            </w:r>
          </w:p>
        </w:tc>
      </w:tr>
      <w:tr w:rsidR="0086664C" w:rsidRPr="0086664C" w14:paraId="6DABFDBD" w14:textId="77777777" w:rsidTr="00F16D31">
        <w:tc>
          <w:tcPr>
            <w:tcW w:w="3005" w:type="dxa"/>
          </w:tcPr>
          <w:p w14:paraId="0977E3DA" w14:textId="77777777" w:rsidR="0086664C" w:rsidRPr="0086664C" w:rsidRDefault="0086664C" w:rsidP="00F16D31">
            <w:pPr>
              <w:spacing w:line="360" w:lineRule="auto"/>
              <w:rPr>
                <w:rFonts w:ascii="Arial" w:hAnsi="Arial" w:cs="Arial"/>
                <w:b/>
                <w:bCs/>
              </w:rPr>
            </w:pPr>
            <w:r w:rsidRPr="0086664C">
              <w:rPr>
                <w:rFonts w:ascii="Arial" w:hAnsi="Arial" w:cs="Arial"/>
                <w:b/>
                <w:bCs/>
              </w:rPr>
              <w:t>Fasting Insulin</w:t>
            </w:r>
          </w:p>
        </w:tc>
        <w:tc>
          <w:tcPr>
            <w:tcW w:w="2235" w:type="dxa"/>
          </w:tcPr>
          <w:p w14:paraId="576CE58E" w14:textId="77777777" w:rsidR="0086664C" w:rsidRPr="0086664C" w:rsidRDefault="0086664C" w:rsidP="00F16D31">
            <w:pPr>
              <w:spacing w:line="360" w:lineRule="auto"/>
              <w:rPr>
                <w:rFonts w:ascii="Arial" w:hAnsi="Arial" w:cs="Arial"/>
              </w:rPr>
            </w:pPr>
            <w:r w:rsidRPr="0086664C">
              <w:rPr>
                <w:rFonts w:ascii="Arial" w:hAnsi="Arial" w:cs="Arial"/>
              </w:rPr>
              <w:t>37 mlU/L</w:t>
            </w:r>
          </w:p>
        </w:tc>
        <w:tc>
          <w:tcPr>
            <w:tcW w:w="3776" w:type="dxa"/>
          </w:tcPr>
          <w:p w14:paraId="07AF5DBE" w14:textId="77777777" w:rsidR="0086664C" w:rsidRPr="0086664C" w:rsidRDefault="0086664C" w:rsidP="00F16D31">
            <w:pPr>
              <w:spacing w:line="360" w:lineRule="auto"/>
              <w:rPr>
                <w:rFonts w:ascii="Arial" w:hAnsi="Arial" w:cs="Arial"/>
              </w:rPr>
            </w:pPr>
            <w:r w:rsidRPr="0086664C">
              <w:rPr>
                <w:rFonts w:ascii="Arial" w:hAnsi="Arial" w:cs="Arial"/>
              </w:rPr>
              <w:t>2.0-20 mlU/L</w:t>
            </w:r>
          </w:p>
        </w:tc>
      </w:tr>
      <w:tr w:rsidR="0086664C" w:rsidRPr="0086664C" w14:paraId="229DA6BC" w14:textId="77777777" w:rsidTr="00F16D31">
        <w:tc>
          <w:tcPr>
            <w:tcW w:w="3005" w:type="dxa"/>
          </w:tcPr>
          <w:p w14:paraId="7A3232F1" w14:textId="77777777" w:rsidR="0086664C" w:rsidRPr="0086664C" w:rsidRDefault="0086664C" w:rsidP="00F16D31">
            <w:pPr>
              <w:spacing w:line="360" w:lineRule="auto"/>
              <w:rPr>
                <w:rFonts w:ascii="Arial" w:hAnsi="Arial" w:cs="Arial"/>
                <w:b/>
                <w:bCs/>
              </w:rPr>
            </w:pPr>
            <w:r w:rsidRPr="0086664C">
              <w:rPr>
                <w:rFonts w:ascii="Arial" w:hAnsi="Arial" w:cs="Arial"/>
                <w:b/>
                <w:bCs/>
              </w:rPr>
              <w:t>Fasting GLP-1</w:t>
            </w:r>
          </w:p>
        </w:tc>
        <w:tc>
          <w:tcPr>
            <w:tcW w:w="2235" w:type="dxa"/>
          </w:tcPr>
          <w:p w14:paraId="72D94E58" w14:textId="77777777" w:rsidR="0086664C" w:rsidRPr="0086664C" w:rsidRDefault="0086664C" w:rsidP="00F16D31">
            <w:pPr>
              <w:spacing w:line="360" w:lineRule="auto"/>
              <w:rPr>
                <w:rFonts w:ascii="Arial" w:hAnsi="Arial" w:cs="Arial"/>
              </w:rPr>
            </w:pPr>
            <w:r w:rsidRPr="0086664C">
              <w:rPr>
                <w:rFonts w:ascii="Arial" w:hAnsi="Arial" w:cs="Arial"/>
              </w:rPr>
              <w:t>2.6 pmol/L</w:t>
            </w:r>
          </w:p>
        </w:tc>
        <w:tc>
          <w:tcPr>
            <w:tcW w:w="3776" w:type="dxa"/>
          </w:tcPr>
          <w:p w14:paraId="159F7D7B" w14:textId="77777777" w:rsidR="0086664C" w:rsidRPr="0086664C" w:rsidRDefault="0086664C" w:rsidP="00F16D31">
            <w:pPr>
              <w:spacing w:line="360" w:lineRule="auto"/>
              <w:rPr>
                <w:rFonts w:ascii="Arial" w:hAnsi="Arial" w:cs="Arial"/>
              </w:rPr>
            </w:pPr>
            <w:r w:rsidRPr="0086664C">
              <w:rPr>
                <w:rFonts w:ascii="Arial" w:hAnsi="Arial" w:cs="Arial"/>
              </w:rPr>
              <w:t>2.3-4.3 pmol/L</w:t>
            </w:r>
          </w:p>
        </w:tc>
      </w:tr>
      <w:tr w:rsidR="0086664C" w:rsidRPr="0086664C" w14:paraId="1EC601F7" w14:textId="77777777" w:rsidTr="00F16D31">
        <w:tc>
          <w:tcPr>
            <w:tcW w:w="3005" w:type="dxa"/>
          </w:tcPr>
          <w:p w14:paraId="151245FA" w14:textId="77777777" w:rsidR="0086664C" w:rsidRPr="0086664C" w:rsidRDefault="0086664C" w:rsidP="00F16D31">
            <w:pPr>
              <w:spacing w:line="360" w:lineRule="auto"/>
              <w:rPr>
                <w:rFonts w:ascii="Arial" w:hAnsi="Arial" w:cs="Arial"/>
                <w:b/>
                <w:bCs/>
              </w:rPr>
            </w:pPr>
            <w:r w:rsidRPr="0086664C">
              <w:rPr>
                <w:rFonts w:ascii="Arial" w:hAnsi="Arial" w:cs="Arial"/>
                <w:b/>
                <w:bCs/>
              </w:rPr>
              <w:t>Fasting Leptin</w:t>
            </w:r>
          </w:p>
        </w:tc>
        <w:tc>
          <w:tcPr>
            <w:tcW w:w="2235" w:type="dxa"/>
          </w:tcPr>
          <w:p w14:paraId="79134CD3" w14:textId="77777777" w:rsidR="0086664C" w:rsidRPr="0086664C" w:rsidRDefault="0086664C" w:rsidP="00F16D31">
            <w:pPr>
              <w:spacing w:line="360" w:lineRule="auto"/>
              <w:rPr>
                <w:rFonts w:ascii="Arial" w:hAnsi="Arial" w:cs="Arial"/>
              </w:rPr>
            </w:pPr>
            <w:r w:rsidRPr="0086664C">
              <w:rPr>
                <w:rFonts w:ascii="Arial" w:hAnsi="Arial" w:cs="Arial"/>
              </w:rPr>
              <w:t>44 ng/ml</w:t>
            </w:r>
          </w:p>
        </w:tc>
        <w:tc>
          <w:tcPr>
            <w:tcW w:w="3776" w:type="dxa"/>
          </w:tcPr>
          <w:p w14:paraId="74774604" w14:textId="77777777" w:rsidR="0086664C" w:rsidRPr="0086664C" w:rsidRDefault="0086664C" w:rsidP="00F16D31">
            <w:pPr>
              <w:spacing w:line="360" w:lineRule="auto"/>
              <w:rPr>
                <w:rFonts w:ascii="Arial" w:hAnsi="Arial" w:cs="Arial"/>
              </w:rPr>
            </w:pPr>
            <w:r w:rsidRPr="0086664C">
              <w:rPr>
                <w:rFonts w:ascii="Arial" w:hAnsi="Arial" w:cs="Arial"/>
              </w:rPr>
              <w:t>0.3-13.4 ng/ml</w:t>
            </w:r>
          </w:p>
        </w:tc>
      </w:tr>
      <w:tr w:rsidR="0086664C" w:rsidRPr="0086664C" w14:paraId="01A18718" w14:textId="77777777" w:rsidTr="00F16D31">
        <w:tc>
          <w:tcPr>
            <w:tcW w:w="3005" w:type="dxa"/>
          </w:tcPr>
          <w:p w14:paraId="2D46139C" w14:textId="77777777" w:rsidR="0086664C" w:rsidRPr="0086664C" w:rsidRDefault="0086664C" w:rsidP="00F16D31">
            <w:pPr>
              <w:spacing w:line="360" w:lineRule="auto"/>
              <w:rPr>
                <w:rFonts w:ascii="Arial" w:hAnsi="Arial" w:cs="Arial"/>
                <w:b/>
                <w:bCs/>
              </w:rPr>
            </w:pPr>
            <w:r w:rsidRPr="0086664C">
              <w:rPr>
                <w:rFonts w:ascii="Arial" w:hAnsi="Arial" w:cs="Arial"/>
                <w:b/>
                <w:bCs/>
              </w:rPr>
              <w:t>Fasting active Ghrelin</w:t>
            </w:r>
          </w:p>
        </w:tc>
        <w:tc>
          <w:tcPr>
            <w:tcW w:w="2235" w:type="dxa"/>
          </w:tcPr>
          <w:p w14:paraId="746B07F5" w14:textId="77777777" w:rsidR="0086664C" w:rsidRPr="0086664C" w:rsidRDefault="0086664C" w:rsidP="00F16D31">
            <w:pPr>
              <w:spacing w:line="360" w:lineRule="auto"/>
              <w:rPr>
                <w:rFonts w:ascii="Arial" w:hAnsi="Arial" w:cs="Arial"/>
              </w:rPr>
            </w:pPr>
            <w:r w:rsidRPr="0086664C">
              <w:rPr>
                <w:rFonts w:ascii="Arial" w:hAnsi="Arial" w:cs="Arial"/>
              </w:rPr>
              <w:t>16 pg/ml</w:t>
            </w:r>
          </w:p>
        </w:tc>
        <w:tc>
          <w:tcPr>
            <w:tcW w:w="3776" w:type="dxa"/>
          </w:tcPr>
          <w:p w14:paraId="491D3C5D" w14:textId="77777777" w:rsidR="0086664C" w:rsidRPr="0086664C" w:rsidRDefault="0086664C" w:rsidP="00F16D31">
            <w:pPr>
              <w:spacing w:line="360" w:lineRule="auto"/>
              <w:rPr>
                <w:rFonts w:ascii="Arial" w:hAnsi="Arial" w:cs="Arial"/>
              </w:rPr>
            </w:pPr>
            <w:r w:rsidRPr="0086664C">
              <w:rPr>
                <w:rFonts w:ascii="Arial" w:hAnsi="Arial" w:cs="Arial"/>
              </w:rPr>
              <w:t>50-70 pg/ml</w:t>
            </w:r>
          </w:p>
        </w:tc>
      </w:tr>
      <w:tr w:rsidR="0086664C" w:rsidRPr="0086664C" w14:paraId="7848DCE2" w14:textId="77777777" w:rsidTr="00F16D31">
        <w:tc>
          <w:tcPr>
            <w:tcW w:w="3005" w:type="dxa"/>
          </w:tcPr>
          <w:p w14:paraId="2CC845E3" w14:textId="77777777" w:rsidR="0086664C" w:rsidRPr="0086664C" w:rsidRDefault="0086664C" w:rsidP="00F16D31">
            <w:pPr>
              <w:spacing w:line="360" w:lineRule="auto"/>
              <w:rPr>
                <w:rFonts w:ascii="Arial" w:hAnsi="Arial" w:cs="Arial"/>
                <w:b/>
                <w:bCs/>
              </w:rPr>
            </w:pPr>
            <w:r w:rsidRPr="0086664C">
              <w:rPr>
                <w:rFonts w:ascii="Arial" w:hAnsi="Arial" w:cs="Arial"/>
                <w:b/>
                <w:bCs/>
              </w:rPr>
              <w:t>Oestradiol (E2)</w:t>
            </w:r>
          </w:p>
        </w:tc>
        <w:tc>
          <w:tcPr>
            <w:tcW w:w="2235" w:type="dxa"/>
          </w:tcPr>
          <w:p w14:paraId="1A2DE8B7" w14:textId="77777777" w:rsidR="0086664C" w:rsidRPr="0086664C" w:rsidRDefault="0086664C" w:rsidP="00F16D31">
            <w:pPr>
              <w:spacing w:line="360" w:lineRule="auto"/>
              <w:rPr>
                <w:rFonts w:ascii="Arial" w:hAnsi="Arial" w:cs="Arial"/>
              </w:rPr>
            </w:pPr>
            <w:r w:rsidRPr="0086664C">
              <w:rPr>
                <w:rFonts w:ascii="Arial" w:hAnsi="Arial" w:cs="Arial"/>
              </w:rPr>
              <w:t>18 pg/ml</w:t>
            </w:r>
          </w:p>
        </w:tc>
        <w:tc>
          <w:tcPr>
            <w:tcW w:w="3776" w:type="dxa"/>
          </w:tcPr>
          <w:p w14:paraId="6E456BE3" w14:textId="77777777" w:rsidR="0086664C" w:rsidRPr="0086664C" w:rsidRDefault="0086664C" w:rsidP="00F16D31">
            <w:pPr>
              <w:spacing w:line="360" w:lineRule="auto"/>
              <w:rPr>
                <w:rFonts w:ascii="Arial" w:hAnsi="Arial" w:cs="Arial"/>
              </w:rPr>
            </w:pPr>
            <w:r w:rsidRPr="0086664C">
              <w:rPr>
                <w:rFonts w:ascii="Arial" w:hAnsi="Arial" w:cs="Arial"/>
              </w:rPr>
              <w:t>20-150 pg/ml (postmenopausal: &lt;30 pg/ml common)</w:t>
            </w:r>
          </w:p>
        </w:tc>
      </w:tr>
    </w:tbl>
    <w:p w14:paraId="1E4EC49D" w14:textId="77777777" w:rsidR="0086664C" w:rsidRPr="0086664C" w:rsidRDefault="0086664C" w:rsidP="0086664C">
      <w:pPr>
        <w:spacing w:after="0" w:line="360" w:lineRule="auto"/>
        <w:rPr>
          <w:rFonts w:ascii="Arial" w:hAnsi="Arial" w:cs="Arial"/>
        </w:rPr>
      </w:pPr>
    </w:p>
    <w:p w14:paraId="4ED96DE9" w14:textId="2234D4D5" w:rsidR="0086664C" w:rsidRPr="0086664C" w:rsidRDefault="0086664C" w:rsidP="0086664C">
      <w:pPr>
        <w:spacing w:after="0" w:line="480" w:lineRule="auto"/>
        <w:rPr>
          <w:rFonts w:ascii="Arial" w:hAnsi="Arial" w:cs="Arial"/>
        </w:rPr>
      </w:pPr>
      <w:r w:rsidRPr="0086664C">
        <w:rPr>
          <w:rFonts w:ascii="Arial" w:hAnsi="Arial" w:cs="Arial"/>
        </w:rPr>
        <w:t>From Table 2, it can be summarised that some of Maria’s analytes (fasting glucose, HbA1</w:t>
      </w:r>
      <w:r w:rsidR="00C771B9">
        <w:rPr>
          <w:rFonts w:ascii="Arial" w:hAnsi="Arial" w:cs="Arial" w:hint="eastAsia"/>
        </w:rPr>
        <w:t>c</w:t>
      </w:r>
      <w:r w:rsidRPr="0086664C">
        <w:rPr>
          <w:rFonts w:ascii="Arial" w:hAnsi="Arial" w:cs="Arial"/>
        </w:rPr>
        <w:t xml:space="preserve">, fasting insulin, fasting leptin) are out of reference range therefore causing metabolic imbalances. </w:t>
      </w:r>
    </w:p>
    <w:p w14:paraId="70C61391" w14:textId="77777777" w:rsidR="0086664C" w:rsidRPr="0086664C" w:rsidRDefault="0086664C" w:rsidP="0086664C">
      <w:pPr>
        <w:spacing w:after="0" w:line="480" w:lineRule="auto"/>
        <w:rPr>
          <w:rFonts w:ascii="Arial" w:hAnsi="Arial" w:cs="Arial"/>
        </w:rPr>
      </w:pPr>
    </w:p>
    <w:p w14:paraId="687832A3" w14:textId="77777777" w:rsidR="0086664C" w:rsidRPr="0086664C" w:rsidRDefault="0086664C" w:rsidP="0086664C">
      <w:pPr>
        <w:spacing w:after="0" w:line="360" w:lineRule="auto"/>
        <w:rPr>
          <w:rFonts w:ascii="Arial" w:hAnsi="Arial" w:cs="Arial"/>
          <w:b/>
          <w:bCs/>
        </w:rPr>
      </w:pPr>
      <w:r w:rsidRPr="0086664C">
        <w:rPr>
          <w:rFonts w:ascii="Arial" w:hAnsi="Arial" w:cs="Arial"/>
          <w:b/>
          <w:bCs/>
        </w:rPr>
        <w:t>Discussion</w:t>
      </w:r>
    </w:p>
    <w:p w14:paraId="663B788B" w14:textId="3E17EB07" w:rsidR="0086664C" w:rsidRPr="0086664C" w:rsidRDefault="0086664C" w:rsidP="0086664C">
      <w:pPr>
        <w:spacing w:after="0" w:line="480" w:lineRule="auto"/>
        <w:rPr>
          <w:rFonts w:ascii="Arial" w:hAnsi="Arial" w:cs="Arial"/>
        </w:rPr>
      </w:pPr>
      <w:r w:rsidRPr="0086664C">
        <w:rPr>
          <w:rFonts w:ascii="Arial" w:hAnsi="Arial" w:cs="Arial"/>
        </w:rPr>
        <w:tab/>
      </w:r>
      <w:r w:rsidR="00DB1BD7" w:rsidRPr="00DB1BD7">
        <w:rPr>
          <w:rFonts w:ascii="Arial" w:hAnsi="Arial" w:cs="Arial"/>
        </w:rPr>
        <w:t xml:space="preserve">Biochemical markers </w:t>
      </w:r>
      <w:r w:rsidR="00DB1BD7" w:rsidRPr="0086664C">
        <w:rPr>
          <w:rFonts w:ascii="Arial" w:hAnsi="Arial" w:cs="Arial"/>
        </w:rPr>
        <w:t>(refer to Table 2)</w:t>
      </w:r>
      <w:r w:rsidR="00DB1BD7">
        <w:rPr>
          <w:rFonts w:ascii="Arial" w:hAnsi="Arial" w:cs="Arial" w:hint="eastAsia"/>
        </w:rPr>
        <w:t xml:space="preserve"> </w:t>
      </w:r>
      <w:r w:rsidR="00DB1BD7" w:rsidRPr="00DB1BD7">
        <w:rPr>
          <w:rFonts w:ascii="Arial" w:hAnsi="Arial" w:cs="Arial"/>
        </w:rPr>
        <w:t>indicate that metabolic rather than reproductive hormonal pathways drive Maria’s symptoms.</w:t>
      </w:r>
      <w:r w:rsidR="00DB1BD7">
        <w:rPr>
          <w:rFonts w:ascii="Arial" w:hAnsi="Arial" w:cs="Arial"/>
        </w:rPr>
        <w:t xml:space="preserve"> </w:t>
      </w:r>
      <w:r w:rsidRPr="0086664C">
        <w:rPr>
          <w:rFonts w:ascii="Arial" w:hAnsi="Arial" w:cs="Arial"/>
        </w:rPr>
        <w:t xml:space="preserve">Therefore, it can be concluded that the case is </w:t>
      </w:r>
      <w:r w:rsidR="005E455C">
        <w:rPr>
          <w:rFonts w:ascii="Arial" w:hAnsi="Arial" w:cs="Arial" w:hint="eastAsia"/>
        </w:rPr>
        <w:t xml:space="preserve">mainly </w:t>
      </w:r>
      <w:r w:rsidRPr="0086664C">
        <w:rPr>
          <w:rFonts w:ascii="Arial" w:hAnsi="Arial" w:cs="Arial"/>
        </w:rPr>
        <w:t xml:space="preserve">because of appetite-regulating hormonal and metabolic imbalance, rather than reproductive hormones. </w:t>
      </w:r>
    </w:p>
    <w:p w14:paraId="128C6AD4" w14:textId="11356D6A" w:rsidR="0086664C" w:rsidRPr="0086664C" w:rsidRDefault="0086664C" w:rsidP="0086664C">
      <w:pPr>
        <w:spacing w:after="0" w:line="480" w:lineRule="auto"/>
        <w:ind w:firstLine="720"/>
        <w:rPr>
          <w:rFonts w:ascii="Arial" w:hAnsi="Arial" w:cs="Arial"/>
        </w:rPr>
      </w:pPr>
      <w:r w:rsidRPr="0086664C">
        <w:rPr>
          <w:rFonts w:ascii="Arial" w:hAnsi="Arial" w:cs="Arial"/>
        </w:rPr>
        <w:t xml:space="preserve">Focusing on hormones and </w:t>
      </w:r>
      <w:r w:rsidR="00736E9E">
        <w:rPr>
          <w:rFonts w:ascii="Arial" w:hAnsi="Arial" w:cs="Arial"/>
        </w:rPr>
        <w:t>biochemical</w:t>
      </w:r>
      <w:r w:rsidRPr="0086664C">
        <w:rPr>
          <w:rFonts w:ascii="Arial" w:hAnsi="Arial" w:cs="Arial"/>
        </w:rPr>
        <w:t xml:space="preserve"> </w:t>
      </w:r>
      <w:r w:rsidR="003F1EEC">
        <w:rPr>
          <w:rFonts w:ascii="Arial" w:hAnsi="Arial" w:cs="Arial"/>
        </w:rPr>
        <w:t>markers</w:t>
      </w:r>
      <w:r w:rsidRPr="0086664C">
        <w:rPr>
          <w:rFonts w:ascii="Arial" w:hAnsi="Arial" w:cs="Arial"/>
        </w:rPr>
        <w:t xml:space="preserve"> that are out of range, first, fasting </w:t>
      </w:r>
      <w:r w:rsidRPr="0086664C">
        <w:rPr>
          <w:rFonts w:ascii="Arial" w:hAnsi="Arial" w:cs="Arial"/>
        </w:rPr>
        <w:lastRenderedPageBreak/>
        <w:t xml:space="preserve">glucose, which is regulated by insulin and glucagon, plays </w:t>
      </w:r>
      <w:r w:rsidR="00736E9E">
        <w:rPr>
          <w:rFonts w:ascii="Arial" w:hAnsi="Arial" w:cs="Arial"/>
        </w:rPr>
        <w:t xml:space="preserve">an </w:t>
      </w:r>
      <w:r w:rsidRPr="0086664C">
        <w:rPr>
          <w:rFonts w:ascii="Arial" w:hAnsi="Arial" w:cs="Arial"/>
        </w:rPr>
        <w:t xml:space="preserve">important role </w:t>
      </w:r>
      <w:r w:rsidR="003F1EEC">
        <w:rPr>
          <w:rFonts w:ascii="Arial" w:hAnsi="Arial" w:cs="Arial"/>
        </w:rPr>
        <w:t>in</w:t>
      </w:r>
      <w:r w:rsidRPr="0086664C">
        <w:rPr>
          <w:rFonts w:ascii="Arial" w:hAnsi="Arial" w:cs="Arial"/>
        </w:rPr>
        <w:t xml:space="preserve"> human physiology as it is a main fuel for the body. The elevated level of fasting glucose indicates type 1 and 2 diabetes mellitus, which can lead to the damage, malfunction, or failure of various organs. These complications are not only affecting a single part of the body but rather whole systems: cardiovascular, renal, </w:t>
      </w:r>
      <w:r w:rsidR="003F1EEC">
        <w:rPr>
          <w:rFonts w:ascii="Arial" w:hAnsi="Arial" w:cs="Arial"/>
        </w:rPr>
        <w:t xml:space="preserve">and </w:t>
      </w:r>
      <w:r w:rsidRPr="0086664C">
        <w:rPr>
          <w:rFonts w:ascii="Arial" w:hAnsi="Arial" w:cs="Arial"/>
        </w:rPr>
        <w:t xml:space="preserve">gastrointestinal. (Zhang et al., 2019) </w:t>
      </w:r>
    </w:p>
    <w:p w14:paraId="2A3AB80E" w14:textId="6B9DE819" w:rsidR="0086664C" w:rsidRPr="0086664C" w:rsidRDefault="0086664C" w:rsidP="00B2589B">
      <w:pPr>
        <w:spacing w:after="0" w:line="480" w:lineRule="auto"/>
        <w:ind w:firstLine="720"/>
        <w:rPr>
          <w:rFonts w:ascii="Arial" w:hAnsi="Arial" w:cs="Arial"/>
        </w:rPr>
      </w:pPr>
      <w:r w:rsidRPr="0086664C">
        <w:rPr>
          <w:rFonts w:ascii="Arial" w:hAnsi="Arial" w:cs="Arial"/>
        </w:rPr>
        <w:t>To determine the individual’s glucose control levels, HbA1</w:t>
      </w:r>
      <w:r w:rsidR="00C771B9">
        <w:rPr>
          <w:rFonts w:ascii="Arial" w:hAnsi="Arial" w:cs="Arial" w:hint="eastAsia"/>
        </w:rPr>
        <w:t>c</w:t>
      </w:r>
      <w:r w:rsidRPr="0086664C">
        <w:rPr>
          <w:rFonts w:ascii="Arial" w:hAnsi="Arial" w:cs="Arial"/>
        </w:rPr>
        <w:t xml:space="preserve"> (Haemoglobin A1c, also known as glycosylated haemoglobin) is tested, which measures </w:t>
      </w:r>
      <w:r w:rsidR="003F1EEC">
        <w:rPr>
          <w:rFonts w:ascii="Arial" w:hAnsi="Arial" w:cs="Arial"/>
        </w:rPr>
        <w:t xml:space="preserve">the </w:t>
      </w:r>
      <w:r w:rsidRPr="0086664C">
        <w:rPr>
          <w:rFonts w:ascii="Arial" w:hAnsi="Arial" w:cs="Arial"/>
        </w:rPr>
        <w:t xml:space="preserve">average blood sugar level of </w:t>
      </w:r>
      <w:r w:rsidR="003F1EEC">
        <w:rPr>
          <w:rFonts w:ascii="Arial" w:hAnsi="Arial" w:cs="Arial"/>
        </w:rPr>
        <w:t xml:space="preserve">the </w:t>
      </w:r>
      <w:r w:rsidRPr="0086664C">
        <w:rPr>
          <w:rFonts w:ascii="Arial" w:hAnsi="Arial" w:cs="Arial"/>
        </w:rPr>
        <w:t>past 90 days</w:t>
      </w:r>
      <w:r w:rsidR="00842964">
        <w:rPr>
          <w:rFonts w:ascii="Arial" w:hAnsi="Arial" w:cs="Arial" w:hint="eastAsia"/>
        </w:rPr>
        <w:t>.</w:t>
      </w:r>
      <w:r w:rsidRPr="0086664C">
        <w:rPr>
          <w:rFonts w:ascii="Arial" w:hAnsi="Arial" w:cs="Arial"/>
        </w:rPr>
        <w:t xml:space="preserve"> (Eyth et al., 2025)</w:t>
      </w:r>
      <w:r w:rsidR="00B2589B">
        <w:rPr>
          <w:rFonts w:ascii="Arial" w:hAnsi="Arial" w:cs="Arial" w:hint="eastAsia"/>
        </w:rPr>
        <w:t xml:space="preserve"> </w:t>
      </w:r>
      <w:r w:rsidRPr="0086664C">
        <w:rPr>
          <w:rFonts w:ascii="Arial" w:hAnsi="Arial" w:cs="Arial"/>
        </w:rPr>
        <w:t>Formation of HbA1</w:t>
      </w:r>
      <w:r w:rsidR="00C771B9">
        <w:rPr>
          <w:rFonts w:ascii="Arial" w:hAnsi="Arial" w:cs="Arial" w:hint="eastAsia"/>
        </w:rPr>
        <w:t>c</w:t>
      </w:r>
      <w:r w:rsidRPr="0086664C">
        <w:rPr>
          <w:rFonts w:ascii="Arial" w:hAnsi="Arial" w:cs="Arial"/>
        </w:rPr>
        <w:t xml:space="preserve"> is accelerated when the average amount of glucose increases in the plasma. This is the reason why the raised level of HbA1</w:t>
      </w:r>
      <w:r w:rsidR="00C771B9">
        <w:rPr>
          <w:rFonts w:ascii="Arial" w:hAnsi="Arial" w:cs="Arial" w:hint="eastAsia"/>
        </w:rPr>
        <w:t>c</w:t>
      </w:r>
      <w:r w:rsidRPr="0086664C">
        <w:rPr>
          <w:rFonts w:ascii="Arial" w:hAnsi="Arial" w:cs="Arial"/>
        </w:rPr>
        <w:t xml:space="preserve"> can be a risk factor </w:t>
      </w:r>
      <w:r w:rsidR="003F1EEC">
        <w:rPr>
          <w:rFonts w:ascii="Arial" w:hAnsi="Arial" w:cs="Arial"/>
        </w:rPr>
        <w:t>for</w:t>
      </w:r>
      <w:r w:rsidRPr="0086664C">
        <w:rPr>
          <w:rFonts w:ascii="Arial" w:hAnsi="Arial" w:cs="Arial"/>
        </w:rPr>
        <w:t xml:space="preserve"> type 2 diabetes mellitus. (Sherwani et al., 2016) It was also confirmed that the elevated level of HbA1</w:t>
      </w:r>
      <w:r w:rsidR="00C771B9">
        <w:rPr>
          <w:rFonts w:ascii="Arial" w:hAnsi="Arial" w:cs="Arial" w:hint="eastAsia"/>
        </w:rPr>
        <w:t>c</w:t>
      </w:r>
      <w:r w:rsidRPr="0086664C">
        <w:rPr>
          <w:rFonts w:ascii="Arial" w:hAnsi="Arial" w:cs="Arial"/>
        </w:rPr>
        <w:t xml:space="preserve"> can be a risk factor </w:t>
      </w:r>
      <w:r w:rsidR="003F1EEC">
        <w:rPr>
          <w:rFonts w:ascii="Arial" w:hAnsi="Arial" w:cs="Arial"/>
        </w:rPr>
        <w:t>for</w:t>
      </w:r>
      <w:r w:rsidRPr="0086664C">
        <w:rPr>
          <w:rFonts w:ascii="Arial" w:hAnsi="Arial" w:cs="Arial"/>
        </w:rPr>
        <w:t xml:space="preserve"> coronary heart disease and stroke in diabetes mellitus patients. (Martín-Timón et al., 2014)</w:t>
      </w:r>
    </w:p>
    <w:p w14:paraId="29B3B832" w14:textId="4E832D91" w:rsidR="0086664C" w:rsidRPr="0086664C" w:rsidRDefault="0086664C" w:rsidP="0086664C">
      <w:pPr>
        <w:spacing w:after="0" w:line="480" w:lineRule="auto"/>
        <w:rPr>
          <w:rFonts w:ascii="Arial" w:hAnsi="Arial" w:cs="Arial"/>
        </w:rPr>
      </w:pPr>
      <w:r w:rsidRPr="0086664C">
        <w:rPr>
          <w:rFonts w:ascii="Arial" w:hAnsi="Arial" w:cs="Arial"/>
        </w:rPr>
        <w:tab/>
        <w:t xml:space="preserve">Thirdly, fasting insulin is a </w:t>
      </w:r>
      <w:r w:rsidR="003F1EEC">
        <w:rPr>
          <w:rFonts w:ascii="Arial" w:hAnsi="Arial" w:cs="Arial"/>
        </w:rPr>
        <w:t>widely</w:t>
      </w:r>
      <w:r w:rsidRPr="0086664C">
        <w:rPr>
          <w:rFonts w:ascii="Arial" w:hAnsi="Arial" w:cs="Arial"/>
        </w:rPr>
        <w:t xml:space="preserve"> used measure of insulin resistance, which is a defective response to insulin stimulation. Type 2 diabetes mellitus is considered a dominant consequence of insulin resistance. (Freeman et al., 2023) The fasting insulin level is also an important </w:t>
      </w:r>
      <w:r w:rsidR="0041221F">
        <w:rPr>
          <w:rFonts w:ascii="Arial" w:hAnsi="Arial" w:cs="Arial"/>
        </w:rPr>
        <w:t>marker</w:t>
      </w:r>
      <w:r w:rsidRPr="0086664C">
        <w:rPr>
          <w:rFonts w:ascii="Arial" w:hAnsi="Arial" w:cs="Arial"/>
        </w:rPr>
        <w:t xml:space="preserve"> to determine the type of diabetes mellitus, as subjects with type 1 diabetes mellitus cannot secrete insulin because of </w:t>
      </w:r>
      <w:r w:rsidR="0041221F">
        <w:rPr>
          <w:rFonts w:ascii="Arial" w:hAnsi="Arial" w:cs="Arial"/>
        </w:rPr>
        <w:t xml:space="preserve">the </w:t>
      </w:r>
      <w:r w:rsidRPr="0086664C">
        <w:rPr>
          <w:rFonts w:ascii="Arial" w:hAnsi="Arial" w:cs="Arial"/>
        </w:rPr>
        <w:t>destruction of insulin-producing β cells therefore leading to insulin deficiency.</w:t>
      </w:r>
    </w:p>
    <w:p w14:paraId="6D303258" w14:textId="62BBD6B7" w:rsidR="00950903" w:rsidRDefault="0086664C" w:rsidP="0086664C">
      <w:pPr>
        <w:spacing w:after="0" w:line="480" w:lineRule="auto"/>
        <w:rPr>
          <w:rFonts w:ascii="Arial" w:hAnsi="Arial" w:cs="Arial"/>
        </w:rPr>
      </w:pPr>
      <w:r w:rsidRPr="0086664C">
        <w:rPr>
          <w:rFonts w:ascii="Arial" w:hAnsi="Arial" w:cs="Arial"/>
        </w:rPr>
        <w:tab/>
        <w:t>Leptin is a peptide hormone that regulates appetite, energy homeostasis, and neuroendocrine functions while also impacting the immune system and metabolism of the body</w:t>
      </w:r>
      <w:r w:rsidR="004D7174">
        <w:rPr>
          <w:rFonts w:ascii="Arial" w:hAnsi="Arial" w:cs="Arial" w:hint="eastAsia"/>
        </w:rPr>
        <w:t>, precisely</w:t>
      </w:r>
      <w:r w:rsidR="00C1679F">
        <w:rPr>
          <w:rFonts w:ascii="Arial" w:hAnsi="Arial" w:cs="Arial" w:hint="eastAsia"/>
        </w:rPr>
        <w:t xml:space="preserve"> taking a role in </w:t>
      </w:r>
      <w:r w:rsidR="0035326B">
        <w:rPr>
          <w:rFonts w:ascii="Arial" w:hAnsi="Arial" w:cs="Arial" w:hint="eastAsia"/>
        </w:rPr>
        <w:t>lowering</w:t>
      </w:r>
      <w:r w:rsidR="00C1679F">
        <w:rPr>
          <w:rFonts w:ascii="Arial" w:hAnsi="Arial" w:cs="Arial" w:hint="eastAsia"/>
        </w:rPr>
        <w:t xml:space="preserve"> energy intake.</w:t>
      </w:r>
      <w:r w:rsidRPr="0086664C">
        <w:rPr>
          <w:rFonts w:ascii="Arial" w:hAnsi="Arial" w:cs="Arial"/>
        </w:rPr>
        <w:t xml:space="preserve"> (Dornbush and Aeddula, 2023) The study conducted by Askari et al. (2010) shows that fasting leptin level is directly correlated with adipose, fasting glucose levels, and insulin resistance. Therefore, like the fasting insulin level of Maria, this also indicates that </w:t>
      </w:r>
      <w:r w:rsidR="0041221F">
        <w:rPr>
          <w:rFonts w:ascii="Arial" w:hAnsi="Arial" w:cs="Arial"/>
        </w:rPr>
        <w:t xml:space="preserve">the </w:t>
      </w:r>
      <w:r w:rsidRPr="0086664C">
        <w:rPr>
          <w:rFonts w:ascii="Arial" w:hAnsi="Arial" w:cs="Arial"/>
        </w:rPr>
        <w:t xml:space="preserve">insulin resistance of Maria is significantly </w:t>
      </w:r>
      <w:r w:rsidR="00867CDE">
        <w:rPr>
          <w:rFonts w:ascii="Arial" w:hAnsi="Arial" w:cs="Arial" w:hint="eastAsia"/>
        </w:rPr>
        <w:t>higher</w:t>
      </w:r>
      <w:r w:rsidRPr="0086664C">
        <w:rPr>
          <w:rFonts w:ascii="Arial" w:hAnsi="Arial" w:cs="Arial"/>
        </w:rPr>
        <w:t xml:space="preserve"> than it should be</w:t>
      </w:r>
      <w:r w:rsidR="00950903">
        <w:rPr>
          <w:rFonts w:ascii="Arial" w:hAnsi="Arial" w:cs="Arial" w:hint="eastAsia"/>
        </w:rPr>
        <w:t xml:space="preserve">, which leads to </w:t>
      </w:r>
      <w:r w:rsidR="00950903">
        <w:rPr>
          <w:rFonts w:ascii="Arial" w:hAnsi="Arial" w:cs="Arial"/>
        </w:rPr>
        <w:t>hyperinsulinemia</w:t>
      </w:r>
      <w:r w:rsidR="00EC66E4">
        <w:rPr>
          <w:rFonts w:ascii="Arial" w:hAnsi="Arial" w:cs="Arial"/>
        </w:rPr>
        <w:t>.</w:t>
      </w:r>
      <w:r w:rsidR="00950903">
        <w:rPr>
          <w:rFonts w:ascii="Arial" w:hAnsi="Arial" w:cs="Arial" w:hint="eastAsia"/>
        </w:rPr>
        <w:t xml:space="preserve"> </w:t>
      </w:r>
    </w:p>
    <w:p w14:paraId="27DF714B" w14:textId="24DDFF0F" w:rsidR="0086664C" w:rsidRDefault="0086664C" w:rsidP="0086664C">
      <w:pPr>
        <w:spacing w:after="0" w:line="480" w:lineRule="auto"/>
        <w:rPr>
          <w:rFonts w:ascii="Arial" w:hAnsi="Arial" w:cs="Arial"/>
        </w:rPr>
      </w:pPr>
      <w:r w:rsidRPr="0086664C">
        <w:rPr>
          <w:rFonts w:ascii="Arial" w:hAnsi="Arial" w:cs="Arial"/>
        </w:rPr>
        <w:tab/>
        <w:t xml:space="preserve">Lastly, fasting active ghrelin level was remarkably </w:t>
      </w:r>
      <w:r w:rsidR="00E32B9B">
        <w:rPr>
          <w:rFonts w:ascii="Arial" w:hAnsi="Arial" w:cs="Arial" w:hint="eastAsia"/>
        </w:rPr>
        <w:t>lower</w:t>
      </w:r>
      <w:r w:rsidRPr="0086664C">
        <w:rPr>
          <w:rFonts w:ascii="Arial" w:hAnsi="Arial" w:cs="Arial"/>
        </w:rPr>
        <w:t xml:space="preserve"> than it should be. Unlike leptin, which promotes </w:t>
      </w:r>
      <w:r w:rsidR="0041221F">
        <w:rPr>
          <w:rFonts w:ascii="Arial" w:hAnsi="Arial" w:cs="Arial"/>
        </w:rPr>
        <w:t xml:space="preserve">a </w:t>
      </w:r>
      <w:r w:rsidRPr="0086664C">
        <w:rPr>
          <w:rFonts w:ascii="Arial" w:hAnsi="Arial" w:cs="Arial"/>
        </w:rPr>
        <w:t xml:space="preserve">feeling of satiety, ghrelin increases appetite and </w:t>
      </w:r>
      <w:r w:rsidR="0041221F">
        <w:rPr>
          <w:rFonts w:ascii="Arial" w:hAnsi="Arial" w:cs="Arial"/>
        </w:rPr>
        <w:t>induces</w:t>
      </w:r>
      <w:r w:rsidRPr="0086664C">
        <w:rPr>
          <w:rFonts w:ascii="Arial" w:hAnsi="Arial" w:cs="Arial"/>
        </w:rPr>
        <w:t xml:space="preserve"> food </w:t>
      </w:r>
      <w:r w:rsidRPr="0086664C">
        <w:rPr>
          <w:rFonts w:ascii="Arial" w:hAnsi="Arial" w:cs="Arial"/>
        </w:rPr>
        <w:lastRenderedPageBreak/>
        <w:t xml:space="preserve">intake. (Aoun and Schmidt, 2019) As proved by Papandreou et al. in 2017, fasting ghrelin levels are significantly lower in obese subjects and </w:t>
      </w:r>
      <w:r w:rsidR="00D21173">
        <w:rPr>
          <w:rFonts w:ascii="Arial" w:hAnsi="Arial" w:cs="Arial" w:hint="eastAsia"/>
        </w:rPr>
        <w:t>it</w:t>
      </w:r>
      <w:r w:rsidRPr="0086664C">
        <w:rPr>
          <w:rFonts w:ascii="Arial" w:hAnsi="Arial" w:cs="Arial"/>
        </w:rPr>
        <w:t xml:space="preserve"> also affects insulin resistance.</w:t>
      </w:r>
    </w:p>
    <w:p w14:paraId="37AB5275" w14:textId="2F317736" w:rsidR="00C14BF1" w:rsidRPr="0086664C" w:rsidRDefault="00C14BF1" w:rsidP="00C14BF1">
      <w:pPr>
        <w:spacing w:after="0" w:line="480" w:lineRule="auto"/>
        <w:ind w:firstLine="720"/>
        <w:rPr>
          <w:rFonts w:ascii="Arial" w:hAnsi="Arial" w:cs="Arial"/>
        </w:rPr>
      </w:pPr>
      <w:r w:rsidRPr="007C4039">
        <w:rPr>
          <w:rFonts w:ascii="Arial" w:hAnsi="Arial" w:cs="Arial"/>
        </w:rPr>
        <w:t>During fasting, ghrelin increases to stimulate appetite, wh</w:t>
      </w:r>
      <w:r>
        <w:rPr>
          <w:rFonts w:ascii="Arial" w:hAnsi="Arial" w:cs="Arial" w:hint="eastAsia"/>
        </w:rPr>
        <w:t xml:space="preserve">ilst </w:t>
      </w:r>
      <w:r w:rsidRPr="007C4039">
        <w:rPr>
          <w:rFonts w:ascii="Arial" w:hAnsi="Arial" w:cs="Arial"/>
        </w:rPr>
        <w:t xml:space="preserve">insulin, GLP-1 and leptin fall. </w:t>
      </w:r>
      <w:r>
        <w:rPr>
          <w:rFonts w:ascii="Arial" w:hAnsi="Arial" w:cs="Arial" w:hint="eastAsia"/>
        </w:rPr>
        <w:t xml:space="preserve">(Fink et al., 2024) </w:t>
      </w:r>
      <w:r w:rsidRPr="007C4039">
        <w:rPr>
          <w:rFonts w:ascii="Arial" w:hAnsi="Arial" w:cs="Arial"/>
        </w:rPr>
        <w:t>Following food intake, insulin and GLP-1 rise to promote glucose uptake and satiety, while ghrelin is suppressed. In Maria’s case, elevated fasting insulin together with low ghrelin suggests impaired metabolic flexibility, consistent with insulin resistance in obesity.</w:t>
      </w:r>
    </w:p>
    <w:p w14:paraId="7C6FAEB2" w14:textId="56894D4F" w:rsidR="0086664C" w:rsidRDefault="0086664C" w:rsidP="0086664C">
      <w:pPr>
        <w:spacing w:after="0" w:line="480" w:lineRule="auto"/>
        <w:rPr>
          <w:rFonts w:ascii="Arial" w:hAnsi="Arial" w:cs="Arial"/>
        </w:rPr>
      </w:pPr>
      <w:r w:rsidRPr="0086664C">
        <w:rPr>
          <w:rFonts w:ascii="Arial" w:hAnsi="Arial" w:cs="Arial"/>
        </w:rPr>
        <w:tab/>
        <w:t xml:space="preserve">To maintain ideal body weight for </w:t>
      </w:r>
      <w:r w:rsidR="0041221F">
        <w:rPr>
          <w:rFonts w:ascii="Arial" w:hAnsi="Arial" w:cs="Arial"/>
        </w:rPr>
        <w:t xml:space="preserve">an </w:t>
      </w:r>
      <w:r w:rsidRPr="0086664C">
        <w:rPr>
          <w:rFonts w:ascii="Arial" w:hAnsi="Arial" w:cs="Arial"/>
        </w:rPr>
        <w:t xml:space="preserve">individual, energy expenditure should be the same </w:t>
      </w:r>
      <w:r w:rsidR="006B7CF9">
        <w:rPr>
          <w:rFonts w:ascii="Arial" w:hAnsi="Arial" w:cs="Arial"/>
        </w:rPr>
        <w:t>as</w:t>
      </w:r>
      <w:r w:rsidRPr="0086664C">
        <w:rPr>
          <w:rFonts w:ascii="Arial" w:hAnsi="Arial" w:cs="Arial"/>
        </w:rPr>
        <w:t xml:space="preserve"> energy intake. This state is known as energy balance, and it is based on </w:t>
      </w:r>
      <w:r w:rsidR="006B7CF9">
        <w:rPr>
          <w:rFonts w:ascii="Arial" w:hAnsi="Arial" w:cs="Arial"/>
        </w:rPr>
        <w:t xml:space="preserve">the </w:t>
      </w:r>
      <w:r w:rsidRPr="0086664C">
        <w:rPr>
          <w:rFonts w:ascii="Arial" w:hAnsi="Arial" w:cs="Arial"/>
        </w:rPr>
        <w:t xml:space="preserve">fundamental thermodynamic law that energy can only be gained, stored, or used. (Hill et al., 2013) Disturbance in this energy balance causes one’s body mass to change, either decrease or increase. Meanwhile, the energy intake equals </w:t>
      </w:r>
      <w:r w:rsidR="006B7CF9">
        <w:rPr>
          <w:rFonts w:ascii="Arial" w:hAnsi="Arial" w:cs="Arial"/>
        </w:rPr>
        <w:t xml:space="preserve">the </w:t>
      </w:r>
      <w:r w:rsidRPr="0086664C">
        <w:rPr>
          <w:rFonts w:ascii="Arial" w:hAnsi="Arial" w:cs="Arial"/>
        </w:rPr>
        <w:t>calories of the food eaten, and food intake is regulated by homeostatic signals and hedonic cues.</w:t>
      </w:r>
    </w:p>
    <w:p w14:paraId="278B8141" w14:textId="77777777" w:rsidR="001B51FB" w:rsidRDefault="001B51FB" w:rsidP="0086664C">
      <w:pPr>
        <w:spacing w:after="0" w:line="480" w:lineRule="auto"/>
        <w:rPr>
          <w:rFonts w:ascii="Arial" w:hAnsi="Arial" w:cs="Arial"/>
        </w:rPr>
      </w:pPr>
    </w:p>
    <w:p w14:paraId="46DF025A" w14:textId="47086159" w:rsidR="0086664C" w:rsidRPr="0086664C" w:rsidRDefault="0086664C" w:rsidP="0086664C">
      <w:pPr>
        <w:spacing w:after="0" w:line="480" w:lineRule="auto"/>
        <w:rPr>
          <w:rFonts w:ascii="Arial" w:hAnsi="Arial" w:cs="Arial"/>
          <w:b/>
          <w:bCs/>
        </w:rPr>
      </w:pPr>
      <w:r w:rsidRPr="0086664C">
        <w:rPr>
          <w:rFonts w:ascii="Arial" w:hAnsi="Arial" w:cs="Arial"/>
          <w:b/>
          <w:bCs/>
        </w:rPr>
        <w:t>Figure 3</w:t>
      </w:r>
    </w:p>
    <w:p w14:paraId="746A0DC2" w14:textId="77777777" w:rsidR="0086664C" w:rsidRPr="0086664C" w:rsidRDefault="0086664C" w:rsidP="0086664C">
      <w:pPr>
        <w:spacing w:after="0" w:line="480" w:lineRule="auto"/>
        <w:rPr>
          <w:rFonts w:ascii="Arial" w:hAnsi="Arial" w:cs="Arial"/>
          <w:i/>
          <w:iCs/>
        </w:rPr>
      </w:pPr>
      <w:r w:rsidRPr="0086664C">
        <w:rPr>
          <w:rFonts w:ascii="Arial" w:hAnsi="Arial" w:cs="Arial"/>
          <w:i/>
          <w:iCs/>
        </w:rPr>
        <w:t>Food Intake Cycle in Homeostatic Regulation</w:t>
      </w:r>
    </w:p>
    <w:p w14:paraId="239ECE3A" w14:textId="77777777" w:rsidR="0086664C" w:rsidRPr="0086664C" w:rsidRDefault="0086664C" w:rsidP="0086664C">
      <w:pPr>
        <w:spacing w:after="0" w:line="480" w:lineRule="auto"/>
        <w:rPr>
          <w:rFonts w:ascii="Arial" w:hAnsi="Arial" w:cs="Arial"/>
        </w:rPr>
      </w:pPr>
      <w:r w:rsidRPr="0086664C">
        <w:rPr>
          <w:rFonts w:ascii="Arial" w:hAnsi="Arial" w:cs="Arial"/>
          <w:noProof/>
        </w:rPr>
        <w:drawing>
          <wp:inline distT="0" distB="0" distL="0" distR="0" wp14:anchorId="3ED49917" wp14:editId="77FC8933">
            <wp:extent cx="2753248" cy="2726602"/>
            <wp:effectExtent l="0" t="0" r="0" b="0"/>
            <wp:docPr id="550084991" name="Picture 1" descr="Diagram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84991" name="Picture 1" descr="Diagram of a human bod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79936" cy="2753031"/>
                    </a:xfrm>
                    <a:prstGeom prst="rect">
                      <a:avLst/>
                    </a:prstGeom>
                    <a:noFill/>
                    <a:ln>
                      <a:noFill/>
                    </a:ln>
                  </pic:spPr>
                </pic:pic>
              </a:graphicData>
            </a:graphic>
          </wp:inline>
        </w:drawing>
      </w:r>
    </w:p>
    <w:p w14:paraId="1E5A5F90" w14:textId="26EA1C98" w:rsidR="0086664C" w:rsidRPr="0086664C" w:rsidRDefault="0086664C" w:rsidP="0086664C">
      <w:pPr>
        <w:spacing w:after="0" w:line="480" w:lineRule="auto"/>
        <w:rPr>
          <w:rFonts w:ascii="Arial" w:hAnsi="Arial" w:cs="Arial"/>
        </w:rPr>
      </w:pPr>
      <w:r w:rsidRPr="0086664C">
        <w:rPr>
          <w:rFonts w:ascii="Arial" w:hAnsi="Arial" w:cs="Arial"/>
        </w:rPr>
        <w:t>From Cifuentes and Acosta</w:t>
      </w:r>
      <w:r w:rsidR="007F759C">
        <w:rPr>
          <w:rFonts w:ascii="Arial" w:hAnsi="Arial" w:cs="Arial" w:hint="eastAsia"/>
        </w:rPr>
        <w:t xml:space="preserve"> (</w:t>
      </w:r>
      <w:r w:rsidRPr="0086664C">
        <w:rPr>
          <w:rFonts w:ascii="Arial" w:hAnsi="Arial" w:cs="Arial"/>
        </w:rPr>
        <w:t>2022)</w:t>
      </w:r>
    </w:p>
    <w:p w14:paraId="0C10DEA6" w14:textId="77777777" w:rsidR="0086664C" w:rsidRPr="0086664C" w:rsidRDefault="0086664C" w:rsidP="0086664C">
      <w:pPr>
        <w:spacing w:after="0" w:line="480" w:lineRule="auto"/>
        <w:rPr>
          <w:rFonts w:ascii="Arial" w:hAnsi="Arial" w:cs="Arial"/>
        </w:rPr>
      </w:pPr>
    </w:p>
    <w:p w14:paraId="7E3A36C8" w14:textId="187612B9" w:rsidR="0086664C" w:rsidRPr="0086664C" w:rsidRDefault="0086664C" w:rsidP="0086664C">
      <w:pPr>
        <w:spacing w:after="0" w:line="480" w:lineRule="auto"/>
        <w:ind w:firstLine="720"/>
        <w:rPr>
          <w:rFonts w:ascii="Arial" w:hAnsi="Arial" w:cs="Arial"/>
        </w:rPr>
      </w:pPr>
      <w:r w:rsidRPr="0086664C">
        <w:rPr>
          <w:rFonts w:ascii="Arial" w:hAnsi="Arial" w:cs="Arial"/>
        </w:rPr>
        <w:lastRenderedPageBreak/>
        <w:t xml:space="preserve">As shown in Figure 3, the integration of hormonal, metabolic, and neuronal signals regulates homeostatic eating, and this is due to the feeling of satiety fading and hunger increasing when the fasting state is prolonged. (Cifuentes and Acosta, 2022) Hedonic eating, on the other hand, is not </w:t>
      </w:r>
      <w:r w:rsidR="006B7CF9">
        <w:rPr>
          <w:rFonts w:ascii="Arial" w:hAnsi="Arial" w:cs="Arial"/>
        </w:rPr>
        <w:t>driven</w:t>
      </w:r>
      <w:r w:rsidRPr="0086664C">
        <w:rPr>
          <w:rFonts w:ascii="Arial" w:hAnsi="Arial" w:cs="Arial"/>
        </w:rPr>
        <w:t xml:space="preserve"> </w:t>
      </w:r>
      <w:r w:rsidR="006B7CF9">
        <w:rPr>
          <w:rFonts w:ascii="Arial" w:hAnsi="Arial" w:cs="Arial"/>
        </w:rPr>
        <w:t>by</w:t>
      </w:r>
      <w:r w:rsidRPr="0086664C">
        <w:rPr>
          <w:rFonts w:ascii="Arial" w:hAnsi="Arial" w:cs="Arial"/>
        </w:rPr>
        <w:t xml:space="preserve"> the physiological need </w:t>
      </w:r>
      <w:r w:rsidR="006B7CF9">
        <w:rPr>
          <w:rFonts w:ascii="Arial" w:hAnsi="Arial" w:cs="Arial"/>
        </w:rPr>
        <w:t>for</w:t>
      </w:r>
      <w:r w:rsidRPr="0086664C">
        <w:rPr>
          <w:rFonts w:ascii="Arial" w:hAnsi="Arial" w:cs="Arial"/>
        </w:rPr>
        <w:t xml:space="preserve"> nutrients without physical hunger. (Espel-Huynh et al., 2018) But it is rather from one’s desire to consume the food for pleasure, which in Maria’s case </w:t>
      </w:r>
      <w:r w:rsidR="006B7CF9">
        <w:rPr>
          <w:rFonts w:ascii="Arial" w:hAnsi="Arial" w:cs="Arial"/>
        </w:rPr>
        <w:t xml:space="preserve">is </w:t>
      </w:r>
      <w:r w:rsidRPr="0086664C">
        <w:rPr>
          <w:rFonts w:ascii="Arial" w:hAnsi="Arial" w:cs="Arial"/>
        </w:rPr>
        <w:t xml:space="preserve">called “emotional eating.” </w:t>
      </w:r>
    </w:p>
    <w:p w14:paraId="1A548481" w14:textId="1D4034DD" w:rsidR="0086664C" w:rsidRPr="0086664C" w:rsidRDefault="0086664C" w:rsidP="0086664C">
      <w:pPr>
        <w:spacing w:after="0" w:line="480" w:lineRule="auto"/>
        <w:ind w:firstLine="720"/>
        <w:rPr>
          <w:rFonts w:ascii="Arial" w:hAnsi="Arial" w:cs="Arial"/>
        </w:rPr>
      </w:pPr>
      <w:r w:rsidRPr="0086664C">
        <w:rPr>
          <w:rFonts w:ascii="Arial" w:hAnsi="Arial" w:cs="Arial"/>
        </w:rPr>
        <w:t>Based on anthropometric data of Maria (BMI of 35.7 kg/</w:t>
      </w:r>
      <w:r w:rsidR="008045C6">
        <w:rPr>
          <w:rFonts w:ascii="Arial" w:hAnsi="Arial" w:cs="Arial"/>
        </w:rPr>
        <w:t>m²</w:t>
      </w:r>
      <w:r w:rsidRPr="0086664C">
        <w:rPr>
          <w:rFonts w:ascii="Arial" w:hAnsi="Arial" w:cs="Arial"/>
        </w:rPr>
        <w:t xml:space="preserve">) and Figure 4, which presents the classification of BMI, Maria is considered obese, precisely obesity class 2. As stated by Berthoud et al. (2017), obesity can be caused </w:t>
      </w:r>
      <w:r w:rsidR="008045C6">
        <w:rPr>
          <w:rFonts w:ascii="Arial" w:hAnsi="Arial" w:cs="Arial"/>
        </w:rPr>
        <w:t>by</w:t>
      </w:r>
      <w:r w:rsidRPr="0086664C">
        <w:rPr>
          <w:rFonts w:ascii="Arial" w:hAnsi="Arial" w:cs="Arial"/>
        </w:rPr>
        <w:t xml:space="preserve"> hedonic overeating.</w:t>
      </w:r>
    </w:p>
    <w:p w14:paraId="42DAEAF7" w14:textId="77777777" w:rsidR="00E32B9B" w:rsidRDefault="00E32B9B" w:rsidP="0086664C">
      <w:pPr>
        <w:spacing w:after="0" w:line="480" w:lineRule="auto"/>
        <w:rPr>
          <w:rFonts w:ascii="Arial" w:hAnsi="Arial" w:cs="Arial"/>
        </w:rPr>
      </w:pPr>
    </w:p>
    <w:p w14:paraId="4665D423" w14:textId="20E66C71" w:rsidR="0086664C" w:rsidRPr="0086664C" w:rsidRDefault="0086664C" w:rsidP="0086664C">
      <w:pPr>
        <w:spacing w:after="0" w:line="480" w:lineRule="auto"/>
        <w:rPr>
          <w:rFonts w:ascii="Arial" w:hAnsi="Arial" w:cs="Arial"/>
          <w:b/>
          <w:bCs/>
        </w:rPr>
      </w:pPr>
      <w:r w:rsidRPr="0086664C">
        <w:rPr>
          <w:rFonts w:ascii="Arial" w:hAnsi="Arial" w:cs="Arial"/>
          <w:b/>
          <w:bCs/>
        </w:rPr>
        <w:t>Figure 4</w:t>
      </w:r>
    </w:p>
    <w:p w14:paraId="4B882000" w14:textId="77777777" w:rsidR="0086664C" w:rsidRPr="0086664C" w:rsidRDefault="0086664C" w:rsidP="0086664C">
      <w:pPr>
        <w:spacing w:after="0" w:line="480" w:lineRule="auto"/>
        <w:rPr>
          <w:rFonts w:ascii="Arial" w:hAnsi="Arial" w:cs="Arial"/>
          <w:i/>
          <w:iCs/>
        </w:rPr>
      </w:pPr>
      <w:r w:rsidRPr="0086664C">
        <w:rPr>
          <w:rFonts w:ascii="Arial" w:hAnsi="Arial" w:cs="Arial"/>
          <w:i/>
          <w:iCs/>
        </w:rPr>
        <w:t>Classification of BMI</w:t>
      </w:r>
    </w:p>
    <w:p w14:paraId="40407F4F" w14:textId="77777777" w:rsidR="0086664C" w:rsidRPr="0086664C" w:rsidRDefault="0086664C" w:rsidP="0086664C">
      <w:pPr>
        <w:spacing w:after="0" w:line="480" w:lineRule="auto"/>
        <w:rPr>
          <w:rFonts w:ascii="Arial" w:hAnsi="Arial" w:cs="Arial"/>
          <w:b/>
          <w:bCs/>
        </w:rPr>
      </w:pPr>
      <w:r w:rsidRPr="0086664C">
        <w:rPr>
          <w:rFonts w:ascii="Arial" w:hAnsi="Arial" w:cs="Arial"/>
          <w:noProof/>
        </w:rPr>
        <w:drawing>
          <wp:inline distT="0" distB="0" distL="0" distR="0" wp14:anchorId="4A1824A2" wp14:editId="0BA6CC13">
            <wp:extent cx="3303175" cy="1316334"/>
            <wp:effectExtent l="0" t="0" r="0" b="0"/>
            <wp:docPr id="498855880" name="Picture 3"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93001" name="Picture 3" descr="A table with text and numbers&#10;&#10;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b="25354"/>
                    <a:stretch>
                      <a:fillRect/>
                    </a:stretch>
                  </pic:blipFill>
                  <pic:spPr bwMode="auto">
                    <a:xfrm>
                      <a:off x="0" y="0"/>
                      <a:ext cx="3309893" cy="1319011"/>
                    </a:xfrm>
                    <a:prstGeom prst="rect">
                      <a:avLst/>
                    </a:prstGeom>
                    <a:noFill/>
                    <a:ln>
                      <a:noFill/>
                    </a:ln>
                    <a:extLst>
                      <a:ext uri="{53640926-AAD7-44D8-BBD7-CCE9431645EC}">
                        <a14:shadowObscured xmlns:a14="http://schemas.microsoft.com/office/drawing/2010/main"/>
                      </a:ext>
                    </a:extLst>
                  </pic:spPr>
                </pic:pic>
              </a:graphicData>
            </a:graphic>
          </wp:inline>
        </w:drawing>
      </w:r>
    </w:p>
    <w:p w14:paraId="0560D557" w14:textId="65C2A878" w:rsidR="0086664C" w:rsidRPr="0086664C" w:rsidRDefault="0086664C" w:rsidP="0086664C">
      <w:pPr>
        <w:spacing w:after="0" w:line="480" w:lineRule="auto"/>
        <w:rPr>
          <w:rFonts w:ascii="Arial" w:hAnsi="Arial" w:cs="Arial"/>
        </w:rPr>
      </w:pPr>
      <w:r w:rsidRPr="0086664C">
        <w:rPr>
          <w:rFonts w:ascii="Arial" w:hAnsi="Arial" w:cs="Arial"/>
        </w:rPr>
        <w:t>From Abana et al.</w:t>
      </w:r>
      <w:r w:rsidR="007F759C">
        <w:rPr>
          <w:rFonts w:ascii="Arial" w:hAnsi="Arial" w:cs="Arial" w:hint="eastAsia"/>
        </w:rPr>
        <w:t xml:space="preserve"> (</w:t>
      </w:r>
      <w:r w:rsidRPr="0086664C">
        <w:rPr>
          <w:rFonts w:ascii="Arial" w:hAnsi="Arial" w:cs="Arial"/>
        </w:rPr>
        <w:t>2020)</w:t>
      </w:r>
    </w:p>
    <w:p w14:paraId="6EE523B3" w14:textId="77777777" w:rsidR="0086664C" w:rsidRPr="0086664C" w:rsidRDefault="0086664C" w:rsidP="0086664C">
      <w:pPr>
        <w:spacing w:after="0" w:line="480" w:lineRule="auto"/>
        <w:rPr>
          <w:rFonts w:ascii="Arial" w:hAnsi="Arial" w:cs="Arial"/>
        </w:rPr>
      </w:pPr>
    </w:p>
    <w:p w14:paraId="6DD673C5" w14:textId="77777777" w:rsidR="0077597C" w:rsidRDefault="0086664C" w:rsidP="0086664C">
      <w:pPr>
        <w:spacing w:after="0" w:line="480" w:lineRule="auto"/>
        <w:rPr>
          <w:rFonts w:ascii="Arial" w:hAnsi="Arial" w:cs="Arial"/>
        </w:rPr>
      </w:pPr>
      <w:r w:rsidRPr="0086664C">
        <w:rPr>
          <w:rFonts w:ascii="Arial" w:hAnsi="Arial" w:cs="Arial"/>
        </w:rPr>
        <w:t xml:space="preserve">Moreover, her biochemistry result provides clear clues of critical metabolic dysfunction. Hb1AC of 8.3%, 37 mlU/L of fasting insulin, and other analytes (Table 3) also indicate high insulin resistance, leading to Type 2 diabetes mellitus. The estimated risk for type 2 diabetes mellitus increases approximately by 2-4 times when one of the parents or both </w:t>
      </w:r>
      <w:r w:rsidR="008045C6">
        <w:rPr>
          <w:rFonts w:ascii="Arial" w:hAnsi="Arial" w:cs="Arial"/>
        </w:rPr>
        <w:t>have</w:t>
      </w:r>
      <w:r w:rsidRPr="0086664C">
        <w:rPr>
          <w:rFonts w:ascii="Arial" w:hAnsi="Arial" w:cs="Arial"/>
        </w:rPr>
        <w:t xml:space="preserve"> the condition. (Papazafiropoulou et al., 2017) </w:t>
      </w:r>
    </w:p>
    <w:p w14:paraId="3BD31800" w14:textId="69CD450C" w:rsidR="004E1ED6" w:rsidRDefault="004E1ED6" w:rsidP="004E1ED6">
      <w:pPr>
        <w:spacing w:after="0" w:line="480" w:lineRule="auto"/>
        <w:ind w:firstLine="720"/>
        <w:rPr>
          <w:rFonts w:ascii="Arial" w:hAnsi="Arial" w:cs="Arial"/>
        </w:rPr>
      </w:pPr>
      <w:r w:rsidRPr="004E1ED6">
        <w:rPr>
          <w:rFonts w:ascii="Arial" w:hAnsi="Arial" w:cs="Arial"/>
        </w:rPr>
        <w:t>Maria’s biochemical profile</w:t>
      </w:r>
      <w:r>
        <w:rPr>
          <w:rFonts w:ascii="Arial" w:hAnsi="Arial" w:cs="Arial" w:hint="eastAsia"/>
        </w:rPr>
        <w:t xml:space="preserve">, which is </w:t>
      </w:r>
      <w:r>
        <w:rPr>
          <w:rFonts w:ascii="Arial" w:hAnsi="Arial" w:cs="Arial"/>
        </w:rPr>
        <w:t>characterised</w:t>
      </w:r>
      <w:r w:rsidRPr="004E1ED6">
        <w:rPr>
          <w:rFonts w:ascii="Arial" w:hAnsi="Arial" w:cs="Arial"/>
        </w:rPr>
        <w:t xml:space="preserve"> by elevated fasting glucose (7.4 mmol/L), markedly raised HbA1c (8.3%), and hyperinsulinemia (37 mIU/L)</w:t>
      </w:r>
      <w:r>
        <w:rPr>
          <w:rFonts w:ascii="Arial" w:hAnsi="Arial" w:cs="Arial" w:hint="eastAsia"/>
        </w:rPr>
        <w:t xml:space="preserve">, </w:t>
      </w:r>
      <w:r w:rsidRPr="004E1ED6">
        <w:rPr>
          <w:rFonts w:ascii="Arial" w:hAnsi="Arial" w:cs="Arial"/>
        </w:rPr>
        <w:t>is consistent with insulin resistance</w:t>
      </w:r>
      <w:r>
        <w:rPr>
          <w:rFonts w:ascii="Arial" w:hAnsi="Arial" w:cs="Arial" w:hint="eastAsia"/>
        </w:rPr>
        <w:t>-</w:t>
      </w:r>
      <w:r w:rsidRPr="004E1ED6">
        <w:rPr>
          <w:rFonts w:ascii="Arial" w:hAnsi="Arial" w:cs="Arial"/>
        </w:rPr>
        <w:t>driven type 2 diabetes mellitus</w:t>
      </w:r>
      <w:r w:rsidR="001F1498">
        <w:rPr>
          <w:rFonts w:ascii="Arial" w:hAnsi="Arial" w:cs="Arial" w:hint="eastAsia"/>
        </w:rPr>
        <w:t xml:space="preserve"> and </w:t>
      </w:r>
      <w:r w:rsidR="00270D5F">
        <w:rPr>
          <w:rFonts w:ascii="Arial" w:hAnsi="Arial" w:cs="Arial" w:hint="eastAsia"/>
        </w:rPr>
        <w:t>h</w:t>
      </w:r>
      <w:r w:rsidRPr="004E1ED6">
        <w:rPr>
          <w:rFonts w:ascii="Arial" w:hAnsi="Arial" w:cs="Arial"/>
        </w:rPr>
        <w:t>er BMI places her in obesity class II</w:t>
      </w:r>
      <w:r w:rsidR="00270D5F">
        <w:rPr>
          <w:rFonts w:ascii="Arial" w:hAnsi="Arial" w:cs="Arial" w:hint="eastAsia"/>
        </w:rPr>
        <w:t xml:space="preserve">. </w:t>
      </w:r>
      <w:r w:rsidR="00270D5F" w:rsidRPr="00270D5F">
        <w:rPr>
          <w:rFonts w:ascii="Arial" w:hAnsi="Arial" w:cs="Arial"/>
        </w:rPr>
        <w:lastRenderedPageBreak/>
        <w:t>Considering all these factors, it can be concluded that Maria has both type 2 diabetes and obesity class 2.</w:t>
      </w:r>
    </w:p>
    <w:p w14:paraId="383AB23D" w14:textId="554B10DF" w:rsidR="0086664C" w:rsidRDefault="0086664C" w:rsidP="004E1ED6">
      <w:pPr>
        <w:spacing w:after="0" w:line="480" w:lineRule="auto"/>
        <w:ind w:firstLine="720"/>
        <w:rPr>
          <w:rFonts w:ascii="Arial" w:hAnsi="Arial" w:cs="Arial"/>
        </w:rPr>
      </w:pPr>
      <w:r w:rsidRPr="0086664C">
        <w:rPr>
          <w:rFonts w:ascii="Arial" w:hAnsi="Arial" w:cs="Arial"/>
        </w:rPr>
        <w:t xml:space="preserve">Also having </w:t>
      </w:r>
      <w:r w:rsidR="008045C6">
        <w:rPr>
          <w:rFonts w:ascii="Arial" w:hAnsi="Arial" w:cs="Arial"/>
        </w:rPr>
        <w:t xml:space="preserve">a </w:t>
      </w:r>
      <w:r w:rsidRPr="0086664C">
        <w:rPr>
          <w:rFonts w:ascii="Arial" w:hAnsi="Arial" w:cs="Arial"/>
        </w:rPr>
        <w:t xml:space="preserve">strong family history of cardiovascular diseases, it is crucial to analyse Maria’s possible complications. According to the study from Shah et al. (2015), of all cardiovascular </w:t>
      </w:r>
      <w:r w:rsidR="008045C6">
        <w:rPr>
          <w:rFonts w:ascii="Arial" w:hAnsi="Arial" w:cs="Arial"/>
        </w:rPr>
        <w:t>diseases</w:t>
      </w:r>
      <w:r w:rsidRPr="0086664C">
        <w:rPr>
          <w:rFonts w:ascii="Arial" w:hAnsi="Arial" w:cs="Arial"/>
        </w:rPr>
        <w:t xml:space="preserve">, peripheral arterial disease, heart failure, and non-fatal myocardial infarction are positively associated with type 2 diabetes mellitus. One of the most common cardiovascular complications is peripheral arterial disease (Fowkes et al., 2013), which is induced by atherosclerosis </w:t>
      </w:r>
      <w:r w:rsidR="008045C6">
        <w:rPr>
          <w:rFonts w:ascii="Arial" w:hAnsi="Arial" w:cs="Arial"/>
        </w:rPr>
        <w:t>in</w:t>
      </w:r>
      <w:r w:rsidRPr="0086664C">
        <w:rPr>
          <w:rFonts w:ascii="Arial" w:hAnsi="Arial" w:cs="Arial"/>
        </w:rPr>
        <w:t xml:space="preserve"> the lower extremities</w:t>
      </w:r>
      <w:r w:rsidR="00D87AB5">
        <w:rPr>
          <w:rFonts w:ascii="Arial" w:hAnsi="Arial" w:cs="Arial"/>
        </w:rPr>
        <w:t>,</w:t>
      </w:r>
      <w:r w:rsidRPr="0086664C">
        <w:rPr>
          <w:rFonts w:ascii="Arial" w:hAnsi="Arial" w:cs="Arial"/>
        </w:rPr>
        <w:t xml:space="preserve"> causing pain, aching, heaviness, or cramping in the legs. Atherosclerosis can also give rise to coronary heart disease, and other cardiovascular diseases (Antar et al., 2023; Ellis et al., 2018)</w:t>
      </w:r>
      <w:r w:rsidR="00D87AB5">
        <w:rPr>
          <w:rFonts w:ascii="Arial" w:hAnsi="Arial" w:cs="Arial"/>
        </w:rPr>
        <w:t>.</w:t>
      </w:r>
      <w:r w:rsidRPr="0086664C">
        <w:rPr>
          <w:rFonts w:ascii="Arial" w:hAnsi="Arial" w:cs="Arial"/>
        </w:rPr>
        <w:t xml:space="preserve"> It was also noted from Antar et al. (2023) that complications associated with type 2 diabetes mellitus include liver cirrhosis, diabetic kidney disease, hyperglycaemia, and impairment of cytokine production.</w:t>
      </w:r>
    </w:p>
    <w:p w14:paraId="0BEF98F0" w14:textId="77777777" w:rsidR="00034DC6" w:rsidRDefault="00034DC6" w:rsidP="004E1ED6">
      <w:pPr>
        <w:spacing w:after="0" w:line="480" w:lineRule="auto"/>
        <w:ind w:firstLine="720"/>
        <w:rPr>
          <w:rFonts w:ascii="Arial" w:hAnsi="Arial" w:cs="Arial"/>
        </w:rPr>
      </w:pPr>
    </w:p>
    <w:p w14:paraId="646A2097" w14:textId="77777777" w:rsidR="0086664C" w:rsidRPr="0086664C" w:rsidRDefault="0086664C" w:rsidP="0086664C">
      <w:pPr>
        <w:spacing w:after="0" w:line="480" w:lineRule="auto"/>
        <w:rPr>
          <w:rFonts w:ascii="Arial" w:hAnsi="Arial" w:cs="Arial"/>
          <w:b/>
          <w:bCs/>
        </w:rPr>
      </w:pPr>
      <w:r w:rsidRPr="0086664C">
        <w:rPr>
          <w:rFonts w:ascii="Arial" w:hAnsi="Arial" w:cs="Arial"/>
          <w:b/>
          <w:bCs/>
        </w:rPr>
        <w:t>Future Considerations</w:t>
      </w:r>
    </w:p>
    <w:p w14:paraId="56712A47" w14:textId="3049D5FC" w:rsidR="0086664C" w:rsidRPr="0086664C" w:rsidRDefault="0086664C" w:rsidP="0086664C">
      <w:pPr>
        <w:spacing w:after="0" w:line="480" w:lineRule="auto"/>
        <w:rPr>
          <w:rFonts w:ascii="Arial" w:hAnsi="Arial" w:cs="Arial"/>
        </w:rPr>
      </w:pPr>
      <w:r w:rsidRPr="0086664C">
        <w:rPr>
          <w:rFonts w:ascii="Arial" w:hAnsi="Arial" w:cs="Arial"/>
          <w:b/>
          <w:bCs/>
        </w:rPr>
        <w:tab/>
      </w:r>
      <w:r w:rsidRPr="0086664C">
        <w:rPr>
          <w:rFonts w:ascii="Arial" w:hAnsi="Arial" w:cs="Arial"/>
        </w:rPr>
        <w:t xml:space="preserve">It is important to maintain optimum weight and insulin sensitivity to mitigate type 2 diabetes mellitus and obesity. To achieve this, medical nutrition therapy (MNT) is essential. MNT is a process to treat or manage a disease through nutrition regulation provided by </w:t>
      </w:r>
      <w:r w:rsidR="00D87AB5">
        <w:rPr>
          <w:rFonts w:ascii="Arial" w:hAnsi="Arial" w:cs="Arial"/>
        </w:rPr>
        <w:t xml:space="preserve">a </w:t>
      </w:r>
      <w:r w:rsidRPr="0086664C">
        <w:rPr>
          <w:rFonts w:ascii="Arial" w:hAnsi="Arial" w:cs="Arial"/>
        </w:rPr>
        <w:t xml:space="preserve">nutrition specialist or Registered Dietitians. This process can adequately improve Hb1AC level and quality of life in both types of diabetes mellitus patients. (Lu et al., 2023) </w:t>
      </w:r>
      <w:r w:rsidR="00D87AB5">
        <w:rPr>
          <w:rFonts w:ascii="Arial" w:hAnsi="Arial" w:cs="Arial"/>
        </w:rPr>
        <w:t>For</w:t>
      </w:r>
      <w:r w:rsidRPr="0086664C">
        <w:rPr>
          <w:rFonts w:ascii="Arial" w:hAnsi="Arial" w:cs="Arial"/>
        </w:rPr>
        <w:t xml:space="preserve"> Maria</w:t>
      </w:r>
      <w:r w:rsidR="00D87AB5">
        <w:rPr>
          <w:rFonts w:ascii="Arial" w:hAnsi="Arial" w:cs="Arial"/>
        </w:rPr>
        <w:t>,</w:t>
      </w:r>
      <w:r w:rsidRPr="0086664C">
        <w:rPr>
          <w:rFonts w:ascii="Arial" w:hAnsi="Arial" w:cs="Arial"/>
        </w:rPr>
        <w:t xml:space="preserve"> it is required to reduce energy intake while distributing it properly. Regarding Maria’s diet, it is needed to decrease refined carbohydrates and fats</w:t>
      </w:r>
      <w:r w:rsidR="00D87AB5">
        <w:rPr>
          <w:rFonts w:ascii="Arial" w:hAnsi="Arial" w:cs="Arial"/>
        </w:rPr>
        <w:t>,</w:t>
      </w:r>
      <w:r w:rsidRPr="0086664C">
        <w:rPr>
          <w:rFonts w:ascii="Arial" w:hAnsi="Arial" w:cs="Arial"/>
        </w:rPr>
        <w:t xml:space="preserve"> such as sweets or ultra-processed foods, while consuming more protein-based foods and fibres.</w:t>
      </w:r>
    </w:p>
    <w:p w14:paraId="4E6FD570" w14:textId="117C791B" w:rsidR="0086664C" w:rsidRPr="0086664C" w:rsidRDefault="0086664C" w:rsidP="00034DC6">
      <w:pPr>
        <w:spacing w:after="0" w:line="480" w:lineRule="auto"/>
        <w:ind w:firstLine="720"/>
        <w:rPr>
          <w:rFonts w:ascii="Arial" w:hAnsi="Arial" w:cs="Arial"/>
        </w:rPr>
      </w:pPr>
      <w:r w:rsidRPr="0086664C">
        <w:rPr>
          <w:rFonts w:ascii="Arial" w:hAnsi="Arial" w:cs="Arial"/>
        </w:rPr>
        <w:t xml:space="preserve">Other than MNT, to improve “emotional eating” habits, mindful eating can be implemented. It is a process-oriented approach to savour the moment and </w:t>
      </w:r>
      <w:r w:rsidR="00D87AB5">
        <w:rPr>
          <w:rFonts w:ascii="Arial" w:hAnsi="Arial" w:cs="Arial"/>
        </w:rPr>
        <w:t xml:space="preserve">an </w:t>
      </w:r>
      <w:r w:rsidRPr="0086664C">
        <w:rPr>
          <w:rFonts w:ascii="Arial" w:hAnsi="Arial" w:cs="Arial"/>
        </w:rPr>
        <w:t>individual’s sensual awareness of food</w:t>
      </w:r>
      <w:r w:rsidR="000C5BC8">
        <w:rPr>
          <w:rFonts w:ascii="Arial" w:hAnsi="Arial" w:cs="Arial"/>
        </w:rPr>
        <w:t>,</w:t>
      </w:r>
      <w:r w:rsidRPr="0086664C">
        <w:rPr>
          <w:rFonts w:ascii="Arial" w:hAnsi="Arial" w:cs="Arial"/>
        </w:rPr>
        <w:t xml:space="preserve"> which helps to sustain </w:t>
      </w:r>
      <w:r w:rsidR="000C5BC8">
        <w:rPr>
          <w:rFonts w:ascii="Arial" w:hAnsi="Arial" w:cs="Arial"/>
        </w:rPr>
        <w:t xml:space="preserve">a </w:t>
      </w:r>
      <w:r w:rsidRPr="0086664C">
        <w:rPr>
          <w:rFonts w:ascii="Arial" w:hAnsi="Arial" w:cs="Arial"/>
        </w:rPr>
        <w:t xml:space="preserve">healthy lifestyle longer. Mindful eating can also be linked with exercise: yoga and mindful walking daily. (Nelson, 2017) Yoga, as reported by Bhasin et al. (2025), has shown </w:t>
      </w:r>
      <w:r w:rsidR="000C5BC8">
        <w:rPr>
          <w:rFonts w:ascii="Arial" w:hAnsi="Arial" w:cs="Arial"/>
        </w:rPr>
        <w:t xml:space="preserve">a </w:t>
      </w:r>
      <w:r w:rsidRPr="0086664C">
        <w:rPr>
          <w:rFonts w:ascii="Arial" w:hAnsi="Arial" w:cs="Arial"/>
        </w:rPr>
        <w:t>significant impact on lowering HbA1</w:t>
      </w:r>
      <w:r w:rsidR="00152544">
        <w:rPr>
          <w:rFonts w:ascii="Arial" w:hAnsi="Arial" w:cs="Arial" w:hint="eastAsia"/>
        </w:rPr>
        <w:t>c</w:t>
      </w:r>
      <w:r w:rsidRPr="0086664C">
        <w:rPr>
          <w:rFonts w:ascii="Arial" w:hAnsi="Arial" w:cs="Arial"/>
        </w:rPr>
        <w:t xml:space="preserve"> and </w:t>
      </w:r>
      <w:r w:rsidRPr="0086664C">
        <w:rPr>
          <w:rFonts w:ascii="Arial" w:hAnsi="Arial" w:cs="Arial"/>
        </w:rPr>
        <w:lastRenderedPageBreak/>
        <w:t xml:space="preserve">fasting blood glucose </w:t>
      </w:r>
      <w:r w:rsidR="000C5BC8">
        <w:rPr>
          <w:rFonts w:ascii="Arial" w:hAnsi="Arial" w:cs="Arial"/>
        </w:rPr>
        <w:t>levels</w:t>
      </w:r>
      <w:r w:rsidRPr="0086664C">
        <w:rPr>
          <w:rFonts w:ascii="Arial" w:hAnsi="Arial" w:cs="Arial"/>
        </w:rPr>
        <w:t>. These methods should be integrated with behavioural modification such as exercising.</w:t>
      </w:r>
    </w:p>
    <w:p w14:paraId="4E5916C6" w14:textId="77777777" w:rsidR="00034DC6" w:rsidRDefault="0086664C" w:rsidP="00034DC6">
      <w:pPr>
        <w:spacing w:line="480" w:lineRule="auto"/>
        <w:ind w:firstLine="720"/>
        <w:rPr>
          <w:rFonts w:ascii="Arial" w:hAnsi="Arial" w:cs="Arial"/>
        </w:rPr>
      </w:pPr>
      <w:r w:rsidRPr="0086664C">
        <w:rPr>
          <w:rFonts w:ascii="Arial" w:hAnsi="Arial" w:cs="Arial"/>
        </w:rPr>
        <w:t>For long-term metabolic regulation, pharmacological therapy such as Metformin or GLP-1 receptor agonists may be utilised if lifestyle change proves insufficient or lifestyle change cannot be sustained anymore</w:t>
      </w:r>
      <w:r w:rsidR="00034DC6">
        <w:rPr>
          <w:rFonts w:ascii="Arial" w:hAnsi="Arial" w:cs="Arial" w:hint="eastAsia"/>
        </w:rPr>
        <w:t>.</w:t>
      </w:r>
    </w:p>
    <w:p w14:paraId="30368BC1" w14:textId="1F31A379" w:rsidR="0086664C" w:rsidRPr="00034DC6" w:rsidRDefault="0086664C" w:rsidP="00034DC6">
      <w:pPr>
        <w:spacing w:line="480" w:lineRule="auto"/>
        <w:rPr>
          <w:rFonts w:ascii="Arial" w:hAnsi="Arial" w:cs="Arial"/>
        </w:rPr>
      </w:pPr>
      <w:r w:rsidRPr="0086664C">
        <w:rPr>
          <w:rFonts w:ascii="Arial" w:hAnsi="Arial" w:cs="Arial"/>
          <w:b/>
          <w:bCs/>
        </w:rPr>
        <w:t>Conclusion</w:t>
      </w:r>
    </w:p>
    <w:p w14:paraId="379C481A" w14:textId="33953EF4" w:rsidR="0086664C" w:rsidRDefault="0086664C" w:rsidP="00034DC6">
      <w:pPr>
        <w:spacing w:line="480" w:lineRule="auto"/>
        <w:rPr>
          <w:rFonts w:ascii="Arial" w:hAnsi="Arial" w:cs="Arial"/>
        </w:rPr>
      </w:pPr>
      <w:r w:rsidRPr="0086664C">
        <w:rPr>
          <w:rFonts w:ascii="Arial" w:hAnsi="Arial" w:cs="Arial"/>
          <w:b/>
          <w:bCs/>
        </w:rPr>
        <w:tab/>
      </w:r>
      <w:r w:rsidRPr="0086664C">
        <w:rPr>
          <w:rFonts w:ascii="Arial" w:hAnsi="Arial" w:cs="Arial"/>
        </w:rPr>
        <w:t xml:space="preserve">Maria’s case is concluded with the diagnosis of obesity and type 2 diabetes mellitus resulting from insulin resistance due to metabolic and hormonal imbalance. These conditions can further initiate cardiovascular diseases and other complications. Therefore, it requires changes in lifestyle and behavioural modification and in </w:t>
      </w:r>
      <w:r w:rsidR="000C5BC8">
        <w:rPr>
          <w:rFonts w:ascii="Arial" w:hAnsi="Arial" w:cs="Arial"/>
        </w:rPr>
        <w:t>the long</w:t>
      </w:r>
      <w:r w:rsidRPr="0086664C">
        <w:rPr>
          <w:rFonts w:ascii="Arial" w:hAnsi="Arial" w:cs="Arial"/>
        </w:rPr>
        <w:t xml:space="preserve"> </w:t>
      </w:r>
      <w:r w:rsidR="000C5BC8">
        <w:rPr>
          <w:rFonts w:ascii="Arial" w:hAnsi="Arial" w:cs="Arial"/>
        </w:rPr>
        <w:t>term</w:t>
      </w:r>
      <w:r w:rsidRPr="0086664C">
        <w:rPr>
          <w:rFonts w:ascii="Arial" w:hAnsi="Arial" w:cs="Arial"/>
        </w:rPr>
        <w:t xml:space="preserve">, pharmacological therapy can be used to moderate energy imbalance and risk factors. </w:t>
      </w:r>
    </w:p>
    <w:p w14:paraId="5F5DC5D1" w14:textId="77777777" w:rsidR="00034DC6" w:rsidRDefault="00034DC6" w:rsidP="0086664C">
      <w:pPr>
        <w:spacing w:line="480" w:lineRule="auto"/>
        <w:rPr>
          <w:rFonts w:ascii="Arial" w:hAnsi="Arial" w:cs="Arial"/>
        </w:rPr>
      </w:pPr>
    </w:p>
    <w:p w14:paraId="20719F51" w14:textId="77777777" w:rsidR="00034DC6" w:rsidRDefault="00034DC6" w:rsidP="0086664C">
      <w:pPr>
        <w:spacing w:line="480" w:lineRule="auto"/>
        <w:rPr>
          <w:rFonts w:ascii="Arial" w:hAnsi="Arial" w:cs="Arial"/>
        </w:rPr>
      </w:pPr>
    </w:p>
    <w:p w14:paraId="236ED81B" w14:textId="77777777" w:rsidR="00034DC6" w:rsidRDefault="00034DC6" w:rsidP="0086664C">
      <w:pPr>
        <w:spacing w:line="480" w:lineRule="auto"/>
        <w:rPr>
          <w:rFonts w:ascii="Arial" w:hAnsi="Arial" w:cs="Arial"/>
        </w:rPr>
      </w:pPr>
    </w:p>
    <w:p w14:paraId="3C3A7ADD" w14:textId="77777777" w:rsidR="00034DC6" w:rsidRDefault="00034DC6" w:rsidP="0086664C">
      <w:pPr>
        <w:spacing w:line="480" w:lineRule="auto"/>
        <w:rPr>
          <w:rFonts w:ascii="Arial" w:hAnsi="Arial" w:cs="Arial"/>
        </w:rPr>
      </w:pPr>
    </w:p>
    <w:p w14:paraId="49E0FBAD" w14:textId="77777777" w:rsidR="00034DC6" w:rsidRDefault="00034DC6" w:rsidP="0086664C">
      <w:pPr>
        <w:spacing w:line="480" w:lineRule="auto"/>
        <w:rPr>
          <w:rFonts w:ascii="Arial" w:hAnsi="Arial" w:cs="Arial"/>
        </w:rPr>
      </w:pPr>
    </w:p>
    <w:p w14:paraId="197873E8" w14:textId="77777777" w:rsidR="00034DC6" w:rsidRDefault="00034DC6" w:rsidP="0086664C">
      <w:pPr>
        <w:spacing w:line="480" w:lineRule="auto"/>
        <w:rPr>
          <w:rFonts w:ascii="Arial" w:hAnsi="Arial" w:cs="Arial"/>
        </w:rPr>
      </w:pPr>
    </w:p>
    <w:p w14:paraId="40E76603" w14:textId="77777777" w:rsidR="00034DC6" w:rsidRDefault="00034DC6" w:rsidP="0086664C">
      <w:pPr>
        <w:spacing w:line="480" w:lineRule="auto"/>
        <w:rPr>
          <w:rFonts w:ascii="Arial" w:hAnsi="Arial" w:cs="Arial"/>
        </w:rPr>
      </w:pPr>
    </w:p>
    <w:p w14:paraId="4BB50BE1" w14:textId="77777777" w:rsidR="00034DC6" w:rsidRDefault="00034DC6" w:rsidP="0086664C">
      <w:pPr>
        <w:spacing w:line="480" w:lineRule="auto"/>
        <w:rPr>
          <w:rFonts w:ascii="Arial" w:hAnsi="Arial" w:cs="Arial"/>
        </w:rPr>
      </w:pPr>
    </w:p>
    <w:p w14:paraId="3217E39D" w14:textId="77777777" w:rsidR="00034DC6" w:rsidRDefault="00034DC6" w:rsidP="0086664C">
      <w:pPr>
        <w:spacing w:line="480" w:lineRule="auto"/>
        <w:rPr>
          <w:rFonts w:ascii="Arial" w:hAnsi="Arial" w:cs="Arial"/>
        </w:rPr>
      </w:pPr>
    </w:p>
    <w:p w14:paraId="308D8E9A" w14:textId="77777777" w:rsidR="00034DC6" w:rsidRDefault="00034DC6" w:rsidP="0086664C">
      <w:pPr>
        <w:spacing w:line="480" w:lineRule="auto"/>
        <w:rPr>
          <w:rFonts w:ascii="Arial" w:hAnsi="Arial" w:cs="Arial"/>
        </w:rPr>
      </w:pPr>
    </w:p>
    <w:p w14:paraId="3205838A" w14:textId="77777777" w:rsidR="00D936F3" w:rsidRDefault="00D936F3" w:rsidP="0086664C">
      <w:pPr>
        <w:spacing w:line="480" w:lineRule="auto"/>
        <w:rPr>
          <w:rFonts w:ascii="Arial" w:hAnsi="Arial" w:cs="Arial"/>
        </w:rPr>
      </w:pPr>
    </w:p>
    <w:p w14:paraId="03B1BC70" w14:textId="77777777" w:rsidR="00D936F3" w:rsidRDefault="00D936F3" w:rsidP="0086664C">
      <w:pPr>
        <w:spacing w:line="480" w:lineRule="auto"/>
        <w:rPr>
          <w:rFonts w:ascii="Arial" w:hAnsi="Arial" w:cs="Arial"/>
        </w:rPr>
      </w:pPr>
    </w:p>
    <w:p w14:paraId="48203224" w14:textId="77777777" w:rsidR="00D936F3" w:rsidRDefault="00D936F3" w:rsidP="006A5735">
      <w:pPr>
        <w:spacing w:after="0" w:line="480" w:lineRule="auto"/>
        <w:jc w:val="both"/>
        <w:rPr>
          <w:rFonts w:ascii="Calibri" w:hAnsi="Calibri" w:cs="Calibri"/>
          <w:b/>
          <w:bCs/>
          <w:sz w:val="24"/>
          <w:szCs w:val="24"/>
        </w:rPr>
      </w:pPr>
      <w:r>
        <w:rPr>
          <w:rFonts w:ascii="Calibri" w:hAnsi="Calibri" w:cs="Calibri" w:hint="eastAsia"/>
          <w:b/>
          <w:bCs/>
          <w:sz w:val="24"/>
          <w:szCs w:val="24"/>
        </w:rPr>
        <w:lastRenderedPageBreak/>
        <w:t>1,550 words</w:t>
      </w:r>
    </w:p>
    <w:p w14:paraId="4D16A41D" w14:textId="080F258C" w:rsidR="006A5735" w:rsidRDefault="006A5735" w:rsidP="006A5735">
      <w:pPr>
        <w:spacing w:after="0" w:line="480" w:lineRule="auto"/>
        <w:jc w:val="both"/>
        <w:rPr>
          <w:rFonts w:ascii="Calibri" w:hAnsi="Calibri" w:cs="Calibri"/>
          <w:b/>
          <w:bCs/>
          <w:sz w:val="24"/>
          <w:szCs w:val="24"/>
        </w:rPr>
      </w:pPr>
      <w:r>
        <w:rPr>
          <w:rFonts w:ascii="Calibri" w:hAnsi="Calibri" w:cs="Calibri"/>
          <w:b/>
          <w:bCs/>
          <w:sz w:val="24"/>
          <w:szCs w:val="24"/>
        </w:rPr>
        <w:t>Summary of AI Use</w:t>
      </w:r>
    </w:p>
    <w:tbl>
      <w:tblPr>
        <w:tblStyle w:val="TableGrid"/>
        <w:tblW w:w="0" w:type="auto"/>
        <w:tblLook w:val="04A0" w:firstRow="1" w:lastRow="0" w:firstColumn="1" w:lastColumn="0" w:noHBand="0" w:noVBand="1"/>
      </w:tblPr>
      <w:tblGrid>
        <w:gridCol w:w="4508"/>
        <w:gridCol w:w="4508"/>
      </w:tblGrid>
      <w:tr w:rsidR="006A5735" w14:paraId="1953D5E9" w14:textId="77777777" w:rsidTr="00F16D31">
        <w:tc>
          <w:tcPr>
            <w:tcW w:w="4508" w:type="dxa"/>
            <w:shd w:val="clear" w:color="auto" w:fill="DAE9F7" w:themeFill="text2" w:themeFillTint="1A"/>
          </w:tcPr>
          <w:p w14:paraId="78A2D728" w14:textId="77777777" w:rsidR="006A5735" w:rsidRPr="00352177" w:rsidRDefault="006A5735" w:rsidP="00F16D31">
            <w:pPr>
              <w:spacing w:line="360" w:lineRule="auto"/>
              <w:jc w:val="both"/>
              <w:rPr>
                <w:rFonts w:ascii="Calibri" w:hAnsi="Calibri" w:cs="Calibri"/>
                <w:sz w:val="24"/>
                <w:szCs w:val="24"/>
              </w:rPr>
            </w:pPr>
            <w:r w:rsidRPr="00352177">
              <w:rPr>
                <w:rFonts w:ascii="Calibri" w:hAnsi="Calibri" w:cs="Calibri"/>
                <w:sz w:val="24"/>
                <w:szCs w:val="24"/>
              </w:rPr>
              <w:t>Tool</w:t>
            </w:r>
          </w:p>
        </w:tc>
        <w:tc>
          <w:tcPr>
            <w:tcW w:w="4508" w:type="dxa"/>
            <w:shd w:val="clear" w:color="auto" w:fill="DAE9F7" w:themeFill="text2" w:themeFillTint="1A"/>
          </w:tcPr>
          <w:p w14:paraId="1A250595" w14:textId="4615EF62" w:rsidR="006A5735" w:rsidRPr="00352177" w:rsidRDefault="006A5735" w:rsidP="00F16D31">
            <w:pPr>
              <w:spacing w:line="360" w:lineRule="auto"/>
              <w:jc w:val="both"/>
              <w:rPr>
                <w:rFonts w:ascii="Calibri" w:hAnsi="Calibri" w:cs="Calibri"/>
                <w:sz w:val="24"/>
                <w:szCs w:val="24"/>
              </w:rPr>
            </w:pPr>
            <w:r w:rsidRPr="00352177">
              <w:rPr>
                <w:rFonts w:ascii="Calibri" w:hAnsi="Calibri" w:cs="Calibri"/>
                <w:sz w:val="24"/>
                <w:szCs w:val="24"/>
              </w:rPr>
              <w:t xml:space="preserve">How </w:t>
            </w:r>
            <w:r w:rsidR="00FC29C7">
              <w:rPr>
                <w:rFonts w:ascii="Calibri" w:hAnsi="Calibri" w:cs="Calibri"/>
                <w:sz w:val="24"/>
                <w:szCs w:val="24"/>
              </w:rPr>
              <w:t xml:space="preserve">is it </w:t>
            </w:r>
            <w:r w:rsidRPr="00352177">
              <w:rPr>
                <w:rFonts w:ascii="Calibri" w:hAnsi="Calibri" w:cs="Calibri"/>
                <w:sz w:val="24"/>
                <w:szCs w:val="24"/>
              </w:rPr>
              <w:t>used in this assignment</w:t>
            </w:r>
          </w:p>
        </w:tc>
      </w:tr>
      <w:tr w:rsidR="006A5735" w14:paraId="2B0F4754" w14:textId="77777777" w:rsidTr="00F16D31">
        <w:tc>
          <w:tcPr>
            <w:tcW w:w="4508" w:type="dxa"/>
          </w:tcPr>
          <w:p w14:paraId="404208A3" w14:textId="77777777" w:rsidR="006A5735" w:rsidRPr="00352177" w:rsidRDefault="006A5735" w:rsidP="00F16D31">
            <w:pPr>
              <w:spacing w:line="360" w:lineRule="auto"/>
              <w:jc w:val="both"/>
              <w:rPr>
                <w:rFonts w:ascii="Calibri" w:hAnsi="Calibri" w:cs="Calibri"/>
                <w:sz w:val="24"/>
                <w:szCs w:val="24"/>
              </w:rPr>
            </w:pPr>
            <w:r w:rsidRPr="00352177">
              <w:rPr>
                <w:rFonts w:ascii="Calibri" w:hAnsi="Calibri" w:cs="Calibri"/>
                <w:sz w:val="24"/>
                <w:szCs w:val="24"/>
              </w:rPr>
              <w:t>Grammarly</w:t>
            </w:r>
          </w:p>
        </w:tc>
        <w:tc>
          <w:tcPr>
            <w:tcW w:w="4508" w:type="dxa"/>
          </w:tcPr>
          <w:p w14:paraId="40522982" w14:textId="77777777" w:rsidR="006A5735" w:rsidRPr="00352177" w:rsidRDefault="006A5735" w:rsidP="00F16D31">
            <w:pPr>
              <w:spacing w:line="360" w:lineRule="auto"/>
              <w:jc w:val="both"/>
              <w:rPr>
                <w:rFonts w:ascii="Calibri" w:hAnsi="Calibri" w:cs="Calibri"/>
                <w:sz w:val="24"/>
                <w:szCs w:val="24"/>
              </w:rPr>
            </w:pPr>
            <w:r w:rsidRPr="00352177">
              <w:rPr>
                <w:rFonts w:ascii="Calibri" w:hAnsi="Calibri" w:cs="Calibri"/>
                <w:sz w:val="24"/>
                <w:szCs w:val="24"/>
              </w:rPr>
              <w:t>To check spelling, grammar, or punctuation errors</w:t>
            </w:r>
          </w:p>
        </w:tc>
      </w:tr>
      <w:tr w:rsidR="00D502B4" w14:paraId="2811F183" w14:textId="77777777" w:rsidTr="00F16D31">
        <w:tc>
          <w:tcPr>
            <w:tcW w:w="4508" w:type="dxa"/>
          </w:tcPr>
          <w:p w14:paraId="51B9A56F" w14:textId="774D61AB" w:rsidR="00D502B4" w:rsidRPr="00352177" w:rsidRDefault="006F1E5D" w:rsidP="00F16D31">
            <w:pPr>
              <w:spacing w:line="360" w:lineRule="auto"/>
              <w:jc w:val="both"/>
              <w:rPr>
                <w:rFonts w:ascii="Calibri" w:hAnsi="Calibri" w:cs="Calibri"/>
                <w:sz w:val="24"/>
                <w:szCs w:val="24"/>
              </w:rPr>
            </w:pPr>
            <w:r>
              <w:rPr>
                <w:rFonts w:ascii="Calibri" w:hAnsi="Calibri" w:cs="Calibri" w:hint="eastAsia"/>
                <w:sz w:val="24"/>
                <w:szCs w:val="24"/>
              </w:rPr>
              <w:t>Google Gemini</w:t>
            </w:r>
            <w:r w:rsidR="00924277">
              <w:rPr>
                <w:rFonts w:ascii="Calibri" w:hAnsi="Calibri" w:cs="Calibri" w:hint="eastAsia"/>
                <w:sz w:val="24"/>
                <w:szCs w:val="24"/>
              </w:rPr>
              <w:t xml:space="preserve"> 2.5</w:t>
            </w:r>
          </w:p>
        </w:tc>
        <w:tc>
          <w:tcPr>
            <w:tcW w:w="4508" w:type="dxa"/>
          </w:tcPr>
          <w:p w14:paraId="5A0C61D4" w14:textId="361F1B08" w:rsidR="00D502B4" w:rsidRPr="00352177" w:rsidRDefault="00FC29C7" w:rsidP="00F16D31">
            <w:pPr>
              <w:spacing w:line="360" w:lineRule="auto"/>
              <w:jc w:val="both"/>
              <w:rPr>
                <w:rFonts w:ascii="Calibri" w:hAnsi="Calibri" w:cs="Calibri"/>
                <w:sz w:val="24"/>
                <w:szCs w:val="24"/>
              </w:rPr>
            </w:pPr>
            <w:r>
              <w:rPr>
                <w:rFonts w:ascii="Calibri" w:hAnsi="Calibri" w:cs="Calibri" w:hint="eastAsia"/>
                <w:sz w:val="24"/>
                <w:szCs w:val="24"/>
              </w:rPr>
              <w:t>To r</w:t>
            </w:r>
            <w:r w:rsidRPr="00FC29C7">
              <w:rPr>
                <w:rFonts w:ascii="Calibri" w:hAnsi="Calibri" w:cs="Calibri"/>
                <w:sz w:val="24"/>
                <w:szCs w:val="24"/>
              </w:rPr>
              <w:t>efi</w:t>
            </w:r>
            <w:r>
              <w:rPr>
                <w:rFonts w:ascii="Calibri" w:hAnsi="Calibri" w:cs="Calibri" w:hint="eastAsia"/>
                <w:sz w:val="24"/>
                <w:szCs w:val="24"/>
              </w:rPr>
              <w:t>ne</w:t>
            </w:r>
            <w:r w:rsidRPr="00FC29C7">
              <w:rPr>
                <w:rFonts w:ascii="Calibri" w:hAnsi="Calibri" w:cs="Calibri"/>
                <w:sz w:val="24"/>
                <w:szCs w:val="24"/>
              </w:rPr>
              <w:t xml:space="preserve"> academic tone and language clarity</w:t>
            </w:r>
          </w:p>
        </w:tc>
      </w:tr>
    </w:tbl>
    <w:p w14:paraId="287B0F2E" w14:textId="77777777" w:rsidR="006A5735" w:rsidRDefault="006A5735" w:rsidP="005E455C">
      <w:pPr>
        <w:spacing w:after="0" w:line="480" w:lineRule="auto"/>
        <w:rPr>
          <w:rFonts w:ascii="Arial" w:hAnsi="Arial" w:cs="Arial"/>
          <w:b/>
          <w:bCs/>
        </w:rPr>
      </w:pPr>
    </w:p>
    <w:p w14:paraId="2890F335" w14:textId="52FF555F" w:rsidR="00AE3B62" w:rsidRPr="00AE3B62" w:rsidRDefault="0086664C" w:rsidP="005E455C">
      <w:pPr>
        <w:spacing w:after="0" w:line="480" w:lineRule="auto"/>
        <w:rPr>
          <w:rFonts w:ascii="Arial" w:hAnsi="Arial" w:cs="Arial"/>
          <w:b/>
          <w:bCs/>
        </w:rPr>
      </w:pPr>
      <w:r w:rsidRPr="0086664C">
        <w:rPr>
          <w:rFonts w:ascii="Arial" w:hAnsi="Arial" w:cs="Arial" w:hint="eastAsia"/>
          <w:b/>
          <w:bCs/>
        </w:rPr>
        <w:t>Reference</w:t>
      </w:r>
      <w:r w:rsidR="00AE3B62">
        <w:rPr>
          <w:rFonts w:ascii="Arial" w:hAnsi="Arial" w:cs="Arial" w:hint="eastAsia"/>
          <w:b/>
          <w:bCs/>
        </w:rPr>
        <w:t>s</w:t>
      </w:r>
    </w:p>
    <w:p w14:paraId="62FE0BDE" w14:textId="77777777" w:rsidR="00AE3B62" w:rsidRDefault="00AE3B62" w:rsidP="005E455C">
      <w:pPr>
        <w:spacing w:after="0" w:line="480" w:lineRule="auto"/>
        <w:rPr>
          <w:rFonts w:ascii="Arial" w:hAnsi="Arial" w:cs="Arial"/>
        </w:rPr>
      </w:pPr>
      <w:r w:rsidRPr="00AE3B62">
        <w:rPr>
          <w:rFonts w:ascii="Arial" w:hAnsi="Arial" w:cs="Arial"/>
        </w:rPr>
        <w:t xml:space="preserve">Abana, E. C. (2020). BMI Assessment Machine with Recommended Ideal Weight. </w:t>
      </w:r>
    </w:p>
    <w:p w14:paraId="5BCEF4B8" w14:textId="08C0AEC9" w:rsidR="00AE3B62" w:rsidRPr="00AE3B62" w:rsidRDefault="00AE3B62" w:rsidP="005E455C">
      <w:pPr>
        <w:spacing w:after="0" w:line="480" w:lineRule="auto"/>
        <w:ind w:left="720"/>
        <w:rPr>
          <w:rFonts w:ascii="Arial" w:hAnsi="Arial" w:cs="Arial"/>
        </w:rPr>
      </w:pPr>
      <w:r w:rsidRPr="00AE3B62">
        <w:rPr>
          <w:rFonts w:ascii="Arial" w:hAnsi="Arial" w:cs="Arial"/>
          <w:i/>
          <w:iCs/>
        </w:rPr>
        <w:t>International Journal of Advanced Trends in Computer Science and Engineering</w:t>
      </w:r>
      <w:r w:rsidRPr="00AE3B62">
        <w:rPr>
          <w:rFonts w:ascii="Arial" w:hAnsi="Arial" w:cs="Arial"/>
        </w:rPr>
        <w:t xml:space="preserve">, </w:t>
      </w:r>
      <w:r w:rsidRPr="00AE3B62">
        <w:rPr>
          <w:rFonts w:ascii="Arial" w:hAnsi="Arial" w:cs="Arial"/>
          <w:i/>
          <w:iCs/>
        </w:rPr>
        <w:t>9</w:t>
      </w:r>
      <w:r w:rsidRPr="00AE3B62">
        <w:rPr>
          <w:rFonts w:ascii="Arial" w:hAnsi="Arial" w:cs="Arial"/>
        </w:rPr>
        <w:t>(3), 4163–4167. https://doi.org/10.30534/ijatcse/2020/247932020</w:t>
      </w:r>
    </w:p>
    <w:p w14:paraId="3BE665FC" w14:textId="77777777" w:rsidR="00AE3B62" w:rsidRDefault="00AE3B62" w:rsidP="005E455C">
      <w:pPr>
        <w:spacing w:after="0" w:line="480" w:lineRule="auto"/>
        <w:rPr>
          <w:rFonts w:ascii="Arial" w:hAnsi="Arial" w:cs="Arial"/>
        </w:rPr>
      </w:pPr>
      <w:r w:rsidRPr="00AE3B62">
        <w:rPr>
          <w:rFonts w:ascii="Arial" w:hAnsi="Arial" w:cs="Arial"/>
        </w:rPr>
        <w:t xml:space="preserve">Antar, S. A., Ashour, N. A., Sharaky, M., Khattab, M., Ashour, N. A., Zaid, R. T., Roh, E. J., </w:t>
      </w:r>
    </w:p>
    <w:p w14:paraId="2D8F2716" w14:textId="4C0D78F6" w:rsidR="00AE3B62" w:rsidRPr="00AE3B62" w:rsidRDefault="00AE3B62" w:rsidP="005E455C">
      <w:pPr>
        <w:spacing w:after="0" w:line="480" w:lineRule="auto"/>
        <w:ind w:left="720"/>
        <w:rPr>
          <w:rFonts w:ascii="Arial" w:hAnsi="Arial" w:cs="Arial"/>
        </w:rPr>
      </w:pPr>
      <w:r w:rsidRPr="00AE3B62">
        <w:rPr>
          <w:rFonts w:ascii="Arial" w:hAnsi="Arial" w:cs="Arial"/>
        </w:rPr>
        <w:t xml:space="preserve">Elkamhawy, A., &amp; Al-Karmalawy, A. A. (2023). Diabetes mellitus: Classification, mediators, and complications; A gate to identify potential targets for the development of new effective treatments. </w:t>
      </w:r>
      <w:r w:rsidRPr="00AE3B62">
        <w:rPr>
          <w:rFonts w:ascii="Arial" w:hAnsi="Arial" w:cs="Arial"/>
          <w:i/>
          <w:iCs/>
        </w:rPr>
        <w:t>Biomedicine &amp; Pharmacotherapy</w:t>
      </w:r>
      <w:r w:rsidRPr="00AE3B62">
        <w:rPr>
          <w:rFonts w:ascii="Arial" w:hAnsi="Arial" w:cs="Arial"/>
        </w:rPr>
        <w:t xml:space="preserve">, </w:t>
      </w:r>
      <w:r w:rsidRPr="00AE3B62">
        <w:rPr>
          <w:rFonts w:ascii="Arial" w:hAnsi="Arial" w:cs="Arial"/>
          <w:i/>
          <w:iCs/>
        </w:rPr>
        <w:t>168</w:t>
      </w:r>
      <w:r w:rsidRPr="00AE3B62">
        <w:rPr>
          <w:rFonts w:ascii="Arial" w:hAnsi="Arial" w:cs="Arial"/>
        </w:rPr>
        <w:t>, 115734. https://doi.org/10.1016/j.biopha.2023.115734</w:t>
      </w:r>
    </w:p>
    <w:p w14:paraId="7B4B9D3F" w14:textId="77777777" w:rsidR="00AE3B62" w:rsidRDefault="00AE3B62" w:rsidP="005E455C">
      <w:pPr>
        <w:spacing w:after="0" w:line="480" w:lineRule="auto"/>
        <w:rPr>
          <w:rFonts w:ascii="Arial" w:hAnsi="Arial" w:cs="Arial"/>
        </w:rPr>
      </w:pPr>
      <w:r w:rsidRPr="00AE3B62">
        <w:rPr>
          <w:rFonts w:ascii="Arial" w:hAnsi="Arial" w:cs="Arial"/>
        </w:rPr>
        <w:t xml:space="preserve">Aoun, E. G., &amp; Schmidt, K. (2019). </w:t>
      </w:r>
      <w:r w:rsidRPr="00AE3B62">
        <w:rPr>
          <w:rFonts w:ascii="Arial" w:hAnsi="Arial" w:cs="Arial"/>
          <w:i/>
          <w:iCs/>
        </w:rPr>
        <w:t>The Assessment and Treatment of Addiction</w:t>
      </w:r>
      <w:r w:rsidRPr="00AE3B62">
        <w:rPr>
          <w:rFonts w:ascii="Arial" w:hAnsi="Arial" w:cs="Arial"/>
        </w:rPr>
        <w:t xml:space="preserve"> (pp. 57–73). </w:t>
      </w:r>
    </w:p>
    <w:p w14:paraId="67DB5493" w14:textId="10E34E9D" w:rsidR="00AE3B62" w:rsidRPr="00AE3B62" w:rsidRDefault="00AE3B62" w:rsidP="005E455C">
      <w:pPr>
        <w:spacing w:after="0" w:line="480" w:lineRule="auto"/>
        <w:ind w:firstLine="720"/>
        <w:rPr>
          <w:rFonts w:ascii="Arial" w:hAnsi="Arial" w:cs="Arial"/>
        </w:rPr>
      </w:pPr>
      <w:r w:rsidRPr="00AE3B62">
        <w:rPr>
          <w:rFonts w:ascii="Arial" w:hAnsi="Arial" w:cs="Arial"/>
        </w:rPr>
        <w:t>Elsevier.</w:t>
      </w:r>
    </w:p>
    <w:p w14:paraId="09590C25" w14:textId="77777777" w:rsidR="00AE3B62" w:rsidRDefault="00AE3B62" w:rsidP="005E455C">
      <w:pPr>
        <w:spacing w:after="0" w:line="480" w:lineRule="auto"/>
        <w:rPr>
          <w:rFonts w:ascii="Arial" w:hAnsi="Arial" w:cs="Arial"/>
        </w:rPr>
      </w:pPr>
      <w:r w:rsidRPr="00AE3B62">
        <w:rPr>
          <w:rFonts w:ascii="Arial" w:hAnsi="Arial" w:cs="Arial"/>
        </w:rPr>
        <w:t>Askari, H., Tykodi, G., Liu, J., &amp; Dagogo</w:t>
      </w:r>
      <w:r w:rsidRPr="00AE3B62">
        <w:rPr>
          <w:rFonts w:ascii="Cambria Math" w:hAnsi="Cambria Math" w:cs="Cambria Math"/>
        </w:rPr>
        <w:t>‐</w:t>
      </w:r>
      <w:r w:rsidRPr="00AE3B62">
        <w:rPr>
          <w:rFonts w:ascii="Arial" w:hAnsi="Arial" w:cs="Arial"/>
        </w:rPr>
        <w:t xml:space="preserve">Jack, S. (2010). Fasting Plasma Leptin Level Is a </w:t>
      </w:r>
    </w:p>
    <w:p w14:paraId="64488695" w14:textId="1EDC6D47" w:rsidR="00AE3B62" w:rsidRPr="00AE3B62" w:rsidRDefault="00AE3B62" w:rsidP="005E455C">
      <w:pPr>
        <w:spacing w:after="0" w:line="480" w:lineRule="auto"/>
        <w:ind w:left="720"/>
        <w:rPr>
          <w:rFonts w:ascii="Arial" w:hAnsi="Arial" w:cs="Arial"/>
        </w:rPr>
      </w:pPr>
      <w:r w:rsidRPr="00AE3B62">
        <w:rPr>
          <w:rFonts w:ascii="Arial" w:hAnsi="Arial" w:cs="Arial"/>
        </w:rPr>
        <w:t xml:space="preserve">Surrogate Measure of Insulin Sensitivity. </w:t>
      </w:r>
      <w:r w:rsidRPr="00AE3B62">
        <w:rPr>
          <w:rFonts w:ascii="Arial" w:hAnsi="Arial" w:cs="Arial"/>
          <w:i/>
          <w:iCs/>
        </w:rPr>
        <w:t>The Journal of Clinical Endocrinology &amp; Metabolism</w:t>
      </w:r>
      <w:r w:rsidRPr="00AE3B62">
        <w:rPr>
          <w:rFonts w:ascii="Arial" w:hAnsi="Arial" w:cs="Arial"/>
        </w:rPr>
        <w:t xml:space="preserve">, </w:t>
      </w:r>
      <w:r w:rsidRPr="00AE3B62">
        <w:rPr>
          <w:rFonts w:ascii="Arial" w:hAnsi="Arial" w:cs="Arial"/>
          <w:i/>
          <w:iCs/>
        </w:rPr>
        <w:t>95</w:t>
      </w:r>
      <w:r w:rsidRPr="00AE3B62">
        <w:rPr>
          <w:rFonts w:ascii="Arial" w:hAnsi="Arial" w:cs="Arial"/>
        </w:rPr>
        <w:t>(8), 3836–3843. https://doi.org/10.1210/jc.2010-0296</w:t>
      </w:r>
    </w:p>
    <w:p w14:paraId="30D90361" w14:textId="77777777" w:rsidR="00AE3B62" w:rsidRDefault="00AE3B62" w:rsidP="005E455C">
      <w:pPr>
        <w:spacing w:after="0" w:line="480" w:lineRule="auto"/>
        <w:rPr>
          <w:rFonts w:ascii="Arial" w:hAnsi="Arial" w:cs="Arial"/>
          <w:i/>
          <w:iCs/>
        </w:rPr>
      </w:pPr>
      <w:r w:rsidRPr="00AE3B62">
        <w:rPr>
          <w:rFonts w:ascii="Arial" w:hAnsi="Arial" w:cs="Arial"/>
        </w:rPr>
        <w:t xml:space="preserve">Basit, A., Ahmedani, M. Y., Riaz, M., Memon, R. A., &amp; Soomro, M. (2024). </w:t>
      </w:r>
      <w:r w:rsidRPr="00AE3B62">
        <w:rPr>
          <w:rFonts w:ascii="Arial" w:hAnsi="Arial" w:cs="Arial"/>
          <w:i/>
          <w:iCs/>
        </w:rPr>
        <w:t xml:space="preserve">BIDE’s Diabetes </w:t>
      </w:r>
    </w:p>
    <w:p w14:paraId="4D5FF3A5" w14:textId="3833A8A1" w:rsidR="00AE3B62" w:rsidRPr="00AE3B62" w:rsidRDefault="00AE3B62" w:rsidP="005E455C">
      <w:pPr>
        <w:spacing w:after="0" w:line="480" w:lineRule="auto"/>
        <w:ind w:firstLine="720"/>
        <w:rPr>
          <w:rFonts w:ascii="Arial" w:hAnsi="Arial" w:cs="Arial"/>
        </w:rPr>
      </w:pPr>
      <w:r w:rsidRPr="00AE3B62">
        <w:rPr>
          <w:rFonts w:ascii="Arial" w:hAnsi="Arial" w:cs="Arial"/>
          <w:i/>
          <w:iCs/>
        </w:rPr>
        <w:t>Desk Book</w:t>
      </w:r>
      <w:r w:rsidRPr="00AE3B62">
        <w:rPr>
          <w:rFonts w:ascii="Arial" w:hAnsi="Arial" w:cs="Arial"/>
        </w:rPr>
        <w:t xml:space="preserve"> (pp. 283–291). Elsevier.</w:t>
      </w:r>
    </w:p>
    <w:p w14:paraId="4F752F4C" w14:textId="77777777" w:rsidR="00AE3B62" w:rsidRDefault="00AE3B62" w:rsidP="005E455C">
      <w:pPr>
        <w:spacing w:after="0" w:line="480" w:lineRule="auto"/>
        <w:rPr>
          <w:rFonts w:ascii="Arial" w:hAnsi="Arial" w:cs="Arial"/>
        </w:rPr>
      </w:pPr>
      <w:r w:rsidRPr="00AE3B62">
        <w:rPr>
          <w:rFonts w:ascii="Arial" w:hAnsi="Arial" w:cs="Arial"/>
        </w:rPr>
        <w:t xml:space="preserve">Berthoud, H.-R., Münzberg, H., &amp; Morrison, C. D. (2017). Blaming the Brain for Obesity: </w:t>
      </w:r>
    </w:p>
    <w:p w14:paraId="7512E1E5" w14:textId="10636061" w:rsidR="00AE3B62" w:rsidRPr="00AE3B62" w:rsidRDefault="00AE3B62" w:rsidP="005E455C">
      <w:pPr>
        <w:spacing w:after="0" w:line="480" w:lineRule="auto"/>
        <w:ind w:left="720"/>
        <w:rPr>
          <w:rFonts w:ascii="Arial" w:hAnsi="Arial" w:cs="Arial"/>
        </w:rPr>
      </w:pPr>
      <w:r w:rsidRPr="00AE3B62">
        <w:rPr>
          <w:rFonts w:ascii="Arial" w:hAnsi="Arial" w:cs="Arial"/>
        </w:rPr>
        <w:t xml:space="preserve">Integration of Hedonic and Homeostatic Mechanisms. </w:t>
      </w:r>
      <w:r w:rsidRPr="00AE3B62">
        <w:rPr>
          <w:rFonts w:ascii="Arial" w:hAnsi="Arial" w:cs="Arial"/>
          <w:i/>
          <w:iCs/>
        </w:rPr>
        <w:t>Gastroenterology</w:t>
      </w:r>
      <w:r w:rsidRPr="00AE3B62">
        <w:rPr>
          <w:rFonts w:ascii="Arial" w:hAnsi="Arial" w:cs="Arial"/>
        </w:rPr>
        <w:t xml:space="preserve">, </w:t>
      </w:r>
      <w:r w:rsidRPr="00AE3B62">
        <w:rPr>
          <w:rFonts w:ascii="Arial" w:hAnsi="Arial" w:cs="Arial"/>
          <w:i/>
          <w:iCs/>
        </w:rPr>
        <w:t>152</w:t>
      </w:r>
      <w:r w:rsidRPr="00AE3B62">
        <w:rPr>
          <w:rFonts w:ascii="Arial" w:hAnsi="Arial" w:cs="Arial"/>
        </w:rPr>
        <w:t>(7), 1728–1738. https://doi.org/10.1053/j.gastro.2016.12.050</w:t>
      </w:r>
    </w:p>
    <w:p w14:paraId="4C8354E6" w14:textId="77777777" w:rsidR="00AE3B62" w:rsidRDefault="00AE3B62" w:rsidP="005E455C">
      <w:pPr>
        <w:spacing w:after="0" w:line="480" w:lineRule="auto"/>
        <w:rPr>
          <w:rFonts w:ascii="Arial" w:hAnsi="Arial" w:cs="Arial"/>
        </w:rPr>
      </w:pPr>
      <w:r w:rsidRPr="00AE3B62">
        <w:rPr>
          <w:rFonts w:ascii="Arial" w:hAnsi="Arial" w:cs="Arial"/>
        </w:rPr>
        <w:t xml:space="preserve">Bhasin, G., Dafale, R. S., Annapoorna, K., Kamath, S. U., Matlani, D., Rana, R., Prabhu, M. </w:t>
      </w:r>
    </w:p>
    <w:p w14:paraId="38E5CDA9" w14:textId="77777777" w:rsidR="00AE3B62" w:rsidRDefault="00AE3B62" w:rsidP="005E455C">
      <w:pPr>
        <w:spacing w:after="0" w:line="480" w:lineRule="auto"/>
        <w:ind w:firstLine="720"/>
        <w:rPr>
          <w:rFonts w:ascii="Arial" w:hAnsi="Arial" w:cs="Arial"/>
        </w:rPr>
      </w:pPr>
      <w:r w:rsidRPr="00AE3B62">
        <w:rPr>
          <w:rFonts w:ascii="Arial" w:hAnsi="Arial" w:cs="Arial"/>
        </w:rPr>
        <w:lastRenderedPageBreak/>
        <w:t xml:space="preserve">M., Pandey, A. K., Shetty, S., Shetty, L., Vasanthalaxmi, K., &amp; Manjula, S. D. (2025). </w:t>
      </w:r>
    </w:p>
    <w:p w14:paraId="7071100A" w14:textId="655CEC65" w:rsidR="00AE3B62" w:rsidRPr="00AE3B62" w:rsidRDefault="00AE3B62" w:rsidP="005E455C">
      <w:pPr>
        <w:spacing w:after="0" w:line="480" w:lineRule="auto"/>
        <w:ind w:left="720"/>
        <w:rPr>
          <w:rFonts w:ascii="Arial" w:hAnsi="Arial" w:cs="Arial"/>
        </w:rPr>
      </w:pPr>
      <w:r w:rsidRPr="00AE3B62">
        <w:rPr>
          <w:rFonts w:ascii="Arial" w:hAnsi="Arial" w:cs="Arial"/>
        </w:rPr>
        <w:t xml:space="preserve">Therapeutic Yoga: A feasible complementary approach for glycemic control in individuals with impaired fasting glucose and elevated HbA1c. </w:t>
      </w:r>
      <w:r w:rsidRPr="00AE3B62">
        <w:rPr>
          <w:rFonts w:ascii="Arial" w:hAnsi="Arial" w:cs="Arial"/>
          <w:i/>
          <w:iCs/>
        </w:rPr>
        <w:t>Contemporary Clinical Trials Communications</w:t>
      </w:r>
      <w:r w:rsidRPr="00AE3B62">
        <w:rPr>
          <w:rFonts w:ascii="Arial" w:hAnsi="Arial" w:cs="Arial"/>
        </w:rPr>
        <w:t xml:space="preserve">, </w:t>
      </w:r>
      <w:r w:rsidRPr="00AE3B62">
        <w:rPr>
          <w:rFonts w:ascii="Arial" w:hAnsi="Arial" w:cs="Arial"/>
          <w:i/>
          <w:iCs/>
        </w:rPr>
        <w:t>45</w:t>
      </w:r>
      <w:r w:rsidRPr="00AE3B62">
        <w:rPr>
          <w:rFonts w:ascii="Arial" w:hAnsi="Arial" w:cs="Arial"/>
        </w:rPr>
        <w:t>, 101493. https://doi.org/10.1016/j.conctc.2025.101493</w:t>
      </w:r>
    </w:p>
    <w:p w14:paraId="18B8188C" w14:textId="77777777" w:rsidR="00D861A0" w:rsidRDefault="00AE3B62" w:rsidP="005E455C">
      <w:pPr>
        <w:spacing w:after="0" w:line="480" w:lineRule="auto"/>
        <w:rPr>
          <w:rFonts w:ascii="Arial" w:hAnsi="Arial" w:cs="Arial"/>
          <w:i/>
          <w:iCs/>
        </w:rPr>
      </w:pPr>
      <w:r w:rsidRPr="00AE3B62">
        <w:rPr>
          <w:rFonts w:ascii="Arial" w:hAnsi="Arial" w:cs="Arial"/>
        </w:rPr>
        <w:t xml:space="preserve">Cifuentes, L., &amp; Acosta, A. (2022). Homeostatic regulation of food intake. </w:t>
      </w:r>
      <w:r w:rsidRPr="00AE3B62">
        <w:rPr>
          <w:rFonts w:ascii="Arial" w:hAnsi="Arial" w:cs="Arial"/>
          <w:i/>
          <w:iCs/>
        </w:rPr>
        <w:t xml:space="preserve">Clinics and </w:t>
      </w:r>
    </w:p>
    <w:p w14:paraId="3C814798" w14:textId="11C39F04" w:rsidR="00AE3B62" w:rsidRPr="00AE3B62" w:rsidRDefault="00AE3B62" w:rsidP="005E455C">
      <w:pPr>
        <w:spacing w:after="0" w:line="480" w:lineRule="auto"/>
        <w:ind w:left="720"/>
        <w:rPr>
          <w:rFonts w:ascii="Arial" w:hAnsi="Arial" w:cs="Arial"/>
        </w:rPr>
      </w:pPr>
      <w:r w:rsidRPr="00AE3B62">
        <w:rPr>
          <w:rFonts w:ascii="Arial" w:hAnsi="Arial" w:cs="Arial"/>
          <w:i/>
          <w:iCs/>
        </w:rPr>
        <w:t>Research in Hepatology and Gastroenterology</w:t>
      </w:r>
      <w:r w:rsidRPr="00AE3B62">
        <w:rPr>
          <w:rFonts w:ascii="Arial" w:hAnsi="Arial" w:cs="Arial"/>
        </w:rPr>
        <w:t xml:space="preserve">, </w:t>
      </w:r>
      <w:r w:rsidRPr="00AE3B62">
        <w:rPr>
          <w:rFonts w:ascii="Arial" w:hAnsi="Arial" w:cs="Arial"/>
          <w:i/>
          <w:iCs/>
        </w:rPr>
        <w:t>46</w:t>
      </w:r>
      <w:r w:rsidRPr="00AE3B62">
        <w:rPr>
          <w:rFonts w:ascii="Arial" w:hAnsi="Arial" w:cs="Arial"/>
        </w:rPr>
        <w:t>(2), 101794. https://doi.org/10.1016/j.clinre.2021.101794</w:t>
      </w:r>
    </w:p>
    <w:p w14:paraId="344F562B" w14:textId="77777777" w:rsidR="00D861A0" w:rsidRDefault="00AE3B62" w:rsidP="005E455C">
      <w:pPr>
        <w:spacing w:after="0" w:line="480" w:lineRule="auto"/>
        <w:rPr>
          <w:rFonts w:ascii="Arial" w:hAnsi="Arial" w:cs="Arial"/>
        </w:rPr>
      </w:pPr>
      <w:r w:rsidRPr="00AE3B62">
        <w:rPr>
          <w:rFonts w:ascii="Arial" w:hAnsi="Arial" w:cs="Arial"/>
        </w:rPr>
        <w:t xml:space="preserve">Dornbush, S., &amp; Aeddula, N. R. (2023, April 10). </w:t>
      </w:r>
      <w:r w:rsidRPr="00AE3B62">
        <w:rPr>
          <w:rFonts w:ascii="Arial" w:hAnsi="Arial" w:cs="Arial"/>
          <w:i/>
          <w:iCs/>
        </w:rPr>
        <w:t>Physiology, Leptin</w:t>
      </w:r>
      <w:r w:rsidRPr="00AE3B62">
        <w:rPr>
          <w:rFonts w:ascii="Arial" w:hAnsi="Arial" w:cs="Arial"/>
        </w:rPr>
        <w:t xml:space="preserve">. PubMed; StatPearls </w:t>
      </w:r>
    </w:p>
    <w:p w14:paraId="46A464B7" w14:textId="69928042" w:rsidR="00AE3B62" w:rsidRPr="00AE3B62" w:rsidRDefault="00AE3B62" w:rsidP="005E455C">
      <w:pPr>
        <w:spacing w:after="0" w:line="480" w:lineRule="auto"/>
        <w:ind w:firstLine="720"/>
        <w:rPr>
          <w:rFonts w:ascii="Arial" w:hAnsi="Arial" w:cs="Arial"/>
        </w:rPr>
      </w:pPr>
      <w:r w:rsidRPr="00AE3B62">
        <w:rPr>
          <w:rFonts w:ascii="Arial" w:hAnsi="Arial" w:cs="Arial"/>
        </w:rPr>
        <w:t>Publishing. https://www.ncbi.nlm.nih.gov/books/NBK537038/</w:t>
      </w:r>
    </w:p>
    <w:p w14:paraId="1C02D171" w14:textId="77777777" w:rsidR="00D861A0" w:rsidRDefault="00AE3B62" w:rsidP="005E455C">
      <w:pPr>
        <w:spacing w:after="0" w:line="480" w:lineRule="auto"/>
        <w:rPr>
          <w:rFonts w:ascii="Arial" w:hAnsi="Arial" w:cs="Arial"/>
        </w:rPr>
      </w:pPr>
      <w:r w:rsidRPr="00AE3B62">
        <w:rPr>
          <w:rFonts w:ascii="Arial" w:hAnsi="Arial" w:cs="Arial"/>
        </w:rPr>
        <w:t xml:space="preserve">Ellis, L., Hoskin, A. W., &amp; Ratnasingam, M. (2018). </w:t>
      </w:r>
      <w:r w:rsidRPr="00AE3B62">
        <w:rPr>
          <w:rFonts w:ascii="Arial" w:hAnsi="Arial" w:cs="Arial"/>
          <w:i/>
          <w:iCs/>
        </w:rPr>
        <w:t>Handbook of social status correlates</w:t>
      </w:r>
      <w:r w:rsidRPr="00AE3B62">
        <w:rPr>
          <w:rFonts w:ascii="Arial" w:hAnsi="Arial" w:cs="Arial"/>
        </w:rPr>
        <w:t xml:space="preserve">. Ap, </w:t>
      </w:r>
    </w:p>
    <w:p w14:paraId="2BB899CC" w14:textId="62A98291" w:rsidR="00AE3B62" w:rsidRPr="00AE3B62" w:rsidRDefault="00AE3B62" w:rsidP="005E455C">
      <w:pPr>
        <w:spacing w:after="0" w:line="480" w:lineRule="auto"/>
        <w:ind w:firstLine="720"/>
        <w:rPr>
          <w:rFonts w:ascii="Arial" w:hAnsi="Arial" w:cs="Arial"/>
        </w:rPr>
      </w:pPr>
      <w:r w:rsidRPr="00AE3B62">
        <w:rPr>
          <w:rFonts w:ascii="Arial" w:hAnsi="Arial" w:cs="Arial"/>
        </w:rPr>
        <w:t>Academic Press, An Imprint Of Elsevier. C.</w:t>
      </w:r>
    </w:p>
    <w:p w14:paraId="5BB64840" w14:textId="77777777" w:rsidR="00D861A0" w:rsidRDefault="00AE3B62" w:rsidP="005E455C">
      <w:pPr>
        <w:spacing w:after="0" w:line="480" w:lineRule="auto"/>
        <w:rPr>
          <w:rFonts w:ascii="Arial" w:hAnsi="Arial" w:cs="Arial"/>
        </w:rPr>
      </w:pPr>
      <w:r w:rsidRPr="00AE3B62">
        <w:rPr>
          <w:rFonts w:ascii="Arial" w:hAnsi="Arial" w:cs="Arial"/>
        </w:rPr>
        <w:t xml:space="preserve">Espel-Huynh, H. M., Muratore, A. F., &amp; Lowe, M. R. (2018). A narrative review of the </w:t>
      </w:r>
    </w:p>
    <w:p w14:paraId="63F0EE5D" w14:textId="33298A95" w:rsidR="00AE3B62" w:rsidRPr="00AE3B62" w:rsidRDefault="00AE3B62" w:rsidP="005E455C">
      <w:pPr>
        <w:spacing w:after="0" w:line="480" w:lineRule="auto"/>
        <w:ind w:left="720"/>
        <w:rPr>
          <w:rFonts w:ascii="Arial" w:hAnsi="Arial" w:cs="Arial"/>
        </w:rPr>
      </w:pPr>
      <w:r w:rsidRPr="00AE3B62">
        <w:rPr>
          <w:rFonts w:ascii="Arial" w:hAnsi="Arial" w:cs="Arial"/>
        </w:rPr>
        <w:t xml:space="preserve">construct of hedonic hunger and its measurement by the Power of Food Scale. </w:t>
      </w:r>
      <w:r w:rsidRPr="00AE3B62">
        <w:rPr>
          <w:rFonts w:ascii="Arial" w:hAnsi="Arial" w:cs="Arial"/>
          <w:i/>
          <w:iCs/>
        </w:rPr>
        <w:t>Obesity Science &amp; Practice</w:t>
      </w:r>
      <w:r w:rsidRPr="00AE3B62">
        <w:rPr>
          <w:rFonts w:ascii="Arial" w:hAnsi="Arial" w:cs="Arial"/>
        </w:rPr>
        <w:t xml:space="preserve">, </w:t>
      </w:r>
      <w:r w:rsidRPr="00AE3B62">
        <w:rPr>
          <w:rFonts w:ascii="Arial" w:hAnsi="Arial" w:cs="Arial"/>
          <w:i/>
          <w:iCs/>
        </w:rPr>
        <w:t>4</w:t>
      </w:r>
      <w:r w:rsidRPr="00AE3B62">
        <w:rPr>
          <w:rFonts w:ascii="Arial" w:hAnsi="Arial" w:cs="Arial"/>
        </w:rPr>
        <w:t>(3), 238–249. https://doi.org/10.1002/osp4.161</w:t>
      </w:r>
    </w:p>
    <w:p w14:paraId="14B6D3DB" w14:textId="77777777" w:rsidR="00D861A0" w:rsidRDefault="00AE3B62" w:rsidP="005E455C">
      <w:pPr>
        <w:spacing w:after="0" w:line="480" w:lineRule="auto"/>
        <w:rPr>
          <w:rFonts w:ascii="Arial" w:hAnsi="Arial" w:cs="Arial"/>
        </w:rPr>
      </w:pPr>
      <w:r w:rsidRPr="00AE3B62">
        <w:rPr>
          <w:rFonts w:ascii="Arial" w:hAnsi="Arial" w:cs="Arial"/>
        </w:rPr>
        <w:t xml:space="preserve">Eyth, E., Zubair, M., &amp; Naik, R. (2025). </w:t>
      </w:r>
      <w:r w:rsidRPr="00AE3B62">
        <w:rPr>
          <w:rFonts w:ascii="Arial" w:hAnsi="Arial" w:cs="Arial"/>
          <w:i/>
          <w:iCs/>
        </w:rPr>
        <w:t>Hemoglobin A1C</w:t>
      </w:r>
      <w:r w:rsidRPr="00AE3B62">
        <w:rPr>
          <w:rFonts w:ascii="Arial" w:hAnsi="Arial" w:cs="Arial"/>
        </w:rPr>
        <w:t xml:space="preserve">. PubMed; StatPearls Publishing. </w:t>
      </w:r>
    </w:p>
    <w:p w14:paraId="2CF55C06" w14:textId="7C845FC9" w:rsidR="00AE3B62" w:rsidRDefault="00D06948" w:rsidP="005E455C">
      <w:pPr>
        <w:spacing w:after="0" w:line="480" w:lineRule="auto"/>
        <w:ind w:firstLine="720"/>
        <w:rPr>
          <w:rFonts w:ascii="Arial" w:hAnsi="Arial" w:cs="Arial"/>
        </w:rPr>
      </w:pPr>
      <w:hyperlink r:id="rId9" w:history="1">
        <w:r w:rsidRPr="00461B65">
          <w:rPr>
            <w:rStyle w:val="Hyperlink"/>
            <w:rFonts w:ascii="Arial" w:hAnsi="Arial" w:cs="Arial"/>
          </w:rPr>
          <w:t>https://www.ncbi.nlm.nih.gov/books/NBK549816/</w:t>
        </w:r>
      </w:hyperlink>
    </w:p>
    <w:p w14:paraId="4FA613BA" w14:textId="77777777" w:rsidR="00D06948" w:rsidRDefault="00D06948" w:rsidP="00D06948">
      <w:pPr>
        <w:spacing w:after="0" w:line="480" w:lineRule="auto"/>
        <w:rPr>
          <w:rFonts w:ascii="Arial" w:hAnsi="Arial" w:cs="Arial"/>
        </w:rPr>
      </w:pPr>
      <w:r w:rsidRPr="00D06948">
        <w:rPr>
          <w:rFonts w:ascii="Arial" w:hAnsi="Arial" w:cs="Arial"/>
        </w:rPr>
        <w:t xml:space="preserve">FINK, J., TANAKA, M., &amp; HORIE, S. (2024). Effects of Fasting on Metabolic Hormones and </w:t>
      </w:r>
    </w:p>
    <w:p w14:paraId="41AC5B72" w14:textId="509DC547" w:rsidR="00D06948" w:rsidRPr="00AE3B62" w:rsidRDefault="00D06948" w:rsidP="00D06948">
      <w:pPr>
        <w:spacing w:after="0" w:line="480" w:lineRule="auto"/>
        <w:ind w:left="720"/>
        <w:rPr>
          <w:rFonts w:ascii="Arial" w:hAnsi="Arial" w:cs="Arial"/>
        </w:rPr>
      </w:pPr>
      <w:r w:rsidRPr="00D06948">
        <w:rPr>
          <w:rFonts w:ascii="Arial" w:hAnsi="Arial" w:cs="Arial"/>
        </w:rPr>
        <w:t xml:space="preserve">Functions: A Narrative Review. </w:t>
      </w:r>
      <w:r w:rsidRPr="00D06948">
        <w:rPr>
          <w:rFonts w:ascii="Arial" w:hAnsi="Arial" w:cs="Arial"/>
          <w:i/>
          <w:iCs/>
        </w:rPr>
        <w:t>Juntendo Medical Journal</w:t>
      </w:r>
      <w:r w:rsidRPr="00D06948">
        <w:rPr>
          <w:rFonts w:ascii="Arial" w:hAnsi="Arial" w:cs="Arial"/>
        </w:rPr>
        <w:t xml:space="preserve">, </w:t>
      </w:r>
      <w:r w:rsidRPr="00D06948">
        <w:rPr>
          <w:rFonts w:ascii="Arial" w:hAnsi="Arial" w:cs="Arial"/>
          <w:i/>
          <w:iCs/>
        </w:rPr>
        <w:t>70</w:t>
      </w:r>
      <w:r w:rsidRPr="00D06948">
        <w:rPr>
          <w:rFonts w:ascii="Arial" w:hAnsi="Arial" w:cs="Arial"/>
        </w:rPr>
        <w:t>(5), 348–359. https://doi.org/10.14789/jmj.jmj24-0012-r</w:t>
      </w:r>
    </w:p>
    <w:p w14:paraId="6EB1A7F5" w14:textId="77777777" w:rsidR="00D861A0" w:rsidRDefault="00AE3B62" w:rsidP="005E455C">
      <w:pPr>
        <w:spacing w:after="0" w:line="480" w:lineRule="auto"/>
        <w:rPr>
          <w:rFonts w:ascii="Arial" w:hAnsi="Arial" w:cs="Arial"/>
        </w:rPr>
      </w:pPr>
      <w:r w:rsidRPr="00AE3B62">
        <w:rPr>
          <w:rFonts w:ascii="Arial" w:hAnsi="Arial" w:cs="Arial"/>
        </w:rPr>
        <w:t xml:space="preserve">Fowkes, F. G. R., Rudan, D., Rudan, I., Aboyans, V., Denenberg, J. O., McDermott, M. M., </w:t>
      </w:r>
    </w:p>
    <w:p w14:paraId="5BD81DC8" w14:textId="35D60604" w:rsidR="00AE3B62" w:rsidRPr="00AE3B62" w:rsidRDefault="00AE3B62" w:rsidP="005E455C">
      <w:pPr>
        <w:spacing w:after="0" w:line="480" w:lineRule="auto"/>
        <w:ind w:left="720"/>
        <w:rPr>
          <w:rFonts w:ascii="Arial" w:hAnsi="Arial" w:cs="Arial"/>
        </w:rPr>
      </w:pPr>
      <w:r w:rsidRPr="00AE3B62">
        <w:rPr>
          <w:rFonts w:ascii="Arial" w:hAnsi="Arial" w:cs="Arial"/>
        </w:rPr>
        <w:t xml:space="preserve">Norman, P. E., Sampson, U. K., Williams, L. J., Mensah, G. A., &amp; Criqui, M. H. (2013). Comparison of global estimates of prevalence and risk factors for peripheral artery disease in 2000 and 2010: a systematic review and analysis. </w:t>
      </w:r>
      <w:r w:rsidRPr="00AE3B62">
        <w:rPr>
          <w:rFonts w:ascii="Arial" w:hAnsi="Arial" w:cs="Arial"/>
          <w:i/>
          <w:iCs/>
        </w:rPr>
        <w:t>The Lancet</w:t>
      </w:r>
      <w:r w:rsidRPr="00AE3B62">
        <w:rPr>
          <w:rFonts w:ascii="Arial" w:hAnsi="Arial" w:cs="Arial"/>
        </w:rPr>
        <w:t xml:space="preserve">, </w:t>
      </w:r>
      <w:r w:rsidRPr="00AE3B62">
        <w:rPr>
          <w:rFonts w:ascii="Arial" w:hAnsi="Arial" w:cs="Arial"/>
          <w:i/>
          <w:iCs/>
        </w:rPr>
        <w:t>382</w:t>
      </w:r>
      <w:r w:rsidRPr="00AE3B62">
        <w:rPr>
          <w:rFonts w:ascii="Arial" w:hAnsi="Arial" w:cs="Arial"/>
        </w:rPr>
        <w:t>(9901), 1329–1340. https://doi.org/10.1016/s0140-6736(13)61249-0</w:t>
      </w:r>
    </w:p>
    <w:p w14:paraId="07D0601C" w14:textId="77777777" w:rsidR="00D861A0" w:rsidRDefault="00AE3B62" w:rsidP="005E455C">
      <w:pPr>
        <w:spacing w:after="0" w:line="480" w:lineRule="auto"/>
        <w:rPr>
          <w:rFonts w:ascii="Arial" w:hAnsi="Arial" w:cs="Arial"/>
        </w:rPr>
      </w:pPr>
      <w:r w:rsidRPr="00AE3B62">
        <w:rPr>
          <w:rFonts w:ascii="Arial" w:hAnsi="Arial" w:cs="Arial"/>
        </w:rPr>
        <w:t xml:space="preserve">Freeman, A. M., &amp; Pennings, N. (2023, August 17). </w:t>
      </w:r>
      <w:r w:rsidRPr="00AE3B62">
        <w:rPr>
          <w:rFonts w:ascii="Arial" w:hAnsi="Arial" w:cs="Arial"/>
          <w:i/>
          <w:iCs/>
        </w:rPr>
        <w:t>Insulin Resistance</w:t>
      </w:r>
      <w:r w:rsidRPr="00AE3B62">
        <w:rPr>
          <w:rFonts w:ascii="Arial" w:hAnsi="Arial" w:cs="Arial"/>
        </w:rPr>
        <w:t xml:space="preserve">. Nih.gov; StatPearls </w:t>
      </w:r>
    </w:p>
    <w:p w14:paraId="0CFB6610" w14:textId="30856069" w:rsidR="00AE3B62" w:rsidRPr="00AE3B62" w:rsidRDefault="00AE3B62" w:rsidP="005E455C">
      <w:pPr>
        <w:spacing w:after="0" w:line="480" w:lineRule="auto"/>
        <w:ind w:firstLine="720"/>
        <w:rPr>
          <w:rFonts w:ascii="Arial" w:hAnsi="Arial" w:cs="Arial"/>
        </w:rPr>
      </w:pPr>
      <w:r w:rsidRPr="00AE3B62">
        <w:rPr>
          <w:rFonts w:ascii="Arial" w:hAnsi="Arial" w:cs="Arial"/>
        </w:rPr>
        <w:t>Publishing. https://www.ncbi.nlm.nih.gov/books/NBK507839/</w:t>
      </w:r>
    </w:p>
    <w:p w14:paraId="0A4F73AA" w14:textId="77777777" w:rsidR="00D861A0" w:rsidRDefault="00AE3B62" w:rsidP="005E455C">
      <w:pPr>
        <w:spacing w:after="0" w:line="480" w:lineRule="auto"/>
        <w:rPr>
          <w:rFonts w:ascii="Arial" w:hAnsi="Arial" w:cs="Arial"/>
          <w:i/>
          <w:iCs/>
        </w:rPr>
      </w:pPr>
      <w:r w:rsidRPr="00AE3B62">
        <w:rPr>
          <w:rFonts w:ascii="Arial" w:hAnsi="Arial" w:cs="Arial"/>
        </w:rPr>
        <w:t xml:space="preserve">Hill, J., Wyatt, H., &amp; Peters, J. (2013). The Importance of Energy Balance. </w:t>
      </w:r>
      <w:r w:rsidRPr="00AE3B62">
        <w:rPr>
          <w:rFonts w:ascii="Arial" w:hAnsi="Arial" w:cs="Arial"/>
          <w:i/>
          <w:iCs/>
        </w:rPr>
        <w:t xml:space="preserve">European </w:t>
      </w:r>
    </w:p>
    <w:p w14:paraId="23873693" w14:textId="6003BBFB" w:rsidR="00AE3B62" w:rsidRPr="00AE3B62" w:rsidRDefault="00AE3B62" w:rsidP="005E455C">
      <w:pPr>
        <w:spacing w:after="0" w:line="480" w:lineRule="auto"/>
        <w:ind w:firstLine="720"/>
        <w:rPr>
          <w:rFonts w:ascii="Arial" w:hAnsi="Arial" w:cs="Arial"/>
        </w:rPr>
      </w:pPr>
      <w:r w:rsidRPr="00AE3B62">
        <w:rPr>
          <w:rFonts w:ascii="Arial" w:hAnsi="Arial" w:cs="Arial"/>
          <w:i/>
          <w:iCs/>
        </w:rPr>
        <w:lastRenderedPageBreak/>
        <w:t>Endocrinology</w:t>
      </w:r>
      <w:r w:rsidRPr="00AE3B62">
        <w:rPr>
          <w:rFonts w:ascii="Arial" w:hAnsi="Arial" w:cs="Arial"/>
        </w:rPr>
        <w:t xml:space="preserve">, </w:t>
      </w:r>
      <w:r w:rsidRPr="00AE3B62">
        <w:rPr>
          <w:rFonts w:ascii="Arial" w:hAnsi="Arial" w:cs="Arial"/>
          <w:i/>
          <w:iCs/>
        </w:rPr>
        <w:t>9</w:t>
      </w:r>
      <w:r w:rsidRPr="00AE3B62">
        <w:rPr>
          <w:rFonts w:ascii="Arial" w:hAnsi="Arial" w:cs="Arial"/>
        </w:rPr>
        <w:t>(2), 111. https://doi.org/10.17925/ee.2013.09.02.111</w:t>
      </w:r>
    </w:p>
    <w:p w14:paraId="0DA9F05A" w14:textId="77777777" w:rsidR="00D861A0" w:rsidRDefault="00AE3B62" w:rsidP="005E455C">
      <w:pPr>
        <w:spacing w:after="0" w:line="480" w:lineRule="auto"/>
        <w:rPr>
          <w:rFonts w:ascii="Arial" w:hAnsi="Arial" w:cs="Arial"/>
        </w:rPr>
      </w:pPr>
      <w:r w:rsidRPr="00AE3B62">
        <w:rPr>
          <w:rFonts w:ascii="Arial" w:hAnsi="Arial" w:cs="Arial"/>
        </w:rPr>
        <w:t xml:space="preserve">Lu, M., Pilla, S. J., &amp; Oh, S. H. (2023). </w:t>
      </w:r>
      <w:r w:rsidRPr="00AE3B62">
        <w:rPr>
          <w:rFonts w:ascii="Arial" w:hAnsi="Arial" w:cs="Arial"/>
          <w:i/>
          <w:iCs/>
        </w:rPr>
        <w:t>Encyclopedia of Human Nutrition</w:t>
      </w:r>
      <w:r w:rsidRPr="00AE3B62">
        <w:rPr>
          <w:rFonts w:ascii="Arial" w:hAnsi="Arial" w:cs="Arial"/>
        </w:rPr>
        <w:t xml:space="preserve"> (4th ed., pp. 234–</w:t>
      </w:r>
    </w:p>
    <w:p w14:paraId="1545792D" w14:textId="1681D3E0" w:rsidR="00AE3B62" w:rsidRPr="00AE3B62" w:rsidRDefault="00AE3B62" w:rsidP="005E455C">
      <w:pPr>
        <w:spacing w:after="0" w:line="480" w:lineRule="auto"/>
        <w:ind w:firstLine="720"/>
        <w:rPr>
          <w:rFonts w:ascii="Arial" w:hAnsi="Arial" w:cs="Arial"/>
        </w:rPr>
      </w:pPr>
      <w:r w:rsidRPr="00AE3B62">
        <w:rPr>
          <w:rFonts w:ascii="Arial" w:hAnsi="Arial" w:cs="Arial"/>
        </w:rPr>
        <w:t>251). Academic Press.</w:t>
      </w:r>
    </w:p>
    <w:p w14:paraId="15857E7B" w14:textId="77777777" w:rsidR="00D861A0" w:rsidRDefault="00AE3B62" w:rsidP="005E455C">
      <w:pPr>
        <w:spacing w:after="0" w:line="480" w:lineRule="auto"/>
        <w:rPr>
          <w:rFonts w:ascii="Arial" w:hAnsi="Arial" w:cs="Arial"/>
        </w:rPr>
      </w:pPr>
      <w:r w:rsidRPr="00AE3B62">
        <w:rPr>
          <w:rFonts w:ascii="Arial" w:hAnsi="Arial" w:cs="Arial"/>
        </w:rPr>
        <w:t xml:space="preserve">Martín-Timón, I. (2014). Type 2 diabetes and cardiovascular disease: Have all risk factors </w:t>
      </w:r>
    </w:p>
    <w:p w14:paraId="254669AC" w14:textId="4B76541B" w:rsidR="00AE3B62" w:rsidRPr="00AE3B62" w:rsidRDefault="00AE3B62" w:rsidP="005E455C">
      <w:pPr>
        <w:spacing w:after="0" w:line="480" w:lineRule="auto"/>
        <w:ind w:left="720"/>
        <w:rPr>
          <w:rFonts w:ascii="Arial" w:hAnsi="Arial" w:cs="Arial"/>
        </w:rPr>
      </w:pPr>
      <w:r w:rsidRPr="00AE3B62">
        <w:rPr>
          <w:rFonts w:ascii="Arial" w:hAnsi="Arial" w:cs="Arial"/>
        </w:rPr>
        <w:t xml:space="preserve">the same strength? </w:t>
      </w:r>
      <w:r w:rsidRPr="00AE3B62">
        <w:rPr>
          <w:rFonts w:ascii="Arial" w:hAnsi="Arial" w:cs="Arial"/>
          <w:i/>
          <w:iCs/>
        </w:rPr>
        <w:t>World Journal of Diabetes</w:t>
      </w:r>
      <w:r w:rsidRPr="00AE3B62">
        <w:rPr>
          <w:rFonts w:ascii="Arial" w:hAnsi="Arial" w:cs="Arial"/>
        </w:rPr>
        <w:t xml:space="preserve">, </w:t>
      </w:r>
      <w:r w:rsidRPr="00AE3B62">
        <w:rPr>
          <w:rFonts w:ascii="Arial" w:hAnsi="Arial" w:cs="Arial"/>
          <w:i/>
          <w:iCs/>
        </w:rPr>
        <w:t>5</w:t>
      </w:r>
      <w:r w:rsidRPr="00AE3B62">
        <w:rPr>
          <w:rFonts w:ascii="Arial" w:hAnsi="Arial" w:cs="Arial"/>
        </w:rPr>
        <w:t>(4), 444. https://doi.org/10.4239/wjd.v5.i4.444</w:t>
      </w:r>
    </w:p>
    <w:p w14:paraId="00A3866E" w14:textId="77777777" w:rsidR="00D861A0" w:rsidRDefault="00AE3B62" w:rsidP="005E455C">
      <w:pPr>
        <w:spacing w:after="0" w:line="480" w:lineRule="auto"/>
        <w:rPr>
          <w:rFonts w:ascii="Arial" w:hAnsi="Arial" w:cs="Arial"/>
        </w:rPr>
      </w:pPr>
      <w:r w:rsidRPr="00AE3B62">
        <w:rPr>
          <w:rFonts w:ascii="Arial" w:hAnsi="Arial" w:cs="Arial"/>
        </w:rPr>
        <w:t xml:space="preserve">Nelson, J. B. (2017). Mindful Eating: The Art of Presence While You Eat. </w:t>
      </w:r>
      <w:r w:rsidRPr="00AE3B62">
        <w:rPr>
          <w:rFonts w:ascii="Arial" w:hAnsi="Arial" w:cs="Arial"/>
          <w:i/>
          <w:iCs/>
        </w:rPr>
        <w:t>Diabetes Spectrum</w:t>
      </w:r>
      <w:r w:rsidRPr="00AE3B62">
        <w:rPr>
          <w:rFonts w:ascii="Arial" w:hAnsi="Arial" w:cs="Arial"/>
        </w:rPr>
        <w:t xml:space="preserve">, </w:t>
      </w:r>
    </w:p>
    <w:p w14:paraId="1950B96A" w14:textId="1AF33E23" w:rsidR="00AE3B62" w:rsidRPr="00AE3B62" w:rsidRDefault="00AE3B62" w:rsidP="005E455C">
      <w:pPr>
        <w:spacing w:after="0" w:line="480" w:lineRule="auto"/>
        <w:ind w:firstLine="720"/>
        <w:rPr>
          <w:rFonts w:ascii="Arial" w:hAnsi="Arial" w:cs="Arial"/>
        </w:rPr>
      </w:pPr>
      <w:r w:rsidRPr="00AE3B62">
        <w:rPr>
          <w:rFonts w:ascii="Arial" w:hAnsi="Arial" w:cs="Arial"/>
          <w:i/>
          <w:iCs/>
        </w:rPr>
        <w:t>30</w:t>
      </w:r>
      <w:r w:rsidRPr="00AE3B62">
        <w:rPr>
          <w:rFonts w:ascii="Arial" w:hAnsi="Arial" w:cs="Arial"/>
        </w:rPr>
        <w:t>(3), 171–174. https://doi.org/10.2337/ds17-0015</w:t>
      </w:r>
    </w:p>
    <w:p w14:paraId="7FBBAF92" w14:textId="77777777" w:rsidR="00D861A0" w:rsidRDefault="00AE3B62" w:rsidP="005E455C">
      <w:pPr>
        <w:spacing w:after="0" w:line="480" w:lineRule="auto"/>
        <w:rPr>
          <w:rFonts w:ascii="Arial" w:hAnsi="Arial" w:cs="Arial"/>
        </w:rPr>
      </w:pPr>
      <w:r w:rsidRPr="00AE3B62">
        <w:rPr>
          <w:rFonts w:ascii="Arial" w:hAnsi="Arial" w:cs="Arial"/>
        </w:rPr>
        <w:t xml:space="preserve">NHS. (2022). </w:t>
      </w:r>
      <w:r w:rsidRPr="00AE3B62">
        <w:rPr>
          <w:rFonts w:ascii="Arial" w:hAnsi="Arial" w:cs="Arial"/>
          <w:i/>
          <w:iCs/>
        </w:rPr>
        <w:t>Menopause in the workplace - NHS England - Citizen Space</w:t>
      </w:r>
      <w:r w:rsidRPr="00AE3B62">
        <w:rPr>
          <w:rFonts w:ascii="Arial" w:hAnsi="Arial" w:cs="Arial"/>
        </w:rPr>
        <w:t xml:space="preserve">. </w:t>
      </w:r>
    </w:p>
    <w:p w14:paraId="48E5C763" w14:textId="77329E7D" w:rsidR="00AE3B62" w:rsidRPr="00AE3B62" w:rsidRDefault="00AE3B62" w:rsidP="00BD002B">
      <w:pPr>
        <w:spacing w:after="0" w:line="480" w:lineRule="auto"/>
        <w:ind w:left="720"/>
        <w:rPr>
          <w:rFonts w:ascii="Arial" w:hAnsi="Arial" w:cs="Arial"/>
        </w:rPr>
      </w:pPr>
      <w:r w:rsidRPr="00AE3B62">
        <w:rPr>
          <w:rFonts w:ascii="Arial" w:hAnsi="Arial" w:cs="Arial"/>
        </w:rPr>
        <w:t>Www.engage.england.nhs.uk.</w:t>
      </w:r>
      <w:hyperlink r:id="rId10" w:history="1">
        <w:r w:rsidR="00BD002B" w:rsidRPr="00AE3B62">
          <w:rPr>
            <w:rStyle w:val="Hyperlink"/>
            <w:rFonts w:ascii="Arial" w:hAnsi="Arial" w:cs="Arial"/>
          </w:rPr>
          <w:t>https://www.engage.england.nhs.uk/safety-and-</w:t>
        </w:r>
      </w:hyperlink>
      <w:r w:rsidRPr="00AE3B62">
        <w:rPr>
          <w:rFonts w:ascii="Arial" w:hAnsi="Arial" w:cs="Arial"/>
        </w:rPr>
        <w:t>innovation/menopause-in-the-workplace/</w:t>
      </w:r>
    </w:p>
    <w:p w14:paraId="14989F57" w14:textId="77777777" w:rsidR="00D861A0" w:rsidRDefault="00AE3B62" w:rsidP="005E455C">
      <w:pPr>
        <w:spacing w:after="0" w:line="480" w:lineRule="auto"/>
        <w:rPr>
          <w:rFonts w:ascii="Arial" w:hAnsi="Arial" w:cs="Arial"/>
          <w:i/>
          <w:iCs/>
        </w:rPr>
      </w:pPr>
      <w:r w:rsidRPr="00AE3B62">
        <w:rPr>
          <w:rFonts w:ascii="Arial" w:hAnsi="Arial" w:cs="Arial"/>
        </w:rPr>
        <w:t xml:space="preserve">Opoku, A. A., Abushama, M., &amp; Konje, J. C. (2023). Obesity and Menopause. </w:t>
      </w:r>
      <w:r w:rsidRPr="00AE3B62">
        <w:rPr>
          <w:rFonts w:ascii="Arial" w:hAnsi="Arial" w:cs="Arial"/>
          <w:i/>
          <w:iCs/>
        </w:rPr>
        <w:t xml:space="preserve">Best Practice </w:t>
      </w:r>
    </w:p>
    <w:p w14:paraId="321EFD6D" w14:textId="3504CF7C" w:rsidR="00AE3B62" w:rsidRPr="00AE3B62" w:rsidRDefault="00AE3B62" w:rsidP="005E455C">
      <w:pPr>
        <w:spacing w:after="0" w:line="480" w:lineRule="auto"/>
        <w:ind w:firstLine="720"/>
        <w:rPr>
          <w:rFonts w:ascii="Arial" w:hAnsi="Arial" w:cs="Arial"/>
        </w:rPr>
      </w:pPr>
      <w:r w:rsidRPr="00AE3B62">
        <w:rPr>
          <w:rFonts w:ascii="Arial" w:hAnsi="Arial" w:cs="Arial"/>
          <w:i/>
          <w:iCs/>
        </w:rPr>
        <w:t>&amp; Research Clinical Obstetrics &amp; Gynaecology</w:t>
      </w:r>
      <w:r w:rsidRPr="00AE3B62">
        <w:rPr>
          <w:rFonts w:ascii="Arial" w:hAnsi="Arial" w:cs="Arial"/>
        </w:rPr>
        <w:t xml:space="preserve">, </w:t>
      </w:r>
      <w:r w:rsidRPr="00AE3B62">
        <w:rPr>
          <w:rFonts w:ascii="Arial" w:hAnsi="Arial" w:cs="Arial"/>
          <w:i/>
          <w:iCs/>
        </w:rPr>
        <w:t>88</w:t>
      </w:r>
      <w:r w:rsidRPr="00AE3B62">
        <w:rPr>
          <w:rFonts w:ascii="Arial" w:hAnsi="Arial" w:cs="Arial"/>
        </w:rPr>
        <w:t>, 102348–102348. https://doi.org/10.1016/j.bpobgyn.2023.102348</w:t>
      </w:r>
    </w:p>
    <w:p w14:paraId="5E1EFF43" w14:textId="77777777" w:rsidR="00D861A0" w:rsidRDefault="00AE3B62" w:rsidP="005E455C">
      <w:pPr>
        <w:spacing w:after="0" w:line="480" w:lineRule="auto"/>
        <w:rPr>
          <w:rFonts w:ascii="Arial" w:hAnsi="Arial" w:cs="Arial"/>
          <w:i/>
          <w:iCs/>
        </w:rPr>
      </w:pPr>
      <w:r w:rsidRPr="00AE3B62">
        <w:rPr>
          <w:rFonts w:ascii="Arial" w:hAnsi="Arial" w:cs="Arial"/>
        </w:rPr>
        <w:t xml:space="preserve">Papandreou, D., Karavolias, C., Arvaniti, F., &amp; Kafeza, E. (2017, October). </w:t>
      </w:r>
      <w:r w:rsidRPr="00AE3B62">
        <w:rPr>
          <w:rFonts w:ascii="Arial" w:hAnsi="Arial" w:cs="Arial"/>
          <w:i/>
          <w:iCs/>
        </w:rPr>
        <w:t xml:space="preserve">Fasting Ghrelin </w:t>
      </w:r>
    </w:p>
    <w:p w14:paraId="6370CEE3" w14:textId="77777777" w:rsidR="00D861A0" w:rsidRDefault="00AE3B62" w:rsidP="005E455C">
      <w:pPr>
        <w:spacing w:after="0" w:line="480" w:lineRule="auto"/>
        <w:ind w:firstLine="720"/>
        <w:rPr>
          <w:rFonts w:ascii="Arial" w:hAnsi="Arial" w:cs="Arial"/>
          <w:i/>
          <w:iCs/>
        </w:rPr>
      </w:pPr>
      <w:r w:rsidRPr="00AE3B62">
        <w:rPr>
          <w:rFonts w:ascii="Arial" w:hAnsi="Arial" w:cs="Arial"/>
          <w:i/>
          <w:iCs/>
        </w:rPr>
        <w:t xml:space="preserve">Levels Are Decreased in Obese Subjects and Are Significantly Related With Insulin </w:t>
      </w:r>
    </w:p>
    <w:p w14:paraId="69ED1DFB" w14:textId="663391E4" w:rsidR="00AE3B62" w:rsidRPr="00AE3B62" w:rsidRDefault="00AE3B62" w:rsidP="005E455C">
      <w:pPr>
        <w:spacing w:after="0" w:line="480" w:lineRule="auto"/>
        <w:ind w:left="720"/>
        <w:rPr>
          <w:rFonts w:ascii="Arial" w:hAnsi="Arial" w:cs="Arial"/>
        </w:rPr>
      </w:pPr>
      <w:r w:rsidRPr="00AE3B62">
        <w:rPr>
          <w:rFonts w:ascii="Arial" w:hAnsi="Arial" w:cs="Arial"/>
          <w:i/>
          <w:iCs/>
        </w:rPr>
        <w:t>Resistance and Body Mass Index</w:t>
      </w:r>
      <w:r w:rsidRPr="00AE3B62">
        <w:rPr>
          <w:rFonts w:ascii="Arial" w:hAnsi="Arial" w:cs="Arial"/>
        </w:rPr>
        <w:t>. ResearchGate. https://www.researchgate.net/publication/320412917_Fasting_Ghrelin_Levels_Are_Decreased_in_Obese_Subjects_and_Are_Significantly_Related_With_Insulin_Resistance_and_Body_Mass_Index</w:t>
      </w:r>
    </w:p>
    <w:p w14:paraId="01559C80" w14:textId="77777777" w:rsidR="00D861A0" w:rsidRDefault="00AE3B62" w:rsidP="005E455C">
      <w:pPr>
        <w:spacing w:after="0" w:line="480" w:lineRule="auto"/>
        <w:rPr>
          <w:rFonts w:ascii="Arial" w:hAnsi="Arial" w:cs="Arial"/>
        </w:rPr>
      </w:pPr>
      <w:r w:rsidRPr="00AE3B62">
        <w:rPr>
          <w:rFonts w:ascii="Arial" w:hAnsi="Arial" w:cs="Arial"/>
        </w:rPr>
        <w:t xml:space="preserve">Papazafiropoulou, A., Papanas, N., Melidonis, A., &amp; Maltezos, E. (2017). Family History of </w:t>
      </w:r>
    </w:p>
    <w:p w14:paraId="48A408CA" w14:textId="79BDCC5A" w:rsidR="00AE3B62" w:rsidRPr="00AE3B62" w:rsidRDefault="00AE3B62" w:rsidP="005E455C">
      <w:pPr>
        <w:spacing w:after="0" w:line="480" w:lineRule="auto"/>
        <w:ind w:left="720"/>
        <w:rPr>
          <w:rFonts w:ascii="Arial" w:hAnsi="Arial" w:cs="Arial"/>
        </w:rPr>
      </w:pPr>
      <w:r w:rsidRPr="00AE3B62">
        <w:rPr>
          <w:rFonts w:ascii="Arial" w:hAnsi="Arial" w:cs="Arial"/>
        </w:rPr>
        <w:t xml:space="preserve">Type 2 Diabetes: Does Having a Diabetic Parent Increase the Risk? </w:t>
      </w:r>
      <w:r w:rsidRPr="00AE3B62">
        <w:rPr>
          <w:rFonts w:ascii="Arial" w:hAnsi="Arial" w:cs="Arial"/>
          <w:i/>
          <w:iCs/>
        </w:rPr>
        <w:t>Current Diabetes Reviews</w:t>
      </w:r>
      <w:r w:rsidRPr="00AE3B62">
        <w:rPr>
          <w:rFonts w:ascii="Arial" w:hAnsi="Arial" w:cs="Arial"/>
        </w:rPr>
        <w:t xml:space="preserve">, </w:t>
      </w:r>
      <w:r w:rsidRPr="00AE3B62">
        <w:rPr>
          <w:rFonts w:ascii="Arial" w:hAnsi="Arial" w:cs="Arial"/>
          <w:i/>
          <w:iCs/>
        </w:rPr>
        <w:t>13</w:t>
      </w:r>
      <w:r w:rsidRPr="00AE3B62">
        <w:rPr>
          <w:rFonts w:ascii="Arial" w:hAnsi="Arial" w:cs="Arial"/>
        </w:rPr>
        <w:t>(1), 19–25. https://doi.org/10.2174/1573399812666151022143502</w:t>
      </w:r>
    </w:p>
    <w:p w14:paraId="354C292E" w14:textId="77777777" w:rsidR="00D861A0" w:rsidRDefault="00AE3B62" w:rsidP="005E455C">
      <w:pPr>
        <w:spacing w:after="0" w:line="480" w:lineRule="auto"/>
        <w:rPr>
          <w:rFonts w:ascii="Arial" w:hAnsi="Arial" w:cs="Arial"/>
        </w:rPr>
      </w:pPr>
      <w:r w:rsidRPr="00AE3B62">
        <w:rPr>
          <w:rFonts w:ascii="Arial" w:hAnsi="Arial" w:cs="Arial"/>
        </w:rPr>
        <w:t xml:space="preserve">Popson, M. S., Dimri, M., &amp; Borger, J. (2023, June 12). </w:t>
      </w:r>
      <w:r w:rsidRPr="00AE3B62">
        <w:rPr>
          <w:rFonts w:ascii="Arial" w:hAnsi="Arial" w:cs="Arial"/>
          <w:i/>
          <w:iCs/>
        </w:rPr>
        <w:t>Biochemistry, Heat and Calories</w:t>
      </w:r>
      <w:r w:rsidRPr="00AE3B62">
        <w:rPr>
          <w:rFonts w:ascii="Arial" w:hAnsi="Arial" w:cs="Arial"/>
        </w:rPr>
        <w:t xml:space="preserve">. </w:t>
      </w:r>
    </w:p>
    <w:p w14:paraId="57F208B8" w14:textId="7D0EA13A" w:rsidR="00AE3B62" w:rsidRPr="00AE3B62" w:rsidRDefault="00AE3B62" w:rsidP="005E455C">
      <w:pPr>
        <w:spacing w:after="0" w:line="480" w:lineRule="auto"/>
        <w:ind w:firstLine="720"/>
        <w:rPr>
          <w:rFonts w:ascii="Arial" w:hAnsi="Arial" w:cs="Arial"/>
        </w:rPr>
      </w:pPr>
      <w:r w:rsidRPr="00AE3B62">
        <w:rPr>
          <w:rFonts w:ascii="Arial" w:hAnsi="Arial" w:cs="Arial"/>
        </w:rPr>
        <w:t>PubMed; StatPearls Publishing. https://www.ncbi.nlm.nih.gov/books/NBK538294/</w:t>
      </w:r>
    </w:p>
    <w:p w14:paraId="06574F25" w14:textId="77777777" w:rsidR="00D861A0" w:rsidRDefault="00AE3B62" w:rsidP="005E455C">
      <w:pPr>
        <w:spacing w:after="0" w:line="480" w:lineRule="auto"/>
        <w:rPr>
          <w:rFonts w:ascii="Arial" w:hAnsi="Arial" w:cs="Arial"/>
          <w:i/>
          <w:iCs/>
        </w:rPr>
      </w:pPr>
      <w:r w:rsidRPr="00AE3B62">
        <w:rPr>
          <w:rFonts w:ascii="Arial" w:hAnsi="Arial" w:cs="Arial"/>
        </w:rPr>
        <w:t xml:space="preserve">Salameh, M., &amp; Matsushita, K. (2024). Epidemiology of peripheral artery disease. </w:t>
      </w:r>
      <w:r w:rsidRPr="00AE3B62">
        <w:rPr>
          <w:rFonts w:ascii="Arial" w:hAnsi="Arial" w:cs="Arial"/>
          <w:i/>
          <w:iCs/>
        </w:rPr>
        <w:t xml:space="preserve">Elsevier </w:t>
      </w:r>
    </w:p>
    <w:p w14:paraId="7B4564CA" w14:textId="45D48DF8" w:rsidR="00AE3B62" w:rsidRPr="00AE3B62" w:rsidRDefault="00AE3B62" w:rsidP="005E455C">
      <w:pPr>
        <w:spacing w:after="0" w:line="480" w:lineRule="auto"/>
        <w:ind w:firstLine="720"/>
        <w:rPr>
          <w:rFonts w:ascii="Arial" w:hAnsi="Arial" w:cs="Arial"/>
        </w:rPr>
      </w:pPr>
      <w:r w:rsidRPr="00AE3B62">
        <w:rPr>
          <w:rFonts w:ascii="Arial" w:hAnsi="Arial" w:cs="Arial"/>
          <w:i/>
          <w:iCs/>
        </w:rPr>
        <w:lastRenderedPageBreak/>
        <w:t>EBooks</w:t>
      </w:r>
      <w:r w:rsidRPr="00AE3B62">
        <w:rPr>
          <w:rFonts w:ascii="Arial" w:hAnsi="Arial" w:cs="Arial"/>
        </w:rPr>
        <w:t>, 3–25. https://doi.org/10.1016/b978-0-443-13593-4.00002-0</w:t>
      </w:r>
    </w:p>
    <w:p w14:paraId="06775AF6" w14:textId="77777777" w:rsidR="00D861A0" w:rsidRDefault="00AE3B62" w:rsidP="005E455C">
      <w:pPr>
        <w:spacing w:after="0" w:line="480" w:lineRule="auto"/>
        <w:rPr>
          <w:rFonts w:ascii="Arial" w:hAnsi="Arial" w:cs="Arial"/>
        </w:rPr>
      </w:pPr>
      <w:r w:rsidRPr="00AE3B62">
        <w:rPr>
          <w:rFonts w:ascii="Arial" w:hAnsi="Arial" w:cs="Arial"/>
        </w:rPr>
        <w:t xml:space="preserve">Shah, A. D., Langenberg, C., Rapsomaniki, E., Denaxas, S., Pujades-Rodriguez, M., Gale, </w:t>
      </w:r>
    </w:p>
    <w:p w14:paraId="30389371" w14:textId="5E83EF11" w:rsidR="00AE3B62" w:rsidRPr="00AE3B62" w:rsidRDefault="00AE3B62" w:rsidP="005E455C">
      <w:pPr>
        <w:spacing w:after="0" w:line="480" w:lineRule="auto"/>
        <w:ind w:left="720"/>
        <w:rPr>
          <w:rFonts w:ascii="Arial" w:hAnsi="Arial" w:cs="Arial"/>
        </w:rPr>
      </w:pPr>
      <w:r w:rsidRPr="00AE3B62">
        <w:rPr>
          <w:rFonts w:ascii="Arial" w:hAnsi="Arial" w:cs="Arial"/>
        </w:rPr>
        <w:t xml:space="preserve">C. P., Deanfield, J., Smeeth, L., Timmis, A., &amp; Hemingway, H. (2015). Type 2 diabetes and incidence of cardiovascular diseases: a cohort study in 1·9 million people. </w:t>
      </w:r>
      <w:r w:rsidRPr="00AE3B62">
        <w:rPr>
          <w:rFonts w:ascii="Arial" w:hAnsi="Arial" w:cs="Arial"/>
          <w:i/>
          <w:iCs/>
        </w:rPr>
        <w:t>The Lancet Diabetes &amp; Endocrinology</w:t>
      </w:r>
      <w:r w:rsidRPr="00AE3B62">
        <w:rPr>
          <w:rFonts w:ascii="Arial" w:hAnsi="Arial" w:cs="Arial"/>
        </w:rPr>
        <w:t xml:space="preserve">, </w:t>
      </w:r>
      <w:r w:rsidRPr="00AE3B62">
        <w:rPr>
          <w:rFonts w:ascii="Arial" w:hAnsi="Arial" w:cs="Arial"/>
          <w:i/>
          <w:iCs/>
        </w:rPr>
        <w:t>3</w:t>
      </w:r>
      <w:r w:rsidRPr="00AE3B62">
        <w:rPr>
          <w:rFonts w:ascii="Arial" w:hAnsi="Arial" w:cs="Arial"/>
        </w:rPr>
        <w:t>(2), 105–113. https://doi.org/10.1016/s2213-8587(14)70219-0</w:t>
      </w:r>
    </w:p>
    <w:p w14:paraId="2F1DA57C" w14:textId="77777777" w:rsidR="00D861A0" w:rsidRDefault="00AE3B62" w:rsidP="005E455C">
      <w:pPr>
        <w:spacing w:after="0" w:line="480" w:lineRule="auto"/>
        <w:rPr>
          <w:rFonts w:ascii="Arial" w:hAnsi="Arial" w:cs="Arial"/>
        </w:rPr>
      </w:pPr>
      <w:r w:rsidRPr="00AE3B62">
        <w:rPr>
          <w:rFonts w:ascii="Arial" w:hAnsi="Arial" w:cs="Arial"/>
        </w:rPr>
        <w:t xml:space="preserve">Sherwani, S. I., Khan, H. A., Ekhzaimy, A., Masood, A., &amp; Sakharkar, M. K. (2016). </w:t>
      </w:r>
    </w:p>
    <w:p w14:paraId="1CB7911F" w14:textId="77777777" w:rsidR="00D861A0" w:rsidRDefault="00AE3B62" w:rsidP="005E455C">
      <w:pPr>
        <w:spacing w:after="0" w:line="480" w:lineRule="auto"/>
        <w:ind w:firstLine="720"/>
        <w:rPr>
          <w:rFonts w:ascii="Arial" w:hAnsi="Arial" w:cs="Arial"/>
        </w:rPr>
      </w:pPr>
      <w:r w:rsidRPr="00AE3B62">
        <w:rPr>
          <w:rFonts w:ascii="Arial" w:hAnsi="Arial" w:cs="Arial"/>
        </w:rPr>
        <w:t xml:space="preserve">Significance of Hba1c Test in Diagnosis and Prognosis of Diabetic Patients. </w:t>
      </w:r>
    </w:p>
    <w:p w14:paraId="057D2BD9" w14:textId="1F626489" w:rsidR="00AE3B62" w:rsidRPr="00AE3B62" w:rsidRDefault="00AE3B62" w:rsidP="005E455C">
      <w:pPr>
        <w:spacing w:after="0" w:line="480" w:lineRule="auto"/>
        <w:ind w:firstLine="720"/>
        <w:rPr>
          <w:rFonts w:ascii="Arial" w:hAnsi="Arial" w:cs="Arial"/>
        </w:rPr>
      </w:pPr>
      <w:r w:rsidRPr="00AE3B62">
        <w:rPr>
          <w:rFonts w:ascii="Arial" w:hAnsi="Arial" w:cs="Arial"/>
          <w:i/>
          <w:iCs/>
        </w:rPr>
        <w:t>Biomarker Insights</w:t>
      </w:r>
      <w:r w:rsidRPr="00AE3B62">
        <w:rPr>
          <w:rFonts w:ascii="Arial" w:hAnsi="Arial" w:cs="Arial"/>
        </w:rPr>
        <w:t xml:space="preserve">, </w:t>
      </w:r>
      <w:r w:rsidRPr="00AE3B62">
        <w:rPr>
          <w:rFonts w:ascii="Arial" w:hAnsi="Arial" w:cs="Arial"/>
          <w:i/>
          <w:iCs/>
        </w:rPr>
        <w:t>11</w:t>
      </w:r>
      <w:r w:rsidRPr="00AE3B62">
        <w:rPr>
          <w:rFonts w:ascii="Arial" w:hAnsi="Arial" w:cs="Arial"/>
        </w:rPr>
        <w:t>(11), BMI.S38440. https://doi.org/10.4137/bmi.s38440</w:t>
      </w:r>
    </w:p>
    <w:p w14:paraId="4696DF9B" w14:textId="77777777" w:rsidR="00D861A0" w:rsidRDefault="00AE3B62" w:rsidP="005E455C">
      <w:pPr>
        <w:spacing w:after="0" w:line="480" w:lineRule="auto"/>
        <w:rPr>
          <w:rFonts w:ascii="Arial" w:hAnsi="Arial" w:cs="Arial"/>
        </w:rPr>
      </w:pPr>
      <w:r w:rsidRPr="00AE3B62">
        <w:rPr>
          <w:rFonts w:ascii="Arial" w:hAnsi="Arial" w:cs="Arial"/>
        </w:rPr>
        <w:t xml:space="preserve">Wellbeing of Women. (2025). </w:t>
      </w:r>
      <w:r w:rsidRPr="00AE3B62">
        <w:rPr>
          <w:rFonts w:ascii="Arial" w:hAnsi="Arial" w:cs="Arial"/>
          <w:i/>
          <w:iCs/>
        </w:rPr>
        <w:t>Menopause information hub - Wellbeing of Women</w:t>
      </w:r>
      <w:r w:rsidRPr="00AE3B62">
        <w:rPr>
          <w:rFonts w:ascii="Arial" w:hAnsi="Arial" w:cs="Arial"/>
        </w:rPr>
        <w:t xml:space="preserve">. Wellbeing </w:t>
      </w:r>
    </w:p>
    <w:p w14:paraId="2E07D67C" w14:textId="7B43783E" w:rsidR="00AE3B62" w:rsidRPr="00AE3B62" w:rsidRDefault="00AE3B62" w:rsidP="005E455C">
      <w:pPr>
        <w:spacing w:after="0" w:line="480" w:lineRule="auto"/>
        <w:ind w:left="720"/>
        <w:rPr>
          <w:rFonts w:ascii="Arial" w:hAnsi="Arial" w:cs="Arial"/>
        </w:rPr>
      </w:pPr>
      <w:r w:rsidRPr="00AE3B62">
        <w:rPr>
          <w:rFonts w:ascii="Arial" w:hAnsi="Arial" w:cs="Arial"/>
        </w:rPr>
        <w:t xml:space="preserve">of Women. </w:t>
      </w:r>
      <w:hyperlink r:id="rId11" w:history="1">
        <w:r w:rsidR="00D861A0" w:rsidRPr="00AE3B62">
          <w:rPr>
            <w:rStyle w:val="Hyperlink"/>
            <w:rFonts w:ascii="Arial" w:hAnsi="Arial" w:cs="Arial"/>
          </w:rPr>
          <w:t>https://www.wellbeingofwomen.org.uk/what-we-do/education/menopause-</w:t>
        </w:r>
      </w:hyperlink>
      <w:r w:rsidRPr="00AE3B62">
        <w:rPr>
          <w:rFonts w:ascii="Arial" w:hAnsi="Arial" w:cs="Arial"/>
        </w:rPr>
        <w:t>information-hub/</w:t>
      </w:r>
    </w:p>
    <w:p w14:paraId="319AE658" w14:textId="77777777" w:rsidR="00D861A0" w:rsidRDefault="00AE3B62" w:rsidP="005E455C">
      <w:pPr>
        <w:spacing w:after="0" w:line="480" w:lineRule="auto"/>
        <w:rPr>
          <w:rFonts w:ascii="Arial" w:hAnsi="Arial" w:cs="Arial"/>
        </w:rPr>
      </w:pPr>
      <w:r w:rsidRPr="00AE3B62">
        <w:rPr>
          <w:rFonts w:ascii="Arial" w:hAnsi="Arial" w:cs="Arial"/>
        </w:rPr>
        <w:t xml:space="preserve">Zhang, Q., Zhao, G., Yang, N., &amp; Zhang, L. (2019). Fasting blood glucose levels in patients </w:t>
      </w:r>
    </w:p>
    <w:p w14:paraId="7DBC24CA" w14:textId="491B2658" w:rsidR="00AE3B62" w:rsidRPr="00AE3B62" w:rsidRDefault="00AE3B62" w:rsidP="005E455C">
      <w:pPr>
        <w:spacing w:after="0" w:line="480" w:lineRule="auto"/>
        <w:ind w:left="720"/>
        <w:rPr>
          <w:rFonts w:ascii="Arial" w:hAnsi="Arial" w:cs="Arial"/>
        </w:rPr>
      </w:pPr>
      <w:r w:rsidRPr="00AE3B62">
        <w:rPr>
          <w:rFonts w:ascii="Arial" w:hAnsi="Arial" w:cs="Arial"/>
        </w:rPr>
        <w:t xml:space="preserve">with different types of diseases. </w:t>
      </w:r>
      <w:r w:rsidRPr="00AE3B62">
        <w:rPr>
          <w:rFonts w:ascii="Arial" w:hAnsi="Arial" w:cs="Arial"/>
          <w:i/>
          <w:iCs/>
        </w:rPr>
        <w:t>Progress in Molecular Biology and Translational Science</w:t>
      </w:r>
      <w:r w:rsidRPr="00AE3B62">
        <w:rPr>
          <w:rFonts w:ascii="Arial" w:hAnsi="Arial" w:cs="Arial"/>
        </w:rPr>
        <w:t xml:space="preserve">, </w:t>
      </w:r>
      <w:r w:rsidRPr="00AE3B62">
        <w:rPr>
          <w:rFonts w:ascii="Arial" w:hAnsi="Arial" w:cs="Arial"/>
          <w:i/>
          <w:iCs/>
        </w:rPr>
        <w:t>162</w:t>
      </w:r>
      <w:r w:rsidRPr="00AE3B62">
        <w:rPr>
          <w:rFonts w:ascii="Arial" w:hAnsi="Arial" w:cs="Arial"/>
        </w:rPr>
        <w:t>, 277–292. https://doi.org/10.1016/bs.pmbts.2019.01.004</w:t>
      </w:r>
    </w:p>
    <w:p w14:paraId="0C39E2CB" w14:textId="77777777" w:rsidR="0086664C" w:rsidRPr="0086664C" w:rsidRDefault="0086664C" w:rsidP="005E455C">
      <w:pPr>
        <w:spacing w:after="0" w:line="480" w:lineRule="auto"/>
        <w:rPr>
          <w:rFonts w:ascii="Arial" w:hAnsi="Arial" w:cs="Arial"/>
        </w:rPr>
      </w:pPr>
    </w:p>
    <w:sectPr w:rsidR="0086664C" w:rsidRPr="0086664C" w:rsidSect="00037318">
      <w:headerReference w:type="default" r:id="rId1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84E41" w14:textId="77777777" w:rsidR="0043228E" w:rsidRDefault="0043228E" w:rsidP="0086664C">
      <w:pPr>
        <w:spacing w:after="0" w:line="240" w:lineRule="auto"/>
      </w:pPr>
      <w:r>
        <w:separator/>
      </w:r>
    </w:p>
  </w:endnote>
  <w:endnote w:type="continuationSeparator" w:id="0">
    <w:p w14:paraId="77DE8F15" w14:textId="77777777" w:rsidR="0043228E" w:rsidRDefault="0043228E" w:rsidP="00866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FE3FD" w14:textId="77777777" w:rsidR="0043228E" w:rsidRDefault="0043228E" w:rsidP="0086664C">
      <w:pPr>
        <w:spacing w:after="0" w:line="240" w:lineRule="auto"/>
      </w:pPr>
      <w:r>
        <w:separator/>
      </w:r>
    </w:p>
  </w:footnote>
  <w:footnote w:type="continuationSeparator" w:id="0">
    <w:p w14:paraId="21831B75" w14:textId="77777777" w:rsidR="0043228E" w:rsidRDefault="0043228E" w:rsidP="00866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5469994"/>
      <w:docPartObj>
        <w:docPartGallery w:val="Page Numbers (Top of Page)"/>
        <w:docPartUnique/>
      </w:docPartObj>
    </w:sdtPr>
    <w:sdtEndPr>
      <w:rPr>
        <w:rFonts w:ascii="Arial" w:hAnsi="Arial" w:cs="Arial"/>
      </w:rPr>
    </w:sdtEndPr>
    <w:sdtContent>
      <w:p w14:paraId="1CDFC8C9" w14:textId="7385FA25" w:rsidR="0086664C" w:rsidRPr="0086664C" w:rsidRDefault="0086664C">
        <w:pPr>
          <w:pStyle w:val="Header"/>
          <w:jc w:val="right"/>
          <w:rPr>
            <w:rFonts w:ascii="Arial" w:hAnsi="Arial" w:cs="Arial"/>
          </w:rPr>
        </w:pPr>
        <w:r w:rsidRPr="0086664C">
          <w:rPr>
            <w:rFonts w:ascii="Arial" w:hAnsi="Arial" w:cs="Arial"/>
          </w:rPr>
          <w:fldChar w:fldCharType="begin"/>
        </w:r>
        <w:r w:rsidRPr="0086664C">
          <w:rPr>
            <w:rFonts w:ascii="Arial" w:hAnsi="Arial" w:cs="Arial"/>
          </w:rPr>
          <w:instrText>PAGE   \* MERGEFORMAT</w:instrText>
        </w:r>
        <w:r w:rsidRPr="0086664C">
          <w:rPr>
            <w:rFonts w:ascii="Arial" w:hAnsi="Arial" w:cs="Arial"/>
          </w:rPr>
          <w:fldChar w:fldCharType="separate"/>
        </w:r>
        <w:r w:rsidRPr="0086664C">
          <w:rPr>
            <w:rFonts w:ascii="Arial" w:hAnsi="Arial" w:cs="Arial"/>
          </w:rPr>
          <w:t>2</w:t>
        </w:r>
        <w:r w:rsidRPr="0086664C">
          <w:rPr>
            <w:rFonts w:ascii="Arial" w:hAnsi="Arial" w:cs="Arial"/>
          </w:rPr>
          <w:fldChar w:fldCharType="end"/>
        </w:r>
      </w:p>
    </w:sdtContent>
  </w:sdt>
  <w:p w14:paraId="76551EA9" w14:textId="77777777" w:rsidR="0086664C" w:rsidRDefault="0086664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64C"/>
    <w:rsid w:val="00034DC6"/>
    <w:rsid w:val="00037318"/>
    <w:rsid w:val="000A66D8"/>
    <w:rsid w:val="000B5BE6"/>
    <w:rsid w:val="000C5BC8"/>
    <w:rsid w:val="00132FFE"/>
    <w:rsid w:val="00152544"/>
    <w:rsid w:val="0018732C"/>
    <w:rsid w:val="001A1A7E"/>
    <w:rsid w:val="001B38D7"/>
    <w:rsid w:val="001B51FB"/>
    <w:rsid w:val="001F1498"/>
    <w:rsid w:val="00270D5F"/>
    <w:rsid w:val="002D71ED"/>
    <w:rsid w:val="0035326B"/>
    <w:rsid w:val="003F1EEC"/>
    <w:rsid w:val="0041221F"/>
    <w:rsid w:val="0043228E"/>
    <w:rsid w:val="004A2546"/>
    <w:rsid w:val="004D7174"/>
    <w:rsid w:val="004E1ED6"/>
    <w:rsid w:val="00573E5C"/>
    <w:rsid w:val="0058110E"/>
    <w:rsid w:val="005E455C"/>
    <w:rsid w:val="005E6ADE"/>
    <w:rsid w:val="00697FA5"/>
    <w:rsid w:val="006A5735"/>
    <w:rsid w:val="006B7CF9"/>
    <w:rsid w:val="006E03A2"/>
    <w:rsid w:val="006F1E5D"/>
    <w:rsid w:val="007108B2"/>
    <w:rsid w:val="00725B92"/>
    <w:rsid w:val="00736E9E"/>
    <w:rsid w:val="0077597C"/>
    <w:rsid w:val="007C4039"/>
    <w:rsid w:val="007E57B2"/>
    <w:rsid w:val="007F759C"/>
    <w:rsid w:val="008045C6"/>
    <w:rsid w:val="00812BBB"/>
    <w:rsid w:val="0081609D"/>
    <w:rsid w:val="00842964"/>
    <w:rsid w:val="0086664C"/>
    <w:rsid w:val="00867CDE"/>
    <w:rsid w:val="00901421"/>
    <w:rsid w:val="00901E17"/>
    <w:rsid w:val="00924277"/>
    <w:rsid w:val="00950903"/>
    <w:rsid w:val="00A16F72"/>
    <w:rsid w:val="00A96244"/>
    <w:rsid w:val="00AE3B62"/>
    <w:rsid w:val="00AF3D47"/>
    <w:rsid w:val="00B153B0"/>
    <w:rsid w:val="00B22765"/>
    <w:rsid w:val="00B2589B"/>
    <w:rsid w:val="00BD002B"/>
    <w:rsid w:val="00C14BF1"/>
    <w:rsid w:val="00C1679F"/>
    <w:rsid w:val="00C20395"/>
    <w:rsid w:val="00C771B9"/>
    <w:rsid w:val="00CA6C23"/>
    <w:rsid w:val="00CE449F"/>
    <w:rsid w:val="00CE6AD7"/>
    <w:rsid w:val="00D06948"/>
    <w:rsid w:val="00D21173"/>
    <w:rsid w:val="00D30A6C"/>
    <w:rsid w:val="00D502B4"/>
    <w:rsid w:val="00D772B8"/>
    <w:rsid w:val="00D861A0"/>
    <w:rsid w:val="00D87AB5"/>
    <w:rsid w:val="00D92C37"/>
    <w:rsid w:val="00D936F3"/>
    <w:rsid w:val="00DB1BD7"/>
    <w:rsid w:val="00DD3356"/>
    <w:rsid w:val="00DE09EE"/>
    <w:rsid w:val="00E07B77"/>
    <w:rsid w:val="00E32B9B"/>
    <w:rsid w:val="00EC66E4"/>
    <w:rsid w:val="00ED6E6E"/>
    <w:rsid w:val="00F5014C"/>
    <w:rsid w:val="00F964CE"/>
    <w:rsid w:val="00FC0A96"/>
    <w:rsid w:val="00FC29C7"/>
    <w:rsid w:val="00FD2FB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5219D7"/>
  <w15:chartTrackingRefBased/>
  <w15:docId w15:val="{B4B7B7F4-BD56-4D0D-B198-396CA20FA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64C"/>
    <w:pPr>
      <w:widowControl w:val="0"/>
      <w:wordWrap w:val="0"/>
      <w:autoSpaceDE w:val="0"/>
      <w:autoSpaceDN w:val="0"/>
    </w:pPr>
  </w:style>
  <w:style w:type="paragraph" w:styleId="Heading1">
    <w:name w:val="heading 1"/>
    <w:basedOn w:val="Normal"/>
    <w:next w:val="Normal"/>
    <w:link w:val="Heading1Char"/>
    <w:uiPriority w:val="9"/>
    <w:qFormat/>
    <w:rsid w:val="00866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64C"/>
    <w:rPr>
      <w:rFonts w:eastAsiaTheme="majorEastAsia" w:cstheme="majorBidi"/>
      <w:color w:val="272727" w:themeColor="text1" w:themeTint="D8"/>
    </w:rPr>
  </w:style>
  <w:style w:type="paragraph" w:styleId="Title">
    <w:name w:val="Title"/>
    <w:basedOn w:val="Normal"/>
    <w:next w:val="Normal"/>
    <w:link w:val="TitleChar"/>
    <w:uiPriority w:val="10"/>
    <w:qFormat/>
    <w:rsid w:val="00866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64C"/>
    <w:pPr>
      <w:spacing w:before="160"/>
      <w:jc w:val="center"/>
    </w:pPr>
    <w:rPr>
      <w:i/>
      <w:iCs/>
      <w:color w:val="404040" w:themeColor="text1" w:themeTint="BF"/>
    </w:rPr>
  </w:style>
  <w:style w:type="character" w:customStyle="1" w:styleId="QuoteChar">
    <w:name w:val="Quote Char"/>
    <w:basedOn w:val="DefaultParagraphFont"/>
    <w:link w:val="Quote"/>
    <w:uiPriority w:val="29"/>
    <w:rsid w:val="0086664C"/>
    <w:rPr>
      <w:i/>
      <w:iCs/>
      <w:color w:val="404040" w:themeColor="text1" w:themeTint="BF"/>
    </w:rPr>
  </w:style>
  <w:style w:type="paragraph" w:styleId="ListParagraph">
    <w:name w:val="List Paragraph"/>
    <w:basedOn w:val="Normal"/>
    <w:uiPriority w:val="34"/>
    <w:qFormat/>
    <w:rsid w:val="0086664C"/>
    <w:pPr>
      <w:ind w:left="720"/>
      <w:contextualSpacing/>
    </w:pPr>
  </w:style>
  <w:style w:type="character" w:styleId="IntenseEmphasis">
    <w:name w:val="Intense Emphasis"/>
    <w:basedOn w:val="DefaultParagraphFont"/>
    <w:uiPriority w:val="21"/>
    <w:qFormat/>
    <w:rsid w:val="0086664C"/>
    <w:rPr>
      <w:i/>
      <w:iCs/>
      <w:color w:val="0F4761" w:themeColor="accent1" w:themeShade="BF"/>
    </w:rPr>
  </w:style>
  <w:style w:type="paragraph" w:styleId="IntenseQuote">
    <w:name w:val="Intense Quote"/>
    <w:basedOn w:val="Normal"/>
    <w:next w:val="Normal"/>
    <w:link w:val="IntenseQuoteChar"/>
    <w:uiPriority w:val="30"/>
    <w:qFormat/>
    <w:rsid w:val="00866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64C"/>
    <w:rPr>
      <w:i/>
      <w:iCs/>
      <w:color w:val="0F4761" w:themeColor="accent1" w:themeShade="BF"/>
    </w:rPr>
  </w:style>
  <w:style w:type="character" w:styleId="IntenseReference">
    <w:name w:val="Intense Reference"/>
    <w:basedOn w:val="DefaultParagraphFont"/>
    <w:uiPriority w:val="32"/>
    <w:qFormat/>
    <w:rsid w:val="0086664C"/>
    <w:rPr>
      <w:b/>
      <w:bCs/>
      <w:smallCaps/>
      <w:color w:val="0F4761" w:themeColor="accent1" w:themeShade="BF"/>
      <w:spacing w:val="5"/>
    </w:rPr>
  </w:style>
  <w:style w:type="table" w:styleId="TableGrid">
    <w:name w:val="Table Grid"/>
    <w:basedOn w:val="TableNormal"/>
    <w:uiPriority w:val="39"/>
    <w:rsid w:val="008666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666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664C"/>
  </w:style>
  <w:style w:type="paragraph" w:styleId="Footer">
    <w:name w:val="footer"/>
    <w:basedOn w:val="Normal"/>
    <w:link w:val="FooterChar"/>
    <w:uiPriority w:val="99"/>
    <w:unhideWhenUsed/>
    <w:rsid w:val="008666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664C"/>
  </w:style>
  <w:style w:type="character" w:styleId="Hyperlink">
    <w:name w:val="Hyperlink"/>
    <w:basedOn w:val="DefaultParagraphFont"/>
    <w:uiPriority w:val="99"/>
    <w:unhideWhenUsed/>
    <w:rsid w:val="00D861A0"/>
    <w:rPr>
      <w:color w:val="467886" w:themeColor="hyperlink"/>
      <w:u w:val="single"/>
    </w:rPr>
  </w:style>
  <w:style w:type="character" w:styleId="UnresolvedMention">
    <w:name w:val="Unresolved Mention"/>
    <w:basedOn w:val="DefaultParagraphFont"/>
    <w:uiPriority w:val="99"/>
    <w:semiHidden/>
    <w:unhideWhenUsed/>
    <w:rsid w:val="00D861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www.wellbeingofwomen.org.uk/what-we-do/education/menopause-" TargetMode="External"/><Relationship Id="rId5" Type="http://schemas.openxmlformats.org/officeDocument/2006/relationships/endnotes" Target="endnotes.xml"/><Relationship Id="rId10" Type="http://schemas.openxmlformats.org/officeDocument/2006/relationships/hyperlink" Target="https://www.engage.england.nhs.uk/safety-and-" TargetMode="External"/><Relationship Id="rId4" Type="http://schemas.openxmlformats.org/officeDocument/2006/relationships/footnotes" Target="footnotes.xml"/><Relationship Id="rId9" Type="http://schemas.openxmlformats.org/officeDocument/2006/relationships/hyperlink" Target="https://www.ncbi.nlm.nih.gov/books/NBK549816/"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13</Pages>
  <Words>2621</Words>
  <Characters>15915</Characters>
  <Application>Microsoft Office Word</Application>
  <DocSecurity>0</DocSecurity>
  <Lines>359</Lines>
  <Paragraphs>167</Paragraphs>
  <ScaleCrop>false</ScaleCrop>
  <Company/>
  <LinksUpToDate>false</LinksUpToDate>
  <CharactersWithSpaces>18464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wldbs thd</dc:creator>
  <cp:keywords/>
  <dc:description/>
  <cp:lastModifiedBy>wldbs thd</cp:lastModifiedBy>
  <cp:revision>63</cp:revision>
  <dcterms:created xsi:type="dcterms:W3CDTF">2025-11-22T19:13:00Z</dcterms:created>
  <dcterms:modified xsi:type="dcterms:W3CDTF">2025-11-22T22:15:00Z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ecea2e94-6c08-47c4-b483-5f8c4fa4c80c</vt:lpwstr>
  </property>
</Properties>
</file>