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0F766E"/>
          <w:spacing w:val="200"/>
          <w:sz w:val="22"/>
          <w:szCs w:val="22"/>
        </w:rPr>
        <w:t xml:space="preserve">PRODUCT REQUIREMENTS DOCUMENT</w:t>
      </w:r>
    </w:p>
    <w:p>
      <w:pPr>
        <w:spacing w:after="80"/>
      </w:pPr>
    </w:p>
    <w:p>
      <w:pPr>
        <w:spacing w:after="160"/>
        <w:jc w:val="center"/>
      </w:pPr>
      <w:r>
        <w:rPr>
          <w:rFonts w:ascii="Arial" w:cs="Arial" w:eastAsia="Arial" w:hAnsi="Arial"/>
          <w:b/>
          <w:bCs/>
          <w:color w:val="1E293B"/>
          <w:sz w:val="52"/>
          <w:szCs w:val="52"/>
        </w:rPr>
        <w:t xml:space="preserve">NL-to-SQL Pipeline Engine</w:t>
      </w:r>
    </w:p>
    <w:p>
      <w:pPr>
        <w:spacing w:after="80"/>
        <w:jc w:val="center"/>
      </w:pPr>
      <w:r>
        <w:rPr>
          <w:rFonts w:ascii="Arial" w:cs="Arial" w:eastAsia="Arial" w:hAnsi="Arial"/>
          <w:b/>
          <w:bCs/>
          <w:color w:val="0F766E"/>
          <w:sz w:val="28"/>
          <w:szCs w:val="28"/>
        </w:rPr>
        <w:t xml:space="preserve">LLM-Agnostic Conversational Data Access</w:t>
      </w:r>
    </w:p>
    <w:p>
      <w:pPr>
        <w:spacing w:after="300"/>
        <w:jc w:val="center"/>
      </w:pPr>
      <w:r>
        <w:rPr>
          <w:rFonts w:ascii="Arial" w:cs="Arial" w:eastAsia="Arial" w:hAnsi="Arial"/>
          <w:color w:val="475569"/>
          <w:sz w:val="22"/>
          <w:szCs w:val="22"/>
        </w:rPr>
        <w:t xml:space="preserve">Works with Claude  •  GPT-4  •  Open-Source Models  •  Any SQL-Capable LLM</w:t>
      </w:r>
    </w:p>
    <w:p>
      <w:pPr>
        <w:spacing w:after="1400"/>
      </w:pPr>
    </w:p>
    <w:p>
      <w:pPr>
        <w:pBdr>
          <w:top w:val="single" w:color="0F766E" w:sz="6" w:space="12"/>
        </w:pBdr>
        <w:spacing w:before="200"/>
        <w:jc w:val="center"/>
      </w:pPr>
      <w:r>
        <w:rPr>
          <w:rFonts w:ascii="Arial" w:cs="Arial" w:eastAsia="Arial" w:hAnsi="Arial"/>
          <w:color w:val="475569"/>
          <w:sz w:val="20"/>
          <w:szCs w:val="20"/>
        </w:rPr>
        <w:t xml:space="preserve">Xendex AI × CogniVault AI  |  March 2026  |  v1.0</w:t>
      </w:r>
    </w:p>
    <w:p>
      <w:r>
        <w:br w:type="page"/>
      </w:r>
    </w:p>
    <w:p>
      <w:pPr>
        <w:pStyle w:val="Heading1"/>
      </w:pPr>
      <w:r>
        <w:t xml:space="preserve">1. Product Overview</w:t>
      </w:r>
    </w:p>
    <w:p>
      <w:pPr>
        <w:pStyle w:val="Heading2"/>
      </w:pPr>
      <w:r>
        <w:t xml:space="preserve">1.1 Product Name</w:t>
      </w:r>
    </w:p>
    <w:p>
      <w:pPr>
        <w:spacing w:after="120"/>
      </w:pPr>
      <w:r>
        <w:rPr>
          <w:rFonts w:ascii="Arial" w:cs="Arial" w:eastAsia="Arial" w:hAnsi="Arial"/>
          <w:color w:val="475569"/>
          <w:sz w:val="22"/>
          <w:szCs w:val="22"/>
        </w:rPr>
        <w:t xml:space="preserve">NL-to-SQL Pipeline Engine (internal codename: XenSQL)</w:t>
      </w:r>
    </w:p>
    <w:p>
      <w:pPr>
        <w:spacing w:after="40"/>
      </w:pPr>
    </w:p>
    <w:p>
      <w:pPr>
        <w:pStyle w:val="Heading2"/>
      </w:pPr>
      <w:r>
        <w:t xml:space="preserve">1.2 Product Vision</w:t>
      </w:r>
    </w:p>
    <w:p>
      <w:pPr>
        <w:spacing w:after="120"/>
      </w:pPr>
      <w:r>
        <w:rPr>
          <w:rFonts w:ascii="Arial" w:cs="Arial" w:eastAsia="Arial" w:hAnsi="Arial"/>
          <w:color w:val="475569"/>
          <w:sz w:val="22"/>
          <w:szCs w:val="22"/>
        </w:rPr>
        <w:t xml:space="preserve">An LLM-agnostic pipeline that converts natural language questions into accurate, optimised SQL queries. The engine handles question understanding, schema discovery, intent classification, context construction, SQL generation, and result delivery — while remaining completely independent of which LLM provides the generation capability.</w:t>
      </w:r>
    </w:p>
    <w:p>
      <w:pPr>
        <w:spacing w:after="120"/>
      </w:pPr>
      <w:r>
        <w:rPr>
          <w:rFonts w:ascii="Arial" w:cs="Arial" w:eastAsia="Arial" w:hAnsi="Arial"/>
          <w:color w:val="475569"/>
          <w:sz w:val="22"/>
          <w:szCs w:val="22"/>
        </w:rPr>
        <w:t xml:space="preserve">The pipeline is designed to be wrapped by an external security framework (QueryVault) for all authentication, authorisation, schema filtering, SQL validation, and compliance. The pipeline focuses purely on accurate SQL generation from natural language.</w:t>
      </w:r>
    </w:p>
    <w:p>
      <w:pPr>
        <w:spacing w:after="40"/>
      </w:pPr>
    </w:p>
    <w:p>
      <w:pPr>
        <w:pStyle w:val="Heading2"/>
      </w:pPr>
      <w:r>
        <w:t xml:space="preserve">1.3 Product Category</w:t>
      </w:r>
    </w:p>
    <w:p>
      <w:pPr>
        <w:spacing w:after="120"/>
      </w:pPr>
      <w:r>
        <w:rPr>
          <w:rFonts w:ascii="Arial" w:cs="Arial" w:eastAsia="Arial" w:hAnsi="Arial"/>
          <w:color w:val="475569"/>
          <w:sz w:val="22"/>
          <w:szCs w:val="22"/>
        </w:rPr>
        <w:t xml:space="preserve">Data Access &amp; Analytics — Conversational Database Interface</w:t>
      </w:r>
    </w:p>
    <w:p>
      <w:pPr>
        <w:spacing w:after="40"/>
      </w:pPr>
    </w:p>
    <w:p>
      <w:pPr>
        <w:pStyle w:val="Heading2"/>
      </w:pPr>
      <w: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User Persona</w:t>
            </w:r>
          </w:p>
        </w:tc>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4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Current Pain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Business Analysts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Query databases without SQL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Wait 2–5 days for IT ad-hoc reports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Clinical Staff</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Real-time patient data answers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Cannot access data without EMR training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Executives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Self-service data insights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Locked behind static dashboards; no follow-up questions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Data Teams / 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Reduce ad-hoc ticket volume by 60%+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50%+ time on repetitive data pulls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Operations / Quality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Track metrics without delays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Monthly reports arrive too late</w:t>
            </w:r>
          </w:p>
        </w:tc>
      </w:tr>
    </w:tbl>
    <w:p>
      <w:pPr>
        <w:spacing w:after="40"/>
      </w:pPr>
    </w:p>
    <w:p>
      <w:pPr>
        <w:pStyle w:val="Heading2"/>
      </w:pPr>
      <w:r>
        <w:t xml:space="preserve">1.5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69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LLM-Agnostic</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Works with Claude, GPT-4, Gemini, Llama, Mistral, or any SQL-capable model. Swap providers via configuration — zero code changes. No vendor lock-in.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Multi-Strategy Retrieval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Three concurrent strategies (semantic vector search, keyword match, FK graph walk) with fusion scoring. Not naive similarity search.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Domain-Adaptive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Configurable domain awareness: healthcare abbreviation expansion (80+ terms), financial metric recognition, industry-specific intent patterns.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Schema-Aware Context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Intelligent prompt construction: DDL, join path hints, sample values, domain context — within managed token budgets.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Security-Ready Architecture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Explicit integration points for external security frameworks. Receives pre-filtered schema, outputs raw SQL. Never touches auth or RBAC.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Production-Grade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Async orchestration, connection pooling, caching, health monitoring, structured errors. Enterprise throughput.</w:t>
            </w:r>
          </w:p>
        </w:tc>
      </w:tr>
    </w:tbl>
    <w:p>
      <w:r>
        <w:br w:type="page"/>
      </w:r>
    </w:p>
    <w:p>
      <w:pPr>
        <w:pStyle w:val="Heading1"/>
      </w:pPr>
      <w:r>
        <w:t xml:space="preserve">2. Functional Requirements</w:t>
      </w:r>
    </w:p>
    <w:p>
      <w:pPr>
        <w:pStyle w:val="Heading2"/>
      </w:pPr>
      <w:r>
        <w:t xml:space="preserve">2.1 Question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0"/>
        <w:gridCol w:w="5660"/>
      </w:tblGrid>
      <w:tr>
        <w:trPr>
          <w:tblHeader/>
        </w:trPr>
        <w:tc>
          <w:tcPr>
            <w:tcW w:type="dxa" w:w="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QU-001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Natural Language Input</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Accept plain English questions. Support multi-sentence, follow-up references, implicit context.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QU-002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Intent Classification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Classify into: DATA_LOOKUP, AGGREGATION, COMPARISON, TREND, JOIN_QUERY, EXISTENCE_CHECK, DEFINITION, EXPLANATION. Rule-based — no LLM call.</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QU-003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Domain Terminology Expansion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Healthcare: 80+ terms (BP, MRN, A1C). Finance: 50+ (P&amp;L, EBITDA, AUM). Additive expansion preserving originals.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QU-004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Question Embedding</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Dense vector via sentence transformer. Append role context suffix. Expand abbreviations before embedding.</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QU-005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Ambiguity Detection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P2</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Detect ambiguous queries with multiple interpretations. Flag for clarification before generation.</w:t>
            </w:r>
          </w:p>
        </w:tc>
      </w:tr>
    </w:tbl>
    <w:p>
      <w:pPr>
        <w:spacing w:after="80"/>
      </w:pPr>
    </w:p>
    <w:p>
      <w:pPr>
        <w:pStyle w:val="Heading2"/>
      </w:pPr>
      <w:r>
        <w:t xml:space="preserve">2.2 Schema Discovery &amp;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0"/>
        <w:gridCol w:w="5660"/>
      </w:tblGrid>
      <w:tr>
        <w:trPr>
          <w:tblHeader/>
        </w:trPr>
        <w:tc>
          <w:tcPr>
            <w:tcW w:type="dxa" w:w="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SR-001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Catalog</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Structured catalog: tables, columns, types, PKs, FKs, indexes, domain tags, NL descriptions. Stored in graph database for traversal.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SR-002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Multi-Strategy Retrieval</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Three concurrent: (1) Semantic vector search (pgvector), (2) Keyword/exact match, (3) FK graph walk. Fused with dedup.</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SR-003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Domain-Aware Ranking</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Composite: semantic_similarity 0.50 + domain_affinity 0.20 + intent_match 0.15 + join_connectivity 0.10 + multi_strategy_bonus 0.05. YAML config.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SR-004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Join Path Discovery</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Discover optimal join paths via FK graph. 1-hop, 2-hop, 3-hop. Auto-include bridge/junction tables.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SR-005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Embedding Pipeline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Embed all descriptions during setup. Re-embed on schema change. Same model for questions and schema.</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SR-006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Retrieval Caching</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Cache by embedding fingerprint + role. TTL configurable (default 15min).</w:t>
            </w:r>
          </w:p>
        </w:tc>
      </w:tr>
    </w:tbl>
    <w:p>
      <w:r>
        <w:br w:type="page"/>
      </w:r>
    </w:p>
    <w:p>
      <w:pPr>
        <w:pStyle w:val="Heading2"/>
      </w:pPr>
      <w:r>
        <w:t xml:space="preserve">2.3 Context Construction &amp; Prompt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700"/>
        <w:gridCol w:w="5460"/>
      </w:tblGrid>
      <w:tr>
        <w:trPr>
          <w:tblHeader/>
        </w:trPr>
        <w:tc>
          <w:tcPr>
            <w:tcW w:type="dxa" w:w="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4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CC-001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Secure Prompt Assembly</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Construct prompt from: schema DDL (CREATE TABLE), contextual rules (NL policies, mandatory filters, join hints), user question. Formatted per target LLM instruction template.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CC-002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Token Budget Management</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Enforce token limit (default 4096). Priority: (1) rules — never truncated, (2) row filters, (3) high-ranked DDL, (4) descriptions, (5) lower tables. tiktoken counting.</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CC-003</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LLM Provider Abstraction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Common interface: send_prompt(messages, config) → response. Support: Anthropic Claude, OpenAI GPT-4, Azure OpenAI, Ollama, vLLM, TGI, any OpenAI-compatible. Swap via config.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CC-004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Context Optimiser</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Reorder by relevance. Deduplicate rules. Explicit join paths for multi-table. Add sample values to reduce hallucination.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CC-005</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Multi-Provider Fallback</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On primary failure (timeout, rate limit): auto-fallback to secondary. Configurable chain: Claude → GPT-4 → local.</w:t>
            </w:r>
          </w:p>
        </w:tc>
      </w:tr>
    </w:tbl>
    <w:p>
      <w:pPr>
        <w:spacing w:after="80"/>
      </w:pPr>
    </w:p>
    <w:p>
      <w:pPr>
        <w:pStyle w:val="Heading2"/>
      </w:pPr>
      <w:r>
        <w:t xml:space="preserve">2.4 SQL Generation &amp;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0"/>
        <w:gridCol w:w="5660"/>
      </w:tblGrid>
      <w:tr>
        <w:trPr>
          <w:tblHeader/>
        </w:trPr>
        <w:tc>
          <w:tcPr>
            <w:tcW w:type="dxa" w:w="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SG-001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SQL Generation</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Send prompt to configured LLM. Receive SQL. Pipeline does NOT validate or execute — returns raw output for security framework.</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SG-002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Response Parsing</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Extract clean SQL from response. Handle: markdown blocks, explanation text, multiple candidates, dialect syntax. Structured output: {sql, confidence, explanation}.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SG-003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Dialect Awareness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Include DB dialect in prompt (PostgreSQL, SQL Server, Oracle, MySQL). Dialect-specific syntax (TOP vs LIMIT, ISNULL vs COALESCE).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SG-004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Multi-Turn Conversation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P2</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Follow-up support via conversation context. 'Show that by month' references previous query. Context window management.</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SG-005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Confidence Scoring</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P2</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Estimate confidence from: matched tables, retrieval score, intent clarity. Low-confidence → flag for review.</w:t>
            </w:r>
          </w:p>
        </w:tc>
      </w:tr>
    </w:tbl>
    <w:p>
      <w:r>
        <w:br w:type="page"/>
      </w:r>
    </w:p>
    <w:p>
      <w:pPr>
        <w:pStyle w:val="Heading2"/>
      </w:pPr>
      <w:r>
        <w:t xml:space="preserve">2.5 Knowledge Graph &amp; Schema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0"/>
        <w:gridCol w:w="5660"/>
      </w:tblGrid>
      <w:tr>
        <w:trPr>
          <w:tblHeader/>
        </w:trPr>
        <w:tc>
          <w:tcPr>
            <w:tcW w:type="dxa" w:w="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6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KG-001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Discovery Crawler</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Read-only crawler: SQL Server, PostgreSQL, Oracle, MySQL. Extract tables, columns, types, PKs, FKs, indexes, row counts.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KG-002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Description Generator</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LLM one-time pass for NL descriptions. Expert review/correction. Used for semantic retrieval.</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KG-003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Domain Tagging</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P1</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Group tables into domains (Clinical, Billing, Pharmacy, Lab, HR). Tag cross-domain FKs. Domain affinity map.</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KG-004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Change Detection</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Detect changes on schedule. Re-embed affected descriptions. Alert on breaking changes.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KG-005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Knowledge Graph Storage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P0</w:t>
            </w:r>
          </w:p>
        </w:tc>
        <w:tc>
          <w:tcPr>
            <w:tcW w:type="dxa" w:w="5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Neo4j: catalog, FKs, domain tags, descriptions. Cypher for join path discovery.</w:t>
            </w:r>
          </w:p>
        </w:tc>
      </w:tr>
    </w:tbl>
    <w:p>
      <w:r>
        <w:br w:type="page"/>
      </w:r>
    </w:p>
    <w:p>
      <w:pPr>
        <w:pStyle w:val="Heading1"/>
      </w:pPr>
      <w:r>
        <w:t xml:space="preserve">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Latency</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End-to-end (excl. LLM inference)</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&lt;500ms P95</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Latency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retrieval (3-strategy fusion)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&lt;100ms P95</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Latency</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Prompt construction</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&lt;50ms P95</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Throughput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Concurrent pipeline requests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 (async FastAPI)</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Accuracy</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retrieval recall</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Accuracy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Intent classification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≥95%</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Availability</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Uptime</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99.5%</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Scalability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Tables per deployment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≥1,000</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Scalability</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Client onboarding</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2–3 weeks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Compatibility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LLM providers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Claude, GPT-4, Azure OpenAI, Ollama, vLLM, TGI, any OpenAI-compatible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Maintainability</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LLM provider swap</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Config change only — zero code</w:t>
            </w:r>
          </w:p>
        </w:tc>
      </w:tr>
    </w:tbl>
    <w:p>
      <w:r>
        <w:br w:type="page"/>
      </w:r>
    </w:p>
    <w:p>
      <w:pPr>
        <w:pStyle w:val="Heading1"/>
      </w:pPr>
      <w:r>
        <w:t xml:space="preserve">4.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7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Application Server</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FastAPI (Python 3.11+, async)</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Pipeline orchestration, API serving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Knowledge Graph</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Neo4j</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catalog, FKs, domains, join paths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Vector Database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pgvector on PostgreSQL</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embeddings for semantic retrieval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Embedding Model</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sentence-transformers (all-MiniLM-L6-v2)</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Question + schema embeddings. CPU only — no GPU.</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Cache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Redis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Embedding cache, retrieval cache, session context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LLM Provider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Configurable — Claude/OpenAI/Azure/local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SQL generation. Abstracted behind common interface.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Storage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S3 / Azure Blob</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snapshots, prompt logs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Cloud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AWS / Azure / GCP (HIPAA-eligible)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VPC deployment for enterprise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2"/>
              <w:left w:val="single" w:color="0F766E" w:sz="8"/>
              <w:bottom w:val="single" w:color="CBD5E1" w:sz="1"/>
              <w:right w:val="single" w:color="CBD5E1" w:sz="1"/>
            </w:tcBorders>
            <w:shd w:fill="F0FDFA" w:val="clear"/>
            <w:tcMar>
              <w:top w:type="dxa" w:w="120"/>
              <w:left w:type="dxa" w:w="200"/>
              <w:bottom w:type="dxa" w:w="120"/>
              <w:right w:type="dxa" w:w="200"/>
            </w:tcMar>
          </w:tcPr>
          <w:p>
            <w:pPr>
              <w:spacing w:after="60"/>
            </w:pPr>
            <w:r>
              <w:rPr>
                <w:rFonts w:ascii="Arial" w:cs="Arial" w:eastAsia="Arial" w:hAnsi="Arial"/>
                <w:b/>
                <w:bCs/>
                <w:color w:val="0F766E"/>
                <w:spacing w:val="60"/>
                <w:sz w:val="18"/>
                <w:szCs w:val="18"/>
              </w:rPr>
              <w:t xml:space="preserve">NO GPU REQUIRED</w:t>
            </w:r>
          </w:p>
          <w:p>
            <w:r>
              <w:rPr>
                <w:rFonts w:ascii="Arial" w:cs="Arial" w:eastAsia="Arial" w:hAnsi="Arial"/>
                <w:color w:val="1E293B"/>
                <w:sz w:val="20"/>
                <w:szCs w:val="20"/>
              </w:rPr>
              <w:t xml:space="preserve">The pipeline does not require GPU. Embeddings run on CPU. LLM inference is delegated to an external provider (cloud API or client-hosted). GPU only needed if client self-hosts an open-source model — that's their infrastructure decision, not a pipeline requirement.</w:t>
            </w:r>
          </w:p>
        </w:tc>
      </w:tr>
    </w:tbl>
    <w:p>
      <w:r>
        <w:br w:type="page"/>
      </w:r>
    </w:p>
    <w:p>
      <w:pPr>
        <w:pStyle w:val="Heading1"/>
      </w:pPr>
      <w:r>
        <w:t xml:space="preserve">5. Integration Points</w:t>
      </w:r>
    </w:p>
    <w:p>
      <w:pPr>
        <w:spacing w:after="120"/>
      </w:pPr>
      <w:r>
        <w:rPr>
          <w:rFonts w:ascii="Arial" w:cs="Arial" w:eastAsia="Arial" w:hAnsi="Arial"/>
          <w:color w:val="475569"/>
          <w:sz w:val="22"/>
          <w:szCs w:val="22"/>
        </w:rPr>
        <w:t xml:space="preserve">Designed to be wrapped by QueryVault. Clear API contracts maintain independence.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57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Filtered Schema Input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 ← QueryVault</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Receives pre-filtered schema (policy-permitted tables/columns only). Pipeline never queries full catalog directly.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Contextual Rules Input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 ← QueryVault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NL policy rules + mandatory WHERE filters from Policy Resolution. Injected into LLM prompt.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Raw SQL Output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OUT → QueryVault</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Raw generated SQL for 3-gate validation. Pipeline NEVER executes SQL directly.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Tenant Context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 ← QueryVault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tenant_id for multi-tenant routing and provider selection.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Health &amp; Metrics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OUT → Monitoring</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Retrieval latency, LLM latency, token count, cache hit rate, errors. Prometheus-compatible.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2"/>
              <w:left w:val="single" w:color="0F766E" w:sz="8"/>
              <w:bottom w:val="single" w:color="CBD5E1" w:sz="1"/>
              <w:right w:val="single" w:color="CBD5E1" w:sz="1"/>
            </w:tcBorders>
            <w:shd w:fill="F0FDFA" w:val="clear"/>
            <w:tcMar>
              <w:top w:type="dxa" w:w="120"/>
              <w:left w:type="dxa" w:w="200"/>
              <w:bottom w:type="dxa" w:w="120"/>
              <w:right w:type="dxa" w:w="200"/>
            </w:tcMar>
          </w:tcPr>
          <w:p>
            <w:pPr>
              <w:spacing w:after="60"/>
            </w:pPr>
            <w:r>
              <w:rPr>
                <w:rFonts w:ascii="Arial" w:cs="Arial" w:eastAsia="Arial" w:hAnsi="Arial"/>
                <w:b/>
                <w:bCs/>
                <w:color w:val="0F766E"/>
                <w:spacing w:val="60"/>
                <w:sz w:val="18"/>
                <w:szCs w:val="18"/>
              </w:rPr>
              <w:t xml:space="preserve">SEPARATION OF CONCERNS</w:t>
            </w:r>
          </w:p>
          <w:p>
            <w:r>
              <w:rPr>
                <w:rFonts w:ascii="Arial" w:cs="Arial" w:eastAsia="Arial" w:hAnsi="Arial"/>
                <w:color w:val="1E293B"/>
                <w:sz w:val="20"/>
                <w:szCs w:val="20"/>
              </w:rPr>
              <w:t xml:space="preserve">The pipeline does NOT perform authentication, authorisation, schema filtering, SQL validation, query execution, result sanitization, or audit logging. Those are QueryVault's responsibility. The pipeline receives pre-filtered input and returns raw output. Security is not its job.</w:t>
            </w:r>
          </w:p>
        </w:tc>
      </w:tr>
    </w:tbl>
    <w:p>
      <w:r>
        <w:br w:type="page"/>
      </w:r>
    </w:p>
    <w:p>
      <w:pPr>
        <w:pStyle w:val="Heading1"/>
      </w:pPr>
      <w:r>
        <w:t xml:space="preserve">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MVP Target</w:t>
            </w:r>
          </w:p>
        </w:tc>
        <w:tc>
          <w:tcPr>
            <w:tcW w:type="dxa" w:w="1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c>
          <w:tcPr>
            <w:tcW w:type="dxa" w:w="43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Schema Retrieval Recall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≥85%</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≥92%</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 correct tables in top-10 candidates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Intent Classification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≥96%</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 correct on labelled test set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Pipeline Latency (excl. LLM)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&lt;300ms P95</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&lt;150ms P95</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Question to assembled prompt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LLM Provider Swap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Config-only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Config-only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Zero code changes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Client Onboarding</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3 weeks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 weeks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access to operational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Ad-Hoc Ticket Reduction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40%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60%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IT data request ticket reduction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Tables Supported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≥200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≥1,000</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Per deployment</w:t>
            </w:r>
          </w:p>
        </w:tc>
      </w:tr>
    </w:tbl>
    <w:p>
      <w:r>
        <w:br w:type="page"/>
      </w:r>
    </w:p>
    <w:p>
      <w:pPr>
        <w:pStyle w:val="Heading1"/>
      </w:pPr>
      <w:r>
        <w:t xml:space="preserve">7.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Phase 1: Schema Foundation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 weeks</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crawler (SQL Server, PG, Oracle, MySQL). Description generator. Neo4j setup. Domain tagging.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Phase 2: Retrieval Engine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3 weeks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Embedding pipeline (pgvector). Semantic + keyword + FK walk. Fusion scoring. Caching.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Phase 3: Intent &amp; Context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 weeks</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Intent classifier. Terminology expansion. Prompt assembly. Token budget.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Phase 4: LLM Integration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 weeks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Provider abstraction. Claude + OpenAI + local. Response parser. Fallback. Streaming.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Phase 5: QueryVault Integration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 weeks</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API contracts. Filtered schema handling. Raw SQL output. Tenant routing.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Phase 6: Production Hardening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2 weeks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Load testing. Connection pooling. Health monitoring. Structured errors. Metrics.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Phase 7: Pilot Deployment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3 weeks</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First client. Schema onboarding. Retrieval tuning. User acceptance.</w:t>
            </w:r>
          </w:p>
        </w:tc>
      </w:tr>
    </w:tbl>
    <w:p>
      <w:pPr>
        <w:spacing w:after="80"/>
      </w:pPr>
    </w:p>
    <w:p>
      <w:pPr>
        <w:spacing w:after="100"/>
      </w:pPr>
      <w:r>
        <w:rPr>
          <w:rFonts w:ascii="Arial" w:cs="Arial" w:eastAsia="Arial" w:hAnsi="Arial"/>
          <w:b/>
          <w:bCs/>
          <w:color w:val="1E293B"/>
          <w:sz w:val="22"/>
          <w:szCs w:val="22"/>
        </w:rPr>
        <w:t xml:space="preserve">Total: </w:t>
      </w:r>
      <w:r>
        <w:rPr>
          <w:rFonts w:ascii="Arial" w:cs="Arial" w:eastAsia="Arial" w:hAnsi="Arial"/>
          <w:color w:val="475569"/>
          <w:sz w:val="22"/>
          <w:szCs w:val="22"/>
        </w:rPr>
        <w:t xml:space="preserve">~16 weeks (4 months) to pilot deployment.</w:t>
      </w:r>
    </w:p>
    <w:p>
      <w:r>
        <w:br w:type="page"/>
      </w:r>
    </w:p>
    <w:p>
      <w:pPr>
        <w:pStyle w:val="Heading1"/>
      </w:pPr>
      <w:r>
        <w:t xml:space="preserve">8.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62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2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Backend Engineer (Senior)</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Pipeline architecture, FastAPI, async orchestration, LLM abstraction, API contracts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ML / NLP Engineer</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Embedding pipeline, semantic retrieval, intent classifier, fusion scoring, terminology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Data Engineer</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Schema crawler, Knowledge Graph (Neo4j), description generation, schema change detection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Domain Expert (part-time)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1</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Description review, terminology validation, retrieval accuracy, business logic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DevOps (shared)</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0.5</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Cloud infra, CI/CD, monitoring, deployment</w:t>
            </w:r>
          </w:p>
        </w:tc>
      </w:tr>
    </w:tbl>
    <w:p>
      <w:r>
        <w:br w:type="page"/>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900"/>
        <w:gridCol w:w="4860"/>
      </w:tblGrid>
      <w:tr>
        <w:trPr>
          <w:tblHeader/>
        </w:trPr>
        <w:tc>
          <w:tcPr>
            <w:tcW w:type="dxa" w:w="26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8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LLM generates inaccurate SQL</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High</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Pipeline outputs raw SQL; QueryVault validates. Multi-strategy retrieval ensures correct tables. Context optimiser includes join hints.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LLM provider outage/rate limit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Multi-provider fallback chain. Health checks. Configurable retry with exponential backoff.</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Schema too large for context window</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Token budget manager. Low-relevance tables dropped. Rules never truncated.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Retrieval fails to find correct tables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High</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Three-strategy fusion. FK graph walk discovers related tables. Domain tagging boosts accuracy.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Client schema complexity</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Low</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Supports 1,000+ tables. Domain tagging reduces search space. Configurable weights.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LLM vendor pricing changes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Low</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475569"/>
                <w:sz w:val="20"/>
                <w:szCs w:val="20"/>
              </w:rPr>
              <w:t xml:space="preserve">LLM-agnostic. Swap via config. No code changes.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jc w:val="right"/>
    </w:pPr>
    <w:r>
      <w:rPr>
        <w:rFonts w:ascii="Arial" w:cs="Arial" w:eastAsia="Arial" w:hAnsi="Arial"/>
        <w:color w:val="475569"/>
        <w:sz w:val="14"/>
        <w:szCs w:val="14"/>
      </w:rPr>
      <w:t xml:space="preserve">Xendex AI × CogniVault AI  |  Page </w:t>
    </w:r>
    <w:r>
      <w:rPr>
        <w:rFonts w:ascii="Arial" w:cs="Arial" w:eastAsia="Arial" w:hAnsi="Arial"/>
        <w:color w:val="47556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6"/>
      </w:pBdr>
    </w:pPr>
    <w:r>
      <w:rPr>
        <w:rFonts w:ascii="Arial" w:cs="Arial" w:eastAsia="Arial" w:hAnsi="Arial"/>
        <w:b/>
        <w:bCs/>
        <w:color w:val="0F766E"/>
        <w:sz w:val="16"/>
        <w:szCs w:val="16"/>
      </w:rPr>
      <w:t xml:space="preserve">NL-to-SQL Pipeline Engine (XenSQL)</w:t>
    </w:r>
    <w:r>
      <w:rPr>
        <w:rFonts w:ascii="Arial" w:cs="Arial" w:eastAsia="Arial" w:hAnsi="Arial"/>
        <w:color w:val="475569"/>
        <w:sz w:val="16"/>
        <w:szCs w:val="16"/>
      </w:rPr>
      <w:t xml:space="preserve">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2026-03-20T11:24:03.248Z</dcterms:created>
  <dcterms:modified xsi:type="dcterms:W3CDTF">2026-03-20T11:24:03.249Z</dcterms:modified>
</cp:coreProperties>
</file>

<file path=docProps/custom.xml><?xml version="1.0" encoding="utf-8"?>
<Properties xmlns="http://schemas.openxmlformats.org/officeDocument/2006/custom-properties" xmlns:vt="http://schemas.openxmlformats.org/officeDocument/2006/docPropsVTypes"/>
</file>