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DC2626"/>
          <w:spacing w:val="200"/>
          <w:sz w:val="22"/>
          <w:szCs w:val="22"/>
        </w:rPr>
        <w:t xml:space="preserve">PRODUCT REQUIREMENTS DOCUMENT</w:t>
      </w:r>
    </w:p>
    <w:p>
      <w:pPr>
        <w:spacing w:after="80"/>
      </w:pPr>
    </w:p>
    <w:p>
      <w:pPr>
        <w:spacing w:after="160"/>
        <w:jc w:val="center"/>
      </w:pPr>
      <w:r>
        <w:rPr>
          <w:rFonts w:ascii="Arial" w:cs="Arial" w:eastAsia="Arial" w:hAnsi="Arial"/>
          <w:b/>
          <w:bCs/>
          <w:color w:val="1E293B"/>
          <w:sz w:val="56"/>
          <w:szCs w:val="56"/>
        </w:rPr>
        <w:t xml:space="preserve">QueryVault</w:t>
      </w:r>
    </w:p>
    <w:p>
      <w:pPr>
        <w:spacing w:after="80"/>
        <w:jc w:val="center"/>
      </w:pPr>
      <w:r>
        <w:rPr>
          <w:rFonts w:ascii="Arial" w:cs="Arial" w:eastAsia="Arial" w:hAnsi="Arial"/>
          <w:b/>
          <w:bCs/>
          <w:color w:val="DC2626"/>
          <w:sz w:val="28"/>
          <w:szCs w:val="28"/>
        </w:rPr>
        <w:t xml:space="preserve">AI Security Framework for NL-to-SQL Pipelines</w:t>
      </w:r>
    </w:p>
    <w:p>
      <w:pPr>
        <w:spacing w:after="300"/>
        <w:jc w:val="center"/>
      </w:pPr>
      <w:r>
        <w:rPr>
          <w:rFonts w:ascii="Arial" w:cs="Arial" w:eastAsia="Arial" w:hAnsi="Arial"/>
          <w:color w:val="475569"/>
          <w:sz w:val="22"/>
          <w:szCs w:val="22"/>
        </w:rPr>
        <w:t xml:space="preserve">Adaptive Query Defense  •  SQL Accuracy Guard  •  Compliance Engine  •  Zero Trust RBAC</w:t>
      </w:r>
    </w:p>
    <w:p>
      <w:pPr>
        <w:spacing w:after="1400"/>
      </w:pPr>
    </w:p>
    <w:p>
      <w:pPr>
        <w:pBdr>
          <w:top w:val="single" w:color="DC2626" w:sz="6" w:space="12"/>
        </w:pBdr>
        <w:spacing w:before="200"/>
        <w:jc w:val="center"/>
      </w:pPr>
      <w:r>
        <w:rPr>
          <w:rFonts w:ascii="Arial" w:cs="Arial" w:eastAsia="Arial" w:hAnsi="Arial"/>
          <w:color w:val="475569"/>
          <w:sz w:val="20"/>
          <w:szCs w:val="20"/>
        </w:rPr>
        <w:t xml:space="preserve">Xendex AI × CogniVault AI  |  March 2026  |  v1.0</w:t>
      </w:r>
    </w:p>
    <w:p>
      <w:r>
        <w:br w:type="page"/>
      </w:r>
    </w:p>
    <w:p>
      <w:pPr>
        <w:pStyle w:val="Heading1"/>
      </w:pPr>
      <w:r>
        <w:t xml:space="preserve">1. Product Overview</w:t>
      </w:r>
    </w:p>
    <w:p>
      <w:pPr>
        <w:pStyle w:val="Heading2"/>
      </w:pPr>
      <w:r>
        <w:t xml:space="preserve">1.1 Product Name</w:t>
      </w:r>
    </w:p>
    <w:p>
      <w:pPr>
        <w:spacing w:after="120"/>
      </w:pPr>
      <w:r>
        <w:rPr>
          <w:rFonts w:ascii="Arial" w:cs="Arial" w:eastAsia="Arial" w:hAnsi="Arial"/>
          <w:color w:val="475569"/>
          <w:sz w:val="22"/>
          <w:szCs w:val="22"/>
        </w:rPr>
        <w:t xml:space="preserve">QueryVault — AI Security Framework for NL-to-SQL Pipelines</w:t>
      </w:r>
    </w:p>
    <w:p>
      <w:pPr>
        <w:spacing w:after="40"/>
      </w:pPr>
    </w:p>
    <w:p>
      <w:pPr>
        <w:pStyle w:val="Heading2"/>
      </w:pPr>
      <w:r>
        <w:t xml:space="preserve">1.2 Product Vision</w:t>
      </w:r>
    </w:p>
    <w:p>
      <w:pPr>
        <w:spacing w:after="120"/>
      </w:pPr>
      <w:r>
        <w:rPr>
          <w:rFonts w:ascii="Arial" w:cs="Arial" w:eastAsia="Arial" w:hAnsi="Arial"/>
          <w:color w:val="475569"/>
          <w:sz w:val="22"/>
          <w:szCs w:val="22"/>
        </w:rPr>
        <w:t xml:space="preserve">QueryVault is not an NL-to-SQL engine. It is a security framework that wraps around any NL-to-SQL pipeline and secures it. It intercepts threats in real time, validates every AI-generated SQL query through programmatic gates, enforces role-based access control at the column level, and maintains continuous compliance audit trails.</w:t>
      </w:r>
    </w:p>
    <w:p>
      <w:pPr>
        <w:spacing w:after="120"/>
      </w:pPr>
      <w:r>
        <w:rPr>
          <w:rFonts w:ascii="Arial" w:cs="Arial" w:eastAsia="Arial" w:hAnsi="Arial"/>
          <w:color w:val="475569"/>
          <w:sz w:val="22"/>
          <w:szCs w:val="22"/>
        </w:rPr>
        <w:t xml:space="preserve">The NL-to-SQL pipeline does the functional work. QueryVault ensures that work happens safely: the right users see the right data, the AI never accesses what it shouldn't, and every action is logged and auditable.</w:t>
      </w:r>
    </w:p>
    <w:p>
      <w:pPr>
        <w:spacing w:after="40"/>
      </w:pPr>
    </w:p>
    <w:p>
      <w:pPr>
        <w:pStyle w:val="Heading2"/>
      </w:pPr>
      <w:r>
        <w:t xml:space="preserve">1.3 Product Category</w:t>
      </w:r>
    </w:p>
    <w:p>
      <w:pPr>
        <w:spacing w:after="120"/>
      </w:pPr>
      <w:r>
        <w:rPr>
          <w:rFonts w:ascii="Arial" w:cs="Arial" w:eastAsia="Arial" w:hAnsi="Arial"/>
          <w:color w:val="475569"/>
          <w:sz w:val="22"/>
          <w:szCs w:val="22"/>
        </w:rPr>
        <w:t xml:space="preserve">AI Security &amp; Governance — Runtime Protection for AI-Powered Data Access</w:t>
      </w:r>
    </w:p>
    <w:p>
      <w:pPr>
        <w:spacing w:after="40"/>
      </w:pPr>
    </w:p>
    <w:p>
      <w:pPr>
        <w:pStyle w:val="Heading2"/>
      </w:pPr>
      <w:r>
        <w:t xml:space="preserve">1.4 Product Positioning</w:t>
      </w:r>
    </w:p>
    <w:p>
      <w:pPr>
        <w:spacing w:after="120"/>
      </w:pPr>
      <w:r>
        <w:rPr>
          <w:rFonts w:ascii="Arial" w:cs="Arial" w:eastAsia="Arial" w:hAnsi="Arial"/>
          <w:color w:val="475569"/>
          <w:sz w:val="22"/>
          <w:szCs w:val="22"/>
        </w:rPr>
        <w:t xml:space="preserve">QueryVault applies the AISTF-C (AI Security Trust Framework) model to the NL-to-SQL use case. Three AISTF-C pillars — Adaptive Runtime Defense, Hallucination/Accuracy Guard, and Compliance Reporting — map directly to QueryVault's three core defense modules.</w:t>
      </w:r>
    </w:p>
    <w:p>
      <w:pPr>
        <w:spacing w:after="40"/>
      </w:pPr>
    </w:p>
    <w:p>
      <w:pPr>
        <w:pStyle w:val="Heading2"/>
      </w:pPr>
      <w:r>
        <w:t xml:space="preserve">1.5 Target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Buyer Persona</w:t>
            </w:r>
          </w:p>
        </w:tc>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41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QueryVault Value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CISO / Security Leader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AI systems accessing databases are ungoverned. No visibility.</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Full audit trail. Real-time threat blocking. Prompt injection defense. Behavioral anomaly detection.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Chief Compliance Officer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HIPAA/SOX/GDPR audits for AI data access are manual and incomplete.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One-click compliance reports mapping 7 frameworks. Immutable audit logs. Full lifecycle context.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CTO / VP Engineering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No column-level control over what AI accesses. DB RBAC doesn't extend to AI.</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Column-level RBAC at the AI layer: VISIBLE/MASKED/HIDDEN/COMPUTED per role per column. Deny-by-default.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Data Governance Lead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Compliance team blocks AI adoption due to unquantified risk.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QueryVault is why compliance says yes. Security wraps AI — doesn't replace it. Enables safe adoption.</w:t>
            </w:r>
          </w:p>
        </w:tc>
      </w:tr>
    </w:tbl>
    <w:p>
      <w:r>
        <w:br w:type="page"/>
      </w:r>
    </w:p>
    <w:p>
      <w:pPr>
        <w:pStyle w:val="Heading2"/>
      </w:pPr>
      <w:r>
        <w:t xml:space="preserve">1.6 Three Core Defense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tcW w:type="dxa" w:w="2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AISTF-C Pillar</w:t>
            </w:r>
          </w:p>
        </w:tc>
        <w:tc>
          <w:tcPr>
            <w:tcW w:type="dxa" w:w="3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WOW Factor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Adaptive Query Defense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Adaptive Runtime Defense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Real-time threat interception: prompt injection, schema probing, behavioral fingerprinting, SQL injection prevention. Instant alerts via dashboard/Slack/email/webhook.</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Live demo: prompt injection blocked in &lt;50ms, visible in dashboard, Slack alert fires.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SQL Accuracy Guard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Hallucination &amp; Bias Guard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Three independent validation gates verify every SQL query programmatically. Hallucinated tables caught. Policy violations blocked. No AI judgment — pure code.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Demo: LLM references unauthorized table — caught, blocked, logged in &lt;100ms.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Compliance &amp; Audit Engine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Compliance Snapshot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Immutable audit trail. One-click reports mapping HIPAA, SOX, GDPR, EU AI Act, ISO 42001. Anomaly detection. Real-time violation dashboard.</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Demo: one-click compliance report with per-control pass/fail — under 3 seconds.</w:t>
            </w:r>
          </w:p>
        </w:tc>
      </w:tr>
    </w:tbl>
    <w:p>
      <w:r>
        <w:br w:type="page"/>
      </w:r>
    </w:p>
    <w:p>
      <w:pPr>
        <w:pStyle w:val="Heading1"/>
      </w:pPr>
      <w:r>
        <w:t xml:space="preserve">2. Functional Requirements</w:t>
      </w:r>
    </w:p>
    <w:p>
      <w:pPr>
        <w:pStyle w:val="Heading2"/>
      </w:pPr>
      <w:r>
        <w:t xml:space="preserve">2.1 Module 1: Adaptive Query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700"/>
        <w:gridCol w:w="5360"/>
      </w:tblGrid>
      <w:tr>
        <w:trPr>
          <w:tblHeader/>
        </w:trPr>
        <w:tc>
          <w:tcPr>
            <w:tcW w:type="dxa" w:w="9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AQD-001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Prompt Injection Detection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Block direct, indirect, encoded, multi-turn injection chains. Pattern matching + behavioral analysis. 200+ pattern library.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AQD-002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Probing Defense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Block table/column enumeration, information_schema access, metadata extraction. Zero signal returned.</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AQD-003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Behavioral Fingerprinting</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Per-role baselines: tables, frequency, time, result sizes. Flag: first-time sensitive access, volume spikes, off-hours, repeated denials.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AQD-004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SQL Injection Prevention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Post-LLM AST analysis: UNION, tautologies, stacked queries, comment bypasses, dynamic SQL, system tables. Block before execution.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AQD-005</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Real-Time Alert Engine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Dashboard, email, Slack, webhook, PagerDuty. Configurable severity. Full attack context per alert.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AQD-006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Threat Classification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Classify by type (injection, probing, escalation, exfiltration) and severity (CRITICAL/HIGH/MEDIUM/LOW).</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AQD-007</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Attack Pattern Library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200+ patterns. Versioned, extensible. Updated per deployment findings.</w:t>
            </w:r>
          </w:p>
        </w:tc>
      </w:tr>
    </w:tbl>
    <w:p>
      <w:r>
        <w:br w:type="page"/>
      </w:r>
    </w:p>
    <w:p>
      <w:pPr>
        <w:pStyle w:val="Heading2"/>
      </w:pPr>
      <w:r>
        <w:t xml:space="preserve">2.2 Module 2: SQL Accuracy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700"/>
        <w:gridCol w:w="5360"/>
      </w:tblGrid>
      <w:tr>
        <w:trPr>
          <w:tblHeader/>
        </w:trPr>
        <w:tc>
          <w:tcPr>
            <w:tcW w:type="dxa" w:w="9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SAG-001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Gate 1: Structural Validation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SQL AST parsing. Validate every table/column/join against Permission Envelope. Block unauthorized references.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SAG-002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Gate 2: Data Classification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Column-level sensitivity check. Block exceeding clearance. Masking rewrites: PARTIAL name, YEAR_ONLY DOB, HASH SSN.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SAG-003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Gate 3: Behavioral Safety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Block writes, system tables, UNION bypass, stacked queries, missing LIMIT. Auto-inject LIMIT per policy.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SAG-004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Query Rewriter</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Transparent masking/limit rewriting when gates pass but transformations needed. Invisible to user.</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SAG-005</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Hallucination Detector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Map every SQL identifier to schema context. Unresolved references = block. Target: 100% catch rate.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SAG-006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Independent Gates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All 3 run independently. No short-circuit. Any failure = blocked. Parallel execution for performance.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SAG-007</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Violation Reporting</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Structured report: which gate, which table/column/pattern, which policy violated. Stored in audit trail.</w:t>
            </w:r>
          </w:p>
        </w:tc>
      </w:tr>
    </w:tbl>
    <w:p>
      <w:r>
        <w:br w:type="page"/>
      </w:r>
    </w:p>
    <w:p>
      <w:pPr>
        <w:pStyle w:val="Heading2"/>
      </w:pPr>
      <w:r>
        <w:t xml:space="preserve">2.3 Module 3: Compliance &amp; Audit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700"/>
        <w:gridCol w:w="5360"/>
      </w:tblGrid>
      <w:tr>
        <w:trPr>
          <w:tblHeader/>
        </w:trPr>
        <w:tc>
          <w:tcPr>
            <w:tcW w:type="dxa" w:w="9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CAE-001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Immutable Audit Trail</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Append-only: request_id, user, roles, question, tables, policies, SQL, validation result per gate, execution status, rows, latency, threats. Full lifecycle.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CAE-002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One-Click Compliance Report</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&lt;3 seconds. PDF. Map against: HIPAA Privacy, HIPAA Security, 42 CFR Part 2, SOX, GDPR, EU AI Act, ISO 42001. Per-control pass/fail + evidence + remediation.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CAE-003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Violation Dashboard</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Real-time: blocks, violations by user/role/dept/time, most-denied tables, trends. Drill-down to query trace.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CAE-004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Anomaly Detection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15+ pattern types: first-time domain, volume spikes, off-hours, repeated denials, escalation, large extraction.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CAE-005</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Regulatory Change Tracker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P2</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Map regulation changes to policy impact. Gap analysis. Targeted action list for compliance officers.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CAE-006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Alert &amp; Escalation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Slack/email/webhook/PagerDuty. Configurable escalation paths. Manual intervention workflow.</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CAE-007</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Retention Management</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Configurable: 6yr HIPAA, 7yr SOX, custom. Auto-archive/purge. Legal hold export.</w:t>
            </w:r>
          </w:p>
        </w:tc>
      </w:tr>
    </w:tbl>
    <w:p>
      <w:r>
        <w:br w:type="page"/>
      </w:r>
    </w:p>
    <w:p>
      <w:pPr>
        <w:pStyle w:val="Heading2"/>
      </w:pPr>
      <w:r>
        <w:t xml:space="preserve">2.4 RBAC &amp; Zero Trust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700"/>
        <w:gridCol w:w="5460"/>
      </w:tblGrid>
      <w:tr>
        <w:trPr>
          <w:tblHeader/>
        </w:trPr>
        <w:tc>
          <w:tcPr>
            <w:tcW w:type="dxa" w:w="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4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SecurityContext</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HMAC-signed: user_id, effective_roles[], department, unit_id, facility_id, provider_id, clearance (1–5), session_id, expiry. Missing/expired = 401.</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Role Hierarchy</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Walk inheritance graph. Compute effective_roles[]. Fresh per request — never cached from previous session.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Domain Pre-Filter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Remove tables outside user's accessible domains before policy resolution or LLM context.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Column-Level Scoping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Per table × role: VISIBLE / MASKED / HIDDEN / COMPUTED. PII defaults to HIDDEN.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ZT-005</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Row-Level Filtering</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Mandatory WHERE injection: provider_id, department_id, facility_id. Enforced at prompt AND validation levels.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Deny by Default</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No policy = no access. No permissive fallback.</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ZT-007</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Sensitivity-5 Seal</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42 CFR Part 2 tables permanently excluded. No exceptions. Break-the-glass does not override.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ZT-008</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Cross-Domain Join Restriction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Policy-controlled: Clinical ↔ HR blocked even if both tables individually allowed.</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ZT-009</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Break-the-Glass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Emergency 4-hour elevated access. Mandatory reason. Immediate compliance notification. 24hr justification. 42 CFR remains blocked.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ZT-010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Fail-Secure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Any failure: structured error. Never permissive fallback. Never expose schema.</w:t>
            </w:r>
          </w:p>
        </w:tc>
      </w:tr>
    </w:tbl>
    <w:p>
      <w:r>
        <w:br w:type="page"/>
      </w:r>
    </w:p>
    <w:p>
      <w:pPr>
        <w:pStyle w:val="Heading1"/>
      </w:pPr>
      <w:r>
        <w:t xml:space="preserve">3. Security Wrapping Architecture</w:t>
      </w:r>
    </w:p>
    <w:p>
      <w:pPr>
        <w:spacing w:after="120"/>
      </w:pPr>
      <w:r>
        <w:rPr>
          <w:rFonts w:ascii="Arial" w:cs="Arial" w:eastAsia="Arial" w:hAnsi="Arial"/>
          <w:color w:val="475569"/>
          <w:sz w:val="22"/>
          <w:szCs w:val="22"/>
        </w:rPr>
        <w:t xml:space="preserve">QueryVault wraps the NL-to-SQL pipeline at 5 independent security zones. The inner pipeline is pluggable — swap the LLM, change retrieval, modify the database — the security envelope stays constant.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360"/>
        <w:gridCol w:w="3200"/>
      </w:tblGrid>
      <w:tr>
        <w:trPr>
          <w:tblHeader/>
        </w:trPr>
        <w:tc>
          <w:tcPr>
            <w:tcW w:type="dxa" w:w="14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4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3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What It Enforces</w:t>
            </w:r>
          </w:p>
        </w:tc>
        <w:tc>
          <w:tcPr>
            <w:tcW w:type="dxa" w:w="3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RBAC Question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PRE-MODEL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Before LLM sees anything</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Identity auth, prompt sanitization, domain filter, column scoping, policy resolution, Permission Envelope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WHO? WHAT can they see? WHICH columns?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MODEL BOUNDARY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At LLM invocation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Context minimization (filtered DDL only), NL policy rules injection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WHAT CONTEXT does the model get?</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POST-MODEL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After LLM output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3-gate validation, query rewriting, hallucination detection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Is the SQL SAFE and COMPLIANT?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EXECUTION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At DB query time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Read-only connections, row limits, timeouts, result sanitization, row-level WHERE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WHICH ROWS can they see?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CONTINUOUS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Every request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Immutable audit, anomaly detection, compliance reporting, alerting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WHO did WHAT, WHEN?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8"/>
              <w:bottom w:val="single" w:color="CBD5E1" w:sz="1"/>
              <w:right w:val="single" w:color="CBD5E1" w:sz="1"/>
            </w:tcBorders>
            <w:shd w:fill="F0FDFA" w:val="clear"/>
            <w:tcMar>
              <w:top w:type="dxa" w:w="120"/>
              <w:left w:type="dxa" w:w="200"/>
              <w:bottom w:type="dxa" w:w="120"/>
              <w:right w:type="dxa" w:w="200"/>
            </w:tcMar>
          </w:tcPr>
          <w:p>
            <w:pPr>
              <w:spacing w:after="60"/>
            </w:pPr>
            <w:r>
              <w:rPr>
                <w:rFonts w:ascii="Arial" w:cs="Arial" w:eastAsia="Arial" w:hAnsi="Arial"/>
                <w:b/>
                <w:bCs/>
                <w:color w:val="DC2626"/>
                <w:spacing w:val="60"/>
                <w:sz w:val="18"/>
                <w:szCs w:val="18"/>
              </w:rPr>
              <w:t xml:space="preserve">WRAPPING PRINCIPLE</w:t>
            </w:r>
          </w:p>
          <w:p>
            <w:r>
              <w:rPr>
                <w:rFonts w:ascii="Arial" w:cs="Arial" w:eastAsia="Arial" w:hAnsi="Arial"/>
                <w:color w:val="1E293B"/>
                <w:sz w:val="20"/>
                <w:szCs w:val="20"/>
              </w:rPr>
              <w:t xml:space="preserve">The pipeline does the functional work. QueryVault wraps every stage with security carrying RBAC context. The pipeline is pluggable. The security is constant. Swap the LLM, change retrieval, replace the database — security stays.</w:t>
            </w:r>
          </w:p>
        </w:tc>
      </w:tr>
    </w:tbl>
    <w:p>
      <w:r>
        <w:br w:type="page"/>
      </w:r>
    </w:p>
    <w:p>
      <w:pPr>
        <w:pStyle w:val="Heading1"/>
      </w:pPr>
      <w: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Latency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Prompt injection detection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&lt;50ms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Latency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3-gate validation (parallel)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&lt;30ms total</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Latency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Total security overhead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&lt;80ms per query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Accuracy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Injection block rate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≥99.7%</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Accuracy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False positive rate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&lt;0.5%</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Accuracy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Hallucination catch rate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Accuracy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Policy violation detection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Compliance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Audit completeness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Compliance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Report generation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&lt;3 seconds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Compliance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Frameworks mapped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7</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Availability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Uptime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99.9%</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Scalability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Attack patterns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200+</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Scalability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Anomaly pattern types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15+</w:t>
            </w:r>
          </w:p>
        </w:tc>
      </w:tr>
    </w:tbl>
    <w:p>
      <w:r>
        <w:br w:type="page"/>
      </w:r>
    </w:p>
    <w:p>
      <w:pPr>
        <w:pStyle w:val="Heading1"/>
      </w:pPr>
      <w:r>
        <w:t xml:space="preserve">5. Integration with NL-to-SQL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Filtered Schema</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OUT → Pipeline</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QueryVault filters schema via RBAC, sends only permitted tables/columns to pipeline.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Contextual Rules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OUT → Pipeline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NL policy rules + mandatory WHERE filters sent for LLM prompt inclusion.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Raw SQL Input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 ← Pipeline</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Receives raw SQL for 3-gate validation. Pipeline never executes directly.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Execution Control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OUT → Database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After validation: read-only execution with row limits + result sanitization.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Feedback Signals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OUT → Pipeline</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Validation/execution outcomes for accuracy tracking.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Tenant Context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OUT → Pipeline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tenant_id for multi-tenant routing.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8"/>
              <w:bottom w:val="single" w:color="CBD5E1" w:sz="1"/>
              <w:right w:val="single" w:color="CBD5E1" w:sz="1"/>
            </w:tcBorders>
            <w:shd w:fill="F0FDFA" w:val="clear"/>
            <w:tcMar>
              <w:top w:type="dxa" w:w="120"/>
              <w:left w:type="dxa" w:w="200"/>
              <w:bottom w:type="dxa" w:w="120"/>
              <w:right w:type="dxa" w:w="200"/>
            </w:tcMar>
          </w:tcPr>
          <w:p>
            <w:pPr>
              <w:spacing w:after="60"/>
            </w:pPr>
            <w:r>
              <w:rPr>
                <w:rFonts w:ascii="Arial" w:cs="Arial" w:eastAsia="Arial" w:hAnsi="Arial"/>
                <w:b/>
                <w:bCs/>
                <w:color w:val="DC2626"/>
                <w:spacing w:val="60"/>
                <w:sz w:val="18"/>
                <w:szCs w:val="18"/>
              </w:rPr>
              <w:t xml:space="preserve">PRODUCT INDEPENDENCE</w:t>
            </w:r>
          </w:p>
          <w:p>
            <w:r>
              <w:rPr>
                <w:rFonts w:ascii="Arial" w:cs="Arial" w:eastAsia="Arial" w:hAnsi="Arial"/>
                <w:color w:val="1E293B"/>
                <w:sz w:val="20"/>
                <w:szCs w:val="20"/>
              </w:rPr>
              <w:t xml:space="preserve">QueryVault and XenSQL are independent products with clear API boundaries. Pipeline generates SQL. QueryVault decides if it's safe. Either can be upgraded, replaced, or scaled independently. QueryVault can wrap any NL-to-SQL pipeline. The pipeline can work with any security framework.</w:t>
            </w:r>
          </w:p>
        </w:tc>
      </w:tr>
    </w:tbl>
    <w:p>
      <w:r>
        <w:br w:type="page"/>
      </w:r>
    </w:p>
    <w:p>
      <w:pPr>
        <w:pStyle w:val="Heading1"/>
      </w:pPr>
      <w:r>
        <w:t xml:space="preserve">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1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6-Month</w:t>
            </w:r>
          </w:p>
        </w:tc>
        <w:tc>
          <w:tcPr>
            <w:tcW w:type="dxa" w:w="4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Threat Block Rate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≥99%</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≥99.7%</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 adversarial inputs blocked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Policy Enforcement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 queries validated against Permission Envelope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Audit Completeness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 requests with full lifecycle log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Compliance Report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&lt;5s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&lt;3s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Generation time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Security Overhead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&lt;100ms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&lt;80ms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Added latency per query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False Positive Rate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&lt;0.5%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Legitimate queries blocked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Time to Alert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&lt;5s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&lt;2s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Detection to delivery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Frameworks Mapped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7</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HIPAA/SOX/42CFR/GDPR → +EU AI Act/ISO 42001/FedRAMP</w:t>
            </w:r>
          </w:p>
        </w:tc>
      </w:tr>
    </w:tbl>
    <w:p>
      <w:r>
        <w:br w:type="page"/>
      </w:r>
    </w:p>
    <w:p>
      <w:pPr>
        <w:pStyle w:val="Heading1"/>
      </w:pPr>
      <w:r>
        <w:t xml:space="preserve">7. Roadmap — 8 Sprint Plan</w:t>
      </w:r>
    </w:p>
    <w:p>
      <w:pPr>
        <w:spacing w:after="120"/>
      </w:pPr>
      <w:r>
        <w:rPr>
          <w:rFonts w:ascii="Arial" w:cs="Arial" w:eastAsia="Arial" w:hAnsi="Arial"/>
          <w:color w:val="475569"/>
          <w:sz w:val="22"/>
          <w:szCs w:val="22"/>
        </w:rPr>
        <w:t xml:space="preserve">Eight two-week sprints aligned with AISTF-C delivery methodology.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Sprint 1 (Wk 1–2)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Infrastructure &amp; Gateway</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Cloud infra. Secure Ingestion API. SecurityContext + HMAC. Role resolver. Identity integration (OAuth2/SAML).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Sprint 2 (Wk 3–4)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Runtime Defense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Prompt injection engine. Schema probing defense. Pattern library v1 (100). Request logging. Sanitizer.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Sprint 3 (Wk 5–6)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SQL Accuracy Guard</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Gate 1: structural (AST). Gate 2: classification. Gate 3: behavioral. Independent execution. Hallucination detector.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Sprint 4 (Wk 7–8)</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RBAC Engine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Column scoping (V/M/H/C). Domain pre-filter. Permission Envelope. Deny-default. Row filters. Sensitivity-5 seal.</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Sprint 5 (Wk 9–10)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Compliance Engine</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Immutable audit. One-click report (HIPAA, SOX, 42CFR, GDPR). Retention. PDF export with evidence.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Sprint 6 (Wk 11–12)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Dashboard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Violation dashboard. Threat feed. Access patterns. Drill-down. Search/filter. Role-based views.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Sprint 7 (Wk 13–14)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Alerting &amp; Anomaly</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Slack/email/webhook/PagerDuty. Behavioral fingerprinting. 15 anomaly patterns. Escalation. Break-the-glass.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Sprint 8 (Wk 15–16)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Hardening &amp; Demo</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Pen testing (200 scenarios). Bug fixes. WOW demo: threat block + hallucination catch + compliance report in &lt;3s.</w:t>
            </w:r>
          </w:p>
        </w:tc>
      </w:tr>
    </w:tbl>
    <w:p>
      <w:pPr>
        <w:spacing w:after="80"/>
      </w:pPr>
    </w:p>
    <w:p>
      <w:pPr>
        <w:spacing w:after="100"/>
      </w:pPr>
      <w:r>
        <w:rPr>
          <w:rFonts w:ascii="Arial" w:cs="Arial" w:eastAsia="Arial" w:hAnsi="Arial"/>
          <w:b/>
          <w:bCs/>
          <w:color w:val="1E293B"/>
          <w:sz w:val="22"/>
          <w:szCs w:val="22"/>
        </w:rPr>
        <w:t xml:space="preserve">Total: </w:t>
      </w:r>
      <w:r>
        <w:rPr>
          <w:rFonts w:ascii="Arial" w:cs="Arial" w:eastAsia="Arial" w:hAnsi="Arial"/>
          <w:color w:val="475569"/>
          <w:sz w:val="22"/>
          <w:szCs w:val="22"/>
        </w:rPr>
        <w:t xml:space="preserve">16 weeks (8 sprints × 2 weeks) to demo-ready MVP.</w:t>
      </w:r>
    </w:p>
    <w:p>
      <w:r>
        <w:br w:type="page"/>
      </w:r>
    </w:p>
    <w:p>
      <w:pPr>
        <w:pStyle w:val="Heading1"/>
      </w:pPr>
      <w:r>
        <w:t xml:space="preserve">8.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62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2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AI Security Architect</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Threat modeling, defense design, pen test design, security zone architecture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Backend Engineer</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RBAC engine, policy resolution, 3-gate validation, audit trail, APIs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Full-Stack Developer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Dashboard, compliance reports, alert config, violation drill-down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ML Engineer</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Anomaly detection, behavioral fingerprinting, threat classification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DevOps Engineer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Deployment, monitoring, scaling, infra security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Compliance Specialist</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Regulatory mapping (HIPAA/SOX/GDPR/EU AI Act/ISO 42001), control docs, report templates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Product Manager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Sprint planning, coordination, pilot management, demos</w:t>
            </w:r>
          </w:p>
        </w:tc>
      </w:tr>
    </w:tbl>
    <w:p>
      <w:r>
        <w:br w:type="page"/>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900"/>
        <w:gridCol w:w="46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False positives block legitimate queries</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High</w:t>
            </w:r>
          </w:p>
        </w:tc>
        <w:tc>
          <w:tcPr>
            <w:tcW w:type="dxa" w:w="4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Conservative thresholds. Whitelist overrides. Production tuning. Dashboard for manual override.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Novel injection bypasses patterns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Critical</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Defense in depth: schema filtering limits model context, 3-gate validates SQL, read-only execution prevents writes. Damage bounded.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Compliance mapping gaps</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4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4 frameworks MVP. Regulatory tracker flags gaps. Expand post-MVP.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Overhead degrades UX</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&lt;80ms target. Parallel gates. Redis caching. Pre-computed envelopes.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Customer sees security as friction</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High</w:t>
            </w:r>
          </w:p>
        </w:tc>
        <w:tc>
          <w:tcPr>
            <w:tcW w:type="dxa" w:w="4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Position as enabler: 'QueryVault is why compliance approves AI.' WOW demo shows value, not friction.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Integration with diverse pipelines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Well-defined APIs. First integration with XenSQL validates contracts.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jc w:val="right"/>
    </w:pPr>
    <w:r>
      <w:rPr>
        <w:rFonts w:ascii="Arial" w:cs="Arial" w:eastAsia="Arial" w:hAnsi="Arial"/>
        <w:color w:val="475569"/>
        <w:sz w:val="14"/>
        <w:szCs w:val="14"/>
      </w:rPr>
      <w:t xml:space="preserve">Xendex AI × CogniVault AI  |  Page </w:t>
    </w:r>
    <w:r>
      <w:rPr>
        <w:rFonts w:ascii="Arial" w:cs="Arial" w:eastAsia="Arial" w:hAnsi="Arial"/>
        <w:color w:val="47556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4" w:space="6"/>
      </w:pBdr>
    </w:pPr>
    <w:r>
      <w:rPr>
        <w:rFonts w:ascii="Arial" w:cs="Arial" w:eastAsia="Arial" w:hAnsi="Arial"/>
        <w:b/>
        <w:bCs/>
        <w:color w:val="DC2626"/>
        <w:sz w:val="16"/>
        <w:szCs w:val="16"/>
      </w:rPr>
      <w:t xml:space="preserve">QueryVault — AI Security Framework</w:t>
    </w:r>
    <w:r>
      <w:rPr>
        <w:rFonts w:ascii="Arial" w:cs="Arial" w:eastAsia="Arial" w:hAnsi="Arial"/>
        <w:color w:val="475569"/>
        <w:sz w:val="16"/>
        <w:szCs w:val="16"/>
      </w:rPr>
      <w:t xml:space="preserv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DC26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2026-03-20T11:24:03.612Z</dcterms:created>
  <dcterms:modified xsi:type="dcterms:W3CDTF">2026-03-20T11:24:03.612Z</dcterms:modified>
</cp:coreProperties>
</file>

<file path=docProps/custom.xml><?xml version="1.0" encoding="utf-8"?>
<Properties xmlns="http://schemas.openxmlformats.org/officeDocument/2006/custom-properties" xmlns:vt="http://schemas.openxmlformats.org/officeDocument/2006/docPropsVTypes"/>
</file>