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pPr>
      <w:r>
        <w:rPr>
          <w:rFonts w:ascii="Times New Roman" w:cs="Times New Roman" w:eastAsia="Times New Roman" w:hAnsi="Times New Roman"/>
          <w:b/>
          <w:bCs/>
          <w:sz w:val="32"/>
          <w:szCs w:val="32"/>
        </w:rPr>
        <w:t xml:space="preserve">7. CONCLUSION AND FUTURE WORK</w:t>
      </w:r>
    </w:p>
    <w:p>
      <w:pPr>
        <w:spacing w:after="200" w:before="400"/>
      </w:pPr>
      <w:r>
        <w:rPr>
          <w:rFonts w:ascii="Times New Roman" w:cs="Times New Roman" w:eastAsia="Times New Roman" w:hAnsi="Times New Roman"/>
          <w:b/>
          <w:bCs/>
          <w:sz w:val="28"/>
          <w:szCs w:val="28"/>
        </w:rPr>
        <w:t xml:space="preserve">7.1 Objectives Achieved</w:t>
      </w:r>
    </w:p>
    <w:p>
      <w:pPr>
        <w:spacing w:after="100" w:before="100" w:line="380"/>
        <w:jc w:val="both"/>
      </w:pPr>
      <w:r>
        <w:rPr>
          <w:rFonts w:ascii="Times New Roman" w:cs="Times New Roman" w:eastAsia="Times New Roman" w:hAnsi="Times New Roman"/>
          <w:sz w:val="24"/>
          <w:szCs w:val="24"/>
        </w:rPr>
        <w:t xml:space="preserve">All objectives defined at the outset of this project were successfully accomplished. The CognitivePath AI system was fully developed and deployed as a browser-based platform featuring three interactive assessment modules — the Handwriting Canvas, the Speech/Reading Task, and the Memory Game — each of which captures a distinct dimension of dyslexia-related behaviour. The handwriting module correctly collects stroke data and passes it through the CNN + BiLSTM pipeline for classification. The speech module records audio, generates a transcript, and extracts acoustic features using Librosa. The memory module evaluates 4-digit recall accuracy and response latency. All three modules transmit their outputs to the Flask backend, where they are fused into a final Dyslexia Risk Score and displayed on the Results Dashboard in real time. The system runs entirely in a standard web browser without requiring any specialised hardware or professional assistance, fulfilling the core goal of building an accessible, scalable, and data-driven early dyslexia screening tool.</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7.2 Contributions</w:t>
      </w:r>
    </w:p>
    <w:p>
      <w:pPr>
        <w:spacing w:after="100" w:before="100" w:line="380"/>
        <w:jc w:val="both"/>
      </w:pPr>
      <w:r>
        <w:rPr>
          <w:rFonts w:ascii="Times New Roman" w:cs="Times New Roman" w:eastAsia="Times New Roman" w:hAnsi="Times New Roman"/>
          <w:sz w:val="24"/>
          <w:szCs w:val="24"/>
        </w:rPr>
        <w:t xml:space="preserve">This project was carried out collaboratively by a team of four members, each contributing to different aspects of the system. </w:t>
      </w:r>
      <w:r>
        <w:rPr>
          <w:rFonts w:ascii="Times New Roman" w:cs="Times New Roman" w:eastAsia="Times New Roman" w:hAnsi="Times New Roman"/>
          <w:b/>
          <w:bCs/>
          <w:sz w:val="24"/>
          <w:szCs w:val="24"/>
        </w:rPr>
        <w:t xml:space="preserve">B. Sathvika Reddy</w:t>
      </w:r>
      <w:r>
        <w:rPr>
          <w:rFonts w:ascii="Times New Roman" w:cs="Times New Roman" w:eastAsia="Times New Roman" w:hAnsi="Times New Roman"/>
          <w:sz w:val="24"/>
          <w:szCs w:val="24"/>
        </w:rPr>
        <w:t xml:space="preserve"> led the development of the machine learning pipeline, including the design and training of the CNN, BiLSTM, and Random Forest models, and the implementation of the score aggregation logic. </w:t>
      </w:r>
      <w:r>
        <w:rPr>
          <w:rFonts w:ascii="Times New Roman" w:cs="Times New Roman" w:eastAsia="Times New Roman" w:hAnsi="Times New Roman"/>
          <w:b/>
          <w:bCs/>
          <w:sz w:val="24"/>
          <w:szCs w:val="24"/>
        </w:rPr>
        <w:t xml:space="preserve">Jyothika Lakshmi M</w:t>
      </w:r>
      <w:r>
        <w:rPr>
          <w:rFonts w:ascii="Times New Roman" w:cs="Times New Roman" w:eastAsia="Times New Roman" w:hAnsi="Times New Roman"/>
          <w:sz w:val="24"/>
          <w:szCs w:val="24"/>
        </w:rPr>
        <w:t xml:space="preserve"> was responsible for the backend development, building the Flask API endpoints, integrating MongoDB for data storage, and connecting the preprocessing modules to the model inference pipeline. </w:t>
      </w:r>
      <w:r>
        <w:rPr>
          <w:rFonts w:ascii="Times New Roman" w:cs="Times New Roman" w:eastAsia="Times New Roman" w:hAnsi="Times New Roman"/>
          <w:b/>
          <w:bCs/>
          <w:sz w:val="24"/>
          <w:szCs w:val="24"/>
        </w:rPr>
        <w:t xml:space="preserve">N. Shreya Sai</w:t>
      </w:r>
      <w:r>
        <w:rPr>
          <w:rFonts w:ascii="Times New Roman" w:cs="Times New Roman" w:eastAsia="Times New Roman" w:hAnsi="Times New Roman"/>
          <w:sz w:val="24"/>
          <w:szCs w:val="24"/>
        </w:rPr>
        <w:t xml:space="preserve"> handled the frontend development, implementing the Handwriting Canvas using the HTML5 Canvas API, the Speech/Reading interface with the Web Speech API, and the Memory Game module, ensuring a smooth and child-friendly user experience. </w:t>
      </w:r>
      <w:r>
        <w:rPr>
          <w:rFonts w:ascii="Times New Roman" w:cs="Times New Roman" w:eastAsia="Times New Roman" w:hAnsi="Times New Roman"/>
          <w:b/>
          <w:bCs/>
          <w:sz w:val="24"/>
          <w:szCs w:val="24"/>
        </w:rPr>
        <w:t xml:space="preserve">Vrinda B S</w:t>
      </w:r>
      <w:r>
        <w:rPr>
          <w:rFonts w:ascii="Times New Roman" w:cs="Times New Roman" w:eastAsia="Times New Roman" w:hAnsi="Times New Roman"/>
          <w:sz w:val="24"/>
          <w:szCs w:val="24"/>
        </w:rPr>
        <w:t xml:space="preserve"> contributed to data preprocessing, feature extraction, system testing, and the preparation of the project documentation and research paper. Together, the team delivered a complete, end-to-end multimodal dyslexia screening platform that combines deep learning with an accessible web interface — a meaningful contribution to the intersection of educational technology and AI-assisted early intervention.</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7.3 Limitations, Challenges, and Drawbacks</w:t>
      </w:r>
    </w:p>
    <w:p>
      <w:pPr>
        <w:spacing w:after="100" w:before="100" w:line="380"/>
        <w:jc w:val="both"/>
      </w:pPr>
      <w:r>
        <w:rPr>
          <w:rFonts w:ascii="Times New Roman" w:cs="Times New Roman" w:eastAsia="Times New Roman" w:hAnsi="Times New Roman"/>
          <w:sz w:val="24"/>
          <w:szCs w:val="24"/>
        </w:rPr>
        <w:t xml:space="preserve">Despite the system's strong performance, several limitations were encountered during development. The scarcity of large, labelled multimodal dyslexia datasets restricted the volume of training data available, which increases the risk of limited generalisation across diverse age groups, languages, and educational backgrounds. Class imbalance between dyslexic and non-dyslexic samples also posed a challenge, requiring class weighting strategies to prevent the model from being biased toward the majority class. On the practical side, the speech recognition component is sensitive to background noise and microphone quality variations, which are common in real classroom environments. The deep learning models also lack interpretability — while the dashboard presents risk scores clearly, it does not explain which specific behavioural features contributed most to the prediction, which may limit trust and adoption among clinicians and educators who need to understand the reasoning behind a screening outcome.</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7.4 Future Enhancements</w:t>
      </w:r>
    </w:p>
    <w:p>
      <w:pPr>
        <w:spacing w:after="100" w:before="100" w:line="380"/>
        <w:jc w:val="both"/>
      </w:pPr>
      <w:r>
        <w:rPr>
          <w:rFonts w:ascii="Times New Roman" w:cs="Times New Roman" w:eastAsia="Times New Roman" w:hAnsi="Times New Roman"/>
          <w:sz w:val="24"/>
          <w:szCs w:val="24"/>
        </w:rPr>
        <w:t xml:space="preserve">Several enhancements are planned to extend the capabilities and reach of the system in future phases. The integration of Explainable AI techniques such as SHAP or LIME would make the model's predictions transparent and interpretable, enabling educators and clinicians to understand which specific behaviours — such as stroke reversals, mispronounced words, or slow recall — contributed to a child's risk score. Multilingual support for regional languages would significantly broaden the platform's accessibility, particularly in diverse educational settings where children are assessed in their native language. A mobile application version optimised for tablets and smartphones would further improve accessibility in remote and rural areas. Additionally, the platform can be integrated with school Learning Management Systems for automated, large-scale screening and longitudinal progress tracking. With larger datasets and periodic model retraining, the system has the potential to evolve into a comprehensive cognitive assessment tool capable of detecting a broader range of learning disabilities beyond dyslexia.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2026-04-30T16:09:59.288Z</dcterms:created>
  <dcterms:modified xsi:type="dcterms:W3CDTF">2026-04-30T16:09:59.288Z</dcterms:modified>
</cp:coreProperties>
</file>

<file path=docProps/custom.xml><?xml version="1.0" encoding="utf-8"?>
<Properties xmlns="http://schemas.openxmlformats.org/officeDocument/2006/custom-properties" xmlns:vt="http://schemas.openxmlformats.org/officeDocument/2006/docPropsVTypes"/>
</file>