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left"/>
      </w:pPr>
      <w:r>
        <w:rPr>
          <w:rFonts w:ascii="Times New Roman" w:cs="Times New Roman" w:eastAsia="Times New Roman" w:hAnsi="Times New Roman"/>
          <w:b/>
          <w:bCs/>
          <w:sz w:val="32"/>
          <w:szCs w:val="32"/>
        </w:rPr>
        <w:t xml:space="preserve">5. TESTING</w:t>
      </w:r>
    </w:p>
    <w:p>
      <w:pPr>
        <w:spacing w:after="80" w:before="80" w:line="360"/>
        <w:jc w:val="both"/>
      </w:pPr>
      <w:r>
        <w:rPr>
          <w:rFonts w:ascii="Times New Roman" w:cs="Times New Roman" w:eastAsia="Times New Roman" w:hAnsi="Times New Roman"/>
          <w:sz w:val="24"/>
          <w:szCs w:val="24"/>
        </w:rPr>
        <w:t xml:space="preserve">Testing is a critical phase in software development that validates whether the system behaves as intended. For the proposed web-based dyslexia screening system — CognitivePath AI — testing was performed manually across all three interactive modules: the Handwriting Canvas, the Speech/Reading Task, and the Memory Game. The testing process verified that each module correctly captures user input, processes it through the backend pipeline, and returns accurate results on the dashboard. Both Black Box Testing and White Box Testing approaches were adopted to ensure comprehensive coverage of functional behaviour and internal logic.</w:t>
      </w:r>
    </w:p>
    <w:p>
      <w:pPr>
        <w:spacing w:after="60" w:before="60"/>
      </w:pPr>
      <w:r>
        <w:t xml:space="preserve"/>
      </w:r>
    </w:p>
    <w:p>
      <w:pPr>
        <w:spacing w:after="200" w:before="360"/>
      </w:pPr>
      <w:r>
        <w:rPr>
          <w:rFonts w:ascii="Times New Roman" w:cs="Times New Roman" w:eastAsia="Times New Roman" w:hAnsi="Times New Roman"/>
          <w:b/>
          <w:bCs/>
          <w:caps/>
          <w:sz w:val="28"/>
          <w:szCs w:val="28"/>
        </w:rPr>
        <w:t xml:space="preserve">5.1 Black Box Testing</w:t>
      </w:r>
    </w:p>
    <w:p>
      <w:pPr>
        <w:spacing w:after="80" w:before="80" w:line="360"/>
        <w:jc w:val="both"/>
      </w:pPr>
      <w:r>
        <w:rPr>
          <w:rFonts w:ascii="Times New Roman" w:cs="Times New Roman" w:eastAsia="Times New Roman" w:hAnsi="Times New Roman"/>
          <w:sz w:val="24"/>
          <w:szCs w:val="24"/>
        </w:rPr>
        <w:t xml:space="preserve">Black Box Testing focuses on validating the external behaviour of the system without considering the internal implementation. The tester interacts with the system as an end user would — providing inputs through the web interface and verifying that the outputs and system responses match expected results. For this project, black box testing was carried out by directly using the web application: drawing letters on the canvas, reading sentences aloud, and entering digit sequences in the memory game.</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5.1.1 Tools and Techniques Used</w:t>
      </w:r>
    </w:p>
    <w:p>
      <w:pPr>
        <w:spacing w:after="80" w:before="80" w:line="360"/>
        <w:jc w:val="both"/>
      </w:pPr>
      <w:r>
        <w:rPr>
          <w:rFonts w:ascii="Times New Roman" w:cs="Times New Roman" w:eastAsia="Times New Roman" w:hAnsi="Times New Roman"/>
          <w:sz w:val="24"/>
          <w:szCs w:val="24"/>
        </w:rPr>
        <w:t xml:space="preserve">Since the system is a web-based platform, black box testing was conducted manually using the following approach:</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Browser-based manual testing: The web application was accessed through Google Chrome. Each module was tested by interacting directly with the UI elements — the drawing canvas, the microphone input, and the digit recall game.</w:t>
      </w:r>
    </w:p>
    <w:p>
      <w:pPr>
        <w:pStyle w:val="ListParagraph"/>
        <w:numPr>
          <w:ilvl w:val="0"/>
          <w:numId w:val="2"/>
        </w:numPr>
        <w:spacing w:after="60" w:before="60"/>
      </w:pPr>
      <w:r>
        <w:rPr>
          <w:rFonts w:ascii="Times New Roman" w:cs="Times New Roman" w:eastAsia="Times New Roman" w:hAnsi="Times New Roman"/>
          <w:sz w:val="24"/>
          <w:szCs w:val="24"/>
        </w:rPr>
        <w:t xml:space="preserve">Functional testing: Each module was tested for correct input capture, proper data transmission to the Flask backend, and accurate results on the dashboard.</w:t>
      </w:r>
    </w:p>
    <w:p>
      <w:pPr>
        <w:pStyle w:val="ListParagraph"/>
        <w:numPr>
          <w:ilvl w:val="0"/>
          <w:numId w:val="2"/>
        </w:numPr>
        <w:spacing w:after="60" w:before="60"/>
      </w:pPr>
      <w:r>
        <w:rPr>
          <w:rFonts w:ascii="Times New Roman" w:cs="Times New Roman" w:eastAsia="Times New Roman" w:hAnsi="Times New Roman"/>
          <w:sz w:val="24"/>
          <w:szCs w:val="24"/>
        </w:rPr>
        <w:t xml:space="preserve">Boundary value testing: Edge cases were tested such as submitting an empty canvas, entering a wrong sequence, or reading with mispronounced words to verify the system's error handling.</w:t>
      </w:r>
    </w:p>
    <w:p>
      <w:pPr>
        <w:pStyle w:val="ListParagraph"/>
        <w:numPr>
          <w:ilvl w:val="0"/>
          <w:numId w:val="2"/>
        </w:numPr>
        <w:spacing w:after="60" w:before="60"/>
      </w:pPr>
      <w:r>
        <w:rPr>
          <w:rFonts w:ascii="Times New Roman" w:cs="Times New Roman" w:eastAsia="Times New Roman" w:hAnsi="Times New Roman"/>
          <w:sz w:val="24"/>
          <w:szCs w:val="24"/>
        </w:rPr>
        <w:t xml:space="preserve">End-to-end testing: All three modules were completed sequentially in one session to verify that the overall Dyslexia Risk Score (DRS) was computed and displayed correctly.</w:t>
      </w:r>
    </w:p>
    <w:p>
      <w:pPr>
        <w:pStyle w:val="ListParagraph"/>
        <w:numPr>
          <w:ilvl w:val="0"/>
          <w:numId w:val="2"/>
        </w:numPr>
        <w:spacing w:after="60" w:before="60"/>
      </w:pPr>
      <w:r>
        <w:rPr>
          <w:rFonts w:ascii="Times New Roman" w:cs="Times New Roman" w:eastAsia="Times New Roman" w:hAnsi="Times New Roman"/>
          <w:sz w:val="24"/>
          <w:szCs w:val="24"/>
        </w:rPr>
        <w:t xml:space="preserve">Equivalence partitioning: Inputs were grouped into valid and invalid categories (e.g., correct vs. incorrect digit recall, clear vs. mispronounced speech) to verify that each group produced the expected system response.</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5.1.2 Test Suite and Report</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Module 1 – Handwriting Canvas</w:t>
      </w:r>
    </w:p>
    <w:p>
      <w:pPr>
        <w:spacing w:after="80" w:before="80" w:line="360"/>
        <w:jc w:val="both"/>
      </w:pPr>
      <w:r>
        <w:rPr>
          <w:rFonts w:ascii="Times New Roman" w:cs="Times New Roman" w:eastAsia="Times New Roman" w:hAnsi="Times New Roman"/>
          <w:sz w:val="24"/>
          <w:szCs w:val="24"/>
        </w:rPr>
        <w:t xml:space="preserve">The user was prompted to draw specified letters on the HTML5 Canvas. Stroke data was captured and sent to the backend for feature extraction and CNN + BiLSTM analysis.</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5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Module</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BB-HW-01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Canvas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draws a valid letter (e.g., letter 'A') on the canvas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Stroke coordinates captured; data sent to backend; handwriting score generated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Stroke sequence stored; CNN + BiLSTM model returned a valid score between 0 and 1</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BB-HW-02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Canvas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submits without drawing anything (empty canvas)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Validation error displayed; system prompts user to complete the task</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Error message shown: 'Please complete the tracing task before submitting'</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BB-HW-03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Canvas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draws letter with noticeable reversal (e.g., 'b' drawn as 'd')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Reversal pattern detected; elevated risk contribution from handwriting module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CNN model identified reversal; handwriting score reflected elevated risk</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BB-HW-04</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Canvas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draws all assigned letters correctly and clearly</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strokes captured; normal handwriting score returned; low dyslexia risk</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strokes processed successfully; low-risk score returned on dashboard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BB-HW-05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Canvas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draws very slowly with long pauses between strokes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Timing features captured; speed anomaly noted in feature extraction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Velocity features reflected low speed; processed without errors</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5.1: Black Box Test Cases – Handwriting Module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Module 2 – Speech / Reading Task</w:t>
      </w:r>
    </w:p>
    <w:p>
      <w:pPr>
        <w:spacing w:after="80" w:before="80" w:line="360"/>
        <w:jc w:val="both"/>
      </w:pPr>
      <w:r>
        <w:rPr>
          <w:rFonts w:ascii="Times New Roman" w:cs="Times New Roman" w:eastAsia="Times New Roman" w:hAnsi="Times New Roman"/>
          <w:sz w:val="24"/>
          <w:szCs w:val="24"/>
        </w:rPr>
        <w:t xml:space="preserve">The user was presented with a sentence on screen and asked to read it aloud using the microphone. The audio was recorded, processed through the Speech-to-Text API, and analyzed using Librosa to extract MFCC, Chroma, RMS, and Zero-Crossing Rate features.</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5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Module</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BB-SP-01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Task</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reads the displayed sentence clearly and at normal pace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recorded; MFCC features extracted; speech score computed and returned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Accurate transcription generated; features extracted; score displayed on dashboard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BB-SP-02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Task</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submits without speaking (silent recording)</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Validation error shown; system prompts user to re-record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'No audio detected' message displayed; submission blocked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BB-SP-03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Task</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mispronounces multiple words in the sentence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Pronunciation errors captured; elevated speech risk score generated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Errors reflected in transcript comparison; BiLSTM returned higher risk score</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BB-SP-04</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Task</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reads with correct pronunciation but very slow pace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Fluency metrics captured; slight risk flag due to slow reading rate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Rhythm and pacing features reflected in speech score; processed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BB-SP-05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Task</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reads all words correctly and fluently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Low speech dyslexia risk; transcript matches displayed sentence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score reflects low risk; dashboard updated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5.2: Black Box Test Cases – Speech / Reading Module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Module 3 – Memory Game</w:t>
      </w:r>
    </w:p>
    <w:p>
      <w:pPr>
        <w:spacing w:after="80" w:before="80" w:line="360"/>
        <w:jc w:val="both"/>
      </w:pPr>
      <w:r>
        <w:rPr>
          <w:rFonts w:ascii="Times New Roman" w:cs="Times New Roman" w:eastAsia="Times New Roman" w:hAnsi="Times New Roman"/>
          <w:sz w:val="24"/>
          <w:szCs w:val="24"/>
        </w:rPr>
        <w:t xml:space="preserve">A 4-digit sequence was displayed on the screen for a few seconds, then hidden. The user was required to recall and enter the sequence. The system evaluated correctness, accuracy, and response time to generate a cognitive memory score.</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5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Module</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BB-MG-01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 4-digit sequence is displayed; user recalls and enters it correctly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High memory score returned; low cognitive risk contribution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4 digits matched; Random Forest returned low risk score</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BB-MG-02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4-digit sequence displayed; user enters a completely wrong sequence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Low memory score; elevated cognitive risk score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 out of 4 digits correct; score reduced accordingly; risk elevated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BB-MG-03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4-digit sequence displayed; user enters only 2 correct digits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Partial credit awarded; moderate memory score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2 correct digits recorded; partial score computed and sent to backend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BB-MG-04</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Timer expires before user submits answer</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Attempt marked as failed; zero score for that round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Timer expiry handled; zero score recorded; game moved to next round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BB-MG-05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completes all rounds successfully with correct answers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Session summary generated; full memory score sent to dashboard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rounds passed; memory score = high; dashboard updated with results</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5.3: Black Box Test Cases – Memory Game Module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Results Dashboard</w:t>
      </w:r>
    </w:p>
    <w:p>
      <w:pPr>
        <w:spacing w:after="80" w:before="80" w:line="360"/>
        <w:jc w:val="both"/>
      </w:pPr>
      <w:r>
        <w:rPr>
          <w:rFonts w:ascii="Times New Roman" w:cs="Times New Roman" w:eastAsia="Times New Roman" w:hAnsi="Times New Roman"/>
          <w:sz w:val="24"/>
          <w:szCs w:val="24"/>
        </w:rPr>
        <w:t xml:space="preserve">After all three modules were completed, the combined Dyslexia Risk Score and individual module scores were verified on the results dashboard.</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5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Module</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BB-DB-01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Results Dashboard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three modules completed with valid inputs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Dashboard displays Dyslexia Risk Score (DRS), per-module scores, and risk label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handwriting score, speech score, and memory score all rendered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BB-DB-02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Results Dashboard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High-risk signals detected across all three modules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Dashboard shows 'At-Risk' label; DRS value is high (&gt;= 70)</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Dashboard displayed 'At-Risk' label in red; DRS = 78</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BB-DB-03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Results Dashboard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Low-risk signals detected across all three modules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Dashboard shows 'Low-Risk' label; DRS value is low (&lt; 50)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Dashboard displayed 'Low-Risk' label in green; DRS = 32</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5.4: Black Box Test Cases – Results Dashboard</w:t>
      </w:r>
    </w:p>
    <w:p>
      <w:pPr>
        <w:spacing w:after="60" w:before="60"/>
      </w:pPr>
      <w:r>
        <w:t xml:space="preserve"/>
      </w:r>
    </w:p>
    <w:p>
      <w:pPr>
        <w:spacing w:after="200" w:before="360"/>
      </w:pPr>
      <w:r>
        <w:rPr>
          <w:rFonts w:ascii="Times New Roman" w:cs="Times New Roman" w:eastAsia="Times New Roman" w:hAnsi="Times New Roman"/>
          <w:b/>
          <w:bCs/>
          <w:caps/>
          <w:sz w:val="28"/>
          <w:szCs w:val="28"/>
        </w:rPr>
        <w:t xml:space="preserve">5.2 White Box Testing</w:t>
      </w:r>
    </w:p>
    <w:p>
      <w:pPr>
        <w:spacing w:after="80" w:before="80" w:line="360"/>
        <w:jc w:val="both"/>
      </w:pPr>
      <w:r>
        <w:rPr>
          <w:rFonts w:ascii="Times New Roman" w:cs="Times New Roman" w:eastAsia="Times New Roman" w:hAnsi="Times New Roman"/>
          <w:sz w:val="24"/>
          <w:szCs w:val="24"/>
        </w:rPr>
        <w:t xml:space="preserve">White Box Testing, also known as structural or glass-box testing, examines the internal logic, code paths, and processing functions of the system. For this project, white box testing was performed by tracing the execution flow within the Flask backend — from the data received through the API endpoints to the feature extraction, model inference, and score computation stages. All three processing modules were tested individually to confirm correct behaviour of the internal functions.</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5.2.1 Tools and Techniques Used</w:t>
      </w:r>
    </w:p>
    <w:p>
      <w:pPr>
        <w:spacing w:after="80" w:before="80" w:line="360"/>
        <w:jc w:val="both"/>
      </w:pPr>
      <w:r>
        <w:rPr>
          <w:rFonts w:ascii="Times New Roman" w:cs="Times New Roman" w:eastAsia="Times New Roman" w:hAnsi="Times New Roman"/>
          <w:sz w:val="24"/>
          <w:szCs w:val="24"/>
        </w:rPr>
        <w:t xml:space="preserve">The following techniques were used during white box testing:</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Manual code path tracing: The preprocessing and feature extraction functions for each modality were traced step by step to verify that correct operations were applied to valid and invalid inputs.</w:t>
      </w:r>
    </w:p>
    <w:p>
      <w:pPr>
        <w:pStyle w:val="ListParagraph"/>
        <w:numPr>
          <w:ilvl w:val="0"/>
          <w:numId w:val="2"/>
        </w:numPr>
        <w:spacing w:after="60" w:before="60"/>
      </w:pPr>
      <w:r>
        <w:rPr>
          <w:rFonts w:ascii="Times New Roman" w:cs="Times New Roman" w:eastAsia="Times New Roman" w:hAnsi="Times New Roman"/>
          <w:sz w:val="24"/>
          <w:szCs w:val="24"/>
        </w:rPr>
        <w:t xml:space="preserve">Statement coverage: All major processing statements within the handwriting preprocessing, MFCC extraction, and memory accuracy computation functions were exercised during testing.</w:t>
      </w:r>
    </w:p>
    <w:p>
      <w:pPr>
        <w:pStyle w:val="ListParagraph"/>
        <w:numPr>
          <w:ilvl w:val="0"/>
          <w:numId w:val="2"/>
        </w:numPr>
        <w:spacing w:after="60" w:before="60"/>
      </w:pPr>
      <w:r>
        <w:rPr>
          <w:rFonts w:ascii="Times New Roman" w:cs="Times New Roman" w:eastAsia="Times New Roman" w:hAnsi="Times New Roman"/>
          <w:sz w:val="24"/>
          <w:szCs w:val="24"/>
        </w:rPr>
        <w:t xml:space="preserve">Branch coverage: Conditional branches (e.g., empty audio check, zero time-interval guard in velocity computation, STT confidence threshold) were explicitly tested with inputs that trigger each branch.</w:t>
      </w:r>
    </w:p>
    <w:p>
      <w:pPr>
        <w:pStyle w:val="ListParagraph"/>
        <w:numPr>
          <w:ilvl w:val="0"/>
          <w:numId w:val="2"/>
        </w:numPr>
        <w:spacing w:after="60" w:before="60"/>
      </w:pPr>
      <w:r>
        <w:rPr>
          <w:rFonts w:ascii="Times New Roman" w:cs="Times New Roman" w:eastAsia="Times New Roman" w:hAnsi="Times New Roman"/>
          <w:sz w:val="24"/>
          <w:szCs w:val="24"/>
        </w:rPr>
        <w:t xml:space="preserve">Unit testing: Each backend module (handwriting processor, speech processor, memory processor) was tested independently by sending direct API requests and verifying the returned JSON responses.</w:t>
      </w:r>
    </w:p>
    <w:p>
      <w:pPr>
        <w:pStyle w:val="ListParagraph"/>
        <w:numPr>
          <w:ilvl w:val="0"/>
          <w:numId w:val="2"/>
        </w:numPr>
        <w:spacing w:after="60" w:before="60"/>
      </w:pPr>
      <w:r>
        <w:rPr>
          <w:rFonts w:ascii="Times New Roman" w:cs="Times New Roman" w:eastAsia="Times New Roman" w:hAnsi="Times New Roman"/>
          <w:sz w:val="24"/>
          <w:szCs w:val="24"/>
        </w:rPr>
        <w:t xml:space="preserve">API endpoint testing: POST requests were sent manually to each Flask endpoint (/api/handwriting, /api/speech, /api/memory) using the browser's fetch API and verifying responses.</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5.2.2 Test Suite and Report</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Preprocessing and Feature Extraction</w:t>
      </w:r>
    </w:p>
    <w:p>
      <w:pPr>
        <w:spacing w:after="80" w:before="80" w:line="360"/>
        <w:jc w:val="both"/>
      </w:pPr>
      <w:r>
        <w:rPr>
          <w:rFonts w:ascii="Times New Roman" w:cs="Times New Roman" w:eastAsia="Times New Roman" w:hAnsi="Times New Roman"/>
          <w:sz w:val="24"/>
          <w:szCs w:val="24"/>
        </w:rPr>
        <w:t xml:space="preserve">The internal preprocessing functions for all three modalities were tested to verify correct behaviour under both normal and edge-case inputs.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Function / Path Tested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Condition</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Result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Result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preprocessing – velocity computation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Two valid consecutive stroke points with Δt &gt; 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Speed vt computed using Euclidean formula; value returned correctly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Correct velocity calculated for all test point pairs; no exceptions raised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preprocessing – zero time interval</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Two points with identical timestamps (Δt = 0)</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Returns 0.0 without raising an exception (division-by-zero guard)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ZeroDivisionError caught internally; 0.0 returned safely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preprocessing – MFCC extraction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 5-second WAV audio at 16 kHz</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MFCC feature matrix extracted; shape matches expected dimensions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Feature matrix returned; shape and value ranges verified as correct</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WB-PP-04</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preprocessing – empty audio input</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Audio array of length 0 passed to extractor</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Function returns None; error flag set for downstream handling</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None returned; pipeline error flag correctly set</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preprocessing – accuracy computation (all correct)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 correct responses out of 5 total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Accuracy = 1.0 returned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Returns 1.0 as expected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WB-PP-06</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preprocessing – accuracy computation (all wrong)</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 correct responses out of 5 total</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Accuracy = 0.0 returned; no runtime errors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Returns 0.0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5.5: White Box Test Cases – Preprocessing and Feature Extraction</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Model Inference – CNN, BiLSTM, and Random Forest</w:t>
      </w:r>
    </w:p>
    <w:p>
      <w:pPr>
        <w:spacing w:after="80" w:before="80" w:line="360"/>
        <w:jc w:val="both"/>
      </w:pPr>
      <w:r>
        <w:rPr>
          <w:rFonts w:ascii="Times New Roman" w:cs="Times New Roman" w:eastAsia="Times New Roman" w:hAnsi="Times New Roman"/>
          <w:sz w:val="24"/>
          <w:szCs w:val="24"/>
        </w:rPr>
        <w:t xml:space="preserve">The model inference functions were tested to verify that each model receives correctly formatted inputs and returns valid probability scores within the expected range.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Function / Path Tested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Condition</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Result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Result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WB-ML-01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CNN forward pass – handwriting image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 grayscale image tensor of shape [1, 1, 64, 64]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Output probability PCNN in range [0.0, 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PCNN = 0.71 returned; value within valid probability range</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WB-ML-02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BiLSTM forward pass – speech features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MFCC feature sequence of 100 frames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Output probability PBiLSTM in range [0.0, 1.0]</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PBiLSTM = 0.63 returned; valid range confirmed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WB-ML-03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Random Forest prediction – memory features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Feature vector: [accuracy=0.6, latency=3.2s]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Output probability PRF in range [0.0, 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PRF = 0.55 returned; valid range confirmed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WB-ML-04</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computation – weighted fusion</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PCNN=0.71, PBiLSTM=0.63, PRF=0.55 with weights w1=0.4, w2=0.35, w3=0.25</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(0.71×0.4 + 0.63×0.35 + 0.55×0.25) × 100 = 64.8</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64.8 computed and displayed on dashboard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WB-ML-05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Risk label assignment – threshold check</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64.8 (threshold = 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Label = 'At-Risk' since DRS &gt;= 50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'At-Risk' label correctly assigned and displayed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5.6: White Box Test Cases – Model Inference and DRS Computation</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Score Aggregation and Flask API Response</w:t>
      </w:r>
    </w:p>
    <w:p>
      <w:pPr>
        <w:spacing w:after="80" w:before="80" w:line="360"/>
        <w:jc w:val="both"/>
      </w:pPr>
      <w:r>
        <w:rPr>
          <w:rFonts w:ascii="Times New Roman" w:cs="Times New Roman" w:eastAsia="Times New Roman" w:hAnsi="Times New Roman"/>
          <w:sz w:val="24"/>
          <w:szCs w:val="24"/>
        </w:rPr>
        <w:t xml:space="preserve">The score aggregation logic (Equation 4: DRS = w1·PCNN + w2·PBiLSTM + w3·PRF) and the risk label assignment were verified for different combinations of modality scores.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Function / Path Tested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Condition</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Result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Result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WB-SC-01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aggregation – all low risk</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PCNN=0.2, PBiLSTM=0.18, PRF=0.15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computed as low value; 'Low-Risk' label assigned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18.65; 'Low-Risk' label correctly assigned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WB-SC-02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aggregation – all high risk</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PCNN=0.91, PBiLSTM=0.87, PRF=0.84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computed as high value; 'At-Risk' label assigned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88.1; 'At-Risk' label correctly assigned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WB-SC-03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aggregation – mixed signals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PCNN=0.8 (high), PBiLSTM=0.3 (low), PRF=0.5 (moderate)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reflects blended score; label based on threshold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DRS = 56.5; 'At-Risk' label assigned correctly at threshold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WB-SC-04</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Flask API response – JSON output</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POST request with all feature vectors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JSON response contains DRS, label, and per-module scores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 JSON returned with all expected fields populated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5.7: White Box Test Cases – Score Aggregation and API Response</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Unit Testing</w:t>
      </w:r>
    </w:p>
    <w:p>
      <w:pPr>
        <w:spacing w:after="80" w:before="80" w:line="360"/>
        <w:jc w:val="both"/>
      </w:pPr>
      <w:r>
        <w:rPr>
          <w:rFonts w:ascii="Times New Roman" w:cs="Times New Roman" w:eastAsia="Times New Roman" w:hAnsi="Times New Roman"/>
          <w:sz w:val="24"/>
          <w:szCs w:val="24"/>
        </w:rPr>
        <w:t xml:space="preserve">Unit testing was performed to validate each of the three modules independently. Individual API endpoints were called and responses were verified to ensure that each module functions correctly in isolation before the full system integration.</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Unit Tests – Handwriting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800"/>
        <w:gridCol w:w="16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Unit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6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UT-HW-01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draw_letter_A() – canvas input simulation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Simulated stroke coordinates for letter 'A' passed to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Stroke data processed; feature vector generated without errors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Feature vector generated correctly; no processing errors</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UT-HW-02</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Stroke submission to backend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Canvas stroke JSON sent via POST to /api/handwriting</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Backend receives data; 200 OK response with handwriting score</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200 OK returned; handwriting score = 0.68 in response JSON</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UT-HW-03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range validation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Any valid handwriting stroke input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Returned PCNN must be in [0.0, 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tested inputs returned values within [0.0, 1.0]</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UT-HW-04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Empty input handling</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No strokes submitted to handwriting API</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API returns 400 Bad Request with descriptive error message</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400 returned with message 'Stroke data missing'</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5.8: Unit Test Cases – Handwriting Module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Unit Tests – Speech / Reading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800"/>
        <w:gridCol w:w="16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Unit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6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UT-SP-01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read_sentence() – microphone input simulation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reads 'The cat sat on the mat' clearly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Audio captured; transcription matches displayed sentence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Transcript: 'The cat sat on the mat'; match rate = 100%</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UT-SP-02</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submission to backend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Recorded audio blob sent via POST to /api/speech</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Backend processes audio; returns speech score in JSON</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200 OK; speech score = 0.22 (low risk) returned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UT-SP-03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Mispronunciation detection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reads sentence with 2 word errors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Errors detected; speech score reflects elevated risk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2 mismatches detected; PBiLSTM = 0.71 (higher risk)</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UT-SP-04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range validation</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Any valid speech audio input</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Returned PBiLSTM must be in [0.0, 1.0]</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tested inputs returned values within valid range</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5.9: Unit Test Cases – Speech / Reading Module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Unit Tests – Memory Game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800"/>
        <w:gridCol w:w="16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TC ID</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Unit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Test Input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Expected Output</w:t>
            </w:r>
          </w:p>
        </w:tc>
        <w:tc>
          <w:tcPr>
            <w:tcW w:type="dxa" w:w="16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Actual Output</w:t>
            </w:r>
          </w:p>
        </w:tc>
        <w:tc>
          <w:tcPr>
            <w:tcW w:type="dxa" w:w="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UT-MG-01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generate_sequence() – digit generation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System generates a 4-digit sequence for the user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 unique or random digits generated and displayed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4-digit sequence displayed correctly on UI</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UT-MG-02</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validate_response() – correct answer</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enters same 4 digits as shown</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All 4 digits match; accuracy = 1.0 for round</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Accuracy = 1.0 returned; round marked as passed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UT-MG-03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validate_response() – wrong answer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User enters 4 completely different digits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Accuracy = 0.0 for round; risk contribution elevated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Accuracy = 0.0; PRF value elevated accordingly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UT-MG-04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score submission to backend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Game result JSON sent via POST to /api/memory</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Backend returns memory score and cognitive risk value</w:t>
            </w:r>
          </w:p>
        </w:tc>
        <w:tc>
          <w:tcPr>
            <w:tcW w:type="dxa" w:w="16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200 OK; PRF = 0.60 returned in response JSON</w:t>
            </w:r>
          </w:p>
        </w:tc>
        <w:tc>
          <w:tcPr>
            <w:tcW w:type="dxa" w:w="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80"/>
        <w:jc w:val="center"/>
      </w:pPr>
      <w:r>
        <w:rPr>
          <w:rFonts w:ascii="Times New Roman" w:cs="Times New Roman" w:eastAsia="Times New Roman" w:hAnsi="Times New Roman"/>
          <w:i/>
          <w:iCs/>
          <w:sz w:val="22"/>
          <w:szCs w:val="22"/>
        </w:rPr>
        <w:t xml:space="preserve">Table 5.10: Unit Test Cases – Memory Game Module</w:t>
      </w:r>
    </w:p>
    <w:p>
      <w:pPr>
        <w:spacing w:after="60" w:before="60"/>
      </w:pPr>
      <w:r>
        <w:t xml:space="preserve"/>
      </w:r>
    </w:p>
    <w:p>
      <w:pPr>
        <w:spacing w:after="200" w:before="360"/>
      </w:pPr>
      <w:r>
        <w:rPr>
          <w:rFonts w:ascii="Times New Roman" w:cs="Times New Roman" w:eastAsia="Times New Roman" w:hAnsi="Times New Roman"/>
          <w:b/>
          <w:bCs/>
          <w:caps/>
          <w:sz w:val="28"/>
          <w:szCs w:val="28"/>
        </w:rPr>
        <w:t xml:space="preserve">5.3 Test Coverage</w:t>
      </w:r>
    </w:p>
    <w:p>
      <w:pPr>
        <w:spacing w:after="80" w:before="80" w:line="360"/>
        <w:jc w:val="both"/>
      </w:pPr>
      <w:r>
        <w:rPr>
          <w:rFonts w:ascii="Times New Roman" w:cs="Times New Roman" w:eastAsia="Times New Roman" w:hAnsi="Times New Roman"/>
          <w:sz w:val="24"/>
          <w:szCs w:val="24"/>
        </w:rPr>
        <w:t xml:space="preserve">Test coverage summarises the extent to which the system's modules, functions, and code paths were exercised during both black box and white box testing. Since formal automated coverage tools (such as pytest-cov or Istanbul) were not used in this project, coverage was assessed manually by tracking which modules, API endpoints, preprocessing functions, and model inference paths were exercised during testing.</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All three interactive modules of the web platform were tested end-to-end. All backend preprocessing functions for handwriting, speech, and memory modalities were individually verified. The model inference paths for CNN, BiLSTM, and Random Forest were exercised with varied inputs. The DRS computation formula and risk label assignment logic were verified across low-risk, moderate, and high-risk scenarios. All Flask API endpoints received valid and invalid inputs to verify both successful responses and error handling.</w:t>
      </w:r>
    </w:p>
    <w:p>
      <w:pPr>
        <w:spacing w:after="60" w:before="60"/>
      </w:pPr>
      <w:r>
        <w:t xml:space="preserve"/>
      </w:r>
    </w:p>
    <w:p>
      <w:pPr>
        <w:spacing w:after="160" w:before="300"/>
      </w:pPr>
      <w:r>
        <w:rPr>
          <w:rFonts w:ascii="Times New Roman" w:cs="Times New Roman" w:eastAsia="Times New Roman" w:hAnsi="Times New Roman"/>
          <w:b/>
          <w:bCs/>
          <w:sz w:val="26"/>
          <w:szCs w:val="26"/>
        </w:rPr>
        <w:t xml:space="preserve">Test Coverage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Module / Component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Total Test Cases</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Passed</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Failed</w:t>
            </w:r>
          </w:p>
        </w:tc>
        <w:tc>
          <w:tcPr>
            <w:tcW w:type="dxa" w:w="1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Coverage (%)</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Handwriting Module (BB)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Speech / Reading Module (BB)</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Memory Game Module (BB)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Results Dashboard (BB)</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3</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3</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Preprocessing &amp; Feature Extraction (WB)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Model Inference – CNN + BiLSTM (WB)</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5</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Score Aggregation &amp; DRS Computation (WB)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Unit Test – Handwriting Module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Unit Test – Speech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Unit Test – Memory Module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4</w:t>
            </w:r>
          </w:p>
        </w:tc>
        <w:tc>
          <w:tcPr>
            <w:tcW w:type="dxa" w:w="1800"/>
            <w:tcBorders>
              <w:top w:val="single" w:color="AAAAAA" w:sz="1"/>
              <w:left w:val="single" w:color="AAAAAA" w:sz="1"/>
              <w:bottom w:val="single" w:color="AAAAAA" w:sz="1"/>
              <w:right w:val="single" w:color="AAAAAA" w:sz="1"/>
            </w:tcBorders>
            <w:shd w:fill="EEF2FA" w:val="clear"/>
            <w:tcMar>
              <w:top w:type="dxa" w:w="80"/>
              <w:left w:type="dxa" w:w="100"/>
              <w:bottom w:type="dxa" w:w="80"/>
              <w:right w:type="dxa" w:w="100"/>
            </w:tcMar>
          </w:tcPr>
          <w:p>
            <w:pPr>
              <w:jc w:val="left"/>
            </w:pPr>
            <w:r>
              <w:rPr>
                <w:rFonts w:ascii="Times New Roman" w:cs="Times New Roman" w:eastAsia="Times New Roman" w:hAnsi="Times New Roman"/>
                <w:sz w:val="19"/>
                <w:szCs w:val="19"/>
              </w:rPr>
              <w:t xml:space="preserve">0</w:t>
            </w:r>
          </w:p>
        </w:tc>
        <w:tc>
          <w:tcPr>
            <w:tcW w:type="dxa" w:w="1760"/>
            <w:tcBorders>
              <w:top w:val="single" w:color="AAAAAA" w:sz="1"/>
              <w:left w:val="single" w:color="AAAAAA" w:sz="1"/>
              <w:bottom w:val="single" w:color="AAAAAA" w:sz="1"/>
              <w:right w:val="single" w:color="AAAAAA" w:sz="1"/>
            </w:tcBorders>
            <w:shd w:fill="D6F0D6" w:val="clear"/>
            <w:tcMar>
              <w:top w:type="dxa" w:w="80"/>
              <w:left w:type="dxa" w:w="100"/>
              <w:bottom w:type="dxa" w:w="80"/>
              <w:right w:type="dxa" w:w="100"/>
            </w:tcMar>
          </w:tcPr>
          <w:p>
            <w:pPr>
              <w:jc w:val="center"/>
            </w:pPr>
            <w:r>
              <w:rPr>
                <w:rFonts w:ascii="Times New Roman" w:cs="Times New Roman" w:eastAsia="Times New Roman" w:hAnsi="Times New Roman"/>
                <w:b/>
                <w:bCs/>
                <w:color w:val="1E6B1E"/>
                <w:sz w:val="19"/>
                <w:szCs w:val="19"/>
              </w:rPr>
              <w:t xml:space="preserve">100%</w:t>
            </w:r>
          </w:p>
        </w:tc>
      </w:tr>
      <w:tr>
        <w:tc>
          <w:tcPr>
            <w:tcW w:type="dxa" w:w="22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TOTAL</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45</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45</w:t>
            </w:r>
          </w:p>
        </w:tc>
        <w:tc>
          <w:tcPr>
            <w:tcW w:type="dxa" w:w="180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0</w:t>
            </w:r>
          </w:p>
        </w:tc>
        <w:tc>
          <w:tcPr>
            <w:tcW w:type="dxa" w:w="1760"/>
            <w:tcBorders>
              <w:top w:val="single" w:color="AAAAAA" w:sz="1"/>
              <w:left w:val="single" w:color="AAAAAA" w:sz="1"/>
              <w:bottom w:val="single" w:color="AAAAAA" w:sz="1"/>
              <w:right w:val="single" w:color="AAAAAA" w:sz="1"/>
            </w:tcBorders>
            <w:shd w:fill="2E5FA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100%</w:t>
            </w:r>
          </w:p>
        </w:tc>
      </w:tr>
    </w:tbl>
    <w:p>
      <w:pPr>
        <w:spacing w:after="200" w:before="80"/>
        <w:jc w:val="center"/>
      </w:pPr>
      <w:r>
        <w:rPr>
          <w:rFonts w:ascii="Times New Roman" w:cs="Times New Roman" w:eastAsia="Times New Roman" w:hAnsi="Times New Roman"/>
          <w:i/>
          <w:iCs/>
          <w:sz w:val="22"/>
          <w:szCs w:val="22"/>
        </w:rPr>
        <w:t xml:space="preserve">Table 5.11: Test Coverage Summary – All Modules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test coverage summary confirms that all major modules and internal processing paths of the CognitivePath AI system were exercised during testing. A total of 45 test cases were designed and executed across black box testing, white box testing, and unit testing. All 45 test cases passed successfully with no failures recorded. The system demonstrated consistent and correct behaviour across all tested scenarios, including edge cases such as empty inputs, mispronounced speech, wrong digit sequences, and boundary conditions in preprocessing functions.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results validate that the multimodal dyslexia screening platform is functionally reliable and ready for further evaluation in real-world educational environments.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2026-04-30T15:33:04.860Z</dcterms:created>
  <dcterms:modified xsi:type="dcterms:W3CDTF">2026-04-30T15:33:04.861Z</dcterms:modified>
</cp:coreProperties>
</file>

<file path=docProps/custom.xml><?xml version="1.0" encoding="utf-8"?>
<Properties xmlns="http://schemas.openxmlformats.org/officeDocument/2006/custom-properties" xmlns:vt="http://schemas.openxmlformats.org/officeDocument/2006/docPropsVTypes"/>
</file>