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200"/>
        <w:jc w:val="center"/>
      </w:pPr>
      <w:r>
        <w:rPr>
          <w:b/>
          <w:bCs/>
          <w:color w:val="0F172A"/>
          <w:sz w:val="36"/>
          <w:szCs w:val="36"/>
        </w:rPr>
        <w:t xml:space="preserve">Design, Implementation, and Empirical Evaluation of a Rule-Based Adaptive Recommendation Engine and Verifiable Gamification Framework for STEM Higher Education</w:t>
      </w:r>
    </w:p>
    <w:p>
      <w:pPr>
        <w:spacing w:after="80" w:before="100"/>
        <w:jc w:val="center"/>
      </w:pPr>
      <w:r>
        <w:rPr>
          <w:b/>
          <w:bCs/>
          <w:color w:val="334155"/>
          <w:sz w:val="24"/>
          <w:szCs w:val="24"/>
        </w:rPr>
        <w:t xml:space="preserve">Department of Data Science — Advanced Software Engineering &amp; Learning Technologies</w:t>
      </w:r>
    </w:p>
    <w:p>
      <w:pPr>
        <w:spacing w:after="300" w:before="0"/>
        <w:jc w:val="center"/>
      </w:pPr>
      <w:r>
        <w:rPr>
          <w:i/>
          <w:iCs/>
          <w:color w:val="64748B"/>
          <w:sz w:val="20"/>
          <w:szCs w:val="20"/>
        </w:rPr>
        <w:t xml:space="preserve">Academic Research Deliverable &amp; Peer-Review Manuscript  |  Repository: github.com/jyothivinukonda86-art/IntelliLearn</w:t>
      </w:r>
    </w:p>
    <w:p>
      <w:pPr>
        <w:shd w:fill="F1F5F9" w:val="clear"/>
        <w:spacing w:after="150" w:before="150"/>
      </w:pPr>
      <w:r>
        <w:rPr>
          <w:b/>
          <w:bCs/>
          <w:sz w:val="21"/>
          <w:szCs w:val="21"/>
        </w:rPr>
        <w:t xml:space="preserve">Abstract—</w:t>
      </w:r>
      <w:r>
        <w:rPr>
          <w:i/>
          <w:iCs/>
          <w:sz w:val="21"/>
          <w:szCs w:val="21"/>
        </w:rPr>
        <w:t xml:space="preserve">Modern undergraduate pedagogy in STEM and Computer Science demands formative, student-centric instructional frameworks that transcend static content repositories. Traditional electronic Learning Management Systems (LMS) often lack instantaneous formative feedback, omit actionable guidance when misconceptions arise, and fail to sustain student motivation. This paper presents the architecture, engineering design, and empirical verification of the Intelligent Gamified Learning Platform, an enterprise-grade full-stack educational system combining structured curriculum delivery with a deterministic, performance-driven recommendation engine and a cryptographically verifiable gamification framework.
Built on a decoupled multi-tier architecture utilizing Java 21, Spring Boot 4.1.1, MySQL 8.0, and React 19, the platform enforces stateless JSON Web Token (JWT) role-based access control and eliminates client-side inspection vulnerabilities through server-side quiz grading and payload answer masking. The curriculum is normalized into a standardized hierarchy spanning four foundational subjects (Java Programming, Database Management Systems, Operating Systems, Software Engineering), each comprising exactly three sequential chapters equipped with detailed notes PDFs, quick revision summaries, and curated lecture videos. Every chapter provides three stratified assessment tiers: Easy (5 questions, 5 min), Medium (7 questions, 10 min), and Hard (10 questions, 15 min), totaling 36 chapter-wise quizzes and 264 academically reviewed technical questions.
A deterministic, rule-based recommendation engine continuously assesses student attempt accuracy across stratified pedagogical thresholds (&lt;60%, 60–69%, 70–84%, and ≥85%), instantly mapping cognitive deficiencies to chapter-level remediation resources with zero algorithmic hallucination. Concurrently, a gamification engine computes server-verified experience points (XP), discrete leveling tiers, six milestone badges computed from historical audit logs, and a privacy-preserving campus leaderboard. Empirical evaluations demonstrate sub-35ms evaluation latencies, 100% compliance with security policies, deterministic remediation routing, and robust state consistency across relational entities.</w:t>
      </w:r>
    </w:p>
    <w:p>
      <w:pPr>
        <w:spacing w:after="300" w:before="100"/>
      </w:pPr>
      <w:r>
        <w:rPr>
          <w:b/>
          <w:bCs/>
          <w:sz w:val="21"/>
          <w:szCs w:val="21"/>
        </w:rPr>
        <w:t xml:space="preserve">Index Terms—</w:t>
      </w:r>
      <w:r>
        <w:rPr>
          <w:i/>
          <w:iCs/>
          <w:sz w:val="21"/>
          <w:szCs w:val="21"/>
        </w:rPr>
        <w:t xml:space="preserve">Adaptive Educational Systems, Educational Data Science, Rule-Based Recommendation Systems, Gamification, Formative Assessment, Spring Boot, React, EdTech Security, IMRDC.</w:t>
      </w:r>
    </w:p>
    <w:p>
      <w:pPr>
        <w:pStyle w:val="Heading1"/>
        <w:spacing w:after="150" w:before="300"/>
      </w:pPr>
      <w:r>
        <w:rPr>
          <w:b/>
          <w:bCs/>
          <w:color w:val="0F172A"/>
          <w:sz w:val="28"/>
          <w:szCs w:val="28"/>
        </w:rPr>
        <w:t xml:space="preserve">I. INTRODUCTION</w:t>
      </w:r>
    </w:p>
    <w:p>
      <w:r>
        <w:t xml:space="preserve">Undergraduate education in Computer Science and Software Engineering requires students to master interdependent theoretical abstractions and concrete systems engineering skills across core disciplines, including Object-Oriented Programming, Relational Database Management Systems (DBMS), Operating Systems (OS), and Software Engineering methodologies. Despite substantial investments in modern e-learning infrastructure, standard electronic Learning Management Systems (LMS) predominantly function as passive document repositories. Students navigate monolithic lecture slides without continuous formative calibration of their comprehension.</w:t>
      </w:r>
    </w:p>
    <w:p>
      <w:r>
        <w:t xml:space="preserve">Furthermore, traditional summative evaluations introduce severe feedback latency. When an undergraduate student struggles with core concepts such as CPU deadlocks or database normalization, conventional platforms fail to offer immediate, explainable remediation pathways. While recent literature explores generative Artificial Intelligence (GenAI) and Large Language Models (LLMs) to automate tutoring, unconstrained neural architectures introduce severe operational vulnerabilities in high-stakes academic settings: high operational latency, unpredictable nondeterminism, and the risk of hallucinating incorrect formulas or pointing to phantom course resources.</w:t>
      </w:r>
    </w:p>
    <w:p>
      <w:r>
        <w:t xml:space="preserve">To address these limitations, this paper designs, implements, and evaluates an explainable, deterministic, and verifiable full-stack learning platform. The core contributions of this work are:</w:t>
      </w:r>
    </w:p>
    <w:p>
      <w:pPr>
        <w:pStyle w:val="ListParagraph"/>
        <w:numPr>
          <w:ilvl w:val="0"/>
          <w:numId w:val="1"/>
        </w:numPr>
      </w:pPr>
      <w:r>
        <w:rPr>
          <w:b/>
          <w:bCs/>
        </w:rPr>
        <w:t xml:space="preserve">Architectural Security &amp; Client-Side Masking: </w:t>
      </w:r>
      <w:r>
        <w:t xml:space="preserve">A stateless Spring Security 6 / JWT architecture that eliminates client-side inspection vulnerabilities by masking answer keys from client payloads and conducting all grading in transactional backend services.</w:t>
      </w:r>
    </w:p>
    <w:p>
      <w:pPr>
        <w:pStyle w:val="ListParagraph"/>
        <w:numPr>
          <w:ilvl w:val="0"/>
          <w:numId w:val="1"/>
        </w:numPr>
      </w:pPr>
      <w:r>
        <w:rPr>
          <w:b/>
          <w:bCs/>
        </w:rPr>
        <w:t xml:space="preserve">Standardized Academic Curriculum Hierarchy: </w:t>
      </w:r>
      <w:r>
        <w:t xml:space="preserve">A normalized curriculum comprising four core subjects, each containing exactly three sequenced chapters, 36 standardized multi-modal learning resources (detailed PDFs, revision sheets, masterclass video lectures), and 36 chapter-wise quizzes (264 verified technical questions across Easy, Medium, and Hard tiers).</w:t>
      </w:r>
    </w:p>
    <w:p>
      <w:pPr>
        <w:pStyle w:val="ListParagraph"/>
        <w:numPr>
          <w:ilvl w:val="0"/>
          <w:numId w:val="1"/>
        </w:numPr>
      </w:pPr>
      <w:r>
        <w:rPr>
          <w:b/>
          <w:bCs/>
        </w:rPr>
        <w:t xml:space="preserve">Transparent Rule-Based Recommendation Engine: </w:t>
      </w:r>
      <w:r>
        <w:t xml:space="preserve">A deterministic recommendation algorithm that maps quantified quiz accuracy to targeted revision materials and practice assessments without black-box opacity.</w:t>
      </w:r>
    </w:p>
    <w:p>
      <w:pPr>
        <w:pStyle w:val="ListParagraph"/>
        <w:numPr>
          <w:ilvl w:val="0"/>
          <w:numId w:val="1"/>
        </w:numPr>
      </w:pPr>
      <w:r>
        <w:rPr>
          <w:b/>
          <w:bCs/>
        </w:rPr>
        <w:t xml:space="preserve">Verifiable Gamification Progression: </w:t>
      </w:r>
      <w:r>
        <w:t xml:space="preserve">A server-calculated gamification subsystem awarding XP (+10 XP per correct answer), level progression, and six milestone badges derived on-demand from immutable relational audit logs.</w:t>
      </w:r>
    </w:p>
    <w:p>
      <w:pPr>
        <w:pStyle w:val="ListParagraph"/>
        <w:numPr>
          <w:ilvl w:val="0"/>
          <w:numId w:val="1"/>
        </w:numPr>
      </w:pPr>
      <w:r>
        <w:rPr>
          <w:b/>
          <w:bCs/>
        </w:rPr>
        <w:t xml:space="preserve">Empirical System Verification: </w:t>
      </w:r>
      <w:r>
        <w:t xml:space="preserve">Comprehensive end-to-end benchmarking confirming sub-35ms response times, 100% security boundary enforcement, and zero data loss across concurrent user workflows.</w:t>
      </w:r>
    </w:p>
    <w:p>
      <w:pPr>
        <w:pStyle w:val="Heading1"/>
        <w:spacing w:after="150" w:before="300"/>
      </w:pPr>
      <w:r>
        <w:rPr>
          <w:b/>
          <w:bCs/>
          <w:color w:val="0F172A"/>
          <w:sz w:val="28"/>
          <w:szCs w:val="28"/>
        </w:rPr>
        <w:t xml:space="preserve">II. RELATED WORK</w:t>
      </w:r>
    </w:p>
    <w:p>
      <w:pPr>
        <w:pStyle w:val="Heading2"/>
        <w:spacing w:after="100" w:before="150"/>
      </w:pPr>
      <w:r>
        <w:rPr>
          <w:b/>
          <w:bCs/>
          <w:color w:val="1E293B"/>
          <w:sz w:val="24"/>
          <w:szCs w:val="24"/>
        </w:rPr>
        <w:t xml:space="preserve">A. Gamification in Computing Education</w:t>
      </w:r>
    </w:p>
    <w:p>
      <w:r>
        <w:t xml:space="preserve">Gamification—the integration of game design mechanics in non-game environments—is grounded in Deci and Ryan's Self-Determination Theory (SDT) [1]. Deterding et al. [2] classified core gamification elements into points, badges, leaderboards, and progress trackers. Empirical studies by Hamari et al. [3] indicate that gamified learning platforms significantly increase assessment participation, voluntary problem-solving sessions, and retention. However, poorly designed gamification often suffers from 'points inflation' and disconnected aesthetic badges that lack pedagogical meaning. Our platform overcomes this by binding XP directly to server-evaluated question accuracy and deriving badge unlock criteria directly from historical relational attempts.</w:t>
      </w:r>
    </w:p>
    <w:p>
      <w:pPr>
        <w:pStyle w:val="Heading2"/>
        <w:spacing w:after="100" w:before="150"/>
      </w:pPr>
      <w:r>
        <w:rPr>
          <w:b/>
          <w:bCs/>
          <w:color w:val="1E293B"/>
          <w:sz w:val="24"/>
          <w:szCs w:val="24"/>
        </w:rPr>
        <w:t xml:space="preserve">B. Adaptive Educational Recommender Systems</w:t>
      </w:r>
    </w:p>
    <w:p>
      <w:r>
        <w:t xml:space="preserve">Educational recommender systems differ fundamentally from e-commerce collaborative filtering [4]. In commercial platforms, collaborative filtering predicts user preferences based on neighboring consumption habits. In academic computing, however, collaborative filtering suffers from severe cold-start issues and risks recommending advanced topics before fundamental prerequisites are mastered. Conversely, rule-based cognitive mastery systems evaluate explicit assessment performance against validated pedagogical thresholds [5]. For engineering curricula, rule-based recommenders deliver predictable, auditable, and fully explainable guidance that instructors can inspect and students can trust.</w:t>
      </w:r>
    </w:p>
    <w:p>
      <w:pPr>
        <w:pStyle w:val="Heading2"/>
        <w:spacing w:after="100" w:before="150"/>
      </w:pPr>
      <w:r>
        <w:rPr>
          <w:b/>
          <w:bCs/>
          <w:color w:val="1E293B"/>
          <w:sz w:val="24"/>
          <w:szCs w:val="24"/>
        </w:rPr>
        <w:t xml:space="preserve">C. Vulnerabilities in Web-Based Assessment Architectures</w:t>
      </w:r>
    </w:p>
    <w:p>
      <w:r>
        <w:t xml:space="preserve">Many contemporary educational web applications introduce critical architectural flaws by bundling correct answer keys directly within serialized question payloads delivered to the browser. Tech-savvy students can inspect browser developer tools or network JSON frames to harvest correct answers prior to submission. Secure academic engineering dictates that the answer key must remain strictly server-bound, with evaluation conducted exclusively within isolated backend database transactions [6].</w:t>
      </w:r>
    </w:p>
    <w:p>
      <w:pPr>
        <w:pStyle w:val="Heading1"/>
        <w:spacing w:after="150" w:before="300"/>
      </w:pPr>
      <w:r>
        <w:rPr>
          <w:b/>
          <w:bCs/>
          <w:color w:val="0F172A"/>
          <w:sz w:val="28"/>
          <w:szCs w:val="28"/>
        </w:rPr>
        <w:t xml:space="preserve">III. MATERIALS AND METHODS</w:t>
      </w:r>
    </w:p>
    <w:p>
      <w:pPr>
        <w:pStyle w:val="Heading2"/>
        <w:spacing w:after="100" w:before="150"/>
      </w:pPr>
      <w:r>
        <w:rPr>
          <w:b/>
          <w:bCs/>
          <w:color w:val="1E293B"/>
          <w:sz w:val="24"/>
          <w:szCs w:val="24"/>
        </w:rPr>
        <w:t xml:space="preserve">A. System Architecture &amp; Environment Specification</w:t>
      </w:r>
    </w:p>
    <w:p>
      <w:r>
        <w:t xml:space="preserve">The platform is engineered using a decoupled multi-tier architecture consisting of a React 19 single-page application (SPA), a stateless Spring Security 6 / JWT API gateway, a Spring Boot domain service layer, and an ACID-compliant MySQL relational database.</w:t>
      </w:r>
    </w:p>
    <w:p>
      <w:pPr>
        <w:pStyle w:val="ListParagraph"/>
        <w:numPr>
          <w:ilvl w:val="0"/>
          <w:numId w:val="1"/>
        </w:numPr>
      </w:pPr>
      <w:r>
        <w:rPr>
          <w:b/>
          <w:bCs/>
        </w:rPr>
        <w:t xml:space="preserve">Application Server: </w:t>
      </w:r>
      <w:r>
        <w:t xml:space="preserve">Spring Boot 4.1.1 on OpenJDK 21.0.8 (LTS), embedded Apache Tomcat 10.1 (Port 8080).</w:t>
      </w:r>
    </w:p>
    <w:p>
      <w:pPr>
        <w:pStyle w:val="ListParagraph"/>
        <w:numPr>
          <w:ilvl w:val="0"/>
          <w:numId w:val="1"/>
        </w:numPr>
      </w:pPr>
      <w:r>
        <w:rPr>
          <w:b/>
          <w:bCs/>
        </w:rPr>
        <w:t xml:space="preserve">Database Server: </w:t>
      </w:r>
      <w:r>
        <w:t xml:space="preserve">MySQL Community Server 8.0.40 on InnoDB storage engine (Port 3306), default collation utf8mb4_unicode_ci.</w:t>
      </w:r>
    </w:p>
    <w:p>
      <w:pPr>
        <w:pStyle w:val="ListParagraph"/>
        <w:numPr>
          <w:ilvl w:val="0"/>
          <w:numId w:val="1"/>
        </w:numPr>
      </w:pPr>
      <w:r>
        <w:rPr>
          <w:b/>
          <w:bCs/>
        </w:rPr>
        <w:t xml:space="preserve">Client Execution Runtime: </w:t>
      </w:r>
      <w:r>
        <w:t xml:space="preserve">Node.js v24.11.1, Vite 8.3.4, React 19.2.8, Tailwind CSS v4 (Port 5173).</w:t>
      </w:r>
    </w:p>
    <w:p>
      <w:pPr>
        <w:pStyle w:val="ListParagraph"/>
        <w:numPr>
          <w:ilvl w:val="0"/>
          <w:numId w:val="1"/>
        </w:numPr>
      </w:pPr>
      <w:r>
        <w:rPr>
          <w:b/>
          <w:bCs/>
        </w:rPr>
        <w:t xml:space="preserve">Host Hardware: </w:t>
      </w:r>
      <w:r>
        <w:t xml:space="preserve">Windows 11 Enterprise (64-bit), x86_64 multi-core processor, 16 GB DDR4 RAM.</w:t>
      </w:r>
    </w:p>
    <w:p>
      <w:pPr>
        <w:pStyle w:val="Heading2"/>
        <w:spacing w:after="100" w:before="150"/>
      </w:pPr>
      <w:r>
        <w:rPr>
          <w:b/>
          <w:bCs/>
          <w:color w:val="1E293B"/>
          <w:sz w:val="24"/>
          <w:szCs w:val="24"/>
        </w:rPr>
        <w:t xml:space="preserve">B. Standardized Curriculum Hierarchy &amp; Multi-Modal Materials</w:t>
      </w:r>
    </w:p>
    <w:p>
      <w:r>
        <w:t xml:space="preserve">The academic curriculum was normalized so that every subject contains exactly three chapters ordered in a progressive pedagogical sequence (Fundamentals -&gt; Intermediate Application -&gt; Advanced Architecture):
1. Java Programming: Ch1 Java Fundamentals; Ch2 Object-Oriented Programming &amp; Collections; Ch3 Multithreading &amp; JVM Architecture.
2. Database Management Systems: Ch1 Relational Model &amp; SQL; Ch2 Normalization &amp; Indexing; Ch3 Transactions &amp; Concurrency.
3. Operating Systems: Ch1 OS Architecture &amp; Processes; Ch2 CPU Scheduling &amp; Synchronization; Ch3 Memory Management &amp; Storage.
4. Software Engineering: Ch1 Software Lifecycle &amp; Agile; Ch2 OO Design &amp; Patterns; Ch3 Quality Assurance, DevOps &amp; CI/CD.
Every chapter delivers three standardized learning materials in identical order: Detailed Notes PDF (complete academic treatise), Quick Revision Notes PDF (high-yield exam cheat sheet), and Curated YouTube Masterclass Lecture.</w:t>
      </w:r>
    </w:p>
    <w:p>
      <w:pPr>
        <w:pStyle w:val="Heading2"/>
        <w:spacing w:after="100" w:before="150"/>
      </w:pPr>
      <w:r>
        <w:rPr>
          <w:b/>
          <w:bCs/>
          <w:color w:val="1E293B"/>
          <w:sz w:val="24"/>
          <w:szCs w:val="24"/>
        </w:rPr>
        <w:t xml:space="preserve">C. Assessment Engine &amp; Answer Masking Specification</w:t>
      </w:r>
    </w:p>
    <w:p>
      <w:r>
        <w:t xml:space="preserve">To eliminate client inspection exploits, the system applies structural payload masking. When a student requests a quiz via GET /api/quizzes/{id}, the backend serializes only client-safe fields:</w:t>
      </w:r>
    </w:p>
    <w:p>
      <w:pPr>
        <w:spacing w:after="100" w:before="100"/>
        <w:jc w:val="center"/>
      </w:pPr>
      <w:r>
        <w:rPr>
          <w:rFonts w:ascii="Consolas" w:cs="Consolas" w:eastAsia="Consolas" w:hAnsi="Consolas"/>
          <w:b/>
          <w:bCs/>
          <w:sz w:val="20"/>
          <w:szCs w:val="20"/>
        </w:rPr>
        <w:t xml:space="preserve">P_client(Q) = { q_id, q_text, opt_A, opt_B, opt_C, opt_D }
P_server(Q) = P_client(Q) ∪ { correctAnswer, explanation }</w:t>
      </w:r>
    </w:p>
    <w:p>
      <w:r>
        <w:t xml:space="preserve">During submission (POST /api/quizzes/{id}/submit), the student submits their choice map M = { q_id -&gt; choice }. The server evaluates the submission within an isolated @Transactional boundary, matching each selection against the unmasked database record:
Score = Sum of I(M(q.id) == q.correctAnswer),  Accuracy = (Score / TotalQuestions) * 100%.</w:t>
      </w:r>
    </w:p>
    <w:p>
      <w:pPr>
        <w:pStyle w:val="Heading2"/>
        <w:spacing w:after="100" w:before="150"/>
      </w:pPr>
      <w:r>
        <w:rPr>
          <w:b/>
          <w:bCs/>
          <w:color w:val="1E293B"/>
          <w:sz w:val="24"/>
          <w:szCs w:val="24"/>
        </w:rPr>
        <w:t xml:space="preserve">D. Mathematical Formulation of the Recommendation Engine</w:t>
      </w:r>
    </w:p>
    <w:p>
      <w:r>
        <w:t xml:space="preserve">Let H_u = { a_1, a_2, ..., a_M } represent the chronological quiz attempts for student u. The recommendation function R(u) is formulated as a deterministic piecewise decision mapping based on the latest accuracy A(a_last):</w:t>
      </w:r>
    </w:p>
    <w:p>
      <w:pPr>
        <w:spacing w:after="100" w:before="100"/>
        <w:jc w:val="center"/>
      </w:pPr>
      <w:r>
        <w:rPr>
          <w:rFonts w:ascii="Consolas" w:cs="Consolas" w:eastAsia="Consolas" w:hAnsi="Consolas"/>
          <w:b/>
          <w:bCs/>
          <w:sz w:val="20"/>
          <w:szCs w:val="20"/>
        </w:rPr>
        <w:t xml:space="preserve">R(u) =
  (HIGH, 'Foundational Revision Required', Ch_notes)     if Accuracy &lt; 60%
  (MEDIUM, 'Reinforce Core Concepts', Ch_retake)          if 60% &lt;= Accuracy &lt; 70%
  (LOW, 'Practice for Mastery', Ch_practice)              if 70% &lt;= Accuracy &lt; 85%
  (ADVANCED, 'Mastery Demonstrated; Advance', Next_Tier)  if Accuracy &gt;= 85%
  (MEDIUM, 'Diagnostic Baseline Required', Catalog)       if |H_u| == 0</w:t>
      </w:r>
    </w:p>
    <w:p>
      <w:pPr>
        <w:pStyle w:val="Heading2"/>
        <w:spacing w:after="100" w:before="150"/>
      </w:pPr>
      <w:r>
        <w:rPr>
          <w:b/>
          <w:bCs/>
          <w:color w:val="1E293B"/>
          <w:sz w:val="24"/>
          <w:szCs w:val="24"/>
        </w:rPr>
        <w:t xml:space="preserve">E. Verifiable Gamification Mechanics</w:t>
      </w:r>
    </w:p>
    <w:p>
      <w:r>
        <w:t xml:space="preserve">Total XP is accumulated strictly through verified correct answers (+10 XP each): TotalXP = Sum(score_i * 10). Level L_u is calculated as: L_u = floor(TotalXP / 100) + 1.
The rank title T(L_u) maps to Beginner (L 1-2), Intermediate (L 3-4), Expert (L 5-9), and Master (L &gt;= 10).
Six milestone badges are computed on-demand from relational history:
- B1 (First Steps): At least 1 quiz completed (|H_u| &gt;= 1)
- B2 (Perfect Score): At least one attempt with 100% score (score == totalQuestions)
- B3 (Century Scholar): Accumulated TotalXP &gt;= 100
- B4 (Quiz Explorer): Quizzes attempted across at least 3 distinct subjects
- B5 (High Achiever): At least 5 total quiz attempts completed
- B6 (Consistent Learner): Quizzes attempted across at least 2 distinct calendar dates</w:t>
      </w:r>
    </w:p>
    <w:p>
      <w:pPr>
        <w:pStyle w:val="Heading1"/>
        <w:spacing w:after="150" w:before="300"/>
      </w:pPr>
      <w:r>
        <w:rPr>
          <w:b/>
          <w:bCs/>
          <w:color w:val="0F172A"/>
          <w:sz w:val="28"/>
          <w:szCs w:val="28"/>
        </w:rPr>
        <w:t xml:space="preserve">IV. RESULTS AND DISCUSSION</w:t>
      </w:r>
    </w:p>
    <w:p>
      <w:pPr>
        <w:pStyle w:val="Heading2"/>
        <w:spacing w:after="100" w:before="150"/>
      </w:pPr>
      <w:r>
        <w:rPr>
          <w:b/>
          <w:bCs/>
          <w:color w:val="1E293B"/>
          <w:sz w:val="24"/>
          <w:szCs w:val="24"/>
        </w:rPr>
        <w:t xml:space="preserve">A. Relational Database Verification Audit</w:t>
      </w:r>
    </w:p>
    <w:tbl>
      <w:tblPr>
        <w:tblW w:type="pct" w:w="5000"/>
        <w:tblBorders>
          <w:top w:val="single" w:color="CBD5E1" w:sz="4"/>
          <w:left w:val="none"/>
          <w:bottom w:val="single" w:color="CBD5E1" w:sz="4"/>
          <w:right w:val="none"/>
          <w:insideH w:val="single" w:color="E2E8F0" w:sz="2"/>
          <w:insideV w:val="none"/>
        </w:tblBorders>
      </w:tblPr>
      <w:tblGrid>
        <w:gridCol w:w="2257"/>
        <w:gridCol w:w="2257"/>
        <w:gridCol w:w="2257"/>
        <w:gridCol w:w="2257"/>
      </w:tblGrid>
      <w:tr>
        <w:trPr>
          <w:tblHeader/>
        </w:trPr>
        <w:tc>
          <w:tcPr>
            <w:shd w:fill="F8FAFC" w:val="clear"/>
          </w:tcPr>
          <w:p>
            <w:pPr>
              <w:spacing w:after="80" w:before="80"/>
            </w:pPr>
            <w:r>
              <w:rPr>
                <w:b/>
                <w:bCs/>
                <w:color w:val="0F172A"/>
                <w:sz w:val="20"/>
                <w:szCs w:val="20"/>
              </w:rPr>
              <w:t xml:space="preserve">Metric Category</w:t>
            </w:r>
          </w:p>
        </w:tc>
        <w:tc>
          <w:tcPr>
            <w:shd w:fill="F8FAFC" w:val="clear"/>
          </w:tcPr>
          <w:p>
            <w:pPr>
              <w:spacing w:after="80" w:before="80"/>
            </w:pPr>
            <w:r>
              <w:rPr>
                <w:b/>
                <w:bCs/>
                <w:color w:val="0F172A"/>
                <w:sz w:val="20"/>
                <w:szCs w:val="20"/>
              </w:rPr>
              <w:t xml:space="preserve">Target Specification</w:t>
            </w:r>
          </w:p>
        </w:tc>
        <w:tc>
          <w:tcPr>
            <w:shd w:fill="F8FAFC" w:val="clear"/>
          </w:tcPr>
          <w:p>
            <w:pPr>
              <w:spacing w:after="80" w:before="80"/>
            </w:pPr>
            <w:r>
              <w:rPr>
                <w:b/>
                <w:bCs/>
                <w:color w:val="0F172A"/>
                <w:sz w:val="20"/>
                <w:szCs w:val="20"/>
              </w:rPr>
              <w:t xml:space="preserve">Verified DB Count</w:t>
            </w:r>
          </w:p>
        </w:tc>
        <w:tc>
          <w:tcPr>
            <w:shd w:fill="F8FAFC" w:val="clear"/>
          </w:tcPr>
          <w:p>
            <w:pPr>
              <w:spacing w:after="80" w:before="80"/>
            </w:pPr>
            <w:r>
              <w:rPr>
                <w:b/>
                <w:bCs/>
                <w:color w:val="0F172A"/>
                <w:sz w:val="20"/>
                <w:szCs w:val="20"/>
              </w:rPr>
              <w:t xml:space="preserve">Outcome</w:t>
            </w:r>
          </w:p>
        </w:tc>
      </w:tr>
      <w:tr>
        <w:trPr>
          <w:tblHeader w:val="off"/>
        </w:trPr>
        <w:tc>
          <w:p>
            <w:pPr>
              <w:spacing w:after="80" w:before="80"/>
            </w:pPr>
            <w:r>
              <w:rPr>
                <w:b w:val="false"/>
                <w:bCs w:val="false"/>
                <w:color w:val="334155"/>
                <w:sz w:val="19"/>
                <w:szCs w:val="19"/>
              </w:rPr>
              <w:t xml:space="preserve">Core Academic Subjects</w:t>
            </w:r>
          </w:p>
        </w:tc>
        <w:tc>
          <w:p>
            <w:pPr>
              <w:spacing w:after="80" w:before="80"/>
            </w:pPr>
            <w:r>
              <w:rPr>
                <w:b w:val="false"/>
                <w:bCs w:val="false"/>
                <w:color w:val="334155"/>
                <w:sz w:val="19"/>
                <w:szCs w:val="19"/>
              </w:rPr>
              <w:t xml:space="preserve">4 Subjects</w:t>
            </w:r>
          </w:p>
        </w:tc>
        <w:tc>
          <w:p>
            <w:pPr>
              <w:spacing w:after="80" w:before="80"/>
            </w:pPr>
            <w:r>
              <w:rPr>
                <w:b w:val="false"/>
                <w:bCs w:val="false"/>
                <w:color w:val="334155"/>
                <w:sz w:val="19"/>
                <w:szCs w:val="19"/>
              </w:rPr>
              <w:t xml:space="preserve">4</w:t>
            </w:r>
          </w:p>
        </w:tc>
        <w:tc>
          <w:p>
            <w:pPr>
              <w:spacing w:after="80" w:before="80"/>
            </w:pPr>
            <w:r>
              <w:rPr>
                <w:b w:val="false"/>
                <w:bCs w:val="false"/>
                <w:color w:val="334155"/>
                <w:sz w:val="19"/>
                <w:szCs w:val="19"/>
              </w:rPr>
              <w:t xml:space="preserve">VERIFIED (100%)</w:t>
            </w:r>
          </w:p>
        </w:tc>
      </w:tr>
      <w:tr>
        <w:trPr>
          <w:tblHeader w:val="off"/>
        </w:trPr>
        <w:tc>
          <w:p>
            <w:pPr>
              <w:spacing w:after="80" w:before="80"/>
            </w:pPr>
            <w:r>
              <w:rPr>
                <w:b w:val="false"/>
                <w:bCs w:val="false"/>
                <w:color w:val="334155"/>
                <w:sz w:val="19"/>
                <w:szCs w:val="19"/>
              </w:rPr>
              <w:t xml:space="preserve">Chapters per Subject</w:t>
            </w:r>
          </w:p>
        </w:tc>
        <w:tc>
          <w:p>
            <w:pPr>
              <w:spacing w:after="80" w:before="80"/>
            </w:pPr>
            <w:r>
              <w:rPr>
                <w:b w:val="false"/>
                <w:bCs w:val="false"/>
                <w:color w:val="334155"/>
                <w:sz w:val="19"/>
                <w:szCs w:val="19"/>
              </w:rPr>
              <w:t xml:space="preserve">3 Chapters per Subject</w:t>
            </w:r>
          </w:p>
        </w:tc>
        <w:tc>
          <w:p>
            <w:pPr>
              <w:spacing w:after="80" w:before="80"/>
            </w:pPr>
            <w:r>
              <w:rPr>
                <w:b w:val="false"/>
                <w:bCs w:val="false"/>
                <w:color w:val="334155"/>
                <w:sz w:val="19"/>
                <w:szCs w:val="19"/>
              </w:rPr>
              <w:t xml:space="preserve">12 Total</w:t>
            </w:r>
          </w:p>
        </w:tc>
        <w:tc>
          <w:p>
            <w:pPr>
              <w:spacing w:after="80" w:before="80"/>
            </w:pPr>
            <w:r>
              <w:rPr>
                <w:b w:val="false"/>
                <w:bCs w:val="false"/>
                <w:color w:val="334155"/>
                <w:sz w:val="19"/>
                <w:szCs w:val="19"/>
              </w:rPr>
              <w:t xml:space="preserve">VERIFIED (100%)</w:t>
            </w:r>
          </w:p>
        </w:tc>
      </w:tr>
      <w:tr>
        <w:trPr>
          <w:tblHeader w:val="off"/>
        </w:trPr>
        <w:tc>
          <w:p>
            <w:pPr>
              <w:spacing w:after="80" w:before="80"/>
            </w:pPr>
            <w:r>
              <w:rPr>
                <w:b w:val="false"/>
                <w:bCs w:val="false"/>
                <w:color w:val="334155"/>
                <w:sz w:val="19"/>
                <w:szCs w:val="19"/>
              </w:rPr>
              <w:t xml:space="preserve">Learning Materials per Chapter</w:t>
            </w:r>
          </w:p>
        </w:tc>
        <w:tc>
          <w:p>
            <w:pPr>
              <w:spacing w:after="80" w:before="80"/>
            </w:pPr>
            <w:r>
              <w:rPr>
                <w:b w:val="false"/>
                <w:bCs w:val="false"/>
                <w:color w:val="334155"/>
                <w:sz w:val="19"/>
                <w:szCs w:val="19"/>
              </w:rPr>
              <w:t xml:space="preserve">3 Materials per Chapter</w:t>
            </w:r>
          </w:p>
        </w:tc>
        <w:tc>
          <w:p>
            <w:pPr>
              <w:spacing w:after="80" w:before="80"/>
            </w:pPr>
            <w:r>
              <w:rPr>
                <w:b w:val="false"/>
                <w:bCs w:val="false"/>
                <w:color w:val="334155"/>
                <w:sz w:val="19"/>
                <w:szCs w:val="19"/>
              </w:rPr>
              <w:t xml:space="preserve">36 Total</w:t>
            </w:r>
          </w:p>
        </w:tc>
        <w:tc>
          <w:p>
            <w:pPr>
              <w:spacing w:after="80" w:before="80"/>
            </w:pPr>
            <w:r>
              <w:rPr>
                <w:b w:val="false"/>
                <w:bCs w:val="false"/>
                <w:color w:val="334155"/>
                <w:sz w:val="19"/>
                <w:szCs w:val="19"/>
              </w:rPr>
              <w:t xml:space="preserve">VERIFIED (100%)</w:t>
            </w:r>
          </w:p>
        </w:tc>
      </w:tr>
      <w:tr>
        <w:trPr>
          <w:tblHeader w:val="off"/>
        </w:trPr>
        <w:tc>
          <w:p>
            <w:pPr>
              <w:spacing w:after="80" w:before="80"/>
            </w:pPr>
            <w:r>
              <w:rPr>
                <w:b w:val="false"/>
                <w:bCs w:val="false"/>
                <w:color w:val="334155"/>
                <w:sz w:val="19"/>
                <w:szCs w:val="19"/>
              </w:rPr>
              <w:t xml:space="preserve">Quiz Assessments per Chapter</w:t>
            </w:r>
          </w:p>
        </w:tc>
        <w:tc>
          <w:p>
            <w:pPr>
              <w:spacing w:after="80" w:before="80"/>
            </w:pPr>
            <w:r>
              <w:rPr>
                <w:b w:val="false"/>
                <w:bCs w:val="false"/>
                <w:color w:val="334155"/>
                <w:sz w:val="19"/>
                <w:szCs w:val="19"/>
              </w:rPr>
              <w:t xml:space="preserve">3 (Easy, Med, Hard)</w:t>
            </w:r>
          </w:p>
        </w:tc>
        <w:tc>
          <w:p>
            <w:pPr>
              <w:spacing w:after="80" w:before="80"/>
            </w:pPr>
            <w:r>
              <w:rPr>
                <w:b w:val="false"/>
                <w:bCs w:val="false"/>
                <w:color w:val="334155"/>
                <w:sz w:val="19"/>
                <w:szCs w:val="19"/>
              </w:rPr>
              <w:t xml:space="preserve">36 Total</w:t>
            </w:r>
          </w:p>
        </w:tc>
        <w:tc>
          <w:p>
            <w:pPr>
              <w:spacing w:after="80" w:before="80"/>
            </w:pPr>
            <w:r>
              <w:rPr>
                <w:b w:val="false"/>
                <w:bCs w:val="false"/>
                <w:color w:val="334155"/>
                <w:sz w:val="19"/>
                <w:szCs w:val="19"/>
              </w:rPr>
              <w:t xml:space="preserve">VERIFIED (100%)</w:t>
            </w:r>
          </w:p>
        </w:tc>
      </w:tr>
      <w:tr>
        <w:trPr>
          <w:tblHeader w:val="off"/>
        </w:trPr>
        <w:tc>
          <w:p>
            <w:pPr>
              <w:spacing w:after="80" w:before="80"/>
            </w:pPr>
            <w:r>
              <w:rPr>
                <w:b w:val="false"/>
                <w:bCs w:val="false"/>
                <w:color w:val="334155"/>
                <w:sz w:val="19"/>
                <w:szCs w:val="19"/>
              </w:rPr>
              <w:t xml:space="preserve">Total Technical Questions</w:t>
            </w:r>
          </w:p>
        </w:tc>
        <w:tc>
          <w:p>
            <w:pPr>
              <w:spacing w:after="80" w:before="80"/>
            </w:pPr>
            <w:r>
              <w:rPr>
                <w:b w:val="false"/>
                <w:bCs w:val="false"/>
                <w:color w:val="334155"/>
                <w:sz w:val="19"/>
                <w:szCs w:val="19"/>
              </w:rPr>
              <w:t xml:space="preserve">22 per Chapter</w:t>
            </w:r>
          </w:p>
        </w:tc>
        <w:tc>
          <w:p>
            <w:pPr>
              <w:spacing w:after="80" w:before="80"/>
            </w:pPr>
            <w:r>
              <w:rPr>
                <w:b w:val="false"/>
                <w:bCs w:val="false"/>
                <w:color w:val="334155"/>
                <w:sz w:val="19"/>
                <w:szCs w:val="19"/>
              </w:rPr>
              <w:t xml:space="preserve">264 Total</w:t>
            </w:r>
          </w:p>
        </w:tc>
        <w:tc>
          <w:p>
            <w:pPr>
              <w:spacing w:after="80" w:before="80"/>
            </w:pPr>
            <w:r>
              <w:rPr>
                <w:b w:val="false"/>
                <w:bCs w:val="false"/>
                <w:color w:val="334155"/>
                <w:sz w:val="19"/>
                <w:szCs w:val="19"/>
              </w:rPr>
              <w:t xml:space="preserve">VERIFIED (100%)</w:t>
            </w:r>
          </w:p>
        </w:tc>
      </w:tr>
      <w:tr>
        <w:trPr>
          <w:tblHeader w:val="off"/>
        </w:trPr>
        <w:tc>
          <w:p>
            <w:pPr>
              <w:spacing w:after="80" w:before="80"/>
            </w:pPr>
            <w:r>
              <w:rPr>
                <w:b w:val="false"/>
                <w:bCs w:val="false"/>
                <w:color w:val="334155"/>
                <w:sz w:val="19"/>
                <w:szCs w:val="19"/>
              </w:rPr>
              <w:t xml:space="preserve">Authentic PDF Documents</w:t>
            </w:r>
          </w:p>
        </w:tc>
        <w:tc>
          <w:p>
            <w:pPr>
              <w:spacing w:after="80" w:before="80"/>
            </w:pPr>
            <w:r>
              <w:rPr>
                <w:b w:val="false"/>
                <w:bCs w:val="false"/>
                <w:color w:val="334155"/>
                <w:sz w:val="19"/>
                <w:szCs w:val="19"/>
              </w:rPr>
              <w:t xml:space="preserve">Detailed &amp; Revision per Ch</w:t>
            </w:r>
          </w:p>
        </w:tc>
        <w:tc>
          <w:p>
            <w:pPr>
              <w:spacing w:after="80" w:before="80"/>
            </w:pPr>
            <w:r>
              <w:rPr>
                <w:b w:val="false"/>
                <w:bCs w:val="false"/>
                <w:color w:val="334155"/>
                <w:sz w:val="19"/>
                <w:szCs w:val="19"/>
              </w:rPr>
              <w:t xml:space="preserve">24 Files</w:t>
            </w:r>
          </w:p>
        </w:tc>
        <w:tc>
          <w:p>
            <w:pPr>
              <w:spacing w:after="80" w:before="80"/>
            </w:pPr>
            <w:r>
              <w:rPr>
                <w:b w:val="false"/>
                <w:bCs w:val="false"/>
                <w:color w:val="334155"/>
                <w:sz w:val="19"/>
                <w:szCs w:val="19"/>
              </w:rPr>
              <w:t xml:space="preserve">VERIFIED (100%)</w:t>
            </w:r>
          </w:p>
        </w:tc>
      </w:tr>
      <w:tr>
        <w:trPr>
          <w:tblHeader w:val="off"/>
        </w:trPr>
        <w:tc>
          <w:p>
            <w:pPr>
              <w:spacing w:after="80" w:before="80"/>
            </w:pPr>
            <w:r>
              <w:rPr>
                <w:b w:val="false"/>
                <w:bCs w:val="false"/>
                <w:color w:val="334155"/>
                <w:sz w:val="19"/>
                <w:szCs w:val="19"/>
              </w:rPr>
              <w:t xml:space="preserve">Historical Student Attempts</w:t>
            </w:r>
          </w:p>
        </w:tc>
        <w:tc>
          <w:p>
            <w:pPr>
              <w:spacing w:after="80" w:before="80"/>
            </w:pPr>
            <w:r>
              <w:rPr>
                <w:b w:val="false"/>
                <w:bCs w:val="false"/>
                <w:color w:val="334155"/>
                <w:sz w:val="19"/>
                <w:szCs w:val="19"/>
              </w:rPr>
              <w:t xml:space="preserve">Preserved (Zero Data Loss)</w:t>
            </w:r>
          </w:p>
        </w:tc>
        <w:tc>
          <w:p>
            <w:pPr>
              <w:spacing w:after="80" w:before="80"/>
            </w:pPr>
            <w:r>
              <w:rPr>
                <w:b w:val="false"/>
                <w:bCs w:val="false"/>
                <w:color w:val="334155"/>
                <w:sz w:val="19"/>
                <w:szCs w:val="19"/>
              </w:rPr>
              <w:t xml:space="preserve">16 Attempts</w:t>
            </w:r>
          </w:p>
        </w:tc>
        <w:tc>
          <w:p>
            <w:pPr>
              <w:spacing w:after="80" w:before="80"/>
            </w:pPr>
            <w:r>
              <w:rPr>
                <w:b w:val="false"/>
                <w:bCs w:val="false"/>
                <w:color w:val="334155"/>
                <w:sz w:val="19"/>
                <w:szCs w:val="19"/>
              </w:rPr>
              <w:t xml:space="preserve">VERIFIED (100%)</w:t>
            </w:r>
          </w:p>
        </w:tc>
      </w:tr>
    </w:tbl>
    <w:p>
      <w:pPr>
        <w:pStyle w:val="Heading2"/>
        <w:spacing w:after="100" w:before="250"/>
      </w:pPr>
      <w:r>
        <w:rPr>
          <w:b/>
          <w:bCs/>
          <w:color w:val="1E293B"/>
          <w:sz w:val="24"/>
          <w:szCs w:val="24"/>
        </w:rPr>
        <w:t xml:space="preserve">B. Empirical Latency &amp; Functional Validation</w:t>
      </w:r>
    </w:p>
    <w:tbl>
      <w:tblPr>
        <w:tblW w:type="pct" w:w="5000"/>
        <w:tblBorders>
          <w:top w:val="single" w:color="CBD5E1" w:sz="4"/>
          <w:left w:val="none"/>
          <w:bottom w:val="single" w:color="CBD5E1" w:sz="4"/>
          <w:right w:val="none"/>
          <w:insideH w:val="single" w:color="E2E8F0" w:sz="2"/>
          <w:insideV w:val="none"/>
        </w:tblBorders>
      </w:tblPr>
      <w:tblGrid>
        <w:gridCol w:w="1805"/>
        <w:gridCol w:w="1805"/>
        <w:gridCol w:w="1805"/>
        <w:gridCol w:w="1805"/>
        <w:gridCol w:w="1805"/>
      </w:tblGrid>
      <w:tr>
        <w:trPr>
          <w:tblHeader/>
        </w:trPr>
        <w:tc>
          <w:tcPr>
            <w:shd w:fill="F8FAFC" w:val="clear"/>
          </w:tcPr>
          <w:p>
            <w:pPr>
              <w:spacing w:after="80" w:before="80"/>
            </w:pPr>
            <w:r>
              <w:rPr>
                <w:b/>
                <w:bCs/>
                <w:color w:val="0F172A"/>
                <w:sz w:val="20"/>
                <w:szCs w:val="20"/>
              </w:rPr>
              <w:t xml:space="preserve">Test Objective</w:t>
            </w:r>
          </w:p>
        </w:tc>
        <w:tc>
          <w:tcPr>
            <w:shd w:fill="F8FAFC" w:val="clear"/>
          </w:tcPr>
          <w:p>
            <w:pPr>
              <w:spacing w:after="80" w:before="80"/>
            </w:pPr>
            <w:r>
              <w:rPr>
                <w:b/>
                <w:bCs/>
                <w:color w:val="0F172A"/>
                <w:sz w:val="20"/>
                <w:szCs w:val="20"/>
              </w:rPr>
              <w:t xml:space="preserve">Endpoint / Action</w:t>
            </w:r>
          </w:p>
        </w:tc>
        <w:tc>
          <w:tcPr>
            <w:shd w:fill="F8FAFC" w:val="clear"/>
          </w:tcPr>
          <w:p>
            <w:pPr>
              <w:spacing w:after="80" w:before="80"/>
            </w:pPr>
            <w:r>
              <w:rPr>
                <w:b/>
                <w:bCs/>
                <w:color w:val="0F172A"/>
                <w:sz w:val="20"/>
                <w:szCs w:val="20"/>
              </w:rPr>
              <w:t xml:space="preserve">Parameters</w:t>
            </w:r>
          </w:p>
        </w:tc>
        <w:tc>
          <w:tcPr>
            <w:shd w:fill="F8FAFC" w:val="clear"/>
          </w:tcPr>
          <w:p>
            <w:pPr>
              <w:spacing w:after="80" w:before="80"/>
            </w:pPr>
            <w:r>
              <w:rPr>
                <w:b/>
                <w:bCs/>
                <w:color w:val="0F172A"/>
                <w:sz w:val="20"/>
                <w:szCs w:val="20"/>
              </w:rPr>
              <w:t xml:space="preserve">Observed Latency</w:t>
            </w:r>
          </w:p>
        </w:tc>
        <w:tc>
          <w:tcPr>
            <w:shd w:fill="F8FAFC" w:val="clear"/>
          </w:tcPr>
          <w:p>
            <w:pPr>
              <w:spacing w:after="80" w:before="80"/>
            </w:pPr>
            <w:r>
              <w:rPr>
                <w:b/>
                <w:bCs/>
                <w:color w:val="0F172A"/>
                <w:sz w:val="20"/>
                <w:szCs w:val="20"/>
              </w:rPr>
              <w:t xml:space="preserve">Status</w:t>
            </w:r>
          </w:p>
        </w:tc>
      </w:tr>
      <w:tr>
        <w:trPr>
          <w:tblHeader w:val="off"/>
        </w:trPr>
        <w:tc>
          <w:p>
            <w:pPr>
              <w:spacing w:after="80" w:before="80"/>
            </w:pPr>
            <w:r>
              <w:rPr>
                <w:b w:val="false"/>
                <w:bCs w:val="false"/>
                <w:color w:val="334155"/>
                <w:sz w:val="19"/>
                <w:szCs w:val="19"/>
              </w:rPr>
              <w:t xml:space="preserve">User Authentication</w:t>
            </w:r>
          </w:p>
        </w:tc>
        <w:tc>
          <w:p>
            <w:pPr>
              <w:spacing w:after="80" w:before="80"/>
            </w:pPr>
            <w:r>
              <w:rPr>
                <w:b w:val="false"/>
                <w:bCs w:val="false"/>
                <w:color w:val="334155"/>
                <w:sz w:val="19"/>
                <w:szCs w:val="19"/>
              </w:rPr>
              <w:t xml:space="preserve">POST /api/auth/login</w:t>
            </w:r>
          </w:p>
        </w:tc>
        <w:tc>
          <w:p>
            <w:pPr>
              <w:spacing w:after="80" w:before="80"/>
            </w:pPr>
            <w:r>
              <w:rPr>
                <w:b w:val="false"/>
                <w:bCs w:val="false"/>
                <w:color w:val="334155"/>
                <w:sz w:val="19"/>
                <w:szCs w:val="19"/>
              </w:rPr>
              <w:t xml:space="preserve">Valid credentials</w:t>
            </w:r>
          </w:p>
        </w:tc>
        <w:tc>
          <w:p>
            <w:pPr>
              <w:spacing w:after="80" w:before="80"/>
            </w:pPr>
            <w:r>
              <w:rPr>
                <w:b w:val="false"/>
                <w:bCs w:val="false"/>
                <w:color w:val="334155"/>
                <w:sz w:val="19"/>
                <w:szCs w:val="19"/>
              </w:rPr>
              <w:t xml:space="preserve">42 ms</w:t>
            </w:r>
          </w:p>
        </w:tc>
        <w:tc>
          <w:p>
            <w:pPr>
              <w:spacing w:after="80" w:before="80"/>
            </w:pPr>
            <w:r>
              <w:rPr>
                <w:b w:val="false"/>
                <w:bCs w:val="false"/>
                <w:color w:val="334155"/>
                <w:sz w:val="19"/>
                <w:szCs w:val="19"/>
              </w:rPr>
              <w:t xml:space="preserve">PASSED</w:t>
            </w:r>
          </w:p>
        </w:tc>
      </w:tr>
      <w:tr>
        <w:trPr>
          <w:tblHeader w:val="off"/>
        </w:trPr>
        <w:tc>
          <w:p>
            <w:pPr>
              <w:spacing w:after="80" w:before="80"/>
            </w:pPr>
            <w:r>
              <w:rPr>
                <w:b w:val="false"/>
                <w:bCs w:val="false"/>
                <w:color w:val="334155"/>
                <w:sz w:val="19"/>
                <w:szCs w:val="19"/>
              </w:rPr>
              <w:t xml:space="preserve">Role-Based Access</w:t>
            </w:r>
          </w:p>
        </w:tc>
        <w:tc>
          <w:p>
            <w:pPr>
              <w:spacing w:after="80" w:before="80"/>
            </w:pPr>
            <w:r>
              <w:rPr>
                <w:b w:val="false"/>
                <w:bCs w:val="false"/>
                <w:color w:val="334155"/>
                <w:sz w:val="19"/>
                <w:szCs w:val="19"/>
              </w:rPr>
              <w:t xml:space="preserve">POST /api/subjects</w:t>
            </w:r>
          </w:p>
        </w:tc>
        <w:tc>
          <w:p>
            <w:pPr>
              <w:spacing w:after="80" w:before="80"/>
            </w:pPr>
            <w:r>
              <w:rPr>
                <w:b w:val="false"/>
                <w:bCs w:val="false"/>
                <w:color w:val="334155"/>
                <w:sz w:val="19"/>
                <w:szCs w:val="19"/>
              </w:rPr>
              <w:t xml:space="preserve">Bearer JWT (STUDENT)</w:t>
            </w:r>
          </w:p>
        </w:tc>
        <w:tc>
          <w:p>
            <w:pPr>
              <w:spacing w:after="80" w:before="80"/>
            </w:pPr>
            <w:r>
              <w:rPr>
                <w:b w:val="false"/>
                <w:bCs w:val="false"/>
                <w:color w:val="334155"/>
                <w:sz w:val="19"/>
                <w:szCs w:val="19"/>
              </w:rPr>
              <w:t xml:space="preserve">18 ms</w:t>
            </w:r>
          </w:p>
        </w:tc>
        <w:tc>
          <w:p>
            <w:pPr>
              <w:spacing w:after="80" w:before="80"/>
            </w:pPr>
            <w:r>
              <w:rPr>
                <w:b w:val="false"/>
                <w:bCs w:val="false"/>
                <w:color w:val="334155"/>
                <w:sz w:val="19"/>
                <w:szCs w:val="19"/>
              </w:rPr>
              <w:t xml:space="preserve">PASSED</w:t>
            </w:r>
          </w:p>
        </w:tc>
      </w:tr>
      <w:tr>
        <w:trPr>
          <w:tblHeader w:val="off"/>
        </w:trPr>
        <w:tc>
          <w:p>
            <w:pPr>
              <w:spacing w:after="80" w:before="80"/>
            </w:pPr>
            <w:r>
              <w:rPr>
                <w:b w:val="false"/>
                <w:bCs w:val="false"/>
                <w:color w:val="334155"/>
                <w:sz w:val="19"/>
                <w:szCs w:val="19"/>
              </w:rPr>
              <w:t xml:space="preserve">Static PDF Access</w:t>
            </w:r>
          </w:p>
        </w:tc>
        <w:tc>
          <w:p>
            <w:pPr>
              <w:spacing w:after="80" w:before="80"/>
            </w:pPr>
            <w:r>
              <w:rPr>
                <w:b w:val="false"/>
                <w:bCs w:val="false"/>
                <w:color w:val="334155"/>
                <w:sz w:val="19"/>
                <w:szCs w:val="19"/>
              </w:rPr>
              <w:t xml:space="preserve">GET /notes/*.pdf</w:t>
            </w:r>
          </w:p>
        </w:tc>
        <w:tc>
          <w:p>
            <w:pPr>
              <w:spacing w:after="80" w:before="80"/>
            </w:pPr>
            <w:r>
              <w:rPr>
                <w:b w:val="false"/>
                <w:bCs w:val="false"/>
                <w:color w:val="334155"/>
                <w:sz w:val="19"/>
                <w:szCs w:val="19"/>
              </w:rPr>
              <w:t xml:space="preserve">Direct HTTP GET</w:t>
            </w:r>
          </w:p>
        </w:tc>
        <w:tc>
          <w:p>
            <w:pPr>
              <w:spacing w:after="80" w:before="80"/>
            </w:pPr>
            <w:r>
              <w:rPr>
                <w:b w:val="false"/>
                <w:bCs w:val="false"/>
                <w:color w:val="334155"/>
                <w:sz w:val="19"/>
                <w:szCs w:val="19"/>
              </w:rPr>
              <w:t xml:space="preserve">11 ms</w:t>
            </w:r>
          </w:p>
        </w:tc>
        <w:tc>
          <w:p>
            <w:pPr>
              <w:spacing w:after="80" w:before="80"/>
            </w:pPr>
            <w:r>
              <w:rPr>
                <w:b w:val="false"/>
                <w:bCs w:val="false"/>
                <w:color w:val="334155"/>
                <w:sz w:val="19"/>
                <w:szCs w:val="19"/>
              </w:rPr>
              <w:t xml:space="preserve">PASSED</w:t>
            </w:r>
          </w:p>
        </w:tc>
      </w:tr>
      <w:tr>
        <w:trPr>
          <w:tblHeader w:val="off"/>
        </w:trPr>
        <w:tc>
          <w:p>
            <w:pPr>
              <w:spacing w:after="80" w:before="80"/>
            </w:pPr>
            <w:r>
              <w:rPr>
                <w:b w:val="false"/>
                <w:bCs w:val="false"/>
                <w:color w:val="334155"/>
                <w:sz w:val="19"/>
                <w:szCs w:val="19"/>
              </w:rPr>
              <w:t xml:space="preserve">Payload Masking</w:t>
            </w:r>
          </w:p>
        </w:tc>
        <w:tc>
          <w:p>
            <w:pPr>
              <w:spacing w:after="80" w:before="80"/>
            </w:pPr>
            <w:r>
              <w:rPr>
                <w:b w:val="false"/>
                <w:bCs w:val="false"/>
                <w:color w:val="334155"/>
                <w:sz w:val="19"/>
                <w:szCs w:val="19"/>
              </w:rPr>
              <w:t xml:space="preserve">GET /api/quizzes/{id}</w:t>
            </w:r>
          </w:p>
        </w:tc>
        <w:tc>
          <w:p>
            <w:pPr>
              <w:spacing w:after="80" w:before="80"/>
            </w:pPr>
            <w:r>
              <w:rPr>
                <w:b w:val="false"/>
                <w:bCs w:val="false"/>
                <w:color w:val="334155"/>
                <w:sz w:val="19"/>
                <w:szCs w:val="19"/>
              </w:rPr>
              <w:t xml:space="preserve">Quiz fetch</w:t>
            </w:r>
          </w:p>
        </w:tc>
        <w:tc>
          <w:p>
            <w:pPr>
              <w:spacing w:after="80" w:before="80"/>
            </w:pPr>
            <w:r>
              <w:rPr>
                <w:b w:val="false"/>
                <w:bCs w:val="false"/>
                <w:color w:val="334155"/>
                <w:sz w:val="19"/>
                <w:szCs w:val="19"/>
              </w:rPr>
              <w:t xml:space="preserve">21 ms</w:t>
            </w:r>
          </w:p>
        </w:tc>
        <w:tc>
          <w:p>
            <w:pPr>
              <w:spacing w:after="80" w:before="80"/>
            </w:pPr>
            <w:r>
              <w:rPr>
                <w:b w:val="false"/>
                <w:bCs w:val="false"/>
                <w:color w:val="334155"/>
                <w:sz w:val="19"/>
                <w:szCs w:val="19"/>
              </w:rPr>
              <w:t xml:space="preserve">PASSED</w:t>
            </w:r>
          </w:p>
        </w:tc>
      </w:tr>
      <w:tr>
        <w:trPr>
          <w:tblHeader w:val="off"/>
        </w:trPr>
        <w:tc>
          <w:p>
            <w:pPr>
              <w:spacing w:after="80" w:before="80"/>
            </w:pPr>
            <w:r>
              <w:rPr>
                <w:b w:val="false"/>
                <w:bCs w:val="false"/>
                <w:color w:val="334155"/>
                <w:sz w:val="19"/>
                <w:szCs w:val="19"/>
              </w:rPr>
              <w:t xml:space="preserve">Chapter Quiz Fetch</w:t>
            </w:r>
          </w:p>
        </w:tc>
        <w:tc>
          <w:p>
            <w:pPr>
              <w:spacing w:after="80" w:before="80"/>
            </w:pPr>
            <w:r>
              <w:rPr>
                <w:b w:val="false"/>
                <w:bCs w:val="false"/>
                <w:color w:val="334155"/>
                <w:sz w:val="19"/>
                <w:szCs w:val="19"/>
              </w:rPr>
              <w:t xml:space="preserve">GET /api/quizzes/chapter/1</w:t>
            </w:r>
          </w:p>
        </w:tc>
        <w:tc>
          <w:p>
            <w:pPr>
              <w:spacing w:after="80" w:before="80"/>
            </w:pPr>
            <w:r>
              <w:rPr>
                <w:b w:val="false"/>
                <w:bCs w:val="false"/>
                <w:color w:val="334155"/>
                <w:sz w:val="19"/>
                <w:szCs w:val="19"/>
              </w:rPr>
              <w:t xml:space="preserve">chapterId = 1</w:t>
            </w:r>
          </w:p>
        </w:tc>
        <w:tc>
          <w:p>
            <w:pPr>
              <w:spacing w:after="80" w:before="80"/>
            </w:pPr>
            <w:r>
              <w:rPr>
                <w:b w:val="false"/>
                <w:bCs w:val="false"/>
                <w:color w:val="334155"/>
                <w:sz w:val="19"/>
                <w:szCs w:val="19"/>
              </w:rPr>
              <w:t xml:space="preserve">19 ms</w:t>
            </w:r>
          </w:p>
        </w:tc>
        <w:tc>
          <w:p>
            <w:pPr>
              <w:spacing w:after="80" w:before="80"/>
            </w:pPr>
            <w:r>
              <w:rPr>
                <w:b w:val="false"/>
                <w:bCs w:val="false"/>
                <w:color w:val="334155"/>
                <w:sz w:val="19"/>
                <w:szCs w:val="19"/>
              </w:rPr>
              <w:t xml:space="preserve">PASSED</w:t>
            </w:r>
          </w:p>
        </w:tc>
      </w:tr>
      <w:tr>
        <w:trPr>
          <w:tblHeader w:val="off"/>
        </w:trPr>
        <w:tc>
          <w:p>
            <w:pPr>
              <w:spacing w:after="80" w:before="80"/>
            </w:pPr>
            <w:r>
              <w:rPr>
                <w:b w:val="false"/>
                <w:bCs w:val="false"/>
                <w:color w:val="334155"/>
                <w:sz w:val="19"/>
                <w:szCs w:val="19"/>
              </w:rPr>
              <w:t xml:space="preserve">Server Evaluation</w:t>
            </w:r>
          </w:p>
        </w:tc>
        <w:tc>
          <w:p>
            <w:pPr>
              <w:spacing w:after="80" w:before="80"/>
            </w:pPr>
            <w:r>
              <w:rPr>
                <w:b w:val="false"/>
                <w:bCs w:val="false"/>
                <w:color w:val="334155"/>
                <w:sz w:val="19"/>
                <w:szCs w:val="19"/>
              </w:rPr>
              <w:t xml:space="preserve">POST /api/quizzes/{id}/submit</w:t>
            </w:r>
          </w:p>
        </w:tc>
        <w:tc>
          <w:p>
            <w:pPr>
              <w:spacing w:after="80" w:before="80"/>
            </w:pPr>
            <w:r>
              <w:rPr>
                <w:b w:val="false"/>
                <w:bCs w:val="false"/>
                <w:color w:val="334155"/>
                <w:sz w:val="19"/>
                <w:szCs w:val="19"/>
              </w:rPr>
              <w:t xml:space="preserve">5/5 correct answers</w:t>
            </w:r>
          </w:p>
        </w:tc>
        <w:tc>
          <w:p>
            <w:pPr>
              <w:spacing w:after="80" w:before="80"/>
            </w:pPr>
            <w:r>
              <w:rPr>
                <w:b w:val="false"/>
                <w:bCs w:val="false"/>
                <w:color w:val="334155"/>
                <w:sz w:val="19"/>
                <w:szCs w:val="19"/>
              </w:rPr>
              <w:t xml:space="preserve">31 ms</w:t>
            </w:r>
          </w:p>
        </w:tc>
        <w:tc>
          <w:p>
            <w:pPr>
              <w:spacing w:after="80" w:before="80"/>
            </w:pPr>
            <w:r>
              <w:rPr>
                <w:b w:val="false"/>
                <w:bCs w:val="false"/>
                <w:color w:val="334155"/>
                <w:sz w:val="19"/>
                <w:szCs w:val="19"/>
              </w:rPr>
              <w:t xml:space="preserve">PASSED</w:t>
            </w:r>
          </w:p>
        </w:tc>
      </w:tr>
      <w:tr>
        <w:trPr>
          <w:tblHeader w:val="off"/>
        </w:trPr>
        <w:tc>
          <w:p>
            <w:pPr>
              <w:spacing w:after="80" w:before="80"/>
            </w:pPr>
            <w:r>
              <w:rPr>
                <w:b w:val="false"/>
                <w:bCs w:val="false"/>
                <w:color w:val="334155"/>
                <w:sz w:val="19"/>
                <w:szCs w:val="19"/>
              </w:rPr>
              <w:t xml:space="preserve">XP Accumulation</w:t>
            </w:r>
          </w:p>
        </w:tc>
        <w:tc>
          <w:p>
            <w:pPr>
              <w:spacing w:after="80" w:before="80"/>
            </w:pPr>
            <w:r>
              <w:rPr>
                <w:b w:val="false"/>
                <w:bCs w:val="false"/>
                <w:color w:val="334155"/>
                <w:sz w:val="19"/>
                <w:szCs w:val="19"/>
              </w:rPr>
              <w:t xml:space="preserve">GET /api/gamification/me</w:t>
            </w:r>
          </w:p>
        </w:tc>
        <w:tc>
          <w:p>
            <w:pPr>
              <w:spacing w:after="80" w:before="80"/>
            </w:pPr>
            <w:r>
              <w:rPr>
                <w:b w:val="false"/>
                <w:bCs w:val="false"/>
                <w:color w:val="334155"/>
                <w:sz w:val="19"/>
                <w:szCs w:val="19"/>
              </w:rPr>
              <w:t xml:space="preserve">Post-submission</w:t>
            </w:r>
          </w:p>
        </w:tc>
        <w:tc>
          <w:p>
            <w:pPr>
              <w:spacing w:after="80" w:before="80"/>
            </w:pPr>
            <w:r>
              <w:rPr>
                <w:b w:val="false"/>
                <w:bCs w:val="false"/>
                <w:color w:val="334155"/>
                <w:sz w:val="19"/>
                <w:szCs w:val="19"/>
              </w:rPr>
              <w:t xml:space="preserve">14 ms</w:t>
            </w:r>
          </w:p>
        </w:tc>
        <w:tc>
          <w:p>
            <w:pPr>
              <w:spacing w:after="80" w:before="80"/>
            </w:pPr>
            <w:r>
              <w:rPr>
                <w:b w:val="false"/>
                <w:bCs w:val="false"/>
                <w:color w:val="334155"/>
                <w:sz w:val="19"/>
                <w:szCs w:val="19"/>
              </w:rPr>
              <w:t xml:space="preserve">PASSED</w:t>
            </w:r>
          </w:p>
        </w:tc>
      </w:tr>
      <w:tr>
        <w:trPr>
          <w:tblHeader w:val="off"/>
        </w:trPr>
        <w:tc>
          <w:p>
            <w:pPr>
              <w:spacing w:after="80" w:before="80"/>
            </w:pPr>
            <w:r>
              <w:rPr>
                <w:b w:val="false"/>
                <w:bCs w:val="false"/>
                <w:color w:val="334155"/>
                <w:sz w:val="19"/>
                <w:szCs w:val="19"/>
              </w:rPr>
              <w:t xml:space="preserve">Badge Verification</w:t>
            </w:r>
          </w:p>
        </w:tc>
        <w:tc>
          <w:p>
            <w:pPr>
              <w:spacing w:after="80" w:before="80"/>
            </w:pPr>
            <w:r>
              <w:rPr>
                <w:b w:val="false"/>
                <w:bCs w:val="false"/>
                <w:color w:val="334155"/>
                <w:sz w:val="19"/>
                <w:szCs w:val="19"/>
              </w:rPr>
              <w:t xml:space="preserve">GET /api/gamification/badges</w:t>
            </w:r>
          </w:p>
        </w:tc>
        <w:tc>
          <w:p>
            <w:pPr>
              <w:spacing w:after="80" w:before="80"/>
            </w:pPr>
            <w:r>
              <w:rPr>
                <w:b w:val="false"/>
                <w:bCs w:val="false"/>
                <w:color w:val="334155"/>
                <w:sz w:val="19"/>
                <w:szCs w:val="19"/>
              </w:rPr>
              <w:t xml:space="preserve">Audit-evaluated</w:t>
            </w:r>
          </w:p>
        </w:tc>
        <w:tc>
          <w:p>
            <w:pPr>
              <w:spacing w:after="80" w:before="80"/>
            </w:pPr>
            <w:r>
              <w:rPr>
                <w:b w:val="false"/>
                <w:bCs w:val="false"/>
                <w:color w:val="334155"/>
                <w:sz w:val="19"/>
                <w:szCs w:val="19"/>
              </w:rPr>
              <w:t xml:space="preserve">17 ms</w:t>
            </w:r>
          </w:p>
        </w:tc>
        <w:tc>
          <w:p>
            <w:pPr>
              <w:spacing w:after="80" w:before="80"/>
            </w:pPr>
            <w:r>
              <w:rPr>
                <w:b w:val="false"/>
                <w:bCs w:val="false"/>
                <w:color w:val="334155"/>
                <w:sz w:val="19"/>
                <w:szCs w:val="19"/>
              </w:rPr>
              <w:t xml:space="preserve">PASSED</w:t>
            </w:r>
          </w:p>
        </w:tc>
      </w:tr>
      <w:tr>
        <w:trPr>
          <w:tblHeader w:val="off"/>
        </w:trPr>
        <w:tc>
          <w:p>
            <w:pPr>
              <w:spacing w:after="80" w:before="80"/>
            </w:pPr>
            <w:r>
              <w:rPr>
                <w:b w:val="false"/>
                <w:bCs w:val="false"/>
                <w:color w:val="334155"/>
                <w:sz w:val="19"/>
                <w:szCs w:val="19"/>
              </w:rPr>
              <w:t xml:space="preserve">Recommendation Exec</w:t>
            </w:r>
          </w:p>
        </w:tc>
        <w:tc>
          <w:p>
            <w:pPr>
              <w:spacing w:after="80" w:before="80"/>
            </w:pPr>
            <w:r>
              <w:rPr>
                <w:b w:val="false"/>
                <w:bCs w:val="false"/>
                <w:color w:val="334155"/>
                <w:sz w:val="19"/>
                <w:szCs w:val="19"/>
              </w:rPr>
              <w:t xml:space="preserve">GET /api/recommendations/me</w:t>
            </w:r>
          </w:p>
        </w:tc>
        <w:tc>
          <w:p>
            <w:pPr>
              <w:spacing w:after="80" w:before="80"/>
            </w:pPr>
            <w:r>
              <w:rPr>
                <w:b w:val="false"/>
                <w:bCs w:val="false"/>
                <w:color w:val="334155"/>
                <w:sz w:val="19"/>
                <w:szCs w:val="19"/>
              </w:rPr>
              <w:t xml:space="preserve">Evaluated rule route</w:t>
            </w:r>
          </w:p>
        </w:tc>
        <w:tc>
          <w:p>
            <w:pPr>
              <w:spacing w:after="80" w:before="80"/>
            </w:pPr>
            <w:r>
              <w:rPr>
                <w:b w:val="false"/>
                <w:bCs w:val="false"/>
                <w:color w:val="334155"/>
                <w:sz w:val="19"/>
                <w:szCs w:val="19"/>
              </w:rPr>
              <w:t xml:space="preserve">22 ms</w:t>
            </w:r>
          </w:p>
        </w:tc>
        <w:tc>
          <w:p>
            <w:pPr>
              <w:spacing w:after="80" w:before="80"/>
            </w:pPr>
            <w:r>
              <w:rPr>
                <w:b w:val="false"/>
                <w:bCs w:val="false"/>
                <w:color w:val="334155"/>
                <w:sz w:val="19"/>
                <w:szCs w:val="19"/>
              </w:rPr>
              <w:t xml:space="preserve">PASSED</w:t>
            </w:r>
          </w:p>
        </w:tc>
      </w:tr>
      <w:tr>
        <w:trPr>
          <w:tblHeader w:val="off"/>
        </w:trPr>
        <w:tc>
          <w:p>
            <w:pPr>
              <w:spacing w:after="80" w:before="80"/>
            </w:pPr>
            <w:r>
              <w:rPr>
                <w:b w:val="false"/>
                <w:bCs w:val="false"/>
                <w:color w:val="334155"/>
                <w:sz w:val="19"/>
                <w:szCs w:val="19"/>
              </w:rPr>
              <w:t xml:space="preserve">Frontend Build</w:t>
            </w:r>
          </w:p>
        </w:tc>
        <w:tc>
          <w:p>
            <w:pPr>
              <w:spacing w:after="80" w:before="80"/>
            </w:pPr>
            <w:r>
              <w:rPr>
                <w:b w:val="false"/>
                <w:bCs w:val="false"/>
                <w:color w:val="334155"/>
                <w:sz w:val="19"/>
                <w:szCs w:val="19"/>
              </w:rPr>
              <w:t xml:space="preserve">npm run build</w:t>
            </w:r>
          </w:p>
        </w:tc>
        <w:tc>
          <w:p>
            <w:pPr>
              <w:spacing w:after="80" w:before="80"/>
            </w:pPr>
            <w:r>
              <w:rPr>
                <w:b w:val="false"/>
                <w:bCs w:val="false"/>
                <w:color w:val="334155"/>
                <w:sz w:val="19"/>
                <w:szCs w:val="19"/>
              </w:rPr>
              <w:t xml:space="preserve">Vite 8 + React 19</w:t>
            </w:r>
          </w:p>
        </w:tc>
        <w:tc>
          <w:p>
            <w:pPr>
              <w:spacing w:after="80" w:before="80"/>
            </w:pPr>
            <w:r>
              <w:rPr>
                <w:b w:val="false"/>
                <w:bCs w:val="false"/>
                <w:color w:val="334155"/>
                <w:sz w:val="19"/>
                <w:szCs w:val="19"/>
              </w:rPr>
              <w:t xml:space="preserve">711 ms</w:t>
            </w:r>
          </w:p>
        </w:tc>
        <w:tc>
          <w:p>
            <w:pPr>
              <w:spacing w:after="80" w:before="80"/>
            </w:pPr>
            <w:r>
              <w:rPr>
                <w:b w:val="false"/>
                <w:bCs w:val="false"/>
                <w:color w:val="334155"/>
                <w:sz w:val="19"/>
                <w:szCs w:val="19"/>
              </w:rPr>
              <w:t xml:space="preserve">PASSED</w:t>
            </w:r>
          </w:p>
        </w:tc>
      </w:tr>
      <w:tr>
        <w:trPr>
          <w:tblHeader w:val="off"/>
        </w:trPr>
        <w:tc>
          <w:p>
            <w:pPr>
              <w:spacing w:after="80" w:before="80"/>
            </w:pPr>
            <w:r>
              <w:rPr>
                <w:b w:val="false"/>
                <w:bCs w:val="false"/>
                <w:color w:val="334155"/>
                <w:sz w:val="19"/>
                <w:szCs w:val="19"/>
              </w:rPr>
              <w:t xml:space="preserve">Backend Build</w:t>
            </w:r>
          </w:p>
        </w:tc>
        <w:tc>
          <w:p>
            <w:pPr>
              <w:spacing w:after="80" w:before="80"/>
            </w:pPr>
            <w:r>
              <w:rPr>
                <w:b w:val="false"/>
                <w:bCs w:val="false"/>
                <w:color w:val="334155"/>
                <w:sz w:val="19"/>
                <w:szCs w:val="19"/>
              </w:rPr>
              <w:t xml:space="preserve">mvnw compile</w:t>
            </w:r>
          </w:p>
        </w:tc>
        <w:tc>
          <w:p>
            <w:pPr>
              <w:spacing w:after="80" w:before="80"/>
            </w:pPr>
            <w:r>
              <w:rPr>
                <w:b w:val="false"/>
                <w:bCs w:val="false"/>
                <w:color w:val="334155"/>
                <w:sz w:val="19"/>
                <w:szCs w:val="19"/>
              </w:rPr>
              <w:t xml:space="preserve">Java 21 / Maven</w:t>
            </w:r>
          </w:p>
        </w:tc>
        <w:tc>
          <w:p>
            <w:pPr>
              <w:spacing w:after="80" w:before="80"/>
            </w:pPr>
            <w:r>
              <w:rPr>
                <w:b w:val="false"/>
                <w:bCs w:val="false"/>
                <w:color w:val="334155"/>
                <w:sz w:val="19"/>
                <w:szCs w:val="19"/>
              </w:rPr>
              <w:t xml:space="preserve">3.3 s</w:t>
            </w:r>
          </w:p>
        </w:tc>
        <w:tc>
          <w:p>
            <w:pPr>
              <w:spacing w:after="80" w:before="80"/>
            </w:pPr>
            <w:r>
              <w:rPr>
                <w:b w:val="false"/>
                <w:bCs w:val="false"/>
                <w:color w:val="334155"/>
                <w:sz w:val="19"/>
                <w:szCs w:val="19"/>
              </w:rPr>
              <w:t xml:space="preserve">PASSED</w:t>
            </w:r>
          </w:p>
        </w:tc>
      </w:tr>
    </w:tbl>
    <w:p>
      <w:pPr>
        <w:pStyle w:val="Heading2"/>
        <w:spacing w:after="100" w:before="250"/>
      </w:pPr>
      <w:r>
        <w:rPr>
          <w:b/>
          <w:bCs/>
          <w:color w:val="1E293B"/>
          <w:sz w:val="24"/>
          <w:szCs w:val="24"/>
        </w:rPr>
        <w:t xml:space="preserve">C. Discussion &amp; Pedagogical Implications</w:t>
      </w:r>
    </w:p>
    <w:p>
      <w:r>
        <w:t xml:space="preserve">The empirical evaluation demonstrates three key pedagogical advantages:
1. Deterministic Accountability: In contrast to conversational AI tutors that suffer from stochastic outputs and unpredictable guidance, our rule-based recommendation model guarantees that every student with a sub-60% score receives immediate, verifiable guidance directly linked to existing university lecture notes.
2. Elimination of Assessment Gaming: By combining client-side payload answer masking with server-side transaction evaluation, students cannot inspect network payloads to harvest answers, restoring assessment integrity.
3. Sustained Student Motivation: The verifiable gamification framework grounds all points, badges, and levels in immutable historical attempts, preventing client-side reward manipulation and fostering genuine academic engagement.</w:t>
      </w:r>
    </w:p>
    <w:p>
      <w:pPr>
        <w:pStyle w:val="Heading1"/>
        <w:spacing w:after="150" w:before="300"/>
      </w:pPr>
      <w:r>
        <w:rPr>
          <w:b/>
          <w:bCs/>
          <w:color w:val="0F172A"/>
          <w:sz w:val="28"/>
          <w:szCs w:val="28"/>
        </w:rPr>
        <w:t xml:space="preserve">V. CONCLUSION &amp; FUTURE ROADMAP</w:t>
      </w:r>
    </w:p>
    <w:p>
      <w:r>
        <w:t xml:space="preserve">This research paper presented the architectural design, formal mathematical modeling, implementation, and empirical verification of an Intelligent Gamified Learning Platform. By integrating a standardized curriculum across four core subjects (12 chapters, 36 learning resources, 36 chapter quizzes, 264 questions) with a transparent recommendation engine and a verifiable gamification framework, the platform demonstrates a secure, production-ready educational system.
Future Roadmap:
1. Bayesian Knowledge Tracing (BKT): Transitioning from aggregate quiz scores to probabilistic hidden Markov models tracking latent knowledge states for fine-grained sub-concepts.
2. Socratic AI Conversational Agents: Integrating localized, privacy-preserving Large Language Models to deliver interactive Socratic guidance and hints without exposing answers.
3. Cloud Binary Storage (S3 / MinIO): Extending the material management subsystem to support direct multipart binary file uploads and streaming video transcoding.</w:t>
      </w:r>
    </w:p>
    <w:p>
      <w:pPr>
        <w:pStyle w:val="Heading1"/>
        <w:spacing w:after="150" w:before="300"/>
      </w:pPr>
      <w:r>
        <w:rPr>
          <w:b/>
          <w:bCs/>
          <w:color w:val="0F172A"/>
          <w:sz w:val="28"/>
          <w:szCs w:val="28"/>
        </w:rPr>
        <w:t xml:space="preserve">REFERENCES</w:t>
      </w:r>
    </w:p>
    <w:p>
      <w:pPr>
        <w:spacing w:after="60" w:before="60"/>
      </w:pPr>
      <w:r>
        <w:rPr>
          <w:sz w:val="19"/>
          <w:szCs w:val="19"/>
        </w:rPr>
        <w:t xml:space="preserve">[1] E. L. Deci and R. M. Ryan, 'The "what" and "why" of goal pursuits: Human needs and the self-determination of behavior,' Psychological Inquiry, vol. 11, no. 4, pp. 227–268, 2000.</w:t>
      </w:r>
    </w:p>
    <w:p>
      <w:pPr>
        <w:spacing w:after="60" w:before="60"/>
      </w:pPr>
      <w:r>
        <w:rPr>
          <w:sz w:val="19"/>
          <w:szCs w:val="19"/>
        </w:rPr>
        <w:t xml:space="preserve">[2] S. Deterding, D. Dixon, R. Khaled, and L. Nacke, 'From game design elements to gamefulness: defining "gamification",' in Proc. 15th Int. Academic MindTrek Conf., 2011, pp. 9–15.</w:t>
      </w:r>
    </w:p>
    <w:p>
      <w:pPr>
        <w:spacing w:after="60" w:before="60"/>
      </w:pPr>
      <w:r>
        <w:rPr>
          <w:sz w:val="19"/>
          <w:szCs w:val="19"/>
        </w:rPr>
        <w:t xml:space="preserve">[3] J. Hamari, J. Koivisto, and H. Sarsa, 'Does gamification work? — A literature review of empirical studies on gamification,' in Proc. 47th Hawaii Int. Conf. System Sciences, 2014, pp. 3025–3034.</w:t>
      </w:r>
    </w:p>
    <w:p>
      <w:pPr>
        <w:spacing w:after="60" w:before="60"/>
      </w:pPr>
      <w:r>
        <w:rPr>
          <w:sz w:val="19"/>
          <w:szCs w:val="19"/>
        </w:rPr>
        <w:t xml:space="preserve">[4] N. Manouselis, H. Drachsler, K. Verbert, and O. C. Santos, Recommender Systems for Technology Enhanced Learning: Research Advances and Promising Trends, New York, NY, USA: Springer, 2014.</w:t>
      </w:r>
    </w:p>
    <w:p>
      <w:pPr>
        <w:spacing w:after="60" w:before="60"/>
      </w:pPr>
      <w:r>
        <w:rPr>
          <w:sz w:val="19"/>
          <w:szCs w:val="19"/>
        </w:rPr>
        <w:t xml:space="preserve">[5] P. Brusilovsky and C. Peylo, 'Adaptive and intelligent Web-based educational systems,' Int. J. Artif. Intell. Educ., vol. 13, no. 2-4, pp. 159–172, 2003.</w:t>
      </w:r>
    </w:p>
    <w:p>
      <w:pPr>
        <w:spacing w:after="60" w:before="60"/>
      </w:pPr>
      <w:r>
        <w:rPr>
          <w:sz w:val="19"/>
          <w:szCs w:val="19"/>
        </w:rPr>
        <w:t xml:space="preserve">[6] A. T. Corbett and J. R. Anderson, 'Knowledge tracing: Modeling the acquisition of procedural knowledge,' User Model. User-Adapt. Interact., vol. 4, no. 4, pp. 253–278, 1994.</w:t>
      </w:r>
    </w:p>
    <w:p>
      <w:pPr>
        <w:spacing w:after="60" w:before="60"/>
      </w:pPr>
      <w:r>
        <w:rPr>
          <w:sz w:val="19"/>
          <w:szCs w:val="19"/>
        </w:rPr>
        <w:t xml:space="preserve">[7] VMware Tanzu, Spring Boot Reference Documentation (v3.4), 2024. [Online]. Available: https://docs.spring.io/spring-boot/</w:t>
      </w:r>
    </w:p>
    <w:p>
      <w:pPr>
        <w:spacing w:after="60" w:before="60"/>
      </w:pPr>
      <w:r>
        <w:rPr>
          <w:sz w:val="19"/>
          <w:szCs w:val="19"/>
        </w:rPr>
        <w:t xml:space="preserve">[8] Meta Open Source, React 19 Documentation, 2025. [Online]. Available: https://react.dev/</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11827"/>
        <w:sz w:val="22"/>
        <w:szCs w:val="22"/>
      </w:rPr>
    </w:rPrDefault>
    <w:pPrDefault>
      <w:pPr>
        <w:spacing w:after="100" w:before="10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2026-10-19T14:30:18.844Z</dcterms:created>
  <dcterms:modified xsi:type="dcterms:W3CDTF">2026-10-19T14:30:18.845Z</dcterms:modified>
</cp:coreProperties>
</file>

<file path=docProps/custom.xml><?xml version="1.0" encoding="utf-8"?>
<Properties xmlns="http://schemas.openxmlformats.org/officeDocument/2006/custom-properties" xmlns:vt="http://schemas.openxmlformats.org/officeDocument/2006/docPropsVTypes"/>
</file>