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i/>
          <w:color w:val="64748B"/>
          <w:sz w:val="18"/>
        </w:rPr>
        <w:t>DISCLAIMER: This document is a template only and does not constitute legal advice. Synvoric recommends review by qualified legal counsel before execution.</w:t>
      </w:r>
    </w:p>
    <w:p>
      <w:pPr>
        <w:jc w:val="center"/>
      </w:pPr>
      <w:r>
        <w:rPr>
          <w:b/>
          <w:color w:val="051C2C"/>
          <w:sz w:val="36"/>
        </w:rPr>
        <w:t>MASTER SERVICE AGREEMENT</w:t>
      </w:r>
    </w:p>
    <w:p>
      <w:pPr>
        <w:spacing w:after="120"/>
      </w:pPr>
      <w:r>
        <w:rPr>
          <w:rFonts w:ascii="Calibri" w:hAnsi="Calibri"/>
          <w:b w:val="0"/>
          <w:sz w:val="22"/>
        </w:rPr>
        <w:t>Effective Date: [EFFECTIVE DATE]</w:t>
      </w:r>
    </w:p>
    <w:p>
      <w:pPr>
        <w:spacing w:after="120"/>
      </w:pPr>
      <w:r>
        <w:rPr>
          <w:rFonts w:ascii="Calibri" w:hAnsi="Calibri"/>
          <w:b w:val="0"/>
          <w:sz w:val="22"/>
        </w:rPr>
        <w:t>This Master Service Agreement ("Agreement") is entered into between:</w:t>
      </w:r>
    </w:p>
    <w:p>
      <w:pPr>
        <w:spacing w:after="120"/>
      </w:pPr>
      <w:r>
        <w:rPr>
          <w:rFonts w:ascii="Calibri" w:hAnsi="Calibri"/>
          <w:b/>
          <w:sz w:val="22"/>
        </w:rPr>
        <w:t>Provider: Synvoric ("Synvoric", "Provider", "we")</w:t>
      </w:r>
    </w:p>
    <w:p>
      <w:pPr>
        <w:spacing w:after="120"/>
      </w:pPr>
      <w:r>
        <w:rPr>
          <w:rFonts w:ascii="Calibri" w:hAnsi="Calibri"/>
          <w:b w:val="0"/>
          <w:sz w:val="22"/>
        </w:rPr>
        <w:t>Contact: palak.agrawal@synvoric.com  ·  www.synvoric.com</w:t>
      </w:r>
    </w:p>
    <w:p>
      <w:pPr>
        <w:spacing w:after="120"/>
      </w:pPr>
      <w:r>
        <w:rPr>
          <w:rFonts w:ascii="Calibri" w:hAnsi="Calibri"/>
          <w:b/>
          <w:sz w:val="22"/>
        </w:rPr>
        <w:t>Client: [CLIENT COMPANY NAME] ("Client", "you")</w:t>
      </w:r>
    </w:p>
    <w:p>
      <w:pPr>
        <w:spacing w:after="120"/>
      </w:pPr>
      <w:r>
        <w:rPr>
          <w:rFonts w:ascii="Calibri" w:hAnsi="Calibri"/>
          <w:b w:val="0"/>
          <w:sz w:val="22"/>
        </w:rPr>
        <w:t>Address: [CLIENT ADDRESS]</w:t>
      </w:r>
    </w:p>
    <w:p>
      <w:pPr>
        <w:spacing w:after="120"/>
      </w:pPr>
      <w:r>
        <w:rPr>
          <w:rFonts w:ascii="Calibri" w:hAnsi="Calibri"/>
          <w:b w:val="0"/>
          <w:sz w:val="22"/>
        </w:rPr>
        <w:t>Synvoric and Client are each a "Party" and collectively the "Parties."</w:t>
      </w:r>
    </w:p>
    <w:p>
      <w:pPr>
        <w:pStyle w:val="Heading2"/>
      </w:pPr>
      <w:r>
        <w:rPr>
          <w:color w:val="051C2C"/>
        </w:rPr>
        <w:t>1. Services</w:t>
      </w:r>
    </w:p>
    <w:p>
      <w:pPr>
        <w:spacing w:after="120"/>
      </w:pPr>
      <w:r>
        <w:rPr>
          <w:rFonts w:ascii="Calibri" w:hAnsi="Calibri"/>
          <w:b w:val="0"/>
          <w:sz w:val="22"/>
        </w:rPr>
        <w:t>Synvoric shall provide IT staffing, staff augmentation, dedicated development teams, and/or software development services ("Services") as described in one or more Statements of Work ("SOW") or work orders executed under this Agreement.</w:t>
      </w:r>
    </w:p>
    <w:p>
      <w:pPr>
        <w:spacing w:after="120"/>
      </w:pPr>
      <w:r>
        <w:rPr>
          <w:rFonts w:ascii="Calibri" w:hAnsi="Calibri"/>
          <w:b w:val="0"/>
          <w:sz w:val="22"/>
        </w:rPr>
        <w:t>Each SOW shall specify scope, deliverables, team composition, rates, and timeline. In case of conflict, the SOW prevails over this Agreement for that engagement.</w:t>
      </w:r>
    </w:p>
    <w:p>
      <w:pPr>
        <w:pStyle w:val="Heading2"/>
      </w:pPr>
      <w:r>
        <w:rPr>
          <w:color w:val="051C2C"/>
        </w:rPr>
        <w:t>2. Term</w:t>
      </w:r>
    </w:p>
    <w:p>
      <w:pPr>
        <w:spacing w:after="120"/>
      </w:pPr>
      <w:r>
        <w:rPr>
          <w:rFonts w:ascii="Calibri" w:hAnsi="Calibri"/>
          <w:b w:val="0"/>
          <w:sz w:val="22"/>
        </w:rPr>
        <w:t>This Agreement commences on the Effective Date and continues until terminated in accordance with Section 12.</w:t>
      </w:r>
    </w:p>
    <w:p>
      <w:pPr>
        <w:spacing w:after="120"/>
      </w:pPr>
      <w:r>
        <w:rPr>
          <w:rFonts w:ascii="Calibri" w:hAnsi="Calibri"/>
          <w:b w:val="0"/>
          <w:sz w:val="22"/>
        </w:rPr>
        <w:t>Individual SOWs may specify their own term within the life of this Agreement.</w:t>
      </w:r>
    </w:p>
    <w:p>
      <w:pPr>
        <w:pStyle w:val="Heading2"/>
      </w:pPr>
      <w:r>
        <w:rPr>
          <w:color w:val="051C2C"/>
        </w:rPr>
        <w:t>3. Fees &amp; Payment</w:t>
      </w:r>
    </w:p>
    <w:p>
      <w:pPr>
        <w:spacing w:after="120"/>
      </w:pPr>
      <w:r>
        <w:rPr>
          <w:rFonts w:ascii="Calibri" w:hAnsi="Calibri"/>
          <w:b w:val="0"/>
          <w:sz w:val="22"/>
        </w:rPr>
        <w:t>Client shall pay fees as set forth in the applicable SOW. Unless otherwise stated, fees are billed monthly in arrears.</w:t>
      </w:r>
    </w:p>
    <w:p>
      <w:pPr>
        <w:spacing w:after="120"/>
      </w:pPr>
      <w:r>
        <w:rPr>
          <w:rFonts w:ascii="Calibri" w:hAnsi="Calibri"/>
          <w:b w:val="0"/>
          <w:sz w:val="22"/>
        </w:rPr>
        <w:t>Invoices are due within [15/30] days of receipt. Late payments accrue interest at [1.5]% per month or the maximum permitted by law.</w:t>
      </w:r>
    </w:p>
    <w:p>
      <w:pPr>
        <w:spacing w:after="120"/>
      </w:pPr>
      <w:r>
        <w:rPr>
          <w:rFonts w:ascii="Calibri" w:hAnsi="Calibri"/>
          <w:b w:val="0"/>
          <w:sz w:val="22"/>
        </w:rPr>
        <w:t>Client shall reimburse pre-approved out-of-pocket expenses with supporting documentation.</w:t>
      </w:r>
    </w:p>
    <w:p>
      <w:pPr>
        <w:spacing w:after="120"/>
      </w:pPr>
      <w:r>
        <w:rPr>
          <w:rFonts w:ascii="Calibri" w:hAnsi="Calibri"/>
          <w:b w:val="0"/>
          <w:sz w:val="22"/>
        </w:rPr>
        <w:t>All fees are exclusive of applicable taxes, duties, and withholdings, which Client shall bear unless Synvoric is required by law to collect them.</w:t>
      </w:r>
    </w:p>
    <w:p>
      <w:pPr>
        <w:spacing w:after="120"/>
      </w:pPr>
      <w:r>
        <w:rPr>
          <w:rFonts w:ascii="Calibri" w:hAnsi="Calibri"/>
          <w:b w:val="0"/>
          <w:sz w:val="22"/>
        </w:rPr>
        <w:t>Synvoric may suspend Services for overdue amounts exceeding [30] days after written notice.</w:t>
      </w:r>
    </w:p>
    <w:p>
      <w:pPr>
        <w:pStyle w:val="Heading2"/>
      </w:pPr>
      <w:r>
        <w:rPr>
          <w:color w:val="051C2C"/>
        </w:rPr>
        <w:t>4. Client Responsibilities</w:t>
      </w:r>
    </w:p>
    <w:p>
      <w:pPr>
        <w:spacing w:after="120"/>
      </w:pPr>
      <w:r>
        <w:rPr>
          <w:rFonts w:ascii="Calibri" w:hAnsi="Calibri"/>
          <w:b w:val="0"/>
          <w:sz w:val="22"/>
        </w:rPr>
        <w:t>Provide timely access to systems, documentation, and personnel necessary for Service delivery.</w:t>
      </w:r>
    </w:p>
    <w:p>
      <w:pPr>
        <w:spacing w:after="120"/>
      </w:pPr>
      <w:r>
        <w:rPr>
          <w:rFonts w:ascii="Calibri" w:hAnsi="Calibri"/>
          <w:b w:val="0"/>
          <w:sz w:val="22"/>
        </w:rPr>
        <w:t>Designate a primary point of contact for day-to-day coordination.</w:t>
      </w:r>
    </w:p>
    <w:p>
      <w:pPr>
        <w:spacing w:after="120"/>
      </w:pPr>
      <w:r>
        <w:rPr>
          <w:rFonts w:ascii="Calibri" w:hAnsi="Calibri"/>
          <w:b w:val="0"/>
          <w:sz w:val="22"/>
        </w:rPr>
        <w:t>Review and approve deliverables within agreed timeframes.</w:t>
      </w:r>
    </w:p>
    <w:p>
      <w:pPr>
        <w:spacing w:after="120"/>
      </w:pPr>
      <w:r>
        <w:rPr>
          <w:rFonts w:ascii="Calibri" w:hAnsi="Calibri"/>
          <w:b w:val="0"/>
          <w:sz w:val="22"/>
        </w:rPr>
        <w:t>Comply with all applicable laws in use of Services and Synvoric personnel.</w:t>
      </w:r>
    </w:p>
    <w:p>
      <w:pPr>
        <w:pStyle w:val="Heading2"/>
      </w:pPr>
      <w:r>
        <w:rPr>
          <w:color w:val="051C2C"/>
        </w:rPr>
        <w:t>5. Personnel</w:t>
      </w:r>
    </w:p>
    <w:p>
      <w:pPr>
        <w:spacing w:after="120"/>
      </w:pPr>
      <w:r>
        <w:rPr>
          <w:rFonts w:ascii="Calibri" w:hAnsi="Calibri"/>
          <w:b w:val="0"/>
          <w:sz w:val="22"/>
        </w:rPr>
        <w:t>Synvoric personnel (including contractors) remain employees or contractors of Synvoric unless otherwise agreed in writing.</w:t>
      </w:r>
    </w:p>
    <w:p>
      <w:pPr>
        <w:spacing w:after="120"/>
      </w:pPr>
      <w:r>
        <w:rPr>
          <w:rFonts w:ascii="Calibri" w:hAnsi="Calibri"/>
          <w:b w:val="0"/>
          <w:sz w:val="22"/>
        </w:rPr>
        <w:t>Client shall not directly hire or engage Synvoric personnel outside this Agreement during the term and for [12] months following termination (see Section 10 — Non-Solicitation).</w:t>
      </w:r>
    </w:p>
    <w:p>
      <w:pPr>
        <w:spacing w:after="120"/>
      </w:pPr>
      <w:r>
        <w:rPr>
          <w:rFonts w:ascii="Calibri" w:hAnsi="Calibri"/>
          <w:b w:val="0"/>
          <w:sz w:val="22"/>
        </w:rPr>
        <w:t>Synvoric shall use reasonable efforts to replace personnel who are unavailable or underperforming.</w:t>
      </w:r>
    </w:p>
    <w:p>
      <w:pPr>
        <w:pStyle w:val="Heading2"/>
      </w:pPr>
      <w:r>
        <w:rPr>
          <w:color w:val="051C2C"/>
        </w:rPr>
        <w:t>6. Confidentiality</w:t>
      </w:r>
    </w:p>
    <w:p>
      <w:pPr>
        <w:spacing w:after="120"/>
      </w:pPr>
      <w:r>
        <w:rPr>
          <w:rFonts w:ascii="Calibri" w:hAnsi="Calibri"/>
          <w:b w:val="0"/>
          <w:sz w:val="22"/>
        </w:rPr>
        <w:t>"Confidential Information" means non-public business, technical, financial, or personnel information disclosed by either Party.</w:t>
      </w:r>
    </w:p>
    <w:p>
      <w:pPr>
        <w:spacing w:after="120"/>
      </w:pPr>
      <w:r>
        <w:rPr>
          <w:rFonts w:ascii="Calibri" w:hAnsi="Calibri"/>
          <w:b w:val="0"/>
          <w:sz w:val="22"/>
        </w:rPr>
        <w:t>Each Party shall: (a) use Confidential Information only for purposes of this Agreement; (b) protect it with at least reasonable care; (c) not disclose it to third parties except to personnel and advisors with a need to know who are bound by similar obligations.</w:t>
      </w:r>
    </w:p>
    <w:p>
      <w:pPr>
        <w:spacing w:after="120"/>
      </w:pPr>
      <w:r>
        <w:rPr>
          <w:rFonts w:ascii="Calibri" w:hAnsi="Calibri"/>
          <w:b w:val="0"/>
          <w:sz w:val="22"/>
        </w:rPr>
        <w:t>Exclusions: information that is public, independently developed, rightfully received without restriction, or required to be disclosed by law (with prompt notice where permitted).</w:t>
      </w:r>
    </w:p>
    <w:p>
      <w:pPr>
        <w:spacing w:after="120"/>
      </w:pPr>
      <w:r>
        <w:rPr>
          <w:rFonts w:ascii="Calibri" w:hAnsi="Calibri"/>
          <w:b w:val="0"/>
          <w:sz w:val="22"/>
        </w:rPr>
        <w:t>Confidentiality obligations survive termination for [3] years, except trade secrets which survive as long as protected by law.</w:t>
      </w:r>
    </w:p>
    <w:p>
      <w:pPr>
        <w:pStyle w:val="Heading2"/>
      </w:pPr>
      <w:r>
        <w:rPr>
          <w:color w:val="051C2C"/>
        </w:rPr>
        <w:t>7. Intellectual Property</w:t>
      </w:r>
    </w:p>
    <w:p>
      <w:pPr>
        <w:spacing w:after="120"/>
      </w:pPr>
      <w:r>
        <w:rPr>
          <w:rFonts w:ascii="Calibri" w:hAnsi="Calibri"/>
          <w:b w:val="0"/>
          <w:sz w:val="22"/>
        </w:rPr>
        <w:t>Pre-Existing IP: Each Party retains ownership of IP it owned or developed prior to or outside the Services.</w:t>
      </w:r>
    </w:p>
    <w:p>
      <w:pPr>
        <w:spacing w:after="120"/>
      </w:pPr>
      <w:r>
        <w:rPr>
          <w:rFonts w:ascii="Calibri" w:hAnsi="Calibri"/>
          <w:b w:val="0"/>
          <w:sz w:val="22"/>
        </w:rPr>
        <w:t>Work Product: Unless the SOW states otherwise, all deliverables, code, documentation, and materials created specifically for Client under a paid SOW ("Work Product") shall be owned by Client upon full payment.</w:t>
      </w:r>
    </w:p>
    <w:p>
      <w:pPr>
        <w:spacing w:after="120"/>
      </w:pPr>
      <w:r>
        <w:rPr>
          <w:rFonts w:ascii="Calibri" w:hAnsi="Calibri"/>
          <w:b w:val="0"/>
          <w:sz w:val="22"/>
        </w:rPr>
        <w:t>Synvoric retains ownership of its general methodologies, tools, templates, and know-how used in delivering Services.</w:t>
      </w:r>
    </w:p>
    <w:p>
      <w:pPr>
        <w:spacing w:after="120"/>
      </w:pPr>
      <w:r>
        <w:rPr>
          <w:rFonts w:ascii="Calibri" w:hAnsi="Calibri"/>
          <w:b w:val="0"/>
          <w:sz w:val="22"/>
        </w:rPr>
        <w:t>Synvoric grants Client a perpetual, royalty-free license to use Synvoric pre-existing IP embedded in Work Product to the extent necessary to use the Work Product.</w:t>
      </w:r>
    </w:p>
    <w:p>
      <w:pPr>
        <w:spacing w:after="120"/>
      </w:pPr>
      <w:r>
        <w:rPr>
          <w:rFonts w:ascii="Calibri" w:hAnsi="Calibri"/>
          <w:b w:val="0"/>
          <w:sz w:val="22"/>
        </w:rPr>
        <w:t>Client grants Synvoric a limited license to use Client materials solely to perform Services.</w:t>
      </w:r>
    </w:p>
    <w:p>
      <w:pPr>
        <w:pStyle w:val="Heading2"/>
      </w:pPr>
      <w:r>
        <w:rPr>
          <w:color w:val="051C2C"/>
        </w:rPr>
        <w:t>8. Warranties &amp; Disclaimer</w:t>
      </w:r>
    </w:p>
    <w:p>
      <w:pPr>
        <w:spacing w:after="120"/>
      </w:pPr>
      <w:r>
        <w:rPr>
          <w:rFonts w:ascii="Calibri" w:hAnsi="Calibri"/>
          <w:b w:val="0"/>
          <w:sz w:val="22"/>
        </w:rPr>
        <w:t>Synvoric warrants Services will be performed in a professional manner consistent with industry standards.</w:t>
      </w:r>
    </w:p>
    <w:p>
      <w:pPr>
        <w:spacing w:after="120"/>
      </w:pPr>
      <w:r>
        <w:rPr>
          <w:rFonts w:ascii="Calibri" w:hAnsi="Calibri"/>
          <w:b w:val="0"/>
          <w:sz w:val="22"/>
        </w:rPr>
        <w:t>EXCEPT AS EXPRESSLY SET FORTH HEREIN, SYNVORIC DISCLAIMS ALL OTHER WARRANTIES, EXPRESS OR IMPLIED, INCLUDING MERCHANTABILITY AND FITNESS FOR A PARTICULAR PURPOSE.</w:t>
      </w:r>
    </w:p>
    <w:p>
      <w:pPr>
        <w:spacing w:after="120"/>
      </w:pPr>
      <w:r>
        <w:rPr>
          <w:rFonts w:ascii="Calibri" w:hAnsi="Calibri"/>
          <w:b w:val="0"/>
          <w:sz w:val="22"/>
        </w:rPr>
        <w:t>Synvoric does not warrant uninterrupted or error-free Services.</w:t>
      </w:r>
    </w:p>
    <w:p>
      <w:pPr>
        <w:pStyle w:val="Heading2"/>
      </w:pPr>
      <w:r>
        <w:rPr>
          <w:color w:val="051C2C"/>
        </w:rPr>
        <w:t>9. Limitation of Liability</w:t>
      </w:r>
    </w:p>
    <w:p>
      <w:pPr>
        <w:spacing w:after="120"/>
      </w:pPr>
      <w:r>
        <w:rPr>
          <w:rFonts w:ascii="Calibri" w:hAnsi="Calibri"/>
          <w:b w:val="0"/>
          <w:sz w:val="22"/>
        </w:rPr>
        <w:t>NEITHER PARTY SHALL BE LIABLE FOR INDIRECT, INCIDENTAL, SPECIAL, CONSEQUENTIAL, OR PUNITIVE DAMAGES.</w:t>
      </w:r>
    </w:p>
    <w:p>
      <w:pPr>
        <w:spacing w:after="120"/>
      </w:pPr>
      <w:r>
        <w:rPr>
          <w:rFonts w:ascii="Calibri" w:hAnsi="Calibri"/>
          <w:b w:val="0"/>
          <w:sz w:val="22"/>
        </w:rPr>
        <w:t>Each Party's aggregate liability under this Agreement shall not exceed the fees paid or payable by Client in the [12] months preceding the claim, except for breaches of confidentiality, IP infringement, or willful misconduct.</w:t>
      </w:r>
    </w:p>
    <w:p>
      <w:pPr>
        <w:pStyle w:val="Heading2"/>
      </w:pPr>
      <w:r>
        <w:rPr>
          <w:color w:val="051C2C"/>
        </w:rPr>
        <w:t>10. Non-Solicitation</w:t>
      </w:r>
    </w:p>
    <w:p>
      <w:pPr>
        <w:spacing w:after="120"/>
      </w:pPr>
      <w:r>
        <w:rPr>
          <w:rFonts w:ascii="Calibri" w:hAnsi="Calibri"/>
          <w:b w:val="0"/>
          <w:sz w:val="22"/>
        </w:rPr>
        <w:t>During the term and for [12] months after termination, Client shall not directly or indirectly solicit, hire, or engage any Synvoric personnel who performed Services under this Agreement without Synvoric's prior written consent.</w:t>
      </w:r>
    </w:p>
    <w:p>
      <w:pPr>
        <w:spacing w:after="120"/>
      </w:pPr>
      <w:r>
        <w:rPr>
          <w:rFonts w:ascii="Calibri" w:hAnsi="Calibri"/>
          <w:b w:val="0"/>
          <w:sz w:val="22"/>
        </w:rPr>
        <w:t>If Client hires such personnel in breach of this section, Client shall pay Synvoric a placement fee equal to [12] months of the individual's gross compensation with Synvoric, or [INR/USD AMOUNT], whichever is greater.</w:t>
      </w:r>
    </w:p>
    <w:p>
      <w:pPr>
        <w:spacing w:after="120"/>
      </w:pPr>
      <w:r>
        <w:rPr>
          <w:rFonts w:ascii="Calibri" w:hAnsi="Calibri"/>
          <w:b w:val="0"/>
          <w:sz w:val="22"/>
        </w:rPr>
        <w:t>General public job postings not targeted at Synvoric personnel are excluded.</w:t>
      </w:r>
    </w:p>
    <w:p>
      <w:pPr>
        <w:pStyle w:val="Heading2"/>
      </w:pPr>
      <w:r>
        <w:rPr>
          <w:color w:val="051C2C"/>
        </w:rPr>
        <w:t>11. Indemnification</w:t>
      </w:r>
    </w:p>
    <w:p>
      <w:pPr>
        <w:spacing w:after="120"/>
      </w:pPr>
      <w:r>
        <w:rPr>
          <w:rFonts w:ascii="Calibri" w:hAnsi="Calibri"/>
          <w:b w:val="0"/>
          <w:sz w:val="22"/>
        </w:rPr>
        <w:t>Synvoric shall indemnify Client against third-party claims that Work Product created solely by Synvoric infringes IP rights, subject to prompt notice and cooperation.</w:t>
      </w:r>
    </w:p>
    <w:p>
      <w:pPr>
        <w:spacing w:after="120"/>
      </w:pPr>
      <w:r>
        <w:rPr>
          <w:rFonts w:ascii="Calibri" w:hAnsi="Calibri"/>
          <w:b w:val="0"/>
          <w:sz w:val="22"/>
        </w:rPr>
        <w:t>Client shall indemnify Synvoric against claims arising from Client materials, instructions, or unlawful use of Services.</w:t>
      </w:r>
    </w:p>
    <w:p>
      <w:pPr>
        <w:pStyle w:val="Heading2"/>
      </w:pPr>
      <w:r>
        <w:rPr>
          <w:color w:val="051C2C"/>
        </w:rPr>
        <w:t>12. Termination</w:t>
      </w:r>
    </w:p>
    <w:p>
      <w:pPr>
        <w:spacing w:after="120"/>
      </w:pPr>
      <w:r>
        <w:rPr>
          <w:rFonts w:ascii="Calibri" w:hAnsi="Calibri"/>
          <w:b w:val="0"/>
          <w:sz w:val="22"/>
        </w:rPr>
        <w:t>Either Party may terminate this Agreement or any SOW with [30] days written notice.</w:t>
      </w:r>
    </w:p>
    <w:p>
      <w:pPr>
        <w:spacing w:after="120"/>
      </w:pPr>
      <w:r>
        <w:rPr>
          <w:rFonts w:ascii="Calibri" w:hAnsi="Calibri"/>
          <w:b w:val="0"/>
          <w:sz w:val="22"/>
        </w:rPr>
        <w:t>Either Party may terminate immediately for material breach not cured within [15] days of written notice.</w:t>
      </w:r>
    </w:p>
    <w:p>
      <w:pPr>
        <w:spacing w:after="120"/>
      </w:pPr>
      <w:r>
        <w:rPr>
          <w:rFonts w:ascii="Calibri" w:hAnsi="Calibri"/>
          <w:b w:val="0"/>
          <w:sz w:val="22"/>
        </w:rPr>
        <w:t>Upon termination, Client shall pay for Services rendered through the termination date. Sections intended to survive (Confidentiality, IP, Non-Solicitation, Limitation of Liability) shall survive.</w:t>
      </w:r>
    </w:p>
    <w:p>
      <w:pPr>
        <w:pStyle w:val="Heading2"/>
      </w:pPr>
      <w:r>
        <w:rPr>
          <w:color w:val="051C2C"/>
        </w:rPr>
        <w:t>13. Governing Law &amp; Disputes</w:t>
      </w:r>
    </w:p>
    <w:p>
      <w:pPr>
        <w:spacing w:after="120"/>
      </w:pPr>
      <w:r>
        <w:rPr>
          <w:rFonts w:ascii="Calibri" w:hAnsi="Calibri"/>
          <w:b w:val="0"/>
          <w:sz w:val="22"/>
        </w:rPr>
        <w:t>This Agreement is governed by the laws of [India / State of ____________], without regard to conflict of law principles.</w:t>
      </w:r>
    </w:p>
    <w:p>
      <w:pPr>
        <w:spacing w:after="120"/>
      </w:pPr>
      <w:r>
        <w:rPr>
          <w:rFonts w:ascii="Calibri" w:hAnsi="Calibri"/>
          <w:b w:val="0"/>
          <w:sz w:val="22"/>
        </w:rPr>
        <w:t>Disputes shall first be resolved through good-faith negotiation. Failing resolution within [30] days, disputes shall be subject to the exclusive jurisdiction of courts in [City, State/Country].</w:t>
      </w:r>
    </w:p>
    <w:p>
      <w:pPr>
        <w:pStyle w:val="Heading2"/>
      </w:pPr>
      <w:r>
        <w:rPr>
          <w:color w:val="051C2C"/>
        </w:rPr>
        <w:t>14. General</w:t>
      </w:r>
    </w:p>
    <w:p>
      <w:pPr>
        <w:spacing w:after="120"/>
      </w:pPr>
      <w:r>
        <w:rPr>
          <w:rFonts w:ascii="Calibri" w:hAnsi="Calibri"/>
          <w:b w:val="0"/>
          <w:sz w:val="22"/>
        </w:rPr>
        <w:t>This Agreement constitutes the entire agreement and supersedes prior discussions.</w:t>
      </w:r>
    </w:p>
    <w:p>
      <w:pPr>
        <w:spacing w:after="120"/>
      </w:pPr>
      <w:r>
        <w:rPr>
          <w:rFonts w:ascii="Calibri" w:hAnsi="Calibri"/>
          <w:b w:val="0"/>
          <w:sz w:val="22"/>
        </w:rPr>
        <w:t>Amendments must be in writing signed by both Parties.</w:t>
      </w:r>
    </w:p>
    <w:p>
      <w:pPr>
        <w:spacing w:after="120"/>
      </w:pPr>
      <w:r>
        <w:rPr>
          <w:rFonts w:ascii="Calibri" w:hAnsi="Calibri"/>
          <w:b w:val="0"/>
          <w:sz w:val="22"/>
        </w:rPr>
        <w:t>Neither Party may assign without consent, except to an affiliate or successor.</w:t>
      </w:r>
    </w:p>
    <w:p>
      <w:pPr>
        <w:spacing w:after="120"/>
      </w:pPr>
      <w:r>
        <w:rPr>
          <w:rFonts w:ascii="Calibri" w:hAnsi="Calibri"/>
          <w:b w:val="0"/>
          <w:sz w:val="22"/>
        </w:rPr>
        <w:t>Notices shall be sent to the addresses above (or email for Synvoric: palak.agrawal@synvoric.com).</w:t>
      </w:r>
    </w:p>
    <w:p/>
    <w:p>
      <w:pPr>
        <w:pStyle w:val="Heading2"/>
      </w:pPr>
      <w:r>
        <w:rPr>
          <w:color w:val="051C2C"/>
        </w:rPr>
        <w:t>Signatures</w:t>
      </w:r>
    </w:p>
    <w:p>
      <w:pPr>
        <w:spacing w:after="120"/>
      </w:pPr>
      <w:r>
        <w:rPr>
          <w:rFonts w:ascii="Calibri" w:hAnsi="Calibri"/>
          <w:b w:val="0"/>
          <w:sz w:val="22"/>
        </w:rPr>
        <w:t>IN WITNESS WHEREOF, the Parties have executed this Agreement as of the Effective Date.</w:t>
      </w:r>
    </w:p>
    <w:p/>
    <w:p>
      <w:pPr>
        <w:spacing w:after="120"/>
      </w:pPr>
      <w:r>
        <w:rPr>
          <w:rFonts w:ascii="Calibri" w:hAnsi="Calibri"/>
          <w:b w:val="0"/>
          <w:sz w:val="22"/>
        </w:rPr>
        <w:t>SYNVORIC                              CLIENT</w:t>
      </w:r>
    </w:p>
    <w:p>
      <w:pPr>
        <w:spacing w:after="120"/>
      </w:pPr>
      <w:r>
        <w:rPr>
          <w:rFonts w:ascii="Calibri" w:hAnsi="Calibri"/>
          <w:b w:val="0"/>
          <w:sz w:val="22"/>
        </w:rPr>
        <w:t>Name: _______________________          Name: _______________________</w:t>
      </w:r>
    </w:p>
    <w:p>
      <w:pPr>
        <w:spacing w:after="120"/>
      </w:pPr>
      <w:r>
        <w:rPr>
          <w:rFonts w:ascii="Calibri" w:hAnsi="Calibri"/>
          <w:b w:val="0"/>
          <w:sz w:val="22"/>
        </w:rPr>
        <w:t>Title: ______________________          Title: ______________________</w:t>
      </w:r>
    </w:p>
    <w:p>
      <w:pPr>
        <w:spacing w:after="120"/>
      </w:pPr>
      <w:r>
        <w:rPr>
          <w:rFonts w:ascii="Calibri" w:hAnsi="Calibri"/>
          <w:b w:val="0"/>
          <w:sz w:val="22"/>
        </w:rPr>
        <w:t>Signature: __________________          Signature: __________________</w:t>
      </w:r>
    </w:p>
    <w:p>
      <w:pPr>
        <w:spacing w:after="120"/>
      </w:pPr>
      <w:r>
        <w:rPr>
          <w:rFonts w:ascii="Calibri" w:hAnsi="Calibri"/>
          <w:b w:val="0"/>
          <w:sz w:val="22"/>
        </w:rPr>
        <w:t>Date: ______________________          Date: 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