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i/>
          <w:color w:val="64748B"/>
          <w:sz w:val="18"/>
        </w:rPr>
        <w:t>DISCLAIMER: This document is a template only and does not constitute legal advice. Synvoric recommends review by qualified legal counsel before execution.</w:t>
      </w:r>
    </w:p>
    <w:p>
      <w:pPr>
        <w:jc w:val="center"/>
      </w:pPr>
      <w:r>
        <w:rPr>
          <w:b/>
          <w:color w:val="051C2C"/>
          <w:sz w:val="36"/>
        </w:rPr>
        <w:t>MASTER SERVICE AGREEMENT</w:t>
      </w:r>
    </w:p>
    <w:p>
      <w:pPr>
        <w:spacing w:after="120"/>
      </w:pPr>
      <w:r>
        <w:rPr>
          <w:rFonts w:ascii="Calibri" w:hAnsi="Calibri"/>
          <w:b w:val="0"/>
          <w:sz w:val="22"/>
        </w:rPr>
        <w:t>Effective Date: [EFFECTIVE DATE]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Master Service Agreement ("Agreement") is entered into between:</w:t>
      </w:r>
    </w:p>
    <w:p>
      <w:pPr>
        <w:spacing w:after="120"/>
      </w:pPr>
      <w:r>
        <w:rPr>
          <w:rFonts w:ascii="Calibri" w:hAnsi="Calibri"/>
          <w:b/>
          <w:sz w:val="22"/>
        </w:rPr>
        <w:t>Provider: Synvoric ("Synvoric", "Provider", "we")</w:t>
      </w:r>
    </w:p>
    <w:p>
      <w:pPr>
        <w:spacing w:after="120"/>
      </w:pPr>
      <w:r>
        <w:rPr>
          <w:rFonts w:ascii="Calibri" w:hAnsi="Calibri"/>
          <w:b w:val="0"/>
          <w:sz w:val="22"/>
        </w:rPr>
        <w:t>Contact: anshul.agrawal@synvoric.com  ·  www.synvoric.com</w:t>
      </w:r>
    </w:p>
    <w:p>
      <w:pPr>
        <w:spacing w:after="120"/>
      </w:pPr>
      <w:r>
        <w:rPr>
          <w:rFonts w:ascii="Calibri" w:hAnsi="Calibri"/>
          <w:b/>
          <w:sz w:val="22"/>
        </w:rPr>
        <w:t>Client: [CLIENT COMPANY NAME] ("Client", "you")</w:t>
      </w:r>
    </w:p>
    <w:p>
      <w:pPr>
        <w:spacing w:after="120"/>
      </w:pPr>
      <w:r>
        <w:rPr>
          <w:rFonts w:ascii="Calibri" w:hAnsi="Calibri"/>
          <w:b w:val="0"/>
          <w:sz w:val="22"/>
        </w:rPr>
        <w:t>Address: [CLIENT ADDRESS]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and Client are each a "Party" and collectively the "Parties."</w:t>
      </w:r>
    </w:p>
    <w:p>
      <w:pPr>
        <w:pStyle w:val="Heading2"/>
      </w:pPr>
      <w:r>
        <w:rPr>
          <w:color w:val="051C2C"/>
        </w:rPr>
        <w:t>1. Services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shall provide IT staffing, staff augmentation, dedicated development teams, and/or software development services ("Services") as described in one or more Statements of Work ("SOW") or work orders executed under this Agreement.</w:t>
      </w:r>
    </w:p>
    <w:p>
      <w:pPr>
        <w:spacing w:after="120"/>
      </w:pPr>
      <w:r>
        <w:rPr>
          <w:rFonts w:ascii="Calibri" w:hAnsi="Calibri"/>
          <w:b w:val="0"/>
          <w:sz w:val="22"/>
        </w:rPr>
        <w:t>Each SOW shall specify scope, deliverables, team composition, rates, and timeline. In case of conflict, the SOW prevails over this Agreement for that engagement.</w:t>
      </w:r>
    </w:p>
    <w:p>
      <w:pPr>
        <w:pStyle w:val="Heading2"/>
      </w:pPr>
      <w:r>
        <w:rPr>
          <w:color w:val="051C2C"/>
        </w:rPr>
        <w:t>2. Term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Agreement commences on the Effective Date and continues until terminated in accordance with Section 12.</w:t>
      </w:r>
    </w:p>
    <w:p>
      <w:pPr>
        <w:spacing w:after="120"/>
      </w:pPr>
      <w:r>
        <w:rPr>
          <w:rFonts w:ascii="Calibri" w:hAnsi="Calibri"/>
          <w:b w:val="0"/>
          <w:sz w:val="22"/>
        </w:rPr>
        <w:t>Individual SOWs may specify their own term within the life of this Agreement.</w:t>
      </w:r>
    </w:p>
    <w:p>
      <w:pPr>
        <w:pStyle w:val="Heading2"/>
      </w:pPr>
      <w:r>
        <w:rPr>
          <w:color w:val="051C2C"/>
        </w:rPr>
        <w:t>3. Fees &amp; Payment</w:t>
      </w:r>
    </w:p>
    <w:p>
      <w:pPr>
        <w:spacing w:after="120"/>
      </w:pPr>
      <w:r>
        <w:rPr>
          <w:rFonts w:ascii="Calibri" w:hAnsi="Calibri"/>
          <w:b w:val="0"/>
          <w:sz w:val="22"/>
        </w:rPr>
        <w:t>Client shall pay fees as set forth in the applicable SOW. Unless otherwise stated, fees are billed monthly in arrears.</w:t>
      </w:r>
    </w:p>
    <w:p>
      <w:pPr>
        <w:spacing w:after="120"/>
      </w:pPr>
      <w:r>
        <w:rPr>
          <w:rFonts w:ascii="Calibri" w:hAnsi="Calibri"/>
          <w:b w:val="0"/>
          <w:sz w:val="22"/>
        </w:rPr>
        <w:t>Invoices are due within [15/30] days of receipt. Late payments accrue interest at [1.5]% per month or the maximum permitted by law.</w:t>
      </w:r>
    </w:p>
    <w:p>
      <w:pPr>
        <w:spacing w:after="120"/>
      </w:pPr>
      <w:r>
        <w:rPr>
          <w:rFonts w:ascii="Calibri" w:hAnsi="Calibri"/>
          <w:b w:val="0"/>
          <w:sz w:val="22"/>
        </w:rPr>
        <w:t>Client shall reimburse pre-approved out-of-pocket expenses with supporting documentation.</w:t>
      </w:r>
    </w:p>
    <w:p>
      <w:pPr>
        <w:spacing w:after="120"/>
      </w:pPr>
      <w:r>
        <w:rPr>
          <w:rFonts w:ascii="Calibri" w:hAnsi="Calibri"/>
          <w:b w:val="0"/>
          <w:sz w:val="22"/>
        </w:rPr>
        <w:t>All fees are exclusive of applicable taxes, duties, and withholdings, which Client shall bear unless Synvoric is required by law to collect them.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may suspend Services for overdue amounts exceeding [30] days after written notice.</w:t>
      </w:r>
    </w:p>
    <w:p>
      <w:pPr>
        <w:pStyle w:val="Heading2"/>
      </w:pPr>
      <w:r>
        <w:rPr>
          <w:color w:val="051C2C"/>
        </w:rPr>
        <w:t>4. Client Responsibilities</w:t>
      </w:r>
    </w:p>
    <w:p>
      <w:pPr>
        <w:spacing w:after="120"/>
      </w:pPr>
      <w:r>
        <w:rPr>
          <w:rFonts w:ascii="Calibri" w:hAnsi="Calibri"/>
          <w:b w:val="0"/>
          <w:sz w:val="22"/>
        </w:rPr>
        <w:t>Provide timely access to systems, documentation, and personnel necessary for Service delivery.</w:t>
      </w:r>
    </w:p>
    <w:p>
      <w:pPr>
        <w:spacing w:after="120"/>
      </w:pPr>
      <w:r>
        <w:rPr>
          <w:rFonts w:ascii="Calibri" w:hAnsi="Calibri"/>
          <w:b w:val="0"/>
          <w:sz w:val="22"/>
        </w:rPr>
        <w:t>Designate a primary point of contact for day-to-day coordination.</w:t>
      </w:r>
    </w:p>
    <w:p>
      <w:pPr>
        <w:spacing w:after="120"/>
      </w:pPr>
      <w:r>
        <w:rPr>
          <w:rFonts w:ascii="Calibri" w:hAnsi="Calibri"/>
          <w:b w:val="0"/>
          <w:sz w:val="22"/>
        </w:rPr>
        <w:t>Review and approve deliverables within agreed timeframes.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Comply with all applicable laws in use of Services and Synvoric personnel.</w:t>
      </w:r>
    </w:p>
    <w:p>
      <w:pPr>
        <w:pStyle w:val="Heading2"/>
      </w:pPr>
      <w:r>
        <w:rPr>
          <w:color w:val="051C2C"/>
        </w:rPr>
        <w:t>5. Personnel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personnel (including contractors) remain employees or contractors of Synvoric unless otherwise agreed in writing.</w:t>
      </w:r>
    </w:p>
    <w:p>
      <w:pPr>
        <w:spacing w:after="120"/>
      </w:pPr>
      <w:r>
        <w:rPr>
          <w:rFonts w:ascii="Calibri" w:hAnsi="Calibri"/>
          <w:b w:val="0"/>
          <w:sz w:val="22"/>
        </w:rPr>
        <w:t>Client shall not directly hire or engage Synvoric personnel outside this Agreement during the term and for [12] months following termination (see Section 10 — Non-Solicitation).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shall use reasonable efforts to replace personnel who are unavailable or underperforming.</w:t>
      </w:r>
    </w:p>
    <w:p>
      <w:pPr>
        <w:pStyle w:val="Heading2"/>
      </w:pPr>
      <w:r>
        <w:rPr>
          <w:color w:val="051C2C"/>
        </w:rPr>
        <w:t>6. Confidentiality</w:t>
      </w:r>
    </w:p>
    <w:p>
      <w:pPr>
        <w:spacing w:after="120"/>
      </w:pPr>
      <w:r>
        <w:rPr>
          <w:rFonts w:ascii="Calibri" w:hAnsi="Calibri"/>
          <w:b w:val="0"/>
          <w:sz w:val="22"/>
        </w:rPr>
        <w:t>"Confidential Information" means non-public business, technical, financial, or personnel information disclosed by either Party.</w:t>
      </w:r>
    </w:p>
    <w:p>
      <w:pPr>
        <w:spacing w:after="120"/>
      </w:pPr>
      <w:r>
        <w:rPr>
          <w:rFonts w:ascii="Calibri" w:hAnsi="Calibri"/>
          <w:b w:val="0"/>
          <w:sz w:val="22"/>
        </w:rPr>
        <w:t>Each Party shall: (a) use Confidential Information only for purposes of this Agreement; (b) protect it with at least reasonable care; (c) not disclose it to third parties except to personnel and advisors with a need to know who are bound by similar obligations.</w:t>
      </w:r>
    </w:p>
    <w:p>
      <w:pPr>
        <w:spacing w:after="120"/>
      </w:pPr>
      <w:r>
        <w:rPr>
          <w:rFonts w:ascii="Calibri" w:hAnsi="Calibri"/>
          <w:b w:val="0"/>
          <w:sz w:val="22"/>
        </w:rPr>
        <w:t>Exclusions: information that is public, independently developed, rightfully received without restriction, or required to be disclosed by law (with prompt notice where permitted).</w:t>
      </w:r>
    </w:p>
    <w:p>
      <w:pPr>
        <w:spacing w:after="120"/>
      </w:pPr>
      <w:r>
        <w:rPr>
          <w:rFonts w:ascii="Calibri" w:hAnsi="Calibri"/>
          <w:b w:val="0"/>
          <w:sz w:val="22"/>
        </w:rPr>
        <w:t>Confidentiality obligations survive termination for [3] years, except trade secrets which survive as long as protected by law.</w:t>
      </w:r>
    </w:p>
    <w:p>
      <w:pPr>
        <w:pStyle w:val="Heading2"/>
      </w:pPr>
      <w:r>
        <w:rPr>
          <w:color w:val="051C2C"/>
        </w:rPr>
        <w:t>7. Intellectual Property</w:t>
      </w:r>
    </w:p>
    <w:p>
      <w:pPr>
        <w:spacing w:after="120"/>
      </w:pPr>
      <w:r>
        <w:rPr>
          <w:rFonts w:ascii="Calibri" w:hAnsi="Calibri"/>
          <w:b w:val="0"/>
          <w:sz w:val="22"/>
        </w:rPr>
        <w:t>Pre-Existing IP: Each Party retains ownership of IP it owned or developed prior to or outside the Services.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Work Product: Unless the SOW states otherwise, all deliverables, code, documentation, and materials created specifically for Client under a paid SOW ("Work Product") shall be owned by Client upon full payment.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retains ownership of its general methodologies, tools, templates, and know-how used in delivering Services.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grants Client a perpetual, royalty-free license to use Synvoric pre-existing IP embedded in Work Product to the extent necessary to use the Work Product.</w:t>
      </w:r>
    </w:p>
    <w:p>
      <w:pPr>
        <w:spacing w:after="120"/>
      </w:pPr>
      <w:r>
        <w:rPr>
          <w:rFonts w:ascii="Calibri" w:hAnsi="Calibri"/>
          <w:b w:val="0"/>
          <w:sz w:val="22"/>
        </w:rPr>
        <w:t>Client grants Synvoric a limited license to use Client materials solely to perform Services.</w:t>
      </w:r>
    </w:p>
    <w:p>
      <w:pPr>
        <w:pStyle w:val="Heading2"/>
      </w:pPr>
      <w:r>
        <w:rPr>
          <w:color w:val="051C2C"/>
        </w:rPr>
        <w:t>8. Warranties &amp; Disclaimer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warrants Services will be performed in a professional manner consistent with industry standards.</w:t>
      </w:r>
    </w:p>
    <w:p>
      <w:pPr>
        <w:spacing w:after="120"/>
      </w:pPr>
      <w:r>
        <w:rPr>
          <w:rFonts w:ascii="Calibri" w:hAnsi="Calibri"/>
          <w:b w:val="0"/>
          <w:sz w:val="22"/>
        </w:rPr>
        <w:t>EXCEPT AS EXPRESSLY SET FORTH HEREIN, SYNVORIC DISCLAIMS ALL OTHER WARRANTIES, EXPRESS OR IMPLIED, INCLUDING MERCHANTABILITY AND FITNESS FOR A PARTICULAR PURPOSE.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does not warrant uninterrupted or error-free Services.</w:t>
      </w:r>
    </w:p>
    <w:p>
      <w:pPr>
        <w:pStyle w:val="Heading2"/>
      </w:pPr>
      <w:r>
        <w:rPr>
          <w:color w:val="051C2C"/>
        </w:rPr>
        <w:t>9. Limitation of Liability</w:t>
      </w:r>
    </w:p>
    <w:p>
      <w:pPr>
        <w:spacing w:after="120"/>
      </w:pPr>
      <w:r>
        <w:rPr>
          <w:rFonts w:ascii="Calibri" w:hAnsi="Calibri"/>
          <w:b w:val="0"/>
          <w:sz w:val="22"/>
        </w:rPr>
        <w:t>NEITHER PARTY SHALL BE LIABLE FOR INDIRECT, INCIDENTAL, SPECIAL, CONSEQUENTIAL, OR PUNITIVE DAMAGES.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Each Party's aggregate liability under this Agreement shall not exceed the fees paid or payable by Client in the [12] months preceding the claim, except for breaches of confidentiality, IP infringement, or willful misconduct.</w:t>
      </w:r>
    </w:p>
    <w:p>
      <w:pPr>
        <w:pStyle w:val="Heading2"/>
      </w:pPr>
      <w:r>
        <w:rPr>
          <w:color w:val="051C2C"/>
        </w:rPr>
        <w:t>10. Non-Solicitation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During the term and for [12] months after termination, Client shall not directly or indirectly solicit, hire, or engage any Synvoric personnel who performed Services under this Agreement without Synvoric's prior written consent.</w:t>
      </w:r>
    </w:p>
    <w:p>
      <w:pPr>
        <w:spacing w:after="120"/>
      </w:pPr>
      <w:r>
        <w:rPr>
          <w:rFonts w:ascii="Calibri" w:hAnsi="Calibri"/>
          <w:b w:val="0"/>
          <w:sz w:val="22"/>
        </w:rPr>
        <w:t>If Client hires such personnel in breach of this section, Client shall pay Synvoric a placement fee equal to [12] months of the individual's gross compensation with Synvoric, or [INR/USD AMOUNT], whichever is greater.</w:t>
      </w:r>
    </w:p>
    <w:p>
      <w:pPr>
        <w:spacing w:after="120"/>
      </w:pPr>
      <w:r>
        <w:rPr>
          <w:rFonts w:ascii="Calibri" w:hAnsi="Calibri"/>
          <w:b w:val="0"/>
          <w:sz w:val="22"/>
        </w:rPr>
        <w:t>General public job postings not targeted at Synvoric personnel are excluded.</w:t>
      </w:r>
    </w:p>
    <w:p>
      <w:pPr>
        <w:pStyle w:val="Heading2"/>
      </w:pPr>
      <w:r>
        <w:rPr>
          <w:color w:val="051C2C"/>
        </w:rPr>
        <w:t>11. Indemnification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Synvoric shall indemnify Client against third-party claims that Work Product created solely by Synvoric infringes IP rights, subject to prompt notice and cooperation.</w:t>
      </w:r>
    </w:p>
    <w:p>
      <w:pPr>
        <w:spacing w:after="120"/>
      </w:pPr>
      <w:r>
        <w:rPr>
          <w:rFonts w:ascii="Calibri" w:hAnsi="Calibri"/>
          <w:b w:val="0"/>
          <w:sz w:val="22"/>
        </w:rPr>
        <w:t>Client shall indemnify Synvoric against claims arising from Client materials, instructions, or unlawful use of Services.</w:t>
      </w:r>
    </w:p>
    <w:p>
      <w:pPr>
        <w:pStyle w:val="Heading2"/>
      </w:pPr>
      <w:r>
        <w:rPr>
          <w:color w:val="051C2C"/>
        </w:rPr>
        <w:t>12. Termination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Either Party may terminate this Agreement or any SOW with [30] days written notice.</w:t>
      </w:r>
    </w:p>
    <w:p>
      <w:pPr>
        <w:spacing w:after="120"/>
      </w:pPr>
      <w:r>
        <w:rPr>
          <w:rFonts w:ascii="Calibri" w:hAnsi="Calibri"/>
          <w:b w:val="0"/>
          <w:sz w:val="22"/>
        </w:rPr>
        <w:t>Either Party may terminate immediately for material breach not cured within [15] days of written notice.</w:t>
      </w:r>
    </w:p>
    <w:p>
      <w:pPr>
        <w:spacing w:after="120"/>
      </w:pPr>
      <w:r>
        <w:rPr>
          <w:rFonts w:ascii="Calibri" w:hAnsi="Calibri"/>
          <w:b w:val="0"/>
          <w:sz w:val="22"/>
        </w:rPr>
        <w:t>Upon termination, Client shall pay for Services rendered through the termination date. Sections intended to survive (Confidentiality, IP, Non-Solicitation, Limitation of Liability) shall survive.</w:t>
      </w:r>
    </w:p>
    <w:p>
      <w:pPr>
        <w:pStyle w:val="Heading2"/>
      </w:pPr>
      <w:r>
        <w:rPr>
          <w:color w:val="051C2C"/>
        </w:rPr>
        <w:t>13. Governing Law &amp; Disputes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Agreement is governed by the laws of [India / State of ____________], without regard to conflict of law principles.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Disputes shall first be resolved through good-faith negotiation. Failing resolution within [30] days, disputes shall be subject to the exclusive jurisdiction of courts in [City, State/Country].</w:t>
      </w:r>
    </w:p>
    <w:p>
      <w:pPr>
        <w:pStyle w:val="Heading2"/>
      </w:pPr>
      <w:r>
        <w:rPr>
          <w:color w:val="051C2C"/>
        </w:rPr>
        <w:t>14. General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Agreement constitutes the entire agreement and supersedes prior discussions.</w:t>
      </w:r>
    </w:p>
    <w:p>
      <w:pPr>
        <w:spacing w:after="120"/>
      </w:pPr>
      <w:r>
        <w:rPr>
          <w:rFonts w:ascii="Calibri" w:hAnsi="Calibri"/>
          <w:b w:val="0"/>
          <w:sz w:val="22"/>
        </w:rPr>
        <w:t>Amendments must be in writing signed by both Parties.</w:t>
      </w:r>
    </w:p>
    <w:p>
      <w:pPr>
        <w:spacing w:after="120"/>
      </w:pPr>
      <w:r>
        <w:rPr>
          <w:rFonts w:ascii="Calibri" w:hAnsi="Calibri"/>
          <w:b w:val="0"/>
          <w:sz w:val="22"/>
        </w:rPr>
        <w:t>Neither Party may assign without consent, except to an affiliate or successor.</w:t>
      </w:r>
    </w:p>
    <w:p>
      <w:pPr>
        <w:spacing w:after="120"/>
      </w:pPr>
      <w:r>
        <w:rPr>
          <w:rFonts w:ascii="Calibri" w:hAnsi="Calibri"/>
          <w:b w:val="0"/>
          <w:sz w:val="22"/>
        </w:rPr>
        <w:t>Notices shall be sent to the addresses above (or email for Synvoric: anshul.agrawal@synvoric.com).</w:t>
      </w:r>
    </w:p>
    <w:p/>
    <w:p>
      <w:pPr>
        <w:pStyle w:val="Heading2"/>
      </w:pPr>
      <w:r>
        <w:rPr>
          <w:color w:val="051C2C"/>
        </w:rPr>
        <w:t>Signatures</w:t>
      </w:r>
    </w:p>
    <w:p>
      <w:pPr>
        <w:spacing w:after="120"/>
      </w:pPr>
      <w:r>
        <w:rPr>
          <w:rFonts w:ascii="Calibri" w:hAnsi="Calibri"/>
          <w:b w:val="0"/>
          <w:sz w:val="22"/>
        </w:rPr>
        <w:t>IN WITNESS WHEREOF, the Parties have executed this Agreement as of the Effective Date.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SYNVORIC                              CLIENT</w:t>
      </w:r>
    </w:p>
    <w:p>
      <w:pPr>
        <w:spacing w:after="120"/>
      </w:pPr>
      <w:r>
        <w:rPr>
          <w:rFonts w:ascii="Calibri" w:hAnsi="Calibri"/>
          <w:b w:val="0"/>
          <w:sz w:val="22"/>
        </w:rPr>
        <w:t>Name: _______________________          Name: _______________________</w:t>
      </w:r>
    </w:p>
    <w:p>
      <w:pPr>
        <w:spacing w:after="120"/>
      </w:pPr>
      <w:r>
        <w:rPr>
          <w:rFonts w:ascii="Calibri" w:hAnsi="Calibri"/>
          <w:b w:val="0"/>
          <w:sz w:val="22"/>
        </w:rPr>
        <w:t>Title: ______________________          Title: ______________________</w:t>
      </w:r>
    </w:p>
    <w:p>
      <w:pPr>
        <w:spacing w:after="120"/>
      </w:pPr>
      <w:r>
        <w:rPr>
          <w:rFonts w:ascii="Calibri" w:hAnsi="Calibri"/>
          <w:b w:val="0"/>
          <w:sz w:val="22"/>
        </w:rPr>
        <w:t>Signature: __________________          Signature: __________________</w:t>
      </w:r>
    </w:p>
    <w:p>
      <w:pPr>
        <w:spacing w:after="120"/>
      </w:pPr>
      <w:r>
        <w:rPr>
          <w:rFonts w:ascii="Calibri" w:hAnsi="Calibri"/>
          <w:b w:val="0"/>
          <w:sz w:val="22"/>
        </w:rPr>
        <w:t>Date: ______________________     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