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Development Agreement</w:t>
      </w:r>
    </w:p>
    <w:bookmarkStart w:id="219" w:name="software-development-agreement"/>
    <w:p>
      <w:pPr>
        <w:pStyle w:val="Heading1"/>
      </w:pPr>
      <w:r>
        <w:t xml:space="preserve">SOFTWARE DEVELOPMENT AGREEMENT</w:t>
      </w:r>
    </w:p>
    <w:p>
      <w:pPr>
        <w:pStyle w:val="FirstParagraph"/>
      </w:pPr>
      <w:r>
        <w:rPr>
          <w:b/>
          <w:bCs/>
        </w:rPr>
        <w:t xml:space="preserve">Agreement No:</w:t>
      </w:r>
      <w:r>
        <w:t xml:space="preserve"> </w:t>
      </w:r>
      <w:r>
        <w:t xml:space="preserve">SDA-2025-0047</w:t>
      </w:r>
      <w:r>
        <w:br/>
      </w:r>
      <w:r>
        <w:rPr>
          <w:b/>
          <w:bCs/>
        </w:rPr>
        <w:t xml:space="preserve">Date:</w:t>
      </w:r>
      <w:r>
        <w:t xml:space="preserve"> </w:t>
      </w:r>
      <w:r>
        <w:t xml:space="preserve">15 January 2025</w:t>
      </w:r>
      <w:r>
        <w:br/>
      </w:r>
      <w:r>
        <w:rPr>
          <w:b/>
          <w:bCs/>
        </w:rPr>
        <w:t xml:space="preserve">Governing Law:</w:t>
      </w:r>
      <w:r>
        <w:t xml:space="preserve"> </w:t>
      </w:r>
      <w:r>
        <w:t xml:space="preserve">Indian Contract Act, 1872; Information Technology Act, 2000; Companies Act, 2013</w:t>
      </w:r>
    </w:p>
    <w:bookmarkStart w:id="9" w:name="parties"/>
    <w:p>
      <w:pPr>
        <w:pStyle w:val="Heading2"/>
      </w:pPr>
      <w:r>
        <w:t xml:space="preserve">PARTIES</w:t>
      </w:r>
    </w:p>
    <w:p>
      <w:pPr>
        <w:pStyle w:val="FirstParagraph"/>
      </w:pPr>
      <w:r>
        <w:rPr>
          <w:b/>
          <w:bCs/>
        </w:rPr>
        <w:t xml:space="preserve">CLIENT:</w:t>
      </w:r>
      <w:r>
        <w:t xml:space="preserve"> </w:t>
      </w:r>
      <w:r>
        <w:t xml:space="preserve">FinTech Solutions India Private Limited, a company incorporated under the Companies Act, 2013, having its registered office at 12th Floor, Tower B, Cyber City, Gurugram, Haryana 122002 (hereinafter "Client").</w:t>
      </w:r>
    </w:p>
    <w:p>
      <w:pPr>
        <w:pStyle w:val="BodyText"/>
      </w:pPr>
      <w:r>
        <w:rPr>
          <w:b/>
          <w:bCs/>
        </w:rPr>
        <w:t xml:space="preserve">DEVELOPER:</w:t>
      </w:r>
      <w:r>
        <w:t xml:space="preserve"> </w:t>
      </w:r>
      <w:r>
        <w:t xml:space="preserve">CodeCraft Technologies LLP, a limited liability partnership registered under the Limited Liability Partnership Act, 2008, having its principal place of business at 45, MG Road, Bangalore, Karnataka 560001 (hereinafter "Developer").</w:t>
      </w:r>
    </w:p>
    <w:p>
      <w:pPr>
        <w:pStyle w:val="BodyText"/>
      </w:pPr>
      <w:r>
        <w:t xml:space="preserve">Client and Developer are each referred to herein as a "Party" and collectively as the "Parties".</w:t>
      </w:r>
    </w:p>
    <w:bookmarkEnd w:id="9"/>
    <w:bookmarkStart w:id="10" w:name="recitals"/>
    <w:p>
      <w:pPr>
        <w:pStyle w:val="Heading2"/>
      </w:pPr>
      <w:r>
        <w:t xml:space="preserve">RECITALS</w:t>
      </w:r>
    </w:p>
    <w:p>
      <w:pPr>
        <w:pStyle w:val="FirstParagraph"/>
      </w:pPr>
      <w:r>
        <w:t xml:space="preserve">WHEREAS the Client is engaged in the business of providing digital lending and financial technology solutions and is desirous of developing a comprehensive banking compliance software module to ensure compliance with the Reserve Bank of India guidelines, SEBI regulations, and the provisions of the Prevention of Money Laundering Act, 2002;</w:t>
      </w:r>
    </w:p>
    <w:p>
      <w:pPr>
        <w:pStyle w:val="BodyText"/>
      </w:pPr>
      <w:r>
        <w:t xml:space="preserve">WHEREAS the Developer is a reputed software development firm with demonstrated expertise in building enterprise-grade financial technology applications and has the requisite technical capability, infrastructure, and trained personnel to undertake the design, development, testing, and implementation of the said software;</w:t>
      </w:r>
    </w:p>
    <w:p>
      <w:pPr>
        <w:pStyle w:val="BodyText"/>
      </w:pPr>
      <w:r>
        <w:t xml:space="preserve">WHEREAS the Parties wish to set forth the terms and conditions upon which the Developer shall perform the services and deliver the deliverables as described herein;</w:t>
      </w:r>
    </w:p>
    <w:p>
      <w:pPr>
        <w:pStyle w:val="BodyText"/>
      </w:pPr>
      <w:r>
        <w:t xml:space="preserve">NOW, THEREFORE, in consideration of the mutual covenants, representations, warranties, and agreements contained herein, and for other good and valuable consideration, the receipt and sufficiency of which are hereby acknowledged, the Parties agree as follows:</w:t>
      </w:r>
    </w:p>
    <w:bookmarkEnd w:id="10"/>
    <w:bookmarkStart w:id="14" w:name="article-1-definitions-and-interpretation"/>
    <w:p>
      <w:pPr>
        <w:pStyle w:val="Heading2"/>
      </w:pPr>
      <w:r>
        <w:t xml:space="preserve">ARTICLE 1 — DEFINITIONS AND INTERPRETATION</w:t>
      </w:r>
    </w:p>
    <w:bookmarkStart w:id="11" w:name="definitions"/>
    <w:p>
      <w:pPr>
        <w:pStyle w:val="Heading3"/>
      </w:pPr>
      <w:r>
        <w:t xml:space="preserve">1.1 Definitions</w:t>
      </w:r>
    </w:p>
    <w:p>
      <w:pPr>
        <w:pStyle w:val="FirstParagraph"/>
      </w:pPr>
      <w:r>
        <w:rPr>
          <w:b/>
          <w:bCs/>
        </w:rPr>
        <w:t xml:space="preserve">"Acceptance"</w:t>
      </w:r>
      <w:r>
        <w:t xml:space="preserve"> </w:t>
      </w:r>
      <w:r>
        <w:t xml:space="preserve">means the formal written acceptance by the Client of the Deliverables or any Phase in accordance with the Acceptance Criteria set forth in Schedule B.</w:t>
      </w:r>
    </w:p>
    <w:p>
      <w:pPr>
        <w:pStyle w:val="BodyText"/>
      </w:pPr>
      <w:r>
        <w:rPr>
          <w:b/>
          <w:bCs/>
        </w:rPr>
        <w:t xml:space="preserve">"Affiliate"</w:t>
      </w:r>
      <w:r>
        <w:t xml:space="preserve"> </w:t>
      </w:r>
      <w:r>
        <w:t xml:space="preserve">means, with respect to any entity, any other entity that directly or indirectly controls, is controlled by, or is under common control with such entity. For this purpose, "control" means the ownership of more than fifty percent (50%) of the voting equity or the power to direct the management and policies of such entity.</w:t>
      </w:r>
    </w:p>
    <w:p>
      <w:pPr>
        <w:pStyle w:val="BodyText"/>
      </w:pPr>
      <w:r>
        <w:rPr>
          <w:b/>
          <w:bCs/>
        </w:rPr>
        <w:t xml:space="preserve">"Background IP"</w:t>
      </w:r>
      <w:r>
        <w:t xml:space="preserve"> </w:t>
      </w:r>
      <w:r>
        <w:t xml:space="preserve">means all Intellectual Property Rights owned or licensed by a Party prior to the Effective Date or developed independently of this Agreement, including but not limited to tools, frameworks, libraries, methodologies, and know-how.</w:t>
      </w:r>
    </w:p>
    <w:p>
      <w:pPr>
        <w:pStyle w:val="BodyText"/>
      </w:pPr>
      <w:r>
        <w:rPr>
          <w:b/>
          <w:bCs/>
        </w:rPr>
        <w:t xml:space="preserve">"Change Request"</w:t>
      </w:r>
      <w:r>
        <w:t xml:space="preserve"> </w:t>
      </w:r>
      <w:r>
        <w:t xml:space="preserve">means a formal request in writing by either Party to modify the Scope of Work, Specifications, Timeline, or Fees, as further described in Article 6.</w:t>
      </w:r>
    </w:p>
    <w:p>
      <w:pPr>
        <w:pStyle w:val="BodyText"/>
      </w:pPr>
      <w:r>
        <w:rPr>
          <w:b/>
          <w:bCs/>
        </w:rPr>
        <w:t xml:space="preserve">"Commencement Date"</w:t>
      </w:r>
      <w:r>
        <w:t xml:space="preserve"> </w:t>
      </w:r>
      <w:r>
        <w:t xml:space="preserve">means 20 January 2025, being the date on which the Developer shall commence the Services.</w:t>
      </w:r>
    </w:p>
    <w:p>
      <w:pPr>
        <w:pStyle w:val="BodyText"/>
      </w:pPr>
      <w:r>
        <w:rPr>
          <w:b/>
          <w:bCs/>
        </w:rPr>
        <w:t xml:space="preserve">"Confidential Information"</w:t>
      </w:r>
      <w:r>
        <w:t xml:space="preserve"> </w:t>
      </w:r>
      <w:r>
        <w:t xml:space="preserve">has the meaning ascribed to it in Article 8.</w:t>
      </w:r>
    </w:p>
    <w:p>
      <w:pPr>
        <w:pStyle w:val="BodyText"/>
      </w:pPr>
      <w:r>
        <w:rPr>
          <w:b/>
          <w:bCs/>
        </w:rPr>
        <w:t xml:space="preserve">"Deliverables"</w:t>
      </w:r>
      <w:r>
        <w:t xml:space="preserve"> </w:t>
      </w:r>
      <w:r>
        <w:t xml:space="preserve">means all work product, including but not limited to source code, object code, documentation, user manuals, technical specifications, architecture diagrams, test plans, test results, and any other materials created, developed, or produced by the Developer in the performance of the Services under this Agreement, as more particularly described in Schedule A.</w:t>
      </w:r>
    </w:p>
    <w:p>
      <w:pPr>
        <w:pStyle w:val="BodyText"/>
      </w:pPr>
      <w:r>
        <w:rPr>
          <w:b/>
          <w:bCs/>
        </w:rPr>
        <w:t xml:space="preserve">"Effective Date"</w:t>
      </w:r>
      <w:r>
        <w:t xml:space="preserve"> </w:t>
      </w:r>
      <w:r>
        <w:t xml:space="preserve">means 15 January 2025, being the date of execution of this Agreement.</w:t>
      </w:r>
    </w:p>
    <w:p>
      <w:pPr>
        <w:pStyle w:val="BodyText"/>
      </w:pPr>
      <w:r>
        <w:rPr>
          <w:b/>
          <w:bCs/>
        </w:rPr>
        <w:t xml:space="preserve">"Fees"</w:t>
      </w:r>
      <w:r>
        <w:t xml:space="preserve"> </w:t>
      </w:r>
      <w:r>
        <w:t xml:space="preserve">has the meaning ascribed to it in Article 4.</w:t>
      </w:r>
    </w:p>
    <w:p>
      <w:pPr>
        <w:pStyle w:val="BodyText"/>
      </w:pPr>
      <w:r>
        <w:rPr>
          <w:b/>
          <w:bCs/>
        </w:rPr>
        <w:t xml:space="preserve">"Force Majeure"</w:t>
      </w:r>
      <w:r>
        <w:t xml:space="preserve"> </w:t>
      </w:r>
      <w:r>
        <w:t xml:space="preserve">has the meaning ascribed to it in Article 15.</w:t>
      </w:r>
    </w:p>
    <w:p>
      <w:pPr>
        <w:pStyle w:val="BodyText"/>
      </w:pPr>
      <w:r>
        <w:rPr>
          <w:b/>
          <w:bCs/>
        </w:rPr>
        <w:t xml:space="preserve">"Go-Live Date"</w:t>
      </w:r>
      <w:r>
        <w:t xml:space="preserve"> </w:t>
      </w:r>
      <w:r>
        <w:t xml:space="preserve">means the date on which the System is deployed to the Client's production environment and made available for use by end users, as mutually agreed in writing.</w:t>
      </w:r>
    </w:p>
    <w:p>
      <w:pPr>
        <w:pStyle w:val="BodyText"/>
      </w:pPr>
      <w:r>
        <w:rPr>
          <w:b/>
          <w:bCs/>
        </w:rPr>
        <w:t xml:space="preserve">"Intellectual Property Rights"</w:t>
      </w:r>
      <w:r>
        <w:t xml:space="preserve"> </w:t>
      </w:r>
      <w:r>
        <w:t xml:space="preserve">or</w:t>
      </w:r>
      <w:r>
        <w:t xml:space="preserve"> </w:t>
      </w:r>
      <w:r>
        <w:rPr>
          <w:b/>
          <w:bCs/>
        </w:rPr>
        <w:t xml:space="preserve">"IP Rights"</w:t>
      </w:r>
      <w:r>
        <w:t xml:space="preserve"> </w:t>
      </w:r>
      <w:r>
        <w:t xml:space="preserve">means all rights in and to patents, patent applications, copyrights, trade secrets, trademarks, service marks, trade names, domain names, designs, know-how, and all other intellectual property or proprietary rights recognized under the laws of India or any other jurisdiction.</w:t>
      </w:r>
    </w:p>
    <w:p>
      <w:pPr>
        <w:pStyle w:val="BodyText"/>
      </w:pPr>
      <w:r>
        <w:rPr>
          <w:b/>
          <w:bCs/>
        </w:rPr>
        <w:t xml:space="preserve">"Milestone"</w:t>
      </w:r>
      <w:r>
        <w:t xml:space="preserve"> </w:t>
      </w:r>
      <w:r>
        <w:t xml:space="preserve">means each of the phases or stage gates described in Schedule C, upon completion of which a portion of the Fees becomes payable.</w:t>
      </w:r>
    </w:p>
    <w:p>
      <w:pPr>
        <w:pStyle w:val="BodyText"/>
      </w:pPr>
      <w:r>
        <w:rPr>
          <w:b/>
          <w:bCs/>
        </w:rPr>
        <w:t xml:space="preserve">"Open Source Software"</w:t>
      </w:r>
      <w:r>
        <w:t xml:space="preserve"> </w:t>
      </w:r>
      <w:r>
        <w:t xml:space="preserve">or</w:t>
      </w:r>
      <w:r>
        <w:t xml:space="preserve"> </w:t>
      </w:r>
      <w:r>
        <w:rPr>
          <w:b/>
          <w:bCs/>
        </w:rPr>
        <w:t xml:space="preserve">"OSS"</w:t>
      </w:r>
      <w:r>
        <w:t xml:space="preserve"> </w:t>
      </w:r>
      <w:r>
        <w:t xml:space="preserve">means software that is distributed under a licence approved by the Open Source Initiative or similar body, including without limitation the GNU General Public Licence, Apache Licence, MIT Licence, and BSD Licence.</w:t>
      </w:r>
    </w:p>
    <w:p>
      <w:pPr>
        <w:pStyle w:val="BodyText"/>
      </w:pPr>
      <w:r>
        <w:rPr>
          <w:b/>
          <w:bCs/>
        </w:rPr>
        <w:t xml:space="preserve">"Project"</w:t>
      </w:r>
      <w:r>
        <w:t xml:space="preserve"> </w:t>
      </w:r>
      <w:r>
        <w:t xml:space="preserve">means the Banking Compliance Module project as described in the Scope of Work and Specifications.</w:t>
      </w:r>
    </w:p>
    <w:p>
      <w:pPr>
        <w:pStyle w:val="BodyText"/>
      </w:pPr>
      <w:r>
        <w:rPr>
          <w:b/>
          <w:bCs/>
        </w:rPr>
        <w:t xml:space="preserve">"Project Manager"</w:t>
      </w:r>
      <w:r>
        <w:t xml:space="preserve"> </w:t>
      </w:r>
      <w:r>
        <w:t xml:space="preserve">means the individual designated by each Party to manage the day-to-day coordination and communication in respect of the Project, as set forth in Article 5.</w:t>
      </w:r>
    </w:p>
    <w:p>
      <w:pPr>
        <w:pStyle w:val="BodyText"/>
      </w:pPr>
      <w:r>
        <w:rPr>
          <w:b/>
          <w:bCs/>
        </w:rPr>
        <w:t xml:space="preserve">"Services"</w:t>
      </w:r>
      <w:r>
        <w:t xml:space="preserve"> </w:t>
      </w:r>
      <w:r>
        <w:t xml:space="preserve">means all activities, work, and obligations to be performed by the Developer under this Agreement, including but not limited to design, development, testing, documentation, training, and support services.</w:t>
      </w:r>
    </w:p>
    <w:p>
      <w:pPr>
        <w:pStyle w:val="BodyText"/>
      </w:pPr>
      <w:r>
        <w:rPr>
          <w:b/>
          <w:bCs/>
        </w:rPr>
        <w:t xml:space="preserve">"Specifications"</w:t>
      </w:r>
      <w:r>
        <w:t xml:space="preserve"> </w:t>
      </w:r>
      <w:r>
        <w:t xml:space="preserve">means the functional and technical specifications for the Project as set forth in Schedule A, as may be amended from time to time by written agreement.</w:t>
      </w:r>
    </w:p>
    <w:p>
      <w:pPr>
        <w:pStyle w:val="BodyText"/>
      </w:pPr>
      <w:r>
        <w:rPr>
          <w:b/>
          <w:bCs/>
        </w:rPr>
        <w:t xml:space="preserve">"System"</w:t>
      </w:r>
      <w:r>
        <w:t xml:space="preserve"> </w:t>
      </w:r>
      <w:r>
        <w:t xml:space="preserve">means the integrated software application comprising the Deliverables and any Third-Party Software, as deployed for use by the Client.</w:t>
      </w:r>
    </w:p>
    <w:p>
      <w:pPr>
        <w:pStyle w:val="BodyText"/>
      </w:pPr>
      <w:r>
        <w:rPr>
          <w:b/>
          <w:bCs/>
        </w:rPr>
        <w:t xml:space="preserve">"Third-Party Software"</w:t>
      </w:r>
      <w:r>
        <w:t xml:space="preserve"> </w:t>
      </w:r>
      <w:r>
        <w:t xml:space="preserve">means any software, including OSS, that is not developed by the Developer under this Agreement but is incorporated into or used with the Deliverables.</w:t>
      </w:r>
    </w:p>
    <w:p>
      <w:pPr>
        <w:pStyle w:val="BodyText"/>
      </w:pPr>
      <w:r>
        <w:rPr>
          <w:b/>
          <w:bCs/>
        </w:rPr>
        <w:t xml:space="preserve">"Warranty Period"</w:t>
      </w:r>
      <w:r>
        <w:t xml:space="preserve"> </w:t>
      </w:r>
      <w:r>
        <w:t xml:space="preserve">means the period of ninety (90) days commencing from the date of Acceptance of the Final Deliverables, as further described in Article 10.</w:t>
      </w:r>
    </w:p>
    <w:bookmarkEnd w:id="11"/>
    <w:bookmarkStart w:id="12" w:name="further-definitions"/>
    <w:p>
      <w:pPr>
        <w:pStyle w:val="Heading3"/>
      </w:pPr>
      <w:r>
        <w:t xml:space="preserve">1.2 Further Definitions</w:t>
      </w:r>
    </w:p>
    <w:p>
      <w:pPr>
        <w:pStyle w:val="FirstParagraph"/>
      </w:pPr>
      <w:r>
        <w:rPr>
          <w:b/>
          <w:bCs/>
        </w:rPr>
        <w:t xml:space="preserve">"Affected Party"</w:t>
      </w:r>
      <w:r>
        <w:t xml:space="preserve"> </w:t>
      </w:r>
      <w:r>
        <w:t xml:space="preserve">means a Party whose performance is hindered by Force Majeure.</w:t>
      </w:r>
      <w:r>
        <w:t xml:space="preserve"> </w:t>
      </w:r>
      <w:r>
        <w:rPr>
          <w:b/>
          <w:bCs/>
        </w:rPr>
        <w:t xml:space="preserve">"Business Day"</w:t>
      </w:r>
      <w:r>
        <w:t xml:space="preserve"> </w:t>
      </w:r>
      <w:r>
        <w:t xml:space="preserve">means any day other than Saturday, Sunday, or a public holiday in the States of Haryana and Karnataka.</w:t>
      </w:r>
      <w:r>
        <w:t xml:space="preserve"> </w:t>
      </w:r>
      <w:r>
        <w:rPr>
          <w:b/>
          <w:bCs/>
        </w:rPr>
        <w:t xml:space="preserve">"Claim"</w:t>
      </w:r>
      <w:r>
        <w:t xml:space="preserve"> </w:t>
      </w:r>
      <w:r>
        <w:t xml:space="preserve">means any claim, demand, action, suit, or proceeding.</w:t>
      </w:r>
      <w:r>
        <w:t xml:space="preserve"> </w:t>
      </w:r>
      <w:r>
        <w:rPr>
          <w:b/>
          <w:bCs/>
        </w:rPr>
        <w:t xml:space="preserve">"Defect"</w:t>
      </w:r>
      <w:r>
        <w:t xml:space="preserve"> </w:t>
      </w:r>
      <w:r>
        <w:t xml:space="preserve">means a failure of the Deliverables to conform to the Specifications, as classified in Annexure III.</w:t>
      </w:r>
      <w:r>
        <w:t xml:space="preserve"> </w:t>
      </w:r>
      <w:r>
        <w:rPr>
          <w:b/>
          <w:bCs/>
        </w:rPr>
        <w:t xml:space="preserve">"Final Deliverables"</w:t>
      </w:r>
      <w:r>
        <w:t xml:space="preserve"> </w:t>
      </w:r>
      <w:r>
        <w:t xml:space="preserve">means the Phase 3 Deliverables accepted by the Client.</w:t>
      </w:r>
      <w:r>
        <w:t xml:space="preserve"> </w:t>
      </w:r>
      <w:r>
        <w:rPr>
          <w:b/>
          <w:bCs/>
        </w:rPr>
        <w:t xml:space="preserve">"Go-Live"</w:t>
      </w:r>
      <w:r>
        <w:t xml:space="preserve"> </w:t>
      </w:r>
      <w:r>
        <w:t xml:space="preserve">means the deployment of the System to production.</w:t>
      </w:r>
      <w:r>
        <w:t xml:space="preserve"> </w:t>
      </w:r>
      <w:r>
        <w:rPr>
          <w:b/>
          <w:bCs/>
        </w:rPr>
        <w:t xml:space="preserve">"Material"</w:t>
      </w:r>
      <w:r>
        <w:t xml:space="preserve"> </w:t>
      </w:r>
      <w:r>
        <w:t xml:space="preserve">when used in respect of breach, defect, or impact means significant enough to materially impair the benefit of this Agreement to the non-breaching Party.</w:t>
      </w:r>
      <w:r>
        <w:t xml:space="preserve"> </w:t>
      </w:r>
      <w:r>
        <w:rPr>
          <w:b/>
          <w:bCs/>
        </w:rPr>
        <w:t xml:space="preserve">"Personnel"</w:t>
      </w:r>
      <w:r>
        <w:t xml:space="preserve"> </w:t>
      </w:r>
      <w:r>
        <w:t xml:space="preserve">means employees, contractors, and agents.</w:t>
      </w:r>
      <w:r>
        <w:t xml:space="preserve"> </w:t>
      </w:r>
      <w:r>
        <w:rPr>
          <w:b/>
          <w:bCs/>
        </w:rPr>
        <w:t xml:space="preserve">"Representatives"</w:t>
      </w:r>
      <w:r>
        <w:t xml:space="preserve"> </w:t>
      </w:r>
      <w:r>
        <w:t xml:space="preserve">means a Party's officers, directors, employees, legal advisors, accountants, and other professional advisors.</w:t>
      </w:r>
      <w:r>
        <w:t xml:space="preserve"> </w:t>
      </w:r>
      <w:r>
        <w:rPr>
          <w:b/>
          <w:bCs/>
        </w:rPr>
        <w:t xml:space="preserve">"Sensitive Personal Data"</w:t>
      </w:r>
      <w:r>
        <w:t xml:space="preserve"> </w:t>
      </w:r>
      <w:r>
        <w:t xml:space="preserve">has the meaning under the Information Technology (Reasonable Security Practices and Procedures and Sensitive Personal Data or Information) Rules, 2011.</w:t>
      </w:r>
      <w:r>
        <w:t xml:space="preserve"> </w:t>
      </w:r>
      <w:r>
        <w:rPr>
          <w:b/>
          <w:bCs/>
        </w:rPr>
        <w:t xml:space="preserve">"Tax"</w:t>
      </w:r>
      <w:r>
        <w:t xml:space="preserve"> </w:t>
      </w:r>
      <w:r>
        <w:t xml:space="preserve">or</w:t>
      </w:r>
      <w:r>
        <w:t xml:space="preserve"> </w:t>
      </w:r>
      <w:r>
        <w:rPr>
          <w:b/>
          <w:bCs/>
        </w:rPr>
        <w:t xml:space="preserve">"Taxes"</w:t>
      </w:r>
      <w:r>
        <w:t xml:space="preserve"> </w:t>
      </w:r>
      <w:r>
        <w:t xml:space="preserve">means all taxes, duties, levies, and withholdings.</w:t>
      </w:r>
      <w:r>
        <w:t xml:space="preserve"> </w:t>
      </w:r>
      <w:r>
        <w:rPr>
          <w:b/>
          <w:bCs/>
        </w:rPr>
        <w:t xml:space="preserve">"Work Product"</w:t>
      </w:r>
      <w:r>
        <w:t xml:space="preserve"> </w:t>
      </w:r>
      <w:r>
        <w:t xml:space="preserve">means all code, documentation, designs, and materials created in performing the Services.</w:t>
      </w:r>
    </w:p>
    <w:bookmarkEnd w:id="12"/>
    <w:bookmarkStart w:id="13" w:name="interpretation"/>
    <w:p>
      <w:pPr>
        <w:pStyle w:val="Heading3"/>
      </w:pPr>
      <w:r>
        <w:t xml:space="preserve">1.3 Interpretation</w:t>
      </w:r>
    </w:p>
    <w:p>
      <w:pPr>
        <w:pStyle w:val="FirstParagraph"/>
      </w:pPr>
      <w:r>
        <w:t xml:space="preserve">In this Agreement, unless the context otherwise requires: (a) headings are for convenience only and shall not affect interpretation; (b) words importing the singular include the plural and vice versa; (c) "include" and "including" are without limitation; (d) references to "Articles", "Schedules", and "Annexures" are to articles, schedules, and annexures of this Agreement; (e) references to "days" are to calendar days unless expressly stated to be business days; (f) references to statutes include amendments, re-enactments, and subordinate legislation; (g) "writing" includes email where acknowledged by the recipient; (h) "or" is not exclusive; (i) "knowledge" of a Party means the actual knowledge of its directors and officers after reasonable inquiry; (j) "material" and "materially" connote significance in the context of the affected obligation; (k) "reasonable" means reasonable in the circumstances of a prudent person in the same industry.</w:t>
      </w:r>
    </w:p>
    <w:bookmarkEnd w:id="13"/>
    <w:bookmarkEnd w:id="14"/>
    <w:bookmarkStart w:id="21" w:name="Xb6cc23a554b7a81e81a28f8e55083986399b134"/>
    <w:p>
      <w:pPr>
        <w:pStyle w:val="Heading2"/>
      </w:pPr>
      <w:r>
        <w:t xml:space="preserve">ARTICLE 2 — SCOPE OF WORK AND SPECIFICATIONS</w:t>
      </w:r>
    </w:p>
    <w:bookmarkStart w:id="15" w:name="general-scope"/>
    <w:p>
      <w:pPr>
        <w:pStyle w:val="Heading3"/>
      </w:pPr>
      <w:r>
        <w:t xml:space="preserve">2.1 General Scope</w:t>
      </w:r>
    </w:p>
    <w:p>
      <w:pPr>
        <w:pStyle w:val="FirstParagraph"/>
      </w:pPr>
      <w:r>
        <w:t xml:space="preserve">The Developer shall design, develop, test, document, and deliver the Project in accordance with the Scope of Work and Specifications set forth in Schedule A. The Project shall comprise a comprehensive banking compliance software module that enables the Client to:</w:t>
      </w:r>
    </w:p>
    <w:p>
      <w:pPr>
        <w:pStyle w:val="Compact"/>
        <w:numPr>
          <w:ilvl w:val="0"/>
          <w:numId w:val="1001"/>
        </w:numPr>
      </w:pPr>
      <w:r>
        <w:t xml:space="preserve">Monitor and ensure compliance with Reserve Bank of India circulars on digital lending, including the RBI Guidelines on Digital Lending of 2 September 2022;</w:t>
      </w:r>
    </w:p>
    <w:p>
      <w:pPr>
        <w:pStyle w:val="Compact"/>
        <w:numPr>
          <w:ilvl w:val="0"/>
          <w:numId w:val="1001"/>
        </w:numPr>
      </w:pPr>
      <w:r>
        <w:t xml:space="preserve">Generate regulatory reports required under SEBI (Listing Obligations and Disclosure Requirements) Regulations, 2015;</w:t>
      </w:r>
    </w:p>
    <w:p>
      <w:pPr>
        <w:pStyle w:val="Compact"/>
        <w:numPr>
          <w:ilvl w:val="0"/>
          <w:numId w:val="1001"/>
        </w:numPr>
      </w:pPr>
      <w:r>
        <w:t xml:space="preserve">Implement customer due diligence and anti-money laundering checks as mandated under the Prevention of Money Laundering Act, 2002 and rules thereunder;</w:t>
      </w:r>
    </w:p>
    <w:p>
      <w:pPr>
        <w:pStyle w:val="Compact"/>
        <w:numPr>
          <w:ilvl w:val="0"/>
          <w:numId w:val="1001"/>
        </w:numPr>
      </w:pPr>
      <w:r>
        <w:t xml:space="preserve">Maintain audit trails and logs suitable for regulatory inspection;</w:t>
      </w:r>
    </w:p>
    <w:p>
      <w:pPr>
        <w:pStyle w:val="Compact"/>
        <w:numPr>
          <w:ilvl w:val="0"/>
          <w:numId w:val="1001"/>
        </w:numPr>
      </w:pPr>
      <w:r>
        <w:t xml:space="preserve">Integrate with the Client's existing core banking and loan origination systems via approved APIs;</w:t>
      </w:r>
    </w:p>
    <w:p>
      <w:pPr>
        <w:pStyle w:val="Compact"/>
        <w:numPr>
          <w:ilvl w:val="0"/>
          <w:numId w:val="1001"/>
        </w:numPr>
      </w:pPr>
      <w:r>
        <w:t xml:space="preserve">Provide role-based access control and segregation of duties in line with banking norms;</w:t>
      </w:r>
    </w:p>
    <w:p>
      <w:pPr>
        <w:pStyle w:val="Compact"/>
        <w:numPr>
          <w:ilvl w:val="0"/>
          <w:numId w:val="1001"/>
        </w:numPr>
      </w:pPr>
      <w:r>
        <w:t xml:space="preserve">Support multi-tenancy for the Client's subsidiary and affiliate entities.</w:t>
      </w:r>
    </w:p>
    <w:bookmarkEnd w:id="15"/>
    <w:bookmarkStart w:id="16" w:name="phases-and-timeline"/>
    <w:p>
      <w:pPr>
        <w:pStyle w:val="Heading3"/>
      </w:pPr>
      <w:r>
        <w:t xml:space="preserve">2.2 Phases and Timeline</w:t>
      </w:r>
    </w:p>
    <w:p>
      <w:pPr>
        <w:pStyle w:val="FirstParagraph"/>
      </w:pPr>
      <w:r>
        <w:t xml:space="preserve">The Project shall be executed in the following phases, each with specified deliverables and acceptance criteria:</w:t>
      </w:r>
    </w:p>
    <w:p>
      <w:pPr>
        <w:pStyle w:val="BodyText"/>
      </w:pPr>
      <w:r>
        <w:rPr>
          <w:b/>
          <w:bCs/>
        </w:rPr>
        <w:t xml:space="preserve">Phase 1 — Discovery, Design &amp; Architecture (28 February 2025):</w:t>
      </w:r>
      <w:r>
        <w:t xml:space="preserve"> </w:t>
      </w:r>
      <w:r>
        <w:t xml:space="preserve">Preparation of detailed technical design document, architecture diagrams, database schema, API specifications, and project plan. Deliverables shall include: (i) Technical Architecture Document; (ii) Data Flow Diagrams; (iii) Entity Relationship Diagrams; (iv) API Specification; (v) Security Design Document; (vi) Detailed Project Schedule.</w:t>
      </w:r>
    </w:p>
    <w:p>
      <w:pPr>
        <w:pStyle w:val="BodyText"/>
      </w:pPr>
      <w:r>
        <w:rPr>
          <w:b/>
          <w:bCs/>
        </w:rPr>
        <w:t xml:space="preserve">Phase 2 — Development &amp; Unit Testing (30 April 2025):</w:t>
      </w:r>
      <w:r>
        <w:t xml:space="preserve"> </w:t>
      </w:r>
      <w:r>
        <w:t xml:space="preserve">Development of all modules, including backend services, frontend interfaces, database objects, and integration layers. Developer shall conduct unit testing and provide weekly progress reports. Deliverables shall include: (i) Source code for all modules; (ii) Unit test cases and results; (iii) Developer documentation; (iv) Deployment scripts.</w:t>
      </w:r>
    </w:p>
    <w:p>
      <w:pPr>
        <w:pStyle w:val="BodyText"/>
      </w:pPr>
      <w:r>
        <w:rPr>
          <w:b/>
          <w:bCs/>
        </w:rPr>
        <w:t xml:space="preserve">Phase 3 — Integration, UAT &amp; Deployment (30 June 2025):</w:t>
      </w:r>
      <w:r>
        <w:t xml:space="preserve"> </w:t>
      </w:r>
      <w:r>
        <w:t xml:space="preserve">Integration testing, user acceptance testing support, performance testing, security testing, and deployment to staging environment. Upon Acceptance, deployment to production. Deliverables shall include: (i) Integration test report; (ii) UAT support and defect resolution; (iii) Performance test report; (iv) Security audit report; (v) User manual and administrator guide; (vi) Production deployment.</w:t>
      </w:r>
    </w:p>
    <w:bookmarkEnd w:id="16"/>
    <w:bookmarkStart w:id="17" w:name="compliance-requirements"/>
    <w:p>
      <w:pPr>
        <w:pStyle w:val="Heading3"/>
      </w:pPr>
      <w:r>
        <w:t xml:space="preserve">2.3 Compliance Requirements</w:t>
      </w:r>
    </w:p>
    <w:p>
      <w:pPr>
        <w:pStyle w:val="FirstParagraph"/>
      </w:pPr>
      <w:r>
        <w:t xml:space="preserve">All Deliverables shall comply with: (a) applicable provisions of the Indian Contract Act, 1872; (b) the Information Technology Act, 2000 and the Information Technology (Reasonable Security Practices and Procedures and Sensitive Personal Data or Information) Rules, 2011; (c) RBI guidelines on technology risk management and cybersecurity; (d) SEBI cybersecurity framework where applicable; (e) data localization requirements under applicable law; (f) accessibility standards to the extent mandated.</w:t>
      </w:r>
    </w:p>
    <w:bookmarkEnd w:id="17"/>
    <w:bookmarkStart w:id="18" w:name="assumptions-and-dependencies"/>
    <w:p>
      <w:pPr>
        <w:pStyle w:val="Heading3"/>
      </w:pPr>
      <w:r>
        <w:t xml:space="preserve">2.4 Assumptions and Dependencies</w:t>
      </w:r>
    </w:p>
    <w:p>
      <w:pPr>
        <w:pStyle w:val="FirstParagraph"/>
      </w:pPr>
      <w:r>
        <w:t xml:space="preserve">The Developer's ability to perform the Services is contingent upon the following assumptions, which the Client represents to be true and shall ensure remain true: (a) the Client shall provide timely access to its systems, APIs, and personnel; (b) the Client shall provide accurate and complete requirements, business rules, and sample data; (c) the Client's existing systems (core banking, loan origination) shall have stable, documented APIs as represented; (d) the Client shall designate a single point of contact for requirements clarification and shall respond to queries within five (5) business days; (e) the Client shall provide a staging environment meeting the minimum specifications in Annexure VIII; (f) no material change in applicable regulatory requirements during the development period that would require fundamental redesign; (g) the Client shall obtain any third-party consents or licences required for integration. If any assumption is materially untrue or ceases to be true, the Developer shall notify the Client promptly. The Parties shall negotiate in good faith to adjust scope, timeline, or fees. Failure to agree within fifteen (15) days may entitle the Developer to an extension of time or, if the impact is severe, to terminate for convenience.</w:t>
      </w:r>
    </w:p>
    <w:bookmarkEnd w:id="18"/>
    <w:bookmarkStart w:id="19" w:name="exclusions"/>
    <w:p>
      <w:pPr>
        <w:pStyle w:val="Heading3"/>
      </w:pPr>
      <w:r>
        <w:t xml:space="preserve">2.5 Exclusions</w:t>
      </w:r>
    </w:p>
    <w:p>
      <w:pPr>
        <w:pStyle w:val="FirstParagraph"/>
      </w:pPr>
      <w:r>
        <w:t xml:space="preserve">The following are expressly excluded from the Scope of Work unless separately agreed in a Change Request: (a) hardware procurement, data centre setup, or cloud infrastructure provisioning; (b) third-party licence fees (including for databases, middleware, or proprietary components); (c) data migration from legacy systems except as specified in Schedule A; (d) training beyond the scope described in Annexure IV; (e) ongoing maintenance and support beyond the Warranty Period; (f) customization for jurisdictions outside India; (g) integration with systems not identified in the Technical Design Document; (h) custom reporting beyond the reports specified in Schedule A; (i) regulatory filings or submissions on behalf of the Client; (j) legal or regulatory advice; (k) implementation of changes required by future regulatory amendments enacted after the Effective Date.</w:t>
      </w:r>
    </w:p>
    <w:bookmarkEnd w:id="19"/>
    <w:bookmarkStart w:id="20" w:name="dependencies-on-client"/>
    <w:p>
      <w:pPr>
        <w:pStyle w:val="Heading3"/>
      </w:pPr>
      <w:r>
        <w:t xml:space="preserve">2.6 Dependencies on Client</w:t>
      </w:r>
    </w:p>
    <w:p>
      <w:pPr>
        <w:pStyle w:val="FirstParagraph"/>
      </w:pPr>
      <w:r>
        <w:t xml:space="preserve">The Developer's compliance with the Timeline is conditional upon the Client: (a) providing access to systems and data within seven (7) days of the Commencement Date; (b) approving Phase 1 deliverables within fifteen (15) business days of submission; (c) providing UAT resources and conducting UAT within thirty (30) days of Phase 3 staging deployment; (d) making production environment available for Go-Live within ten (10) business days of UAT sign-off. Delays attributable to the Client's failure to fulfil these obligations shall extend the Timeline by the period of delay. The Developer shall document and notify the Client of any such dependency failures. If the Client disputes that a delay is attributable to it, the matter shall be escalated per Article 5.4.</w:t>
      </w:r>
    </w:p>
    <w:bookmarkEnd w:id="20"/>
    <w:bookmarkEnd w:id="21"/>
    <w:bookmarkStart w:id="27" w:name="article-3-developers-obligations"/>
    <w:p>
      <w:pPr>
        <w:pStyle w:val="Heading2"/>
      </w:pPr>
      <w:r>
        <w:t xml:space="preserve">ARTICLE 3 — DEVELOPER'S OBLIGATIONS</w:t>
      </w:r>
    </w:p>
    <w:bookmarkStart w:id="22" w:name="performance-standards"/>
    <w:p>
      <w:pPr>
        <w:pStyle w:val="Heading3"/>
      </w:pPr>
      <w:r>
        <w:t xml:space="preserve">3.1 Performance Standards</w:t>
      </w:r>
    </w:p>
    <w:p>
      <w:pPr>
        <w:pStyle w:val="FirstParagraph"/>
      </w:pPr>
      <w:r>
        <w:t xml:space="preserve">The Developer shall: (a) perform the Services with professional skill, care, and diligence consistent with industry standards for enterprise software development; (b) assign personnel with appropriate qualifications and experience; (c) comply with all applicable laws; (d) obtain and maintain all necessary licences and consents; (e) cooperate with the Client and its representatives in good faith; (f) maintain accurate records of work performed and make them available for audit upon reasonable notice.</w:t>
      </w:r>
    </w:p>
    <w:bookmarkEnd w:id="22"/>
    <w:bookmarkStart w:id="23" w:name="key-personnel"/>
    <w:p>
      <w:pPr>
        <w:pStyle w:val="Heading3"/>
      </w:pPr>
      <w:r>
        <w:t xml:space="preserve">3.2 Key Personnel</w:t>
      </w:r>
    </w:p>
    <w:p>
      <w:pPr>
        <w:pStyle w:val="FirstParagraph"/>
      </w:pPr>
      <w:r>
        <w:t xml:space="preserve">The Developer shall assign a dedicated Project Manager and a minimum of four (4) full-time developers for the duration of the Project. Key personnel shall not be replaced without prior written consent of the Client, unless due to resignation, termination, or force majeure. In the event of replacement, the replacement shall have equivalent or better qualifications. The Developer shall use reasonable commercial efforts to retain key personnel assigned to the Project for the duration of their respective Phase. If a key person departs, the Developer shall notify the Client within five (5) business days and propose a replacement within ten (10) business days. The Client may interview the proposed replacement and shall not unreasonably withhold consent. If the Client reasonably objects to two (2) successive replacements, the Parties shall escalate to the steering committee to agree on alternative arrangements. The Developer shall ensure that at least seventy-five percent (75%) of the development team remains consistent between Phase 1 and Phase 2 to preserve institutional knowledge.</w:t>
      </w:r>
    </w:p>
    <w:bookmarkEnd w:id="23"/>
    <w:bookmarkStart w:id="24" w:name="a-conflict-of-interest"/>
    <w:p>
      <w:pPr>
        <w:pStyle w:val="Heading3"/>
      </w:pPr>
      <w:r>
        <w:t xml:space="preserve">3.2A Conflict of Interest</w:t>
      </w:r>
    </w:p>
    <w:p>
      <w:pPr>
        <w:pStyle w:val="FirstParagraph"/>
      </w:pPr>
      <w:r>
        <w:t xml:space="preserve">The Developer represents that, to its knowledge as of the Effective Date, it has no direct or indirect interest that would conflict with its duties under this Agreement. The Developer shall not, during the Term and for twelve (12) months thereafter, without prior written consent: (a) provide development services for a competing banking compliance product to any entity that directly competes with the Client in the digital lending space; (b) use or disclose the Client's Confidential Information to develop a similar product for third parties. The Developer may continue to provide generic software development services and may work for other financial services clients on non-competing projects. The Developer shall disclose to the Client within five (5) business days any circumstance that could reasonably be perceived as a conflict, including engagement by a competing bidder for a similar product. If the Client determines that a conflict exists and cannot be mitigated, the Client may terminate for convenience. This Section 3.2A shall not restrict the Developer's right to use its Background IP, generic tools, or publicly known techniques.</w:t>
      </w:r>
    </w:p>
    <w:bookmarkEnd w:id="24"/>
    <w:bookmarkStart w:id="25" w:name="subcontracting"/>
    <w:p>
      <w:pPr>
        <w:pStyle w:val="Heading3"/>
      </w:pPr>
      <w:r>
        <w:t xml:space="preserve">3.3 Subcontracting</w:t>
      </w:r>
    </w:p>
    <w:p>
      <w:pPr>
        <w:pStyle w:val="FirstParagraph"/>
      </w:pPr>
      <w:r>
        <w:t xml:space="preserve">The Developer shall not subcontract any material portion of the Services without the prior written consent of the Client. Where consent is given, the Developer shall remain fully liable for the acts and omissions of subcontractors and shall ensure that subcontractors are bound by confidentiality and IP assignment obligations substantially similar to those in this Agreement.</w:t>
      </w:r>
    </w:p>
    <w:bookmarkEnd w:id="25"/>
    <w:bookmarkStart w:id="26" w:name="compliance-with-client-policies"/>
    <w:p>
      <w:pPr>
        <w:pStyle w:val="Heading3"/>
      </w:pPr>
      <w:r>
        <w:t xml:space="preserve">3.4 Compliance with Client Policies</w:t>
      </w:r>
    </w:p>
    <w:p>
      <w:pPr>
        <w:pStyle w:val="FirstParagraph"/>
      </w:pPr>
      <w:r>
        <w:t xml:space="preserve">When performing Services on Client premises or accessing Client systems, the Developer and its personnel shall comply with the Client's reasonable security policies, access controls, and code of conduct as communicated in writing.</w:t>
      </w:r>
    </w:p>
    <w:bookmarkEnd w:id="26"/>
    <w:bookmarkEnd w:id="27"/>
    <w:bookmarkStart w:id="36" w:name="article-4-fees-payment-and-taxes"/>
    <w:p>
      <w:pPr>
        <w:pStyle w:val="Heading2"/>
      </w:pPr>
      <w:r>
        <w:t xml:space="preserve">ARTICLE 4 — FEES, PAYMENT, AND TAXES</w:t>
      </w:r>
    </w:p>
    <w:bookmarkStart w:id="28" w:name="contract-value"/>
    <w:p>
      <w:pPr>
        <w:pStyle w:val="Heading3"/>
      </w:pPr>
      <w:r>
        <w:t xml:space="preserve">4.1 Contract Value</w:t>
      </w:r>
    </w:p>
    <w:p>
      <w:pPr>
        <w:pStyle w:val="FirstParagraph"/>
      </w:pPr>
      <w:r>
        <w:t xml:space="preserve">The total contract value for the Services and Deliverables is ₹42,00,000 (Rupees Forty-Two Lakhs only), exclusive of GST. GST at the applicable rate (currently 18%) shall be payable in addition and shall be reflected separately on invoices.</w:t>
      </w:r>
    </w:p>
    <w:bookmarkEnd w:id="28"/>
    <w:bookmarkStart w:id="29" w:name="payment-schedule"/>
    <w:p>
      <w:pPr>
        <w:pStyle w:val="Heading3"/>
      </w:pPr>
      <w:r>
        <w:t xml:space="preserve">4.2 Payment Schedule</w:t>
      </w:r>
    </w:p>
    <w:p>
      <w:pPr>
        <w:pStyle w:val="FirstParagraph"/>
      </w:pPr>
      <w:r>
        <w:t xml:space="preserve">Payment shall be made in accordance with the following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 (₹)</w:t>
            </w:r>
          </w:p>
        </w:tc>
        <w:tc>
          <w:tcPr/>
          <w:p>
            <w:pPr>
              <w:pStyle w:val="Compact"/>
            </w:pPr>
            <w:r>
              <w:t xml:space="preserve">Trigger</w:t>
            </w:r>
          </w:p>
        </w:tc>
      </w:tr>
      <w:tr>
        <w:tc>
          <w:tcPr/>
          <w:p>
            <w:pPr>
              <w:pStyle w:val="Compact"/>
            </w:pPr>
            <w:r>
              <w:t xml:space="preserve">On execution of Agreement</w:t>
            </w:r>
          </w:p>
        </w:tc>
        <w:tc>
          <w:tcPr/>
          <w:p>
            <w:pPr>
              <w:pStyle w:val="Compact"/>
            </w:pPr>
            <w:r>
              <w:t xml:space="preserve">12,60,000 (30%)</w:t>
            </w:r>
          </w:p>
        </w:tc>
        <w:tc>
          <w:tcPr/>
          <w:p>
            <w:pPr>
              <w:pStyle w:val="Compact"/>
            </w:pPr>
            <w:r>
              <w:t xml:space="preserve">Within 7 days of signing</w:t>
            </w:r>
          </w:p>
        </w:tc>
      </w:tr>
      <w:tr>
        <w:tc>
          <w:tcPr/>
          <w:p>
            <w:pPr>
              <w:pStyle w:val="Compact"/>
            </w:pPr>
            <w:r>
              <w:t xml:space="preserve">Phase 2 Completion</w:t>
            </w:r>
          </w:p>
        </w:tc>
        <w:tc>
          <w:tcPr/>
          <w:p>
            <w:pPr>
              <w:pStyle w:val="Compact"/>
            </w:pPr>
            <w:r>
              <w:t xml:space="preserve">16,80,000 (40%)</w:t>
            </w:r>
          </w:p>
        </w:tc>
        <w:tc>
          <w:tcPr/>
          <w:p>
            <w:pPr>
              <w:pStyle w:val="Compact"/>
            </w:pPr>
            <w:r>
              <w:t xml:space="preserve">Acceptance of Phase 2 deliverables</w:t>
            </w:r>
          </w:p>
        </w:tc>
      </w:tr>
      <w:tr>
        <w:tc>
          <w:tcPr/>
          <w:p>
            <w:pPr>
              <w:pStyle w:val="Compact"/>
            </w:pPr>
            <w:r>
              <w:t xml:space="preserve">Final Acceptance</w:t>
            </w:r>
          </w:p>
        </w:tc>
        <w:tc>
          <w:tcPr/>
          <w:p>
            <w:pPr>
              <w:pStyle w:val="Compact"/>
            </w:pPr>
            <w:r>
              <w:t xml:space="preserve">12,60,000 (30%)</w:t>
            </w:r>
          </w:p>
        </w:tc>
        <w:tc>
          <w:tcPr/>
          <w:p>
            <w:pPr>
              <w:pStyle w:val="Compact"/>
            </w:pPr>
            <w:r>
              <w:t xml:space="preserve">Acceptance of Phase 3 / Go-Live</w:t>
            </w:r>
          </w:p>
        </w:tc>
      </w:tr>
    </w:tbl>
    <w:bookmarkEnd w:id="29"/>
    <w:bookmarkStart w:id="30" w:name="invoicing-and-payment-terms"/>
    <w:p>
      <w:pPr>
        <w:pStyle w:val="Heading3"/>
      </w:pPr>
      <w:r>
        <w:t xml:space="preserve">4.3 Invoicing and Payment Terms</w:t>
      </w:r>
    </w:p>
    <w:p>
      <w:pPr>
        <w:pStyle w:val="FirstParagraph"/>
      </w:pPr>
      <w:r>
        <w:t xml:space="preserve">The Developer shall raise invoices upon achievement of each Milestone, supported by such documentation as the Client may reasonably require. The Client shall pay each valid invoice within thirty (30) days of receipt. Payment shall be made by NEFT/RTGS to the bank account notified by the Developer.</w:t>
      </w:r>
    </w:p>
    <w:bookmarkEnd w:id="30"/>
    <w:bookmarkStart w:id="31" w:name="late-payment"/>
    <w:p>
      <w:pPr>
        <w:pStyle w:val="Heading3"/>
      </w:pPr>
      <w:r>
        <w:t xml:space="preserve">4.4 Late Payment</w:t>
      </w:r>
    </w:p>
    <w:p>
      <w:pPr>
        <w:pStyle w:val="FirstParagraph"/>
      </w:pPr>
      <w:r>
        <w:t xml:space="preserve">Overdue amounts shall bear interest at the rate of eighteen percent (18%) per annum, compounded monthly, from the due date until payment, in accordance with Section 3 of the Interest Act, 1978. The Client shall also reimburse any reasonable collection costs. Payment of interest shall not waive the right to claim damages for breach.</w:t>
      </w:r>
    </w:p>
    <w:bookmarkEnd w:id="31"/>
    <w:bookmarkStart w:id="32" w:name="taxes"/>
    <w:p>
      <w:pPr>
        <w:pStyle w:val="Heading3"/>
      </w:pPr>
      <w:r>
        <w:t xml:space="preserve">4.5 Taxes</w:t>
      </w:r>
    </w:p>
    <w:p>
      <w:pPr>
        <w:pStyle w:val="FirstParagraph"/>
      </w:pPr>
      <w:r>
        <w:t xml:space="preserve">All amounts are exclusive of taxes. The Client shall pay GST and any other applicable taxes. The Developer shall provide a valid tax invoice with GSTIN. If the Client is required to withhold tax at source under the Income Tax Act, 1961, it shall provide a valid withholding certificate and the net amount received by the Developer shall be grossed up to ensure the Developer receives the full amount that would have been received but for such withholding, unless the withholding is due to the Developer's failure to provide tax documents.</w:t>
      </w:r>
    </w:p>
    <w:bookmarkEnd w:id="32"/>
    <w:bookmarkStart w:id="33" w:name="no-set-off"/>
    <w:p>
      <w:pPr>
        <w:pStyle w:val="Heading3"/>
      </w:pPr>
      <w:r>
        <w:t xml:space="preserve">4.6 No Set-Off</w:t>
      </w:r>
    </w:p>
    <w:p>
      <w:pPr>
        <w:pStyle w:val="FirstParagraph"/>
      </w:pPr>
      <w:r>
        <w:t xml:space="preserve">The Client shall pay all amounts without set-off, counterclaim, or deduction, except for amounts disputed in good faith with prior written notice specifying the reason and amount. Disputed amounts shall be paid within 15 days of resolution.</w:t>
      </w:r>
    </w:p>
    <w:bookmarkEnd w:id="33"/>
    <w:bookmarkStart w:id="34" w:name="payment-dispute-procedure"/>
    <w:p>
      <w:pPr>
        <w:pStyle w:val="Heading3"/>
      </w:pPr>
      <w:r>
        <w:t xml:space="preserve">4.7 Payment Dispute Procedure</w:t>
      </w:r>
    </w:p>
    <w:p>
      <w:pPr>
        <w:pStyle w:val="FirstParagraph"/>
      </w:pPr>
      <w:r>
        <w:t xml:space="preserve">If the Client disputes any invoice: (a) the Client shall pay the undisputed portion within the payment term; (b) the Client shall provide written notice of the dispute within seven (7) days of the invoice date, specifying the amount disputed and the factual and legal basis; (c) the Parties shall endeavour to resolve the dispute within fifteen (15) days through the Project Managers; (d) if unresolved, the matter shall be escalated to the steering committee; (e) pending resolution, the Client shall not withhold payment for more than thirty (30) days unless the dispute relates to a bona fide claim that the Deliverables materially fail to meet the Specifications; (f) if the dispute is resolved in favour of the Developer, the Client shall pay the disputed amount plus interest from the original due date at 18% per annum; (g) if the dispute is resolved in favour of the Client, the Developer shall credit or refund the overpayment within fifteen (15) days.</w:t>
      </w:r>
    </w:p>
    <w:bookmarkEnd w:id="34"/>
    <w:bookmarkStart w:id="35" w:name="suspension-for-non-payment"/>
    <w:p>
      <w:pPr>
        <w:pStyle w:val="Heading3"/>
      </w:pPr>
      <w:r>
        <w:t xml:space="preserve">4.8 Suspension for Non-Payment</w:t>
      </w:r>
    </w:p>
    <w:p>
      <w:pPr>
        <w:pStyle w:val="FirstParagraph"/>
      </w:pPr>
      <w:r>
        <w:t xml:space="preserve">If any undisputed amount remains unpaid for more than fifteen (15) days after the due date, the Developer may, upon seven (7) days' prior written notice, suspend performance until payment is received. Suspension shall not constitute a breach by the Developer. During suspension, the Timeline shall be extended by the period of suspension. If the Client pays within the notice period, the Developer shall not suspend. The Developer shall not suspend for amounts that are the subject of a bona fide dispute notified in accordance with Section 4.7.</w:t>
      </w:r>
    </w:p>
    <w:bookmarkEnd w:id="35"/>
    <w:bookmarkEnd w:id="36"/>
    <w:bookmarkStart w:id="41" w:name="X22d4b2654aec73f966ea25b14f9f5ddc874f647"/>
    <w:p>
      <w:pPr>
        <w:pStyle w:val="Heading2"/>
      </w:pPr>
      <w:r>
        <w:t xml:space="preserve">ARTICLE 5 — PROJECT MANAGEMENT AND COMMUNICATION</w:t>
      </w:r>
    </w:p>
    <w:bookmarkStart w:id="37" w:name="project-managers"/>
    <w:p>
      <w:pPr>
        <w:pStyle w:val="Heading3"/>
      </w:pPr>
      <w:r>
        <w:t xml:space="preserve">5.1 Project Managers</w:t>
      </w:r>
    </w:p>
    <w:p>
      <w:pPr>
        <w:pStyle w:val="FirstParagraph"/>
      </w:pPr>
      <w:r>
        <w:t xml:space="preserve">Each Party shall designate a Project Manager within five (5) days of the Effective Date. The Client's Project Manager is Mr. Rajesh Verma (rajesh.verma@fintechsol.com). The Developer's Project Manager is Ms. Anitha Krishnan (anitha@codecraft.in). Either Party may change its Project Manager by written notice.</w:t>
      </w:r>
    </w:p>
    <w:bookmarkEnd w:id="37"/>
    <w:bookmarkStart w:id="38" w:name="steering-committee"/>
    <w:p>
      <w:pPr>
        <w:pStyle w:val="Heading3"/>
      </w:pPr>
      <w:r>
        <w:t xml:space="preserve">5.2 Steering Committee</w:t>
      </w:r>
    </w:p>
    <w:p>
      <w:pPr>
        <w:pStyle w:val="FirstParagraph"/>
      </w:pPr>
      <w:r>
        <w:t xml:space="preserve">A steering committee comprising two (2) representatives from each Party shall meet monthly (or as otherwise agreed) to review progress, resolve escalated issues, and approve Change Requests. Minutes shall be circulated within five (5) days.</w:t>
      </w:r>
    </w:p>
    <w:bookmarkEnd w:id="38"/>
    <w:bookmarkStart w:id="39" w:name="status-reports"/>
    <w:p>
      <w:pPr>
        <w:pStyle w:val="Heading3"/>
      </w:pPr>
      <w:r>
        <w:t xml:space="preserve">5.3 Status Reports</w:t>
      </w:r>
    </w:p>
    <w:p>
      <w:pPr>
        <w:pStyle w:val="FirstParagraph"/>
      </w:pPr>
      <w:r>
        <w:t xml:space="preserve">The Developer shall provide weekly written status reports including: tasks completed, tasks in progress, risks and issues, and planned activities. Format shall be as agreed or as reasonably requested by the Client.</w:t>
      </w:r>
    </w:p>
    <w:bookmarkEnd w:id="39"/>
    <w:bookmarkStart w:id="40" w:name="escalation"/>
    <w:p>
      <w:pPr>
        <w:pStyle w:val="Heading3"/>
      </w:pPr>
      <w:r>
        <w:t xml:space="preserve">5.4 Escalation</w:t>
      </w:r>
    </w:p>
    <w:p>
      <w:pPr>
        <w:pStyle w:val="FirstParagraph"/>
      </w:pPr>
      <w:r>
        <w:t xml:space="preserve">Issues that cannot be resolved at the Project Manager level within seven (7) days shall be escalated to the steering committee. Critical issues affecting timeline or scope shall be escalated within forty-eight (48) hours.</w:t>
      </w:r>
    </w:p>
    <w:bookmarkEnd w:id="40"/>
    <w:bookmarkEnd w:id="41"/>
    <w:bookmarkStart w:id="45" w:name="article-6-change-control"/>
    <w:p>
      <w:pPr>
        <w:pStyle w:val="Heading2"/>
      </w:pPr>
      <w:r>
        <w:t xml:space="preserve">ARTICLE 6 — CHANGE CONTROL</w:t>
      </w:r>
    </w:p>
    <w:bookmarkStart w:id="42" w:name="change-request-process"/>
    <w:p>
      <w:pPr>
        <w:pStyle w:val="Heading3"/>
      </w:pPr>
      <w:r>
        <w:t xml:space="preserve">6.1 Change Request Process</w:t>
      </w:r>
    </w:p>
    <w:p>
      <w:pPr>
        <w:pStyle w:val="FirstParagraph"/>
      </w:pPr>
      <w:r>
        <w:t xml:space="preserve">Either Party may propose changes to the Scope of Work, Specifications, Timeline, or Fees by submitting a written Change Request describing the change and its impact. The other Party shall respond within ten (10) business days. Changes shall be effective only upon written agreement signed by both Parties, which may take the form of an amendment or a duly approved change order.</w:t>
      </w:r>
    </w:p>
    <w:bookmarkEnd w:id="42"/>
    <w:bookmarkStart w:id="43" w:name="impact-assessment"/>
    <w:p>
      <w:pPr>
        <w:pStyle w:val="Heading3"/>
      </w:pPr>
      <w:r>
        <w:t xml:space="preserve">6.2 Impact Assessment</w:t>
      </w:r>
    </w:p>
    <w:p>
      <w:pPr>
        <w:pStyle w:val="FirstParagraph"/>
      </w:pPr>
      <w:r>
        <w:t xml:space="preserve">For each Change Request, the Developer shall prepare an impact assessment including: revised scope, effort (person-days), revised timeline, and revised fees. The Client shall not be bound to approve any Change Request. If the Client does not approve, the original Agreement terms shall continue to apply.</w:t>
      </w:r>
    </w:p>
    <w:bookmarkEnd w:id="43"/>
    <w:bookmarkStart w:id="44" w:name="urgent-changes"/>
    <w:p>
      <w:pPr>
        <w:pStyle w:val="Heading3"/>
      </w:pPr>
      <w:r>
        <w:t xml:space="preserve">6.3 Urgent Changes</w:t>
      </w:r>
    </w:p>
    <w:p>
      <w:pPr>
        <w:pStyle w:val="FirstParagraph"/>
      </w:pPr>
      <w:r>
        <w:t xml:space="preserve">For changes required to address critical defects, security vulnerabilities, or regulatory compliance issues, the Parties may agree to an expedited process. Any such agreement shall be documented in writing.</w:t>
      </w:r>
    </w:p>
    <w:bookmarkEnd w:id="44"/>
    <w:bookmarkEnd w:id="45"/>
    <w:bookmarkStart w:id="51" w:name="article-7-intellectual-property-rights"/>
    <w:p>
      <w:pPr>
        <w:pStyle w:val="Heading2"/>
      </w:pPr>
      <w:r>
        <w:t xml:space="preserve">ARTICLE 7 — INTELLECTUAL PROPERTY RIGHTS</w:t>
      </w:r>
    </w:p>
    <w:bookmarkStart w:id="46" w:name="ownership-of-deliverables"/>
    <w:p>
      <w:pPr>
        <w:pStyle w:val="Heading3"/>
      </w:pPr>
      <w:r>
        <w:t xml:space="preserve">7.1 Ownership of Deliverables</w:t>
      </w:r>
    </w:p>
    <w:p>
      <w:pPr>
        <w:pStyle w:val="FirstParagraph"/>
      </w:pPr>
      <w:r>
        <w:t xml:space="preserve">Subject to payment of all Fees, all Intellectual Property Rights in the Deliverables shall vest exclusively in the Client upon creation. The Developer hereby assigns to the Client, with full title guarantee, all rights, title, and interest in and to the Deliverables, including all copyright, and agrees to execute such further documents and do such further acts as may be necessary to perfect the Client's title. The assignment shall be effective as a present assignment of future rights to the extent permitted by law.</w:t>
      </w:r>
    </w:p>
    <w:bookmarkEnd w:id="46"/>
    <w:bookmarkStart w:id="47" w:name="background-ip"/>
    <w:p>
      <w:pPr>
        <w:pStyle w:val="Heading3"/>
      </w:pPr>
      <w:r>
        <w:t xml:space="preserve">7.2 Background IP</w:t>
      </w:r>
    </w:p>
    <w:p>
      <w:pPr>
        <w:pStyle w:val="FirstParagraph"/>
      </w:pPr>
      <w:r>
        <w:t xml:space="preserve">The Developer shall not incorporate any of its Background IP into the Deliverables without prior written consent. Where such incorporation is permitted, the Developer shall grant the Client a perpetual, irrevocable, royalty-free, worldwide licence to use, modify, and sublicense such Background IP as part of the System. The Client's use of the Deliverables shall not give the Developer any rights in the Client's Background IP or pre-existing systems.</w:t>
      </w:r>
    </w:p>
    <w:bookmarkEnd w:id="47"/>
    <w:bookmarkStart w:id="48" w:name="open-source-and-third-party-software"/>
    <w:p>
      <w:pPr>
        <w:pStyle w:val="Heading3"/>
      </w:pPr>
      <w:r>
        <w:t xml:space="preserve">7.3 Open Source and Third-Party Software</w:t>
      </w:r>
    </w:p>
    <w:p>
      <w:pPr>
        <w:pStyle w:val="FirstParagraph"/>
      </w:pPr>
      <w:r>
        <w:t xml:space="preserve">The Developer shall disclose all OSS and Third-Party Software to be used in the Deliverables, together with the applicable licences, in a schedule to be provided with the Phase 1 deliverables. No OSS with copyleft or similar viral provisions (including GPL, AGPL, LGPL) shall be used without prior written consent. The Developer warrants that the use of all OSS and Third-Party Software is in compliance with the applicable licences and will not impose obligations on the Client inconsistent with this Agreement.</w:t>
      </w:r>
    </w:p>
    <w:bookmarkEnd w:id="48"/>
    <w:bookmarkStart w:id="49" w:name="moral-rights"/>
    <w:p>
      <w:pPr>
        <w:pStyle w:val="Heading3"/>
      </w:pPr>
      <w:r>
        <w:t xml:space="preserve">7.4 Moral Rights</w:t>
      </w:r>
    </w:p>
    <w:p>
      <w:pPr>
        <w:pStyle w:val="FirstParagraph"/>
      </w:pPr>
      <w:r>
        <w:t xml:space="preserve">The Developer waives, to the fullest extent permitted by law, any moral rights or similar rights in the Deliverables. Where waiver is not permitted, the Developer grants the Client the right to modify, adapt, and use the Deliverables without attribution or restriction.</w:t>
      </w:r>
    </w:p>
    <w:bookmarkEnd w:id="49"/>
    <w:bookmarkStart w:id="50" w:name="survival"/>
    <w:p>
      <w:pPr>
        <w:pStyle w:val="Heading3"/>
      </w:pPr>
      <w:r>
        <w:t xml:space="preserve">7.5 Survival</w:t>
      </w:r>
    </w:p>
    <w:p>
      <w:pPr>
        <w:pStyle w:val="FirstParagraph"/>
      </w:pPr>
      <w:r>
        <w:t xml:space="preserve">The provisions of this Article 7 shall survive termination or expiry of this Agreement indefinitely.</w:t>
      </w:r>
    </w:p>
    <w:bookmarkEnd w:id="50"/>
    <w:bookmarkEnd w:id="51"/>
    <w:bookmarkStart w:id="57" w:name="X6e9c875e42744d5a8259d4ba955c07f879205da"/>
    <w:p>
      <w:pPr>
        <w:pStyle w:val="Heading2"/>
      </w:pPr>
      <w:r>
        <w:t xml:space="preserve">ARTICLE 8 — CONFIDENTIALITY AND DATA PROTECTION</w:t>
      </w:r>
    </w:p>
    <w:bookmarkStart w:id="52" w:name="confidential-information"/>
    <w:p>
      <w:pPr>
        <w:pStyle w:val="Heading3"/>
      </w:pPr>
      <w:r>
        <w:t xml:space="preserve">8.1 Confidential Information</w:t>
      </w:r>
    </w:p>
    <w:p>
      <w:pPr>
        <w:pStyle w:val="FirstParagraph"/>
      </w:pPr>
      <w:r>
        <w:t xml:space="preserve">"Confidential Information" means any information disclosed by one Party (the "Disclosing Party") to the other (the "Receiving Party"), whether orally, in writing, or in electronic form, that is designated as confidential or that reasonably ought to be understood as confidential, including without limitation: business plans, financial information, customer data, technical specifications, source code, algorithms, pricing, marketing plans, and the terms of this Agreement. Confidential Information excludes information that: (a) is or becomes publicly available other than through breach of this Agreement; (b) was rightfully known to the Receiving Party prior to disclosure; (c) is independently developed without use of the Confidential Information; (d) is rightfully received from a third party without restriction on disclosure.</w:t>
      </w:r>
    </w:p>
    <w:bookmarkEnd w:id="52"/>
    <w:bookmarkStart w:id="53" w:name="obligations"/>
    <w:p>
      <w:pPr>
        <w:pStyle w:val="Heading3"/>
      </w:pPr>
      <w:r>
        <w:t xml:space="preserve">8.2 Obligations</w:t>
      </w:r>
    </w:p>
    <w:p>
      <w:pPr>
        <w:pStyle w:val="FirstParagraph"/>
      </w:pPr>
      <w:r>
        <w:t xml:space="preserve">The Receiving Party shall: (a) hold Confidential Information in strict confidence; (b) not disclose it to any third party except to its employees, Affiliates, and professional advisers on a need-to-know basis and subject to confidentiality obligations at least as protective as herein; (c) use it only for the purpose of performing or exercising rights under this Agreement; (d) return or destroy all copies upon termination or upon request. These obligations shall survive for five (5) years from disclosure, except for trade secrets and source code, which shall be protected indefinitely.</w:t>
      </w:r>
    </w:p>
    <w:bookmarkEnd w:id="53"/>
    <w:bookmarkStart w:id="54" w:name="compelled-disclosure"/>
    <w:p>
      <w:pPr>
        <w:pStyle w:val="Heading3"/>
      </w:pPr>
      <w:r>
        <w:t xml:space="preserve">8.3 Compelled Disclosure</w:t>
      </w:r>
    </w:p>
    <w:p>
      <w:pPr>
        <w:pStyle w:val="FirstParagraph"/>
      </w:pPr>
      <w:r>
        <w:t xml:space="preserve">If the Receiving Party is required by law to disclose Confidential Information, it shall give prompt notice to the Disclosing Party and cooperate in any effort to obtain a protective order. If disclosure cannot be avoided, the Receiving Party shall disclose only what is legally required.</w:t>
      </w:r>
    </w:p>
    <w:bookmarkEnd w:id="54"/>
    <w:bookmarkStart w:id="55" w:name="personal-data"/>
    <w:p>
      <w:pPr>
        <w:pStyle w:val="Heading3"/>
      </w:pPr>
      <w:r>
        <w:t xml:space="preserve">8.4 Personal Data</w:t>
      </w:r>
    </w:p>
    <w:p>
      <w:pPr>
        <w:pStyle w:val="FirstParagraph"/>
      </w:pPr>
      <w:r>
        <w:t xml:space="preserve">To the extent the Developer processes personal data on behalf of the Client, the Developer shall: (a) process it only on documented instructions from the Client; (b) implement appropriate technical and organisational measures; (c) ensure that personnel with access are bound by confidentiality; (d) assist the Client in responding to data subject requests and regulatory inquiries; (e) delete or return personal data upon termination. The Parties shall enter into a data processing agreement if required under applicable law.</w:t>
      </w:r>
    </w:p>
    <w:bookmarkEnd w:id="55"/>
    <w:bookmarkStart w:id="56" w:name="data-localization"/>
    <w:p>
      <w:pPr>
        <w:pStyle w:val="Heading3"/>
      </w:pPr>
      <w:r>
        <w:t xml:space="preserve">8.5 Data Localization</w:t>
      </w:r>
    </w:p>
    <w:p>
      <w:pPr>
        <w:pStyle w:val="FirstParagraph"/>
      </w:pPr>
      <w:r>
        <w:t xml:space="preserve">All data of the Client, including customer data and logs, shall be stored and processed within India, in compliance with RBI and other applicable data localisation requirements.</w:t>
      </w:r>
    </w:p>
    <w:bookmarkEnd w:id="56"/>
    <w:bookmarkEnd w:id="57"/>
    <w:bookmarkStart w:id="61" w:name="article-9-acceptance-and-testing"/>
    <w:p>
      <w:pPr>
        <w:pStyle w:val="Heading2"/>
      </w:pPr>
      <w:r>
        <w:t xml:space="preserve">ARTICLE 9 — ACCEPTANCE AND TESTING</w:t>
      </w:r>
    </w:p>
    <w:bookmarkStart w:id="58" w:name="acceptance-criteria"/>
    <w:p>
      <w:pPr>
        <w:pStyle w:val="Heading3"/>
      </w:pPr>
      <w:r>
        <w:t xml:space="preserve">9.1 Acceptance Criteria</w:t>
      </w:r>
    </w:p>
    <w:p>
      <w:pPr>
        <w:pStyle w:val="FirstParagraph"/>
      </w:pPr>
      <w:r>
        <w:t xml:space="preserve">Acceptance shall be based on the criteria set forth in Schedule B. The Deliverables shall be deemed accepted if: (a) they substantially conform to the Specifications; (b) they pass the agreed test cases; (c) no critical or high-priority defects remain open; (d) documentation is complete.</w:t>
      </w:r>
    </w:p>
    <w:bookmarkEnd w:id="58"/>
    <w:bookmarkStart w:id="59" w:name="acceptance-procedure"/>
    <w:p>
      <w:pPr>
        <w:pStyle w:val="Heading3"/>
      </w:pPr>
      <w:r>
        <w:t xml:space="preserve">9.2 Acceptance Procedure</w:t>
      </w:r>
    </w:p>
    <w:p>
      <w:pPr>
        <w:pStyle w:val="FirstParagraph"/>
      </w:pPr>
      <w:r>
        <w:t xml:space="preserve">Upon submission of deliverables for a Phase, the Client shall have fifteen (15) business days to conduct testing and either accept or reject with a written list of defects. If the Client does not respond within such period, the deliverables shall be deemed accepted unless the Developer is notified that testing could not be completed due to Developer's delay in providing access or support. Rejected deliverables shall be remedied by the Developer within fifteen (15) business days, and the process shall repeat. If after two (2) rejection cycles the deliverables still do not meet Acceptance Criteria, the Client may: (i) terminate for convenience and pay for accepted work; or (ii) grant a further remediation period.</w:t>
      </w:r>
    </w:p>
    <w:bookmarkEnd w:id="59"/>
    <w:bookmarkStart w:id="60" w:name="deemed-acceptance"/>
    <w:p>
      <w:pPr>
        <w:pStyle w:val="Heading3"/>
      </w:pPr>
      <w:r>
        <w:t xml:space="preserve">9.3 Deemed Acceptance</w:t>
      </w:r>
    </w:p>
    <w:p>
      <w:pPr>
        <w:pStyle w:val="FirstParagraph"/>
      </w:pPr>
      <w:r>
        <w:t xml:space="preserve">Notwithstanding the above, if the Client uses the Deliverables in production for more than thirty (30) days without formal rejection, the Deliverables shall be deemed accepted.</w:t>
      </w:r>
    </w:p>
    <w:bookmarkEnd w:id="60"/>
    <w:bookmarkEnd w:id="61"/>
    <w:bookmarkStart w:id="67" w:name="article-10-warranties-and-remedies"/>
    <w:p>
      <w:pPr>
        <w:pStyle w:val="Heading2"/>
      </w:pPr>
      <w:r>
        <w:t xml:space="preserve">ARTICLE 10 — WARRANTIES AND REMEDIES</w:t>
      </w:r>
    </w:p>
    <w:bookmarkStart w:id="62" w:name="developer-warranties"/>
    <w:p>
      <w:pPr>
        <w:pStyle w:val="Heading3"/>
      </w:pPr>
      <w:r>
        <w:t xml:space="preserve">10.1 Developer Warranties</w:t>
      </w:r>
    </w:p>
    <w:p>
      <w:pPr>
        <w:pStyle w:val="FirstParagraph"/>
      </w:pPr>
      <w:r>
        <w:t xml:space="preserve">The Developer represents and warrants that: (a) the Deliverables will be original and will not infringe any third-party Intellectual Property Rights; (b) the Deliverables will perform substantially in accordance with the Specifications for the Warranty Period; (c) the Developer has the right to enter into this Agreement and to grant the rights herein; (d) the Services will be performed in a professional manner; (e) the Developer will comply with all applicable laws.</w:t>
      </w:r>
    </w:p>
    <w:bookmarkEnd w:id="62"/>
    <w:bookmarkStart w:id="63" w:name="warranty-period-and-remediation"/>
    <w:p>
      <w:pPr>
        <w:pStyle w:val="Heading3"/>
      </w:pPr>
      <w:r>
        <w:t xml:space="preserve">10.2 Warranty Period and Remediation</w:t>
      </w:r>
    </w:p>
    <w:p>
      <w:pPr>
        <w:pStyle w:val="FirstParagraph"/>
      </w:pPr>
      <w:r>
        <w:t xml:space="preserve">For a period of ninety (90) days from Acceptance of the Final Deliverables (the "Warranty Period"), the Developer shall remedy, at no additional cost, any defect or non-conformity with the Specifications. The Developer shall use commercially reasonable efforts to provide a fix within fifteen (15) business days for critical defects and thirty (30) business days for other defects. If the Developer is unable to remedy a material defect within sixty (60) days, the Client may claim a refund of a proportionate part of the Fees attributable to the defective module, not exceeding twenty percent (20%) of the total Fees.</w:t>
      </w:r>
    </w:p>
    <w:bookmarkEnd w:id="63"/>
    <w:bookmarkStart w:id="64" w:name="exclusions-1"/>
    <w:p>
      <w:pPr>
        <w:pStyle w:val="Heading3"/>
      </w:pPr>
      <w:r>
        <w:t xml:space="preserve">10.3 Exclusions</w:t>
      </w:r>
    </w:p>
    <w:p>
      <w:pPr>
        <w:pStyle w:val="FirstParagraph"/>
      </w:pPr>
      <w:r>
        <w:t xml:space="preserve">The warranty does not cover: (a) defects caused by Client modifications, misuse, or third-party software; (b) defects in Third-Party Software; (c) issues arising from use in a manner not consistent with the Specifications or documentation.</w:t>
      </w:r>
    </w:p>
    <w:bookmarkEnd w:id="64"/>
    <w:bookmarkStart w:id="65" w:name="client-warranties"/>
    <w:p>
      <w:pPr>
        <w:pStyle w:val="Heading3"/>
      </w:pPr>
      <w:r>
        <w:t xml:space="preserve">10.4 Client Warranties</w:t>
      </w:r>
    </w:p>
    <w:p>
      <w:pPr>
        <w:pStyle w:val="FirstParagraph"/>
      </w:pPr>
      <w:r>
        <w:t xml:space="preserve">The Client warrants that: (a) it has the authority to enter into this Agreement; (b) it will provide timely access, information, and cooperation; (c) it will use the Deliverables in compliance with applicable law.</w:t>
      </w:r>
    </w:p>
    <w:bookmarkEnd w:id="65"/>
    <w:bookmarkStart w:id="66" w:name="disclaimer"/>
    <w:p>
      <w:pPr>
        <w:pStyle w:val="Heading3"/>
      </w:pPr>
      <w:r>
        <w:t xml:space="preserve">10.5 Disclaimer</w:t>
      </w:r>
    </w:p>
    <w:p>
      <w:pPr>
        <w:pStyle w:val="FirstParagraph"/>
      </w:pPr>
      <w:r>
        <w:t xml:space="preserve">EXCEPT AS EXPRESSLY SET FORTH IN THIS ARTICLE 10, THE DELIVERABLES AND SERVICES ARE PROVIDED "AS IS". THE DEVELOPER DISCLAIMS ALL OTHER WARRANTIES, EXPRESS OR IMPLIED, INCLUDING MERCHANTABILITY AND FITNESS FOR A PARTICULAR PURPOSE.</w:t>
      </w:r>
    </w:p>
    <w:bookmarkEnd w:id="66"/>
    <w:bookmarkEnd w:id="67"/>
    <w:bookmarkStart w:id="71" w:name="article-11-indemnification"/>
    <w:p>
      <w:pPr>
        <w:pStyle w:val="Heading2"/>
      </w:pPr>
      <w:r>
        <w:t xml:space="preserve">ARTICLE 11 — INDEMNIFICATION</w:t>
      </w:r>
    </w:p>
    <w:bookmarkStart w:id="68" w:name="developer-indemnity"/>
    <w:p>
      <w:pPr>
        <w:pStyle w:val="Heading3"/>
      </w:pPr>
      <w:r>
        <w:t xml:space="preserve">11.1 Developer Indemnity</w:t>
      </w:r>
    </w:p>
    <w:p>
      <w:pPr>
        <w:pStyle w:val="FirstParagraph"/>
      </w:pPr>
      <w:r>
        <w:t xml:space="preserve">The Developer shall indemnify, defend, and hold harmless the Client and its Affiliates, officers, directors, employees, and agents from and against any and all claims, damages, losses, costs, and expenses (including reasonable attorneys' fees) arising from: (a) infringement of any third-party Intellectual Property Rights by the Deliverables; (b) the Developer's breach of this Agreement; (c) the Developer's negligence or wilful misconduct; (d) acts or omissions of the Developer's personnel or subcontractors.</w:t>
      </w:r>
    </w:p>
    <w:bookmarkEnd w:id="68"/>
    <w:bookmarkStart w:id="69" w:name="client-indemnity"/>
    <w:p>
      <w:pPr>
        <w:pStyle w:val="Heading3"/>
      </w:pPr>
      <w:r>
        <w:t xml:space="preserve">11.2 Client Indemnity</w:t>
      </w:r>
    </w:p>
    <w:p>
      <w:pPr>
        <w:pStyle w:val="FirstParagraph"/>
      </w:pPr>
      <w:r>
        <w:t xml:space="preserve">The Client shall indemnify, defend, and hold harmless the Developer and its Affiliates from and against any and all claims arising from: (a) the Client's use of the Deliverables in a manner not authorised or contemplated by this Agreement; (b) the Client's breach of this Agreement; (c) the Client's modification of the Deliverables; (d) content or data provided by the Client; (e) the Client's violation of applicable law.</w:t>
      </w:r>
    </w:p>
    <w:bookmarkEnd w:id="69"/>
    <w:bookmarkStart w:id="70" w:name="procedure"/>
    <w:p>
      <w:pPr>
        <w:pStyle w:val="Heading3"/>
      </w:pPr>
      <w:r>
        <w:t xml:space="preserve">11.3 Procedure</w:t>
      </w:r>
    </w:p>
    <w:p>
      <w:pPr>
        <w:pStyle w:val="FirstParagraph"/>
      </w:pPr>
      <w:r>
        <w:t xml:space="preserve">The indemnified Party shall give prompt notice of any claim, cooperate in the defence, and permit the indemnifying Party to control the defence and settlement. The indemnifying Party shall not settle any claim in a manner that adversely affects the indemnified Party's rights without consent. The indemnified Party may participate at its own expense.</w:t>
      </w:r>
    </w:p>
    <w:bookmarkEnd w:id="70"/>
    <w:bookmarkEnd w:id="71"/>
    <w:bookmarkStart w:id="75" w:name="article-12-limitation-of-liability"/>
    <w:p>
      <w:pPr>
        <w:pStyle w:val="Heading2"/>
      </w:pPr>
      <w:r>
        <w:t xml:space="preserve">ARTICLE 12 — LIMITATION OF LIABILITY</w:t>
      </w:r>
    </w:p>
    <w:bookmarkStart w:id="72" w:name="cap"/>
    <w:p>
      <w:pPr>
        <w:pStyle w:val="Heading3"/>
      </w:pPr>
      <w:r>
        <w:t xml:space="preserve">12.1 Cap</w:t>
      </w:r>
    </w:p>
    <w:p>
      <w:pPr>
        <w:pStyle w:val="FirstParagraph"/>
      </w:pPr>
      <w:r>
        <w:t xml:space="preserve">EXCEPT FOR (A) BREACH OF CONFIDENTIALITY, (B) INDEMNIFICATION OBLIGATIONS, (C) FRAUD OR WILFUL MISCONDUCT, OR (D) AMOUNTS PAYABLE UNDER ARTICLE 4, NEITHER PARTY'S AGGREGATE LIABILITY UNDER THIS AGREEMENT SHALL EXCEED THE TOTAL FEES PAID OR PAYABLE BY THE CLIENT IN THE TWELVE (12) MONTHS PRECEDING THE CLAIM (OR THE TOTAL FEES IF THE CLAIM ARISES IN THE FIRST TWELVE MONTHS).</w:t>
      </w:r>
    </w:p>
    <w:bookmarkEnd w:id="72"/>
    <w:bookmarkStart w:id="73" w:name="consequential-damages"/>
    <w:p>
      <w:pPr>
        <w:pStyle w:val="Heading3"/>
      </w:pPr>
      <w:r>
        <w:t xml:space="preserve">12.2 Consequential Damages</w:t>
      </w:r>
    </w:p>
    <w:p>
      <w:pPr>
        <w:pStyle w:val="FirstParagraph"/>
      </w:pPr>
      <w:r>
        <w:t xml:space="preserve">NEITHER PARTY SHALL BE LIABLE FOR INDIRECT, INCIDENTAL, SPECIAL, CONSEQUENTIAL, OR PUNITIVE DAMAGES, INCLUDING LOSS OF PROFITS, REVENUE, DATA, OR BUSINESS OPPORTUNITIES, EVEN IF ADVISED OF THE POSSIBILITY OF SUCH DAMAGES. THIS LIMITATION APPLIES WHETHER THE CLAIM IS IN CONTRACT, TORT, NEGLIGENCE, STRICT LIABILITY, OR OTHERWISE.</w:t>
      </w:r>
    </w:p>
    <w:bookmarkEnd w:id="73"/>
    <w:bookmarkStart w:id="74" w:name="allocation-of-risk"/>
    <w:p>
      <w:pPr>
        <w:pStyle w:val="Heading3"/>
      </w:pPr>
      <w:r>
        <w:t xml:space="preserve">12.3 Allocation of Risk</w:t>
      </w:r>
    </w:p>
    <w:p>
      <w:pPr>
        <w:pStyle w:val="FirstParagraph"/>
      </w:pPr>
      <w:r>
        <w:t xml:space="preserve">The Parties acknowledge that the Fees reflect the allocation of risk set forth in this Article 12 and that the limitations herein are an essential element of the bargain.</w:t>
      </w:r>
    </w:p>
    <w:bookmarkEnd w:id="74"/>
    <w:bookmarkEnd w:id="75"/>
    <w:bookmarkStart w:id="80" w:name="article-13-termination"/>
    <w:p>
      <w:pPr>
        <w:pStyle w:val="Heading2"/>
      </w:pPr>
      <w:r>
        <w:t xml:space="preserve">ARTICLE 13 — TERMINATION</w:t>
      </w:r>
    </w:p>
    <w:bookmarkStart w:id="76" w:name="termination-for-breach"/>
    <w:p>
      <w:pPr>
        <w:pStyle w:val="Heading3"/>
      </w:pPr>
      <w:r>
        <w:t xml:space="preserve">13.1 Termination for Breach</w:t>
      </w:r>
    </w:p>
    <w:p>
      <w:pPr>
        <w:pStyle w:val="FirstParagraph"/>
      </w:pPr>
      <w:r>
        <w:t xml:space="preserve">Either Party may terminate this Agreement for material breach by the other Party upon thirty (30) days' prior written notice, provided the breach is not cured within such period. For the avoidance of doubt, the following shall constitute material breach: (a) failure by the Client to pay any undisputed amount due within fifteen (15) days of a written demand; (b) failure by the Developer to deliver any Phase deliverable within sixty (60) days of the scheduled date (with any extension granted for Client-caused delay) and such failure is not due to Force Majeure or the Client's breach; (c) material breach of confidentiality (Article 8) or IP provisions (Article 7), including disclosure of Confidential Information to unauthorised parties or use of the other Party's IP beyond the licence granted; (d) insolvency, bankruptcy, winding-up, or appointment of a receiver or administrator; (e) persistent failure to perform material obligations after two (2) or more notices to cure within any twelve (12) month period. A breach shall not be considered material if: (i) it is capable of cure and is cured within the cure period; (ii) it is de minimis (e.g., immaterial delay not affecting the critical path, or a minor documentation omission); or (iii) the breaching Party is making good-faith efforts to cure and the breach does not substantially impair the benefit of the Agreement to the non-breaching Party. The terminating Party shall specify in the notice the nature of the breach and the required cure. If the breach is not capable of cure (e.g., disclosure of Confidential Information), the cure period may be waived and termination may be immediate upon notice.</w:t>
      </w:r>
    </w:p>
    <w:bookmarkEnd w:id="76"/>
    <w:bookmarkStart w:id="77" w:name="termination-for-convenience"/>
    <w:p>
      <w:pPr>
        <w:pStyle w:val="Heading3"/>
      </w:pPr>
      <w:r>
        <w:t xml:space="preserve">13.2 Termination for Convenience</w:t>
      </w:r>
    </w:p>
    <w:p>
      <w:pPr>
        <w:pStyle w:val="FirstParagraph"/>
      </w:pPr>
      <w:r>
        <w:t xml:space="preserve">The Client may terminate for convenience upon thirty (30) days' prior written notice. Upon such termination, the Client shall pay: (i) all Fees for accepted Milestones; (ii) Fees for work completed and accepted as of the termination date; (iii) for work-in-progress, a proportionate amount based on effort expended as evidenced by timesheets and approved by the Client; (iv) any non-cancellable third-party costs. The Developer shall deliver all work product within fifteen (15) days.</w:t>
      </w:r>
    </w:p>
    <w:bookmarkEnd w:id="77"/>
    <w:bookmarkStart w:id="78" w:name="effect-of-termination"/>
    <w:p>
      <w:pPr>
        <w:pStyle w:val="Heading3"/>
      </w:pPr>
      <w:r>
        <w:t xml:space="preserve">13.3 Effect of Termination</w:t>
      </w:r>
    </w:p>
    <w:p>
      <w:pPr>
        <w:pStyle w:val="FirstParagraph"/>
      </w:pPr>
      <w:r>
        <w:t xml:space="preserve">Upon termination: (a) the Developer shall deliver all work product, source code, and documentation; (b) the Developer shall return or destroy Client Confidential Information; (c) the Client shall pay all amounts due; (d) the Parties shall cooperate in an orderly wind-down. Articles 4 (to the extent of amounts due), 7, 8, 11, 12, and 16 shall survive.</w:t>
      </w:r>
    </w:p>
    <w:bookmarkEnd w:id="78"/>
    <w:bookmarkStart w:id="79" w:name="no-liability"/>
    <w:p>
      <w:pPr>
        <w:pStyle w:val="Heading3"/>
      </w:pPr>
      <w:r>
        <w:t xml:space="preserve">13.4 No Liability</w:t>
      </w:r>
    </w:p>
    <w:p>
      <w:pPr>
        <w:pStyle w:val="FirstParagraph"/>
      </w:pPr>
      <w:r>
        <w:t xml:space="preserve">Termination for convenience shall not give rise to any liability for damages, except as set forth in Section 13.2.</w:t>
      </w:r>
    </w:p>
    <w:bookmarkEnd w:id="79"/>
    <w:bookmarkEnd w:id="80"/>
    <w:bookmarkStart w:id="81" w:name="article-14-insurance"/>
    <w:p>
      <w:pPr>
        <w:pStyle w:val="Heading2"/>
      </w:pPr>
      <w:r>
        <w:t xml:space="preserve">ARTICLE 14 — INSURANCE</w:t>
      </w:r>
    </w:p>
    <w:p>
      <w:pPr>
        <w:pStyle w:val="FirstParagraph"/>
      </w:pPr>
      <w:r>
        <w:t xml:space="preserve">The Developer shall maintain during the term and for one (1) year thereafter: (a) professional indemnity insurance with a minimum coverage of ₹1,00,00,000; (b) cyber liability insurance with minimum coverage of ₹50,00,000; (c) general liability insurance. The Developer shall provide certificates of insurance upon request and shall notify the Client of any cancellation or material change.</w:t>
      </w:r>
    </w:p>
    <w:bookmarkEnd w:id="81"/>
    <w:bookmarkStart w:id="82" w:name="article-15-force-majeure"/>
    <w:p>
      <w:pPr>
        <w:pStyle w:val="Heading2"/>
      </w:pPr>
      <w:r>
        <w:t xml:space="preserve">ARTICLE 15 — FORCE MAJEURE</w:t>
      </w:r>
    </w:p>
    <w:p>
      <w:pPr>
        <w:pStyle w:val="FirstParagraph"/>
      </w:pPr>
      <w:r>
        <w:t xml:space="preserve">Neither Party shall be liable for failure or delay in performance due to circumstances beyond its reasonable control, including but not limited to acts of God, war, terrorism, civil unrest, pandemic, epidemic, government action, embargo, labour dispute, or natural disaster ("Force Majeure"). The affected Party shall notify the other within five (5) days of the onset and shall use reasonable efforts to mitigate. Performance shall be suspended for the duration. If Force Majeure continues for more than sixty (60) days, either Party may terminate by written notice, and the Client shall pay for work completed and work-in-progress as under Section 13.2.</w:t>
      </w:r>
    </w:p>
    <w:bookmarkEnd w:id="82"/>
    <w:bookmarkStart w:id="91" w:name="article-16-general-provisions"/>
    <w:p>
      <w:pPr>
        <w:pStyle w:val="Heading2"/>
      </w:pPr>
      <w:r>
        <w:t xml:space="preserve">ARTICLE 16 — GENERAL PROVISIONS</w:t>
      </w:r>
    </w:p>
    <w:bookmarkStart w:id="83" w:name="entire-agreement"/>
    <w:p>
      <w:pPr>
        <w:pStyle w:val="Heading3"/>
      </w:pPr>
      <w:r>
        <w:t xml:space="preserve">16.1 Entire Agreement</w:t>
      </w:r>
    </w:p>
    <w:p>
      <w:pPr>
        <w:pStyle w:val="FirstParagraph"/>
      </w:pPr>
      <w:r>
        <w:t xml:space="preserve">This Agreement, including all Schedules and Annexures, constitutes the entire agreement between the Parties and supersedes all prior negotiations, representations, and agreements. No amendment shall be effective unless in writing and signed by both Parties.</w:t>
      </w:r>
    </w:p>
    <w:bookmarkEnd w:id="83"/>
    <w:bookmarkStart w:id="84" w:name="severability"/>
    <w:p>
      <w:pPr>
        <w:pStyle w:val="Heading3"/>
      </w:pPr>
      <w:r>
        <w:t xml:space="preserve">16.2 Severability</w:t>
      </w:r>
    </w:p>
    <w:p>
      <w:pPr>
        <w:pStyle w:val="FirstParagraph"/>
      </w:pPr>
      <w:r>
        <w:t xml:space="preserve">If any provision is held invalid or unenforceable, the remaining provisions shall remain in full force and effect. The Parties shall negotiate in good faith to replace the invalid provision with a valid one that achieves the intended effect.</w:t>
      </w:r>
    </w:p>
    <w:bookmarkEnd w:id="84"/>
    <w:bookmarkStart w:id="85" w:name="waiver"/>
    <w:p>
      <w:pPr>
        <w:pStyle w:val="Heading3"/>
      </w:pPr>
      <w:r>
        <w:t xml:space="preserve">16.3 Waiver</w:t>
      </w:r>
    </w:p>
    <w:p>
      <w:pPr>
        <w:pStyle w:val="FirstParagraph"/>
      </w:pPr>
      <w:r>
        <w:t xml:space="preserve">No waiver of any provision shall be effective unless in writing. No waiver of any breach shall constitute a waiver of any subsequent breach.</w:t>
      </w:r>
    </w:p>
    <w:bookmarkEnd w:id="85"/>
    <w:bookmarkStart w:id="86" w:name="assignment"/>
    <w:p>
      <w:pPr>
        <w:pStyle w:val="Heading3"/>
      </w:pPr>
      <w:r>
        <w:t xml:space="preserve">16.4 Assignment</w:t>
      </w:r>
    </w:p>
    <w:p>
      <w:pPr>
        <w:pStyle w:val="FirstParagraph"/>
      </w:pPr>
      <w:r>
        <w:t xml:space="preserve">Neither Party may assign this Agreement without the prior written consent of the other, except that either Party may assign to an Affiliate or in connection with a merger, acquisition, or sale of substantially all assets, with notice to the other Party.</w:t>
      </w:r>
    </w:p>
    <w:bookmarkEnd w:id="86"/>
    <w:bookmarkStart w:id="87" w:name="notices"/>
    <w:p>
      <w:pPr>
        <w:pStyle w:val="Heading3"/>
      </w:pPr>
      <w:r>
        <w:t xml:space="preserve">16.5 Notices</w:t>
      </w:r>
    </w:p>
    <w:p>
      <w:pPr>
        <w:pStyle w:val="FirstParagraph"/>
      </w:pPr>
      <w:r>
        <w:t xml:space="preserve">Notices shall be in writing and sent to the addresses set forth above (or as updated by notice) by registered post, courier, or email with read receipt. Notices shall be deemed given: upon receipt if hand-delivered or sent by courier; three (3) days after posting if sent by registered post; upon successful transmission if sent by email.</w:t>
      </w:r>
    </w:p>
    <w:bookmarkEnd w:id="87"/>
    <w:bookmarkStart w:id="88" w:name="governing-law-and-dispute-resolution"/>
    <w:p>
      <w:pPr>
        <w:pStyle w:val="Heading3"/>
      </w:pPr>
      <w:r>
        <w:t xml:space="preserve">16.6 Governing Law and Dispute Resolution</w:t>
      </w:r>
    </w:p>
    <w:p>
      <w:pPr>
        <w:pStyle w:val="FirstParagraph"/>
      </w:pPr>
      <w:r>
        <w:t xml:space="preserve">This Agreement shall be governed by the laws of India. The United Nations Convention on Contracts for the International Sale of Goods shall not apply. Any dispute shall first be subject to good-faith negotiation between senior representatives for thirty (30) days. Failing resolution, the dispute shall be referred to arbitration under the Arbitration and Conciliation Act, 1996. The tribunal shall consist of a sole arbitrator mutually appointed; failing agreement, by the Delhi High Court. Seat: Gurugram. Language: English. The award shall be final and binding. The courts at Gurugram shall have exclusive jurisdiction for interim relief.</w:t>
      </w:r>
    </w:p>
    <w:bookmarkEnd w:id="88"/>
    <w:bookmarkStart w:id="89" w:name="independent-contractors"/>
    <w:p>
      <w:pPr>
        <w:pStyle w:val="Heading3"/>
      </w:pPr>
      <w:r>
        <w:t xml:space="preserve">16.7 Independent Contractors</w:t>
      </w:r>
    </w:p>
    <w:p>
      <w:pPr>
        <w:pStyle w:val="FirstParagraph"/>
      </w:pPr>
      <w:r>
        <w:t xml:space="preserve">The Parties are independent contractors. Nothing herein creates a partnership, joint venture, or agency relationship.</w:t>
      </w:r>
    </w:p>
    <w:bookmarkEnd w:id="89"/>
    <w:bookmarkStart w:id="90" w:name="counterparts"/>
    <w:p>
      <w:pPr>
        <w:pStyle w:val="Heading3"/>
      </w:pPr>
      <w:r>
        <w:t xml:space="preserve">16.8 Counterparts</w:t>
      </w:r>
    </w:p>
    <w:p>
      <w:pPr>
        <w:pStyle w:val="FirstParagraph"/>
      </w:pPr>
      <w:r>
        <w:t xml:space="preserve">This Agreement may be executed in counterparts. Electronic signatures shall be valid.</w:t>
      </w:r>
    </w:p>
    <w:bookmarkEnd w:id="90"/>
    <w:bookmarkEnd w:id="91"/>
    <w:bookmarkStart w:id="92" w:name="X7d61a54cb2fd8a5bd2652335ce9ce410313b0a0"/>
    <w:p>
      <w:pPr>
        <w:pStyle w:val="Heading2"/>
      </w:pPr>
      <w:r>
        <w:t xml:space="preserve">SCHEDULE A — TECHNICAL SPECIFICATIONS (SUMMARY)</w:t>
      </w:r>
    </w:p>
    <w:p>
      <w:pPr>
        <w:pStyle w:val="FirstParagraph"/>
      </w:pPr>
      <w:r>
        <w:t xml:space="preserve">The full specifications shall be documented in the Technical Design Document to be delivered in Phase 1. Key modules include: (1) Regulatory Dashboard for RBI/SEBI compliance tracking; (2) CDD/AML workflow engine with risk scoring; (3) Report generation engine for regulatory filings; (4) Audit logging and retention module; (5) API layer for integration with core banking; (6) Admin console for user and role management; (7) Multi-tenant data isolation. Technology stack: Java/Spring Boot backend; React frontend; PostgreSQL database; REST APIs. Deployment: On-premise or private cloud as per Client infrastructure.</w:t>
      </w:r>
    </w:p>
    <w:bookmarkEnd w:id="92"/>
    <w:bookmarkStart w:id="93" w:name="schedule-b-acceptance-criteria"/>
    <w:p>
      <w:pPr>
        <w:pStyle w:val="Heading2"/>
      </w:pPr>
      <w:r>
        <w:t xml:space="preserve">SCHEDULE B — ACCEPTANCE CRITERIA</w:t>
      </w:r>
    </w:p>
    <w:p>
      <w:pPr>
        <w:pStyle w:val="FirstParagraph"/>
      </w:pPr>
      <w:r>
        <w:t xml:space="preserve">Phase 1: Design documents approved by Client within 10 days of submission. Phase 2: All modules developed; unit test pass rate &gt;95%; code review completed; no critical or high defects. Phase 3: Integration tests passed; UAT sign-off; performance criteria met (response time &lt;2 sec for standard queries; support 100 concurrent users); security scan passed; documentation complete.</w:t>
      </w:r>
    </w:p>
    <w:bookmarkEnd w:id="93"/>
    <w:bookmarkStart w:id="94" w:name="schedule-c-milestone-payment-triggers"/>
    <w:p>
      <w:pPr>
        <w:pStyle w:val="Heading2"/>
      </w:pPr>
      <w:r>
        <w:t xml:space="preserve">SCHEDULE C — MILESTONE PAYMENT TRIGGERS</w:t>
      </w:r>
    </w:p>
    <w:p>
      <w:pPr>
        <w:pStyle w:val="FirstParagraph"/>
      </w:pPr>
      <w:r>
        <w:t xml:space="preserve">Milestone 1: Execution and first instalment. Milestone 2: Acceptance of Phase 2 per Schedule B. Milestone 3: Go-Live and final acceptance.</w:t>
      </w:r>
    </w:p>
    <w:bookmarkEnd w:id="94"/>
    <w:bookmarkStart w:id="95" w:name="schedule-d-escrow-arrangement-optional"/>
    <w:p>
      <w:pPr>
        <w:pStyle w:val="Heading2"/>
      </w:pPr>
      <w:r>
        <w:t xml:space="preserve">SCHEDULE D — ESCROW ARRANGEMENT (OPTIONAL)</w:t>
      </w:r>
    </w:p>
    <w:p>
      <w:pPr>
        <w:pStyle w:val="FirstParagraph"/>
      </w:pPr>
      <w:r>
        <w:t xml:space="preserve">Upon written request of the Client, the Parties shall enter into an escrow agreement with a mutually agreed escrow agent (e.g., National Law Repository or a recognised software escrow provider) whereby the source code and build scripts for the Deliverables shall be deposited. Release conditions shall include: (a) Developer's insolvency or cessation of business; (b) material breach by Developer; (c) failure to provide Warranty Period support. Escrow fees shall be borne by the Client. The escrow materials shall be updated upon each major release.</w:t>
      </w:r>
    </w:p>
    <w:bookmarkEnd w:id="95"/>
    <w:bookmarkStart w:id="96" w:name="X7ffbe36bfc70a420d25691e9f763aa63ab10518"/>
    <w:p>
      <w:pPr>
        <w:pStyle w:val="Heading2"/>
      </w:pPr>
      <w:r>
        <w:t xml:space="preserve">SCHEDULE E — SERVICE LEVELS DURING WARRANTY PERIOD</w:t>
      </w:r>
    </w:p>
    <w:p>
      <w:pPr>
        <w:pStyle w:val="FirstParagraph"/>
      </w:pPr>
      <w:r>
        <w:t xml:space="preserve">During the Warranty Period, the Developer shall: (a) acknowledge critical defects within 4 business hours and provide a workaround or fix within 2 business days; (b) acknowledge high-priority defects within 8 business hours and provide a fix within 5 business days; (c) acknowledge medium-priority defects within 24 hours and address in the next release or within 15 business days. "Business hours" means 9:00 AM to 6:00 PM IST, Monday to Friday, excluding public holidays in Karnataka and Haryana. Support shall be provided via email to support@codecraft.in and a designated ticketing system. The Client shall provide sufficient information to reproduce defects.</w:t>
      </w:r>
    </w:p>
    <w:bookmarkEnd w:id="96"/>
    <w:bookmarkStart w:id="97" w:name="schedule-f-security-requirements"/>
    <w:p>
      <w:pPr>
        <w:pStyle w:val="Heading2"/>
      </w:pPr>
      <w:r>
        <w:t xml:space="preserve">SCHEDULE F — SECURITY REQUIREMENTS</w:t>
      </w:r>
    </w:p>
    <w:p>
      <w:pPr>
        <w:pStyle w:val="FirstParagraph"/>
      </w:pPr>
      <w:r>
        <w:t xml:space="preserve">The System shall implement: (a) encryption of data at rest using AES-256 and in transit using TLS 1.3; (b) authentication via multi-factor authentication (MFA) for administrative users; (c) role-based access control (RBAC) with principle of least privilege; (d) audit logging of all sensitive operations with tamper-evident storage; (e) penetration testing prior to Go-Live (to be conducted by a mutually agreed third party at Client's cost); (f) vulnerability scanning as part of the CI/CD pipeline; (g) secure coding practices per OWASP guidelines. The Developer shall not store any production credentials or customer data in development or test environments. All access to Client systems shall be via VPN or secure tunnel and shall be revoked upon completion of the Project.</w:t>
      </w:r>
    </w:p>
    <w:bookmarkEnd w:id="97"/>
    <w:bookmarkStart w:id="98" w:name="schedule-g-data-retention-and-deletion"/>
    <w:p>
      <w:pPr>
        <w:pStyle w:val="Heading2"/>
      </w:pPr>
      <w:r>
        <w:t xml:space="preserve">SCHEDULE G — DATA RETENTION AND DELETION</w:t>
      </w:r>
    </w:p>
    <w:p>
      <w:pPr>
        <w:pStyle w:val="FirstParagraph"/>
      </w:pPr>
      <w:r>
        <w:t xml:space="preserve">Logs and audit trails shall be retained for a minimum of seven (7) years as per RBI guidelines. The Developer shall not retain any copies of Client data or logs beyond thirty (30) days after the Warranty Period, except as required for legal hold. Upon Client request, the Developer shall provide a certificate of deletion.</w:t>
      </w:r>
    </w:p>
    <w:bookmarkEnd w:id="98"/>
    <w:bookmarkStart w:id="99" w:name="annexure-i-rbi-compliance-checklist"/>
    <w:p>
      <w:pPr>
        <w:pStyle w:val="Heading2"/>
      </w:pPr>
      <w:r>
        <w:t xml:space="preserve">ANNEXURE I — RBI COMPLIANCE CHECKLIST</w:t>
      </w:r>
    </w:p>
    <w:p>
      <w:pPr>
        <w:pStyle w:val="FirstParagraph"/>
      </w:pPr>
      <w:r>
        <w:t xml:space="preserve">The Deliverables shall support compliance with: (a) RBI Master Direction on Non-Banking Financial Company – Systemically Important Non-Deposit taking Company and Deposit taking Company (Reserve Bank) Directions, 2016; (b) RBI Guidelines on Digital Lending dated 2 September 2022; (c) RBI Circular on Stored Value Facility; (d) Fair Practices Code requirements; (e) Know Your Customer (KYC) guidelines. The Technical Design Document shall map each regulatory requirement to system functionality.</w:t>
      </w:r>
    </w:p>
    <w:bookmarkEnd w:id="99"/>
    <w:bookmarkStart w:id="100" w:name="annexure-ii-third-party-dependencies"/>
    <w:p>
      <w:pPr>
        <w:pStyle w:val="Heading2"/>
      </w:pPr>
      <w:r>
        <w:t xml:space="preserve">ANNEXURE II — THIRD-PARTY DEPENDENCIES</w:t>
      </w:r>
    </w:p>
    <w:p>
      <w:pPr>
        <w:pStyle w:val="FirstParagraph"/>
      </w:pPr>
      <w:r>
        <w:t xml:space="preserve">The following third-party components may be used, subject to licence compliance: (a) Spring Framework (Apache 2.0); (b) PostgreSQL (PostgreSQL License); (c) React (MIT); (d) Redis for caching (BSD); (e) Other OSS to be documented in Phase 1. No GPL, AGPL, or LGPL components without prior approval.</w:t>
      </w:r>
    </w:p>
    <w:bookmarkEnd w:id="100"/>
    <w:bookmarkStart w:id="101" w:name="X929c86259b8435897316906c17edbc251f22f89"/>
    <w:p>
      <w:pPr>
        <w:pStyle w:val="Heading2"/>
      </w:pPr>
      <w:r>
        <w:t xml:space="preserve">ANNEXURE III — DEFINITIONS OF DEFECT SEVERITY</w:t>
      </w:r>
    </w:p>
    <w:p>
      <w:pPr>
        <w:pStyle w:val="FirstParagraph"/>
      </w:pPr>
      <w:r>
        <w:rPr>
          <w:b/>
          <w:bCs/>
        </w:rPr>
        <w:t xml:space="preserve">Critical:</w:t>
      </w:r>
      <w:r>
        <w:t xml:space="preserve"> </w:t>
      </w:r>
      <w:r>
        <w:t xml:space="preserve">System inoperable; data loss or corruption; security breach; regulatory non-compliance.</w:t>
      </w:r>
      <w:r>
        <w:t xml:space="preserve"> </w:t>
      </w:r>
      <w:r>
        <w:rPr>
          <w:b/>
          <w:bCs/>
        </w:rPr>
        <w:t xml:space="preserve">High:</w:t>
      </w:r>
      <w:r>
        <w:t xml:space="preserve"> </w:t>
      </w:r>
      <w:r>
        <w:t xml:space="preserve">Major feature unavailable; significant performance degradation; no workaround.</w:t>
      </w:r>
      <w:r>
        <w:t xml:space="preserve"> </w:t>
      </w:r>
      <w:r>
        <w:rPr>
          <w:b/>
          <w:bCs/>
        </w:rPr>
        <w:t xml:space="preserve">Medium:</w:t>
      </w:r>
      <w:r>
        <w:t xml:space="preserve"> </w:t>
      </w:r>
      <w:r>
        <w:t xml:space="preserve">Feature impaired but workaround exists; minor performance impact.</w:t>
      </w:r>
      <w:r>
        <w:t xml:space="preserve"> </w:t>
      </w:r>
      <w:r>
        <w:rPr>
          <w:b/>
          <w:bCs/>
        </w:rPr>
        <w:t xml:space="preserve">Low:</w:t>
      </w:r>
      <w:r>
        <w:t xml:space="preserve"> </w:t>
      </w:r>
      <w:r>
        <w:t xml:space="preserve">Cosmetic; minor inconvenience.</w:t>
      </w:r>
    </w:p>
    <w:bookmarkEnd w:id="101"/>
    <w:bookmarkStart w:id="102" w:name="Xd2388ddb61d9bac3fc47d478e7942ffbc682ec3"/>
    <w:p>
      <w:pPr>
        <w:pStyle w:val="Heading2"/>
      </w:pPr>
      <w:r>
        <w:t xml:space="preserve">ANNEXURE IV — TRAINING AND KNOWLEDGE TRANSFER</w:t>
      </w:r>
    </w:p>
    <w:p>
      <w:pPr>
        <w:pStyle w:val="FirstParagraph"/>
      </w:pPr>
      <w:r>
        <w:t xml:space="preserve">The Developer shall conduct the following training sessions for Client personnel: (a) Administrator training: 2 days, covering installation, configuration, user management, and backup procedures; (b) End-user training: 1 day, covering day-to-day operations; (c) Technical training for Client IT team: 2 days, covering architecture, deployment, and troubleshooting. Training shall be conducted at the Client's Gurugram office or via virtual sessions. Training materials (user manual, admin guide, video recordings) shall be provided. Up to 15 participants may attend without additional charge. Additional training may be requested at ₹15,000 per day plus travel.</w:t>
      </w:r>
    </w:p>
    <w:bookmarkEnd w:id="102"/>
    <w:bookmarkStart w:id="103" w:name="X4972c5d0abd02314ed4a85908abef669854588a"/>
    <w:p>
      <w:pPr>
        <w:pStyle w:val="Heading2"/>
      </w:pPr>
      <w:r>
        <w:t xml:space="preserve">ANNEXURE V — DOCUMENT DELIVERABLES CHECKLIST</w:t>
      </w:r>
    </w:p>
    <w:p>
      <w:pPr>
        <w:pStyle w:val="FirstParagraph"/>
      </w:pPr>
      <w:r>
        <w:t xml:space="preserve">Phase 1: Technical Architecture Document (min 40 pages); Data Flow Diagrams (Level 0, 1, 2); Entity Relationship Diagram; API Specification (OpenAPI 3.0); Security Design Document; Database Schema (DDL); Project Plan (Gantt chart); Risk Register. Phase 2: Source code with inline comments; Unit test suite (JUnit); Developer documentation (Javadoc); Deployment runbook; Environment configuration guide. Phase 3: Integration test report; UAT test cases and results; Performance test report (JMeter or equivalent); Security scan report (OWASP ZAP or equivalent); User manual (min 80 pages); Administrator guide (min 40 pages); Release notes.</w:t>
      </w:r>
    </w:p>
    <w:bookmarkEnd w:id="103"/>
    <w:bookmarkStart w:id="104" w:name="X8ad7e7382bfe436f00c0c949ed9b9569ca44fcc"/>
    <w:p>
      <w:pPr>
        <w:pStyle w:val="Heading2"/>
      </w:pPr>
      <w:r>
        <w:t xml:space="preserve">ANNEXURE VI — ACCEPTABLE USE AND RESTRICTIONS</w:t>
      </w:r>
    </w:p>
    <w:p>
      <w:pPr>
        <w:pStyle w:val="FirstParagraph"/>
      </w:pPr>
      <w:r>
        <w:t xml:space="preserve">The Client shall not: (a) reverse engineer, decompile, or disassemble the object code except as permitted by law; (b) remove or alter any proprietary notices; (c) use the System to process data for third parties without appropriate agreements; (d) use the System for any unlawful purpose. The Client may make copies for backup and disaster recovery. The Client may modify the source code for its internal use; however, the Developer's warranty and support obligations shall not extend to modified portions unless the modification was approved or performed by the Developer.</w:t>
      </w:r>
    </w:p>
    <w:bookmarkEnd w:id="104"/>
    <w:bookmarkStart w:id="105" w:name="X4afc04c3d1d252dd76957d26891fffa1cacd95a"/>
    <w:p>
      <w:pPr>
        <w:pStyle w:val="Heading2"/>
      </w:pPr>
      <w:r>
        <w:t xml:space="preserve">ANNEXURE VII — DISASTER RECOVERY AND BUSINESS CONTINUITY</w:t>
      </w:r>
    </w:p>
    <w:p>
      <w:pPr>
        <w:pStyle w:val="FirstParagraph"/>
      </w:pPr>
      <w:r>
        <w:t xml:space="preserve">The Deliverables shall support: (a) daily incremental backups and weekly full backups; (b) backup retention for 30 days; (c) recovery time objective (RTO) of 4 hours and recovery point objective (RPO) of 1 hour, as achievable through proper deployment and infrastructure (infrastructure to be provided by Client); (d) documentation of backup and restore procedures. The Developer shall not be responsible for the Client's backup infrastructure or actual backup execution unless separately engaged.</w:t>
      </w:r>
    </w:p>
    <w:bookmarkEnd w:id="105"/>
    <w:bookmarkStart w:id="106" w:name="annexure-viii-supplemental-definitions"/>
    <w:p>
      <w:pPr>
        <w:pStyle w:val="Heading2"/>
      </w:pPr>
      <w:r>
        <w:t xml:space="preserve">ANNEXURE VIII — SUPPLEMENTAL DEFINITIONS</w:t>
      </w:r>
    </w:p>
    <w:p>
      <w:pPr>
        <w:pStyle w:val="FirstParagraph"/>
      </w:pPr>
      <w:r>
        <w:rPr>
          <w:b/>
          <w:bCs/>
        </w:rPr>
        <w:t xml:space="preserve">"Business Day"</w:t>
      </w:r>
      <w:r>
        <w:t xml:space="preserve"> </w:t>
      </w:r>
      <w:r>
        <w:t xml:space="preserve">means Monday to Friday, 9:00 AM to 6:00 PM IST, excluding public holidays in Haryana and Karnataka.</w:t>
      </w:r>
      <w:r>
        <w:t xml:space="preserve"> </w:t>
      </w:r>
      <w:r>
        <w:rPr>
          <w:b/>
          <w:bCs/>
        </w:rPr>
        <w:t xml:space="preserve">"Critical Defect"</w:t>
      </w:r>
      <w:r>
        <w:t xml:space="preserve"> </w:t>
      </w:r>
      <w:r>
        <w:t xml:space="preserve">means a defect that prevents core functionality or causes data loss.</w:t>
      </w:r>
      <w:r>
        <w:t xml:space="preserve"> </w:t>
      </w:r>
      <w:r>
        <w:rPr>
          <w:b/>
          <w:bCs/>
        </w:rPr>
        <w:t xml:space="preserve">"Phase"</w:t>
      </w:r>
      <w:r>
        <w:t xml:space="preserve"> </w:t>
      </w:r>
      <w:r>
        <w:t xml:space="preserve">means each of Phase 1, 2, or 3 as described in Article 2.</w:t>
      </w:r>
      <w:r>
        <w:t xml:space="preserve"> </w:t>
      </w:r>
      <w:r>
        <w:rPr>
          <w:b/>
          <w:bCs/>
        </w:rPr>
        <w:t xml:space="preserve">"Production Environment"</w:t>
      </w:r>
      <w:r>
        <w:t xml:space="preserve"> </w:t>
      </w:r>
      <w:r>
        <w:t xml:space="preserve">means the Client's live operational environment.</w:t>
      </w:r>
      <w:r>
        <w:t xml:space="preserve"> </w:t>
      </w:r>
      <w:r>
        <w:rPr>
          <w:b/>
          <w:bCs/>
        </w:rPr>
        <w:t xml:space="preserve">"Staging Environment"</w:t>
      </w:r>
      <w:r>
        <w:t xml:space="preserve"> </w:t>
      </w:r>
      <w:r>
        <w:t xml:space="preserve">means the pre-production environment for UAT.</w:t>
      </w:r>
      <w:r>
        <w:t xml:space="preserve"> </w:t>
      </w:r>
      <w:r>
        <w:rPr>
          <w:b/>
          <w:bCs/>
        </w:rPr>
        <w:t xml:space="preserve">"UAT"</w:t>
      </w:r>
      <w:r>
        <w:t xml:space="preserve"> </w:t>
      </w:r>
      <w:r>
        <w:t xml:space="preserve">means User Acceptance Testing.</w:t>
      </w:r>
      <w:r>
        <w:t xml:space="preserve"> </w:t>
      </w:r>
      <w:r>
        <w:rPr>
          <w:b/>
          <w:bCs/>
        </w:rPr>
        <w:t xml:space="preserve">"Work Product"</w:t>
      </w:r>
      <w:r>
        <w:t xml:space="preserve"> </w:t>
      </w:r>
      <w:r>
        <w:t xml:space="preserve">means all code, documentation, and materials created in performing the Services.</w:t>
      </w:r>
    </w:p>
    <w:bookmarkEnd w:id="106"/>
    <w:bookmarkStart w:id="107" w:name="annexure-ix-supplemental-indemnity"/>
    <w:p>
      <w:pPr>
        <w:pStyle w:val="Heading2"/>
      </w:pPr>
      <w:r>
        <w:t xml:space="preserve">ANNEXURE IX — SUPPLEMENTAL INDEMNITY</w:t>
      </w:r>
    </w:p>
    <w:p>
      <w:pPr>
        <w:pStyle w:val="FirstParagraph"/>
      </w:pPr>
      <w:r>
        <w:t xml:space="preserve">Indemnification procedure: Indemnified Party shall give prompt written notice of claim. Indemnifying Party may assume defence with counsel acceptable to Indemnified Party. Indemnified Party shall cooperate and provide information. No settlement without Indemnified Party's consent if it admits liability or imposes obligations. Indemnified Party may participate at its own expense. Failure to give prompt notice shall not relieve Indemnifying Party except to the extent prejudiced. For IP claims, the Indemnifying Party may at its option: (a) procure right to use; (b) modify to avoid infringement; (c) replace with non-infringing alternative. If none is commercially reasonable, the Indemnified Party may terminate and receive refund of Fees for the affected portion.</w:t>
      </w:r>
    </w:p>
    <w:bookmarkEnd w:id="107"/>
    <w:bookmarkStart w:id="108" w:name="Xafa8ef6008669e8dce51c2801d08ded5c48f9f0"/>
    <w:p>
      <w:pPr>
        <w:pStyle w:val="Heading2"/>
      </w:pPr>
      <w:r>
        <w:t xml:space="preserve">ANNEXURE X — ADDITIONAL TERMINATION PROVISIONS</w:t>
      </w:r>
    </w:p>
    <w:p>
      <w:pPr>
        <w:pStyle w:val="FirstParagraph"/>
      </w:pPr>
      <w:r>
        <w:t xml:space="preserve">Upon any termination: (a) the Developer shall deliver all work product and source code; (b) the Developer shall provide transition assistance for up to 15 days at the then-current daily rate; (c) the Client shall pay all amounts due; (d) the Client may engage another developer to complete or maintain the work; (e) the Developer shall return or destroy Client Confidential Information and certify same. For termination for convenience, the Client shall also pay for work-in-progress as evidenced by timesheets. For termination for cause by the Client, the Developer shall not be entitled to unpaid amounts for work not accepted. For termination for cause by the Developer (e.g., non-payment), the Developer may suspend work and shall be entitled to all amounts due including for work performed.</w:t>
      </w:r>
    </w:p>
    <w:bookmarkEnd w:id="108"/>
    <w:bookmarkStart w:id="117" w:name="annexure-xi-additional-provisions"/>
    <w:p>
      <w:pPr>
        <w:pStyle w:val="Heading2"/>
      </w:pPr>
      <w:r>
        <w:t xml:space="preserve">ANNEXURE XI — ADDITIONAL PROVISIONS</w:t>
      </w:r>
    </w:p>
    <w:bookmarkStart w:id="109" w:name="xi.1-notices"/>
    <w:p>
      <w:pPr>
        <w:pStyle w:val="Heading3"/>
      </w:pPr>
      <w:r>
        <w:t xml:space="preserve">XI.1 Notices</w:t>
      </w:r>
    </w:p>
    <w:p>
      <w:pPr>
        <w:pStyle w:val="FirstParagraph"/>
      </w:pPr>
      <w:r>
        <w:t xml:space="preserve">Notices to Client: FinTech Solutions India Pvt Ltd, 12th Floor Tower B, Cyber City, Gurugram 122002; attention: Project Manager. Notices to Developer: CodeCraft Technologies LLP, 45 MG Road, Bangalore 560001; attention: Project Manager. Email: as designated. Material notices (termination, breach) by registered post and email. Deemed given: receipt if courier; 3 days if registered post; transmission if email.</w:t>
      </w:r>
    </w:p>
    <w:bookmarkEnd w:id="109"/>
    <w:bookmarkStart w:id="110" w:name="xi.2-assignment"/>
    <w:p>
      <w:pPr>
        <w:pStyle w:val="Heading3"/>
      </w:pPr>
      <w:r>
        <w:t xml:space="preserve">XI.2 Assignment</w:t>
      </w:r>
    </w:p>
    <w:p>
      <w:pPr>
        <w:pStyle w:val="FirstParagraph"/>
      </w:pPr>
      <w:r>
        <w:t xml:space="preserve">Neither Party may assign without the other's consent except to an Affiliate or in connection with merger, acquisition, or sale of substantially all assets. The assignee shall assume all obligations. The assigning Party shall remain liable until assumption. The Client may assign to its parent or subsidiary without consent with notice.</w:t>
      </w:r>
    </w:p>
    <w:bookmarkEnd w:id="110"/>
    <w:bookmarkStart w:id="111" w:name="xi.3-no-waiver"/>
    <w:p>
      <w:pPr>
        <w:pStyle w:val="Heading3"/>
      </w:pPr>
      <w:r>
        <w:t xml:space="preserve">XI.3 No Waiver</w:t>
      </w:r>
    </w:p>
    <w:p>
      <w:pPr>
        <w:pStyle w:val="FirstParagraph"/>
      </w:pPr>
      <w:r>
        <w:t xml:space="preserve">No failure or delay in exercising any right shall operate as a waiver. No single or partial exercise shall preclude further exercise. Waiver must be in writing. Waiver of one breach shall not waive any other.</w:t>
      </w:r>
    </w:p>
    <w:bookmarkEnd w:id="111"/>
    <w:bookmarkStart w:id="112" w:name="xi.4-severability"/>
    <w:p>
      <w:pPr>
        <w:pStyle w:val="Heading3"/>
      </w:pPr>
      <w:r>
        <w:t xml:space="preserve">XI.4 Severability</w:t>
      </w:r>
    </w:p>
    <w:p>
      <w:pPr>
        <w:pStyle w:val="FirstParagraph"/>
      </w:pPr>
      <w:r>
        <w:t xml:space="preserve">If any provision is held invalid, the remainder continues. The invalid provision shall be modified to the minimum extent necessary. The Parties shall negotiate in good faith to replace.</w:t>
      </w:r>
    </w:p>
    <w:bookmarkEnd w:id="112"/>
    <w:bookmarkStart w:id="113" w:name="xi.5-entire-agreement"/>
    <w:p>
      <w:pPr>
        <w:pStyle w:val="Heading3"/>
      </w:pPr>
      <w:r>
        <w:t xml:space="preserve">XI.5 Entire Agreement</w:t>
      </w:r>
    </w:p>
    <w:p>
      <w:pPr>
        <w:pStyle w:val="FirstParagraph"/>
      </w:pPr>
      <w:r>
        <w:t xml:space="preserve">This Agreement, with Schedules and Annexures, is the entire agreement. No prior representations or agreements. Amendments in writing. Counterparts and electronic signatures valid.</w:t>
      </w:r>
    </w:p>
    <w:bookmarkEnd w:id="113"/>
    <w:bookmarkStart w:id="114" w:name="xi.6-no-third-party-rights"/>
    <w:p>
      <w:pPr>
        <w:pStyle w:val="Heading3"/>
      </w:pPr>
      <w:r>
        <w:t xml:space="preserve">XI.6 No Third-Party Rights</w:t>
      </w:r>
    </w:p>
    <w:p>
      <w:pPr>
        <w:pStyle w:val="FirstParagraph"/>
      </w:pPr>
      <w:r>
        <w:t xml:space="preserve">This Agreement does not confer rights on any third party. No third party may enforce any provision. The Client's Affiliates who use the System may be beneficiaries of the warranties and indemnities to the extent of such use.</w:t>
      </w:r>
    </w:p>
    <w:bookmarkEnd w:id="114"/>
    <w:bookmarkStart w:id="115" w:name="xi.7-order-of-precedence"/>
    <w:p>
      <w:pPr>
        <w:pStyle w:val="Heading3"/>
      </w:pPr>
      <w:r>
        <w:t xml:space="preserve">XI.7 Order of Precedence</w:t>
      </w:r>
    </w:p>
    <w:p>
      <w:pPr>
        <w:pStyle w:val="FirstParagraph"/>
      </w:pPr>
      <w:r>
        <w:t xml:space="preserve">In case of conflict: main body over Schedules; Schedules over Annexures; earlier clause over later. The Parties shall interpret consistently with the commercial intent.</w:t>
      </w:r>
    </w:p>
    <w:bookmarkEnd w:id="115"/>
    <w:bookmarkStart w:id="116" w:name="xi.8-survival"/>
    <w:p>
      <w:pPr>
        <w:pStyle w:val="Heading3"/>
      </w:pPr>
      <w:r>
        <w:t xml:space="preserve">XI.8 Survival</w:t>
      </w:r>
    </w:p>
    <w:p>
      <w:pPr>
        <w:pStyle w:val="FirstParagraph"/>
      </w:pPr>
      <w:r>
        <w:t xml:space="preserve">Articles 4 (amounts due), 7 (IP), 8 (Confidentiality), 11 (Indemnity), 12 (Limitation), and 16 (General to extent applicable) survive termination. Obligations that by nature should survive (e.g., confidentiality, indemnity) survive indefinitely or for the stated period.</w:t>
      </w:r>
    </w:p>
    <w:bookmarkEnd w:id="116"/>
    <w:bookmarkEnd w:id="117"/>
    <w:bookmarkStart w:id="118" w:name="Xe2f526b70c2291a281278ef075112f72b5532a1"/>
    <w:p>
      <w:pPr>
        <w:pStyle w:val="Heading2"/>
      </w:pPr>
      <w:r>
        <w:t xml:space="preserve">ANNEXURE XII — RBI REGULATORY MAPPING (DETAILED)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 / Guideline</w:t>
            </w:r>
          </w:p>
        </w:tc>
        <w:tc>
          <w:tcPr/>
          <w:p>
            <w:pPr>
              <w:pStyle w:val="Compact"/>
            </w:pPr>
            <w:r>
              <w:t xml:space="preserve">Relevant Provision</w:t>
            </w:r>
          </w:p>
        </w:tc>
        <w:tc>
          <w:tcPr/>
          <w:p>
            <w:pPr>
              <w:pStyle w:val="Compact"/>
            </w:pPr>
            <w:r>
              <w:t xml:space="preserve">System Requirement</w:t>
            </w:r>
          </w:p>
        </w:tc>
        <w:tc>
          <w:tcPr/>
          <w:p>
            <w:pPr>
              <w:pStyle w:val="Compact"/>
            </w:pPr>
            <w:r>
              <w:t xml:space="preserve">Compliance Mechanism</w:t>
            </w:r>
          </w:p>
        </w:tc>
      </w:tr>
      <w:tr>
        <w:tc>
          <w:tcPr/>
          <w:p>
            <w:pPr>
              <w:pStyle w:val="Compact"/>
            </w:pPr>
            <w:r>
              <w:t xml:space="preserve">RBI Digital Lending Guidelines (2 Sep 2022)</w:t>
            </w:r>
          </w:p>
        </w:tc>
        <w:tc>
          <w:tcPr/>
          <w:p>
            <w:pPr>
              <w:pStyle w:val="Compact"/>
            </w:pPr>
            <w:r>
              <w:t xml:space="preserve">Para 4 – Lending through DLA</w:t>
            </w:r>
          </w:p>
        </w:tc>
        <w:tc>
          <w:tcPr/>
          <w:p>
            <w:pPr>
              <w:pStyle w:val="Compact"/>
            </w:pPr>
            <w:r>
              <w:t xml:space="preserve">Disclosure of DLA and lender</w:t>
            </w:r>
          </w:p>
        </w:tc>
        <w:tc>
          <w:tcPr/>
          <w:p>
            <w:pPr>
              <w:pStyle w:val="Compact"/>
            </w:pPr>
            <w:r>
              <w:t xml:space="preserve">Dashboard showing DLA/lender mapping; API integration</w:t>
            </w:r>
          </w:p>
        </w:tc>
      </w:tr>
      <w:tr>
        <w:tc>
          <w:tcPr/>
          <w:p>
            <w:pPr>
              <w:pStyle w:val="Compact"/>
            </w:pPr>
            <w:r>
              <w:t xml:space="preserve">RBI Digital Lending Guidelines</w:t>
            </w:r>
          </w:p>
        </w:tc>
        <w:tc>
          <w:tcPr/>
          <w:p>
            <w:pPr>
              <w:pStyle w:val="Compact"/>
            </w:pPr>
            <w:r>
              <w:t xml:space="preserve">Para 5 – Key disclosure to borrower</w:t>
            </w:r>
          </w:p>
        </w:tc>
        <w:tc>
          <w:tcPr/>
          <w:p>
            <w:pPr>
              <w:pStyle w:val="Compact"/>
            </w:pPr>
            <w:r>
              <w:t xml:space="preserve">APR, recovery mechanism</w:t>
            </w:r>
          </w:p>
        </w:tc>
        <w:tc>
          <w:tcPr/>
          <w:p>
            <w:pPr>
              <w:pStyle w:val="Compact"/>
            </w:pPr>
            <w:r>
              <w:t xml:space="preserve">Report templates; configurable disclosure fields</w:t>
            </w:r>
          </w:p>
        </w:tc>
      </w:tr>
      <w:tr>
        <w:tc>
          <w:tcPr/>
          <w:p>
            <w:pPr>
              <w:pStyle w:val="Compact"/>
            </w:pPr>
            <w:r>
              <w:t xml:space="preserve">RBI Digital Lending Guidelines</w:t>
            </w:r>
          </w:p>
        </w:tc>
        <w:tc>
          <w:tcPr/>
          <w:p>
            <w:pPr>
              <w:pStyle w:val="Compact"/>
            </w:pPr>
            <w:r>
              <w:t xml:space="preserve">Para 8 – Cooling-off period</w:t>
            </w:r>
          </w:p>
        </w:tc>
        <w:tc>
          <w:tcPr/>
          <w:p>
            <w:pPr>
              <w:pStyle w:val="Compact"/>
            </w:pPr>
            <w:r>
              <w:t xml:space="preserve">Right to exit within cooling-off</w:t>
            </w:r>
          </w:p>
        </w:tc>
        <w:tc>
          <w:tcPr/>
          <w:p>
            <w:pPr>
              <w:pStyle w:val="Compact"/>
            </w:pPr>
            <w:r>
              <w:t xml:space="preserve">Workflow for opt-out; audit trail</w:t>
            </w:r>
          </w:p>
        </w:tc>
      </w:tr>
      <w:tr>
        <w:tc>
          <w:tcPr/>
          <w:p>
            <w:pPr>
              <w:pStyle w:val="Compact"/>
            </w:pPr>
            <w:r>
              <w:t xml:space="preserve">RBI Master Direction – NBFC</w:t>
            </w:r>
          </w:p>
        </w:tc>
        <w:tc>
          <w:tcPr/>
          <w:p>
            <w:pPr>
              <w:pStyle w:val="Compact"/>
            </w:pPr>
            <w:r>
              <w:t xml:space="preserve">Prudential norms</w:t>
            </w:r>
          </w:p>
        </w:tc>
        <w:tc>
          <w:tcPr/>
          <w:p>
            <w:pPr>
              <w:pStyle w:val="Compact"/>
            </w:pPr>
            <w:r>
              <w:t xml:space="preserve">Asset classification, provisioning</w:t>
            </w:r>
          </w:p>
        </w:tc>
        <w:tc>
          <w:tcPr/>
          <w:p>
            <w:pPr>
              <w:pStyle w:val="Compact"/>
            </w:pPr>
            <w:r>
              <w:t xml:space="preserve">Automated NPA tagging; provisioning calculator</w:t>
            </w:r>
          </w:p>
        </w:tc>
      </w:tr>
      <w:tr>
        <w:tc>
          <w:tcPr/>
          <w:p>
            <w:pPr>
              <w:pStyle w:val="Compact"/>
            </w:pPr>
            <w:r>
              <w:t xml:space="preserve">Fair Practices Code</w:t>
            </w:r>
          </w:p>
        </w:tc>
        <w:tc>
          <w:tcPr/>
          <w:p>
            <w:pPr>
              <w:pStyle w:val="Compact"/>
            </w:pPr>
            <w:r>
              <w:t xml:space="preserve">Board approved policies</w:t>
            </w:r>
          </w:p>
        </w:tc>
        <w:tc>
          <w:tcPr/>
          <w:p>
            <w:pPr>
              <w:pStyle w:val="Compact"/>
            </w:pPr>
            <w:r>
              <w:t xml:space="preserve">Fair recovery practices</w:t>
            </w:r>
          </w:p>
        </w:tc>
        <w:tc>
          <w:tcPr/>
          <w:p>
            <w:pPr>
              <w:pStyle w:val="Compact"/>
            </w:pPr>
            <w:r>
              <w:t xml:space="preserve">Recovery log; escalation workflow</w:t>
            </w:r>
          </w:p>
        </w:tc>
      </w:tr>
      <w:tr>
        <w:tc>
          <w:tcPr/>
          <w:p>
            <w:pPr>
              <w:pStyle w:val="Compact"/>
            </w:pPr>
            <w:r>
              <w:t xml:space="preserve">KYC Master Direction</w:t>
            </w:r>
          </w:p>
        </w:tc>
        <w:tc>
          <w:tcPr/>
          <w:p>
            <w:pPr>
              <w:pStyle w:val="Compact"/>
            </w:pPr>
            <w:r>
              <w:t xml:space="preserve">Customer identification</w:t>
            </w:r>
          </w:p>
        </w:tc>
        <w:tc>
          <w:tcPr/>
          <w:p>
            <w:pPr>
              <w:pStyle w:val="Compact"/>
            </w:pPr>
            <w:r>
              <w:t xml:space="preserve">CDD, simplified KYC</w:t>
            </w:r>
          </w:p>
        </w:tc>
        <w:tc>
          <w:tcPr/>
          <w:p>
            <w:pPr>
              <w:pStyle w:val="Compact"/>
            </w:pPr>
            <w:r>
              <w:t xml:space="preserve">CDD module; risk scoring; periodic review</w:t>
            </w:r>
          </w:p>
        </w:tc>
      </w:tr>
      <w:tr>
        <w:tc>
          <w:tcPr/>
          <w:p>
            <w:pPr>
              <w:pStyle w:val="Compact"/>
            </w:pPr>
            <w:r>
              <w:t xml:space="preserve">PMLA Rules</w:t>
            </w:r>
          </w:p>
        </w:tc>
        <w:tc>
          <w:tcPr/>
          <w:p>
            <w:pPr>
              <w:pStyle w:val="Compact"/>
            </w:pPr>
            <w:r>
              <w:t xml:space="preserve">Record keeping</w:t>
            </w:r>
          </w:p>
        </w:tc>
        <w:tc>
          <w:tcPr/>
          <w:p>
            <w:pPr>
              <w:pStyle w:val="Compact"/>
            </w:pPr>
            <w:r>
              <w:t xml:space="preserve">7-year retention</w:t>
            </w:r>
          </w:p>
        </w:tc>
        <w:tc>
          <w:tcPr/>
          <w:p>
            <w:pPr>
              <w:pStyle w:val="Compact"/>
            </w:pPr>
            <w:r>
              <w:t xml:space="preserve">Audit log; immutable storage</w:t>
            </w:r>
          </w:p>
        </w:tc>
      </w:tr>
    </w:tbl>
    <w:p>
      <w:pPr>
        <w:pStyle w:val="BodyText"/>
      </w:pPr>
      <w:r>
        <w:t xml:space="preserve">The Technical Design Document shall contain a full regulatory mapping matrix. The Developer shall consult with the Client's compliance team during Phase 1 to validate requirements. Any change in regulatory requirements enacted after the Effective Date shall be addressed per Article 6 (Change Control).</w:t>
      </w:r>
    </w:p>
    <w:bookmarkEnd w:id="118"/>
    <w:bookmarkStart w:id="119" w:name="annexure-xiii-sebi-compliance-mapping"/>
    <w:p>
      <w:pPr>
        <w:pStyle w:val="Heading2"/>
      </w:pPr>
      <w:r>
        <w:t xml:space="preserve">ANNEXURE XIII — SEBI COMPLIANCE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w:t>
            </w:r>
          </w:p>
        </w:tc>
        <w:tc>
          <w:tcPr/>
          <w:p>
            <w:pPr>
              <w:pStyle w:val="Compact"/>
            </w:pPr>
            <w:r>
              <w:t xml:space="preserve">Obligation</w:t>
            </w:r>
          </w:p>
        </w:tc>
        <w:tc>
          <w:tcPr/>
          <w:p>
            <w:pPr>
              <w:pStyle w:val="Compact"/>
            </w:pPr>
            <w:r>
              <w:t xml:space="preserve">System Support</w:t>
            </w:r>
          </w:p>
        </w:tc>
      </w:tr>
      <w:tr>
        <w:tc>
          <w:tcPr/>
          <w:p>
            <w:pPr>
              <w:pStyle w:val="Compact"/>
            </w:pPr>
            <w:r>
              <w:t xml:space="preserve">SEBI LODR 2015</w:t>
            </w:r>
          </w:p>
        </w:tc>
        <w:tc>
          <w:tcPr/>
          <w:p>
            <w:pPr>
              <w:pStyle w:val="Compact"/>
            </w:pPr>
            <w:r>
              <w:t xml:space="preserve">Disclosure of material events</w:t>
            </w:r>
          </w:p>
        </w:tc>
        <w:tc>
          <w:tcPr/>
          <w:p>
            <w:pPr>
              <w:pStyle w:val="Compact"/>
            </w:pPr>
            <w:r>
              <w:t xml:space="preserve">Event log; export for BSE/NSE filing</w:t>
            </w:r>
          </w:p>
        </w:tc>
      </w:tr>
      <w:tr>
        <w:tc>
          <w:tcPr/>
          <w:p>
            <w:pPr>
              <w:pStyle w:val="Compact"/>
            </w:pPr>
            <w:r>
              <w:t xml:space="preserve">SEBI LODR</w:t>
            </w:r>
          </w:p>
        </w:tc>
        <w:tc>
          <w:tcPr/>
          <w:p>
            <w:pPr>
              <w:pStyle w:val="Compact"/>
            </w:pPr>
            <w:r>
              <w:t xml:space="preserve">Corporate governance report</w:t>
            </w:r>
          </w:p>
        </w:tc>
        <w:tc>
          <w:tcPr/>
          <w:p>
            <w:pPr>
              <w:pStyle w:val="Compact"/>
            </w:pPr>
            <w:r>
              <w:t xml:space="preserve">Board/compliance data export</w:t>
            </w:r>
          </w:p>
        </w:tc>
      </w:tr>
      <w:tr>
        <w:tc>
          <w:tcPr/>
          <w:p>
            <w:pPr>
              <w:pStyle w:val="Compact"/>
            </w:pPr>
            <w:r>
              <w:t xml:space="preserve">SEBI (PIT) Regulations</w:t>
            </w:r>
          </w:p>
        </w:tc>
        <w:tc>
          <w:tcPr/>
          <w:p>
            <w:pPr>
              <w:pStyle w:val="Compact"/>
            </w:pPr>
            <w:r>
              <w:t xml:space="preserve">Insider trading compliance</w:t>
            </w:r>
          </w:p>
        </w:tc>
        <w:tc>
          <w:tcPr/>
          <w:p>
            <w:pPr>
              <w:pStyle w:val="Compact"/>
            </w:pPr>
            <w:r>
              <w:t xml:space="preserve">Designated persons list; trading window</w:t>
            </w:r>
          </w:p>
        </w:tc>
      </w:tr>
      <w:tr>
        <w:tc>
          <w:tcPr/>
          <w:p>
            <w:pPr>
              <w:pStyle w:val="Compact"/>
            </w:pPr>
            <w:r>
              <w:t xml:space="preserve">SEBI (SAST) Regulations</w:t>
            </w:r>
          </w:p>
        </w:tc>
        <w:tc>
          <w:tcPr/>
          <w:p>
            <w:pPr>
              <w:pStyle w:val="Compact"/>
            </w:pPr>
            <w:r>
              <w:t xml:space="preserve">Disclosure of acquisition</w:t>
            </w:r>
          </w:p>
        </w:tc>
        <w:tc>
          <w:tcPr/>
          <w:p>
            <w:pPr>
              <w:pStyle w:val="Compact"/>
            </w:pPr>
            <w:r>
              <w:t xml:space="preserve">Shareholding tracking; trigger alerts</w:t>
            </w:r>
          </w:p>
        </w:tc>
      </w:tr>
    </w:tbl>
    <w:bookmarkEnd w:id="119"/>
    <w:bookmarkStart w:id="120" w:name="Xfea4d888f531c31a447048cbeec326a657746d2"/>
    <w:p>
      <w:pPr>
        <w:pStyle w:val="Heading2"/>
      </w:pPr>
      <w:r>
        <w:t xml:space="preserve">ANNEXURE XIV — PHASE 1 DELIVERABLE TEMPLATE</w:t>
      </w:r>
    </w:p>
    <w:p>
      <w:pPr>
        <w:pStyle w:val="FirstParagraph"/>
      </w:pPr>
      <w:r>
        <w:rPr>
          <w:b/>
          <w:bCs/>
        </w:rPr>
        <w:t xml:space="preserve">Technical Architecture Document – Minimum Contents:</w:t>
      </w:r>
      <w:r>
        <w:t xml:space="preserve"> </w:t>
      </w:r>
      <w:r>
        <w:t xml:space="preserve">(1) Executive summary; (2) Business context and scope; (3) System overview and high-level architecture; (4) Component design (services, APIs, database); (5) Security architecture (authentication, authorization, encryption); (6) Integration architecture (core banking, loan origination); (7) Data model and ERD; (8) Deployment architecture; (9) Non-functional requirements (performance, scalability); (10) Regulatory compliance mapping; (11) Risk register; (12) Assumptions and dependencies. Minimum 40 pages excluding appendices.</w:t>
      </w:r>
    </w:p>
    <w:p>
      <w:pPr>
        <w:pStyle w:val="BodyText"/>
      </w:pPr>
      <w:r>
        <w:rPr>
          <w:b/>
          <w:bCs/>
        </w:rPr>
        <w:t xml:space="preserve">API Specification – OpenAPI 3.0:</w:t>
      </w:r>
      <w:r>
        <w:t xml:space="preserve"> </w:t>
      </w:r>
      <w:r>
        <w:t xml:space="preserve">All endpoints documented with request/response schemas, authentication, rate limits, error codes. Versioning strategy. The Client shall approve the API design for integration with its existing systems.</w:t>
      </w:r>
    </w:p>
    <w:p>
      <w:pPr>
        <w:pStyle w:val="BodyText"/>
      </w:pPr>
      <w:r>
        <w:rPr>
          <w:b/>
          <w:bCs/>
        </w:rPr>
        <w:t xml:space="preserve">Database Schema:</w:t>
      </w:r>
      <w:r>
        <w:t xml:space="preserve"> </w:t>
      </w:r>
      <w:r>
        <w:t xml:space="preserve">DDL scripts for PostgreSQL. Naming conventions. Indexes. Partitioning strategy for audit logs. Data retention policies.</w:t>
      </w:r>
    </w:p>
    <w:bookmarkEnd w:id="120"/>
    <w:bookmarkStart w:id="121" w:name="X1b9f5f72f4c829f0fa364e9dc56da737dbe9f99"/>
    <w:p>
      <w:pPr>
        <w:pStyle w:val="Heading2"/>
      </w:pPr>
      <w:r>
        <w:t xml:space="preserve">ANNEXURE XV — PHASE 2 AND PHASE 3 ACCEPTANCE CRITERIA (DETAILED)</w:t>
      </w:r>
    </w:p>
    <w:p>
      <w:pPr>
        <w:pStyle w:val="FirstParagraph"/>
      </w:pPr>
      <w:r>
        <w:rPr>
          <w:b/>
          <w:bCs/>
        </w:rPr>
        <w:t xml:space="preserve">Phase 2 – Code Acceptance:</w:t>
      </w:r>
      <w:r>
        <w:t xml:space="preserve"> </w:t>
      </w:r>
      <w:r>
        <w:t xml:space="preserve">(a) All modules from Technical Design Document implemented; (b) Unit test coverage ≥ 80% for business logic; (c) Code review completed; zero critical or high defects; (d) Integration with Client's staging APIs successful; (e) Deployment runbook validated; (f) Developer documentation complete. The Client may conduct code review; the Developer shall facilitate access to repository and respond to queries within 3 business days.</w:t>
      </w:r>
    </w:p>
    <w:p>
      <w:pPr>
        <w:pStyle w:val="BodyText"/>
      </w:pPr>
      <w:r>
        <w:rPr>
          <w:b/>
          <w:bCs/>
        </w:rPr>
        <w:t xml:space="preserve">Phase 3 – UAT and Go-Live:</w:t>
      </w:r>
      <w:r>
        <w:t xml:space="preserve"> </w:t>
      </w:r>
      <w:r>
        <w:t xml:space="preserve">(a) All UAT test cases executed; pass rate ≥ 95%; (b) No critical defects open; high defects with workaround acceptable if remediation plan documented; (c) Performance test: response time &lt; 2 seconds for 95th percentile; support 100 concurrent users; (d) Security scan: no high or critical vulnerabilities; (e) Penetration test (if conducted): findings remediated or accepted in writing; (f) Documentation (user manual, admin guide) delivered and reviewed; (g) Training completed; (h) Production deployment successful; (i) Data migration (if applicable) verified.</w:t>
      </w:r>
    </w:p>
    <w:bookmarkEnd w:id="121"/>
    <w:bookmarkStart w:id="122" w:name="Xb5e24de3e951a5f41e0e5462deedbbfdb5f8558"/>
    <w:p>
      <w:pPr>
        <w:pStyle w:val="Heading2"/>
      </w:pPr>
      <w:r>
        <w:t xml:space="preserve">ANNEXURE XVI — ESCALATION PROCEDURE (DETAILED)</w:t>
      </w:r>
    </w:p>
    <w:p>
      <w:pPr>
        <w:pStyle w:val="FirstParagraph"/>
      </w:pPr>
      <w:r>
        <w:rPr>
          <w:b/>
          <w:bCs/>
        </w:rPr>
        <w:t xml:space="preserve">Level 1 – Project Manager:</w:t>
      </w:r>
      <w:r>
        <w:t xml:space="preserve"> </w:t>
      </w:r>
      <w:r>
        <w:t xml:space="preserve">Day-to-day issues. Resolution target: 3 business days. If unresolved, escalate to Level 2.</w:t>
      </w:r>
    </w:p>
    <w:p>
      <w:pPr>
        <w:pStyle w:val="BodyText"/>
      </w:pPr>
      <w:r>
        <w:rPr>
          <w:b/>
          <w:bCs/>
        </w:rPr>
        <w:t xml:space="preserve">Level 2 – Steering Committee:</w:t>
      </w:r>
      <w:r>
        <w:t xml:space="preserve"> </w:t>
      </w:r>
      <w:r>
        <w:t xml:space="preserve">Scope, timeline, or commercial disputes. Meeting within 7 business days of escalation. Resolution target: 10 business days. If unresolved, escalate to Level 3.</w:t>
      </w:r>
    </w:p>
    <w:p>
      <w:pPr>
        <w:pStyle w:val="BodyText"/>
      </w:pPr>
      <w:r>
        <w:rPr>
          <w:b/>
          <w:bCs/>
        </w:rPr>
        <w:t xml:space="preserve">Level 3 – Senior Management:</w:t>
      </w:r>
      <w:r>
        <w:t xml:space="preserve"> </w:t>
      </w:r>
      <w:r>
        <w:t xml:space="preserve">CEO/CTO level. Meeting within 14 business days. Resolution target: 30 days. If unresolved, either Party may invoke dispute resolution under Article 16.6.</w:t>
      </w:r>
    </w:p>
    <w:p>
      <w:pPr>
        <w:pStyle w:val="BodyText"/>
      </w:pPr>
      <w:r>
        <w:rPr>
          <w:b/>
          <w:bCs/>
        </w:rPr>
        <w:t xml:space="preserve">Critical Issues:</w:t>
      </w:r>
      <w:r>
        <w:t xml:space="preserve"> </w:t>
      </w:r>
      <w:r>
        <w:t xml:space="preserve">Security breach, data loss, regulatory non-compliance, or complete project blockage: escalate to Level 2 within 24 hours. Level 2 meeting within 48 hours.</w:t>
      </w:r>
    </w:p>
    <w:p>
      <w:pPr>
        <w:pStyle w:val="BodyText"/>
      </w:pPr>
      <w:r>
        <w:rPr>
          <w:b/>
          <w:bCs/>
        </w:rPr>
        <w:t xml:space="preserve">Documentation:</w:t>
      </w:r>
      <w:r>
        <w:t xml:space="preserve"> </w:t>
      </w:r>
      <w:r>
        <w:t xml:space="preserve">All escalations shall be documented in writing with date, issue description, and proposed resolution. Minutes of steering committee meetings shall be circulated within 5 business days.</w:t>
      </w:r>
    </w:p>
    <w:bookmarkEnd w:id="122"/>
    <w:bookmarkStart w:id="123" w:name="X980550254a907d88feab17c077ccf653e3451f7"/>
    <w:p>
      <w:pPr>
        <w:pStyle w:val="Heading2"/>
      </w:pPr>
      <w:r>
        <w:t xml:space="preserve">ANNEXURE XVII — STAGING ENVIRONMENT REQUIREMENTS</w:t>
      </w:r>
    </w:p>
    <w:p>
      <w:pPr>
        <w:pStyle w:val="FirstParagraph"/>
      </w:pPr>
      <w:r>
        <w:t xml:space="preserve">The Client shall provide a staging environment meeting: (a) Server: 4 vCPU, 16 GB RAM minimum; (b) Database: PostgreSQL 14+; (c) OS: Linux (RHEL/CentOS/Ubuntu LTS); (d) Network: VPN or secure tunnel for Developer access; (e) Integration: Access to core banking and loan origination APIs (staging instances); (f) Storage: 100 GB for application and logs. The Client shall provision within 7 days of Commencement Date. If the Client cannot provide staging, the Developer may provide cloud-based staging at additional cost (to be agreed).</w:t>
      </w:r>
    </w:p>
    <w:bookmarkEnd w:id="123"/>
    <w:bookmarkStart w:id="124" w:name="annexure-xviii-change-request-template"/>
    <w:p>
      <w:pPr>
        <w:pStyle w:val="Heading2"/>
      </w:pPr>
      <w:r>
        <w:t xml:space="preserve">ANNEXURE XVIII — CHANGE REQUEST TEMPLATE</w:t>
      </w:r>
    </w:p>
    <w:p>
      <w:pPr>
        <w:pStyle w:val="FirstParagraph"/>
      </w:pPr>
      <w:r>
        <w:t xml:space="preserve">Each Change Request shall contain: (1) CR number; (2) Date; (3) Requested by; (4) Description of change; (5) Reason/trigger; (6) Impact on scope (modules affected); (7) Impact on timeline (days delay); (8) Impact on fees (breakdown); (9) Dependencies; (10) Approval space. The Developer shall submit impact assessment within 10 business days. The Client shall respond within 10 business days. If the Client does not respond, the CR is deemed rejected and the original scope prevails.</w:t>
      </w:r>
    </w:p>
    <w:bookmarkEnd w:id="124"/>
    <w:bookmarkStart w:id="125" w:name="annexure-xix-sub-contractor-approval"/>
    <w:p>
      <w:pPr>
        <w:pStyle w:val="Heading2"/>
      </w:pPr>
      <w:r>
        <w:t xml:space="preserve">ANNEXURE XIX — SUB-CONTRACTOR APPROVAL</w:t>
      </w:r>
    </w:p>
    <w:p>
      <w:pPr>
        <w:pStyle w:val="FirstParagraph"/>
      </w:pPr>
      <w:r>
        <w:t xml:space="preserve">If the Developer proposes to use a sub-contractor for any material portion (e.g., UI/UX design, security testing, specialized module), the Developer shall: (a) notify the Client in writing; (b) provide sub-contractor's credentials and scope; (c) obtain prior written consent; (d) ensure sub-contractor is bound by confidentiality and IP assignment; (e) remain fully liable. The Client shall not unreasonably withhold consent for reputable sub-contractors. Key personnel of the sub-contractor may be subject to the same replacement consent requirements as Developer personnel.</w:t>
      </w:r>
    </w:p>
    <w:bookmarkEnd w:id="125"/>
    <w:bookmarkStart w:id="126" w:name="Xb7ccc7014d6d2381b3d471fec5ec68a838b2dc3"/>
    <w:p>
      <w:pPr>
        <w:pStyle w:val="Heading2"/>
      </w:pPr>
      <w:r>
        <w:t xml:space="preserve">ANNEXURE XX — DATA CLASSIFICATION AND HANDLING</w:t>
      </w:r>
    </w:p>
    <w:p>
      <w:pPr>
        <w:pStyle w:val="FirstParagraph"/>
      </w:pPr>
      <w:r>
        <w:rPr>
          <w:b/>
          <w:bCs/>
        </w:rPr>
        <w:t xml:space="preserve">Classification Levels:</w:t>
      </w:r>
      <w:r>
        <w:t xml:space="preserve"> </w:t>
      </w:r>
      <w:r>
        <w:t xml:space="preserve">(1) Public – may be shared; (2) Internal – Client and Developer only; (3) Confidential – need-to-know; (4) Restricted – Sensitive Personal Data, customer PII. The Developer shall not process Restricted data in development or test environments. Production-like data for testing shall be anonymized or synthetic. The Developer shall implement role-based access; logs shall capture access to Confidential and Restricted data.</w:t>
      </w:r>
    </w:p>
    <w:bookmarkEnd w:id="126"/>
    <w:bookmarkStart w:id="127" w:name="annexure-xxi-audit-and-inspection-rights"/>
    <w:p>
      <w:pPr>
        <w:pStyle w:val="Heading2"/>
      </w:pPr>
      <w:r>
        <w:t xml:space="preserve">ANNEXURE XXI — AUDIT AND INSPECTION RIGHTS</w:t>
      </w:r>
    </w:p>
    <w:p>
      <w:pPr>
        <w:pStyle w:val="FirstParagraph"/>
      </w:pPr>
      <w:r>
        <w:t xml:space="preserve">The Client may, upon 15 business days' notice and not more than twice per year, conduct an audit of the Developer's compliance with security, confidentiality, and quality provisions. The audit shall be during business hours and shall not unreasonably disrupt the Developer's operations. The Client may engage a third-party auditor subject to confidentiality. The Developer shall cooperate and provide access to relevant records, policies, and personnel. The Client shall bear audit costs unless material non-compliance is found, in which case the Developer shall reimburse reasonable audit costs. Findings shall be addressed within 30 days or as agreed.</w:t>
      </w:r>
    </w:p>
    <w:bookmarkEnd w:id="127"/>
    <w:bookmarkStart w:id="128" w:name="annexure-xxii-key-personnel-initial"/>
    <w:p>
      <w:pPr>
        <w:pStyle w:val="Heading2"/>
      </w:pPr>
      <w:r>
        <w:t xml:space="preserve">ANNEXURE XXII — KEY PERSONNEL (INITIAL)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Responsibilities</w:t>
            </w:r>
          </w:p>
        </w:tc>
      </w:tr>
      <w:tr>
        <w:tc>
          <w:tcPr/>
          <w:p>
            <w:pPr>
              <w:pStyle w:val="Compact"/>
            </w:pPr>
            <w:r>
              <w:t xml:space="preserve">Developer Project Manager</w:t>
            </w:r>
          </w:p>
        </w:tc>
        <w:tc>
          <w:tcPr/>
          <w:p>
            <w:pPr>
              <w:pStyle w:val="Compact"/>
            </w:pPr>
            <w:r>
              <w:t xml:space="preserve">Ms. Anitha Krishnan</w:t>
            </w:r>
          </w:p>
        </w:tc>
        <w:tc>
          <w:tcPr/>
          <w:p>
            <w:pPr>
              <w:pStyle w:val="Compact"/>
            </w:pPr>
            <w:r>
              <w:t xml:space="preserve">Day-to-day coordination; status reports; escalation</w:t>
            </w:r>
          </w:p>
        </w:tc>
      </w:tr>
      <w:tr>
        <w:tc>
          <w:tcPr/>
          <w:p>
            <w:pPr>
              <w:pStyle w:val="Compact"/>
            </w:pPr>
            <w:r>
              <w:t xml:space="preserve">Lead Architect</w:t>
            </w:r>
          </w:p>
        </w:tc>
        <w:tc>
          <w:tcPr/>
          <w:p>
            <w:pPr>
              <w:pStyle w:val="Compact"/>
            </w:pPr>
            <w:r>
              <w:t xml:space="preserve">TBD</w:t>
            </w:r>
          </w:p>
        </w:tc>
        <w:tc>
          <w:tcPr/>
          <w:p>
            <w:pPr>
              <w:pStyle w:val="Compact"/>
            </w:pPr>
            <w:r>
              <w:t xml:space="preserve">Technical design; architecture decisions</w:t>
            </w:r>
          </w:p>
        </w:tc>
      </w:tr>
      <w:tr>
        <w:tc>
          <w:tcPr/>
          <w:p>
            <w:pPr>
              <w:pStyle w:val="Compact"/>
            </w:pPr>
            <w:r>
              <w:t xml:space="preserve">Backend Lead</w:t>
            </w:r>
          </w:p>
        </w:tc>
        <w:tc>
          <w:tcPr/>
          <w:p>
            <w:pPr>
              <w:pStyle w:val="Compact"/>
            </w:pPr>
            <w:r>
              <w:t xml:space="preserve">TBD</w:t>
            </w:r>
          </w:p>
        </w:tc>
        <w:tc>
          <w:tcPr/>
          <w:p>
            <w:pPr>
              <w:pStyle w:val="Compact"/>
            </w:pPr>
            <w:r>
              <w:t xml:space="preserve">Backend development; API design</w:t>
            </w:r>
          </w:p>
        </w:tc>
      </w:tr>
      <w:tr>
        <w:tc>
          <w:tcPr/>
          <w:p>
            <w:pPr>
              <w:pStyle w:val="Compact"/>
            </w:pPr>
            <w:r>
              <w:t xml:space="preserve">Frontend Lead</w:t>
            </w:r>
          </w:p>
        </w:tc>
        <w:tc>
          <w:tcPr/>
          <w:p>
            <w:pPr>
              <w:pStyle w:val="Compact"/>
            </w:pPr>
            <w:r>
              <w:t xml:space="preserve">TBD</w:t>
            </w:r>
          </w:p>
        </w:tc>
        <w:tc>
          <w:tcPr/>
          <w:p>
            <w:pPr>
              <w:pStyle w:val="Compact"/>
            </w:pPr>
            <w:r>
              <w:t xml:space="preserve">UI development; integration</w:t>
            </w:r>
          </w:p>
        </w:tc>
      </w:tr>
      <w:tr>
        <w:tc>
          <w:tcPr/>
          <w:p>
            <w:pPr>
              <w:pStyle w:val="Compact"/>
            </w:pPr>
            <w:r>
              <w:t xml:space="preserve">QA Lead</w:t>
            </w:r>
          </w:p>
        </w:tc>
        <w:tc>
          <w:tcPr/>
          <w:p>
            <w:pPr>
              <w:pStyle w:val="Compact"/>
            </w:pPr>
            <w:r>
              <w:t xml:space="preserve">TBD</w:t>
            </w:r>
          </w:p>
        </w:tc>
        <w:tc>
          <w:tcPr/>
          <w:p>
            <w:pPr>
              <w:pStyle w:val="Compact"/>
            </w:pPr>
            <w:r>
              <w:t xml:space="preserve">Test planning; quality assurance</w:t>
            </w:r>
          </w:p>
        </w:tc>
      </w:tr>
      <w:tr>
        <w:tc>
          <w:tcPr/>
          <w:p>
            <w:pPr>
              <w:pStyle w:val="Compact"/>
            </w:pPr>
            <w:r>
              <w:t xml:space="preserve">Client Project Manager</w:t>
            </w:r>
          </w:p>
        </w:tc>
        <w:tc>
          <w:tcPr/>
          <w:p>
            <w:pPr>
              <w:pStyle w:val="Compact"/>
            </w:pPr>
            <w:r>
              <w:t xml:space="preserve">Mr. Rajesh Verma</w:t>
            </w:r>
          </w:p>
        </w:tc>
        <w:tc>
          <w:tcPr/>
          <w:p>
            <w:pPr>
              <w:pStyle w:val="Compact"/>
            </w:pPr>
            <w:r>
              <w:t xml:space="preserve">Requirements; approvals; Client liaison</w:t>
            </w:r>
          </w:p>
        </w:tc>
      </w:tr>
    </w:tbl>
    <w:p>
      <w:pPr>
        <w:pStyle w:val="BodyText"/>
      </w:pPr>
      <w:r>
        <w:t xml:space="preserve">Key personnel may be updated by mutual written agreement. The Developer shall notify the Client of any proposed change at least 15 business days in advance where practicable.</w:t>
      </w:r>
    </w:p>
    <w:bookmarkEnd w:id="128"/>
    <w:bookmarkStart w:id="129" w:name="annexure-xxiii-risk-register-initial"/>
    <w:p>
      <w:pPr>
        <w:pStyle w:val="Heading2"/>
      </w:pPr>
      <w:r>
        <w:t xml:space="preserve">ANNEXURE XXIII — RISK REGISTER (INITIAL)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Delay in Client API availability</w:t>
            </w:r>
          </w:p>
        </w:tc>
        <w:tc>
          <w:tcPr/>
          <w:p>
            <w:pPr>
              <w:pStyle w:val="Compact"/>
            </w:pPr>
            <w:r>
              <w:t xml:space="preserve">Medium</w:t>
            </w:r>
          </w:p>
        </w:tc>
        <w:tc>
          <w:tcPr/>
          <w:p>
            <w:pPr>
              <w:pStyle w:val="Compact"/>
            </w:pPr>
            <w:r>
              <w:t xml:space="preserve">High</w:t>
            </w:r>
          </w:p>
        </w:tc>
        <w:tc>
          <w:tcPr/>
          <w:p>
            <w:pPr>
              <w:pStyle w:val="Compact"/>
            </w:pPr>
            <w:r>
              <w:t xml:space="preserve">Early engagement; mock APIs for parallel dev</w:t>
            </w:r>
          </w:p>
        </w:tc>
      </w:tr>
      <w:tr>
        <w:tc>
          <w:tcPr/>
          <w:p>
            <w:pPr>
              <w:pStyle w:val="Compact"/>
            </w:pPr>
            <w:r>
              <w:t xml:space="preserve">Regulatory change during project</w:t>
            </w:r>
          </w:p>
        </w:tc>
        <w:tc>
          <w:tcPr/>
          <w:p>
            <w:pPr>
              <w:pStyle w:val="Compact"/>
            </w:pPr>
            <w:r>
              <w:t xml:space="preserve">Low</w:t>
            </w:r>
          </w:p>
        </w:tc>
        <w:tc>
          <w:tcPr/>
          <w:p>
            <w:pPr>
              <w:pStyle w:val="Compact"/>
            </w:pPr>
            <w:r>
              <w:t xml:space="preserve">High</w:t>
            </w:r>
          </w:p>
        </w:tc>
        <w:tc>
          <w:tcPr/>
          <w:p>
            <w:pPr>
              <w:pStyle w:val="Compact"/>
            </w:pPr>
            <w:r>
              <w:t xml:space="preserve">Change Request; scope adjustment</w:t>
            </w:r>
          </w:p>
        </w:tc>
      </w:tr>
      <w:tr>
        <w:tc>
          <w:tcPr/>
          <w:p>
            <w:pPr>
              <w:pStyle w:val="Compact"/>
            </w:pPr>
            <w:r>
              <w:t xml:space="preserve">Key person departure</w:t>
            </w:r>
          </w:p>
        </w:tc>
        <w:tc>
          <w:tcPr/>
          <w:p>
            <w:pPr>
              <w:pStyle w:val="Compact"/>
            </w:pPr>
            <w:r>
              <w:t xml:space="preserve">Low</w:t>
            </w:r>
          </w:p>
        </w:tc>
        <w:tc>
          <w:tcPr/>
          <w:p>
            <w:pPr>
              <w:pStyle w:val="Compact"/>
            </w:pPr>
            <w:r>
              <w:t xml:space="preserve">Medium</w:t>
            </w:r>
          </w:p>
        </w:tc>
        <w:tc>
          <w:tcPr/>
          <w:p>
            <w:pPr>
              <w:pStyle w:val="Compact"/>
            </w:pPr>
            <w:r>
              <w:t xml:space="preserve">Knowledge documentation; backup resources</w:t>
            </w:r>
          </w:p>
        </w:tc>
      </w:tr>
      <w:tr>
        <w:tc>
          <w:tcPr/>
          <w:p>
            <w:pPr>
              <w:pStyle w:val="Compact"/>
            </w:pPr>
            <w:r>
              <w:t xml:space="preserve">Integration complexity</w:t>
            </w:r>
          </w:p>
        </w:tc>
        <w:tc>
          <w:tcPr/>
          <w:p>
            <w:pPr>
              <w:pStyle w:val="Compact"/>
            </w:pPr>
            <w:r>
              <w:t xml:space="preserve">Medium</w:t>
            </w:r>
          </w:p>
        </w:tc>
        <w:tc>
          <w:tcPr/>
          <w:p>
            <w:pPr>
              <w:pStyle w:val="Compact"/>
            </w:pPr>
            <w:r>
              <w:t xml:space="preserve">Medium</w:t>
            </w:r>
          </w:p>
        </w:tc>
        <w:tc>
          <w:tcPr/>
          <w:p>
            <w:pPr>
              <w:pStyle w:val="Compact"/>
            </w:pPr>
            <w:r>
              <w:t xml:space="preserve">Phase 1 API spec validation; POC if needed</w:t>
            </w:r>
          </w:p>
        </w:tc>
      </w:tr>
      <w:tr>
        <w:tc>
          <w:tcPr/>
          <w:p>
            <w:pPr>
              <w:pStyle w:val="Compact"/>
            </w:pPr>
            <w:r>
              <w:t xml:space="preserve">Scope creep</w:t>
            </w:r>
          </w:p>
        </w:tc>
        <w:tc>
          <w:tcPr/>
          <w:p>
            <w:pPr>
              <w:pStyle w:val="Compact"/>
            </w:pPr>
            <w:r>
              <w:t xml:space="preserve">Medium</w:t>
            </w:r>
          </w:p>
        </w:tc>
        <w:tc>
          <w:tcPr/>
          <w:p>
            <w:pPr>
              <w:pStyle w:val="Compact"/>
            </w:pPr>
            <w:r>
              <w:t xml:space="preserve">Medium</w:t>
            </w:r>
          </w:p>
        </w:tc>
        <w:tc>
          <w:tcPr/>
          <w:p>
            <w:pPr>
              <w:pStyle w:val="Compact"/>
            </w:pPr>
            <w:r>
              <w:t xml:space="preserve">Strict Change Control; baseline freeze after Phase 1</w:t>
            </w:r>
          </w:p>
        </w:tc>
      </w:tr>
    </w:tbl>
    <w:p>
      <w:pPr>
        <w:pStyle w:val="BodyText"/>
      </w:pPr>
      <w:r>
        <w:t xml:space="preserve">The Risk Register shall be updated at each steering committee meeting. Critical risks shall be escalated immediately.</w:t>
      </w:r>
    </w:p>
    <w:bookmarkEnd w:id="129"/>
    <w:bookmarkStart w:id="130" w:name="annexure-xxiv-payment-schedule-detailed"/>
    <w:p>
      <w:pPr>
        <w:pStyle w:val="Heading2"/>
      </w:pPr>
      <w:r>
        <w:t xml:space="preserve">ANNEXURE XXIV — PAYMENT SCHEDULE (DETAILED)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Milestone</w:t>
            </w:r>
          </w:p>
        </w:tc>
        <w:tc>
          <w:tcPr/>
          <w:p>
            <w:pPr>
              <w:pStyle w:val="Compact"/>
            </w:pPr>
            <w:r>
              <w:t xml:space="preserve">Amount (₹)</w:t>
            </w:r>
          </w:p>
        </w:tc>
        <w:tc>
          <w:tcPr/>
          <w:p>
            <w:pPr>
              <w:pStyle w:val="Compact"/>
            </w:pPr>
            <w:r>
              <w:t xml:space="preserve">% of Total</w:t>
            </w:r>
          </w:p>
        </w:tc>
        <w:tc>
          <w:tcPr/>
          <w:p>
            <w:pPr>
              <w:pStyle w:val="Compact"/>
            </w:pPr>
            <w:r>
              <w:t xml:space="preserve">Trigger</w:t>
            </w:r>
          </w:p>
        </w:tc>
        <w:tc>
          <w:tcPr/>
          <w:p>
            <w:pPr>
              <w:pStyle w:val="Compact"/>
            </w:pPr>
            <w:r>
              <w:t xml:space="preserve">Due Date (from trigger)</w:t>
            </w:r>
          </w:p>
        </w:tc>
      </w:tr>
      <w:tr>
        <w:tc>
          <w:tcPr/>
          <w:p>
            <w:pPr>
              <w:pStyle w:val="Compact"/>
            </w:pPr>
            <w:r>
              <w:t xml:space="preserve">Execution</w:t>
            </w:r>
          </w:p>
        </w:tc>
        <w:tc>
          <w:tcPr/>
          <w:p>
            <w:pPr>
              <w:pStyle w:val="Compact"/>
            </w:pPr>
            <w:r>
              <w:t xml:space="preserve">12,60,000</w:t>
            </w:r>
          </w:p>
        </w:tc>
        <w:tc>
          <w:tcPr/>
          <w:p>
            <w:pPr>
              <w:pStyle w:val="Compact"/>
            </w:pPr>
            <w:r>
              <w:t xml:space="preserve">30%</w:t>
            </w:r>
          </w:p>
        </w:tc>
        <w:tc>
          <w:tcPr/>
          <w:p>
            <w:pPr>
              <w:pStyle w:val="Compact"/>
            </w:pPr>
            <w:r>
              <w:t xml:space="preserve">Signing</w:t>
            </w:r>
          </w:p>
        </w:tc>
        <w:tc>
          <w:tcPr/>
          <w:p>
            <w:pPr>
              <w:pStyle w:val="Compact"/>
            </w:pPr>
            <w:r>
              <w:t xml:space="preserve">7 days</w:t>
            </w:r>
          </w:p>
        </w:tc>
      </w:tr>
      <w:tr>
        <w:tc>
          <w:tcPr/>
          <w:p>
            <w:pPr>
              <w:pStyle w:val="Compact"/>
            </w:pPr>
            <w:r>
              <w:t xml:space="preserve">Phase 2 Completion</w:t>
            </w:r>
          </w:p>
        </w:tc>
        <w:tc>
          <w:tcPr/>
          <w:p>
            <w:pPr>
              <w:pStyle w:val="Compact"/>
            </w:pPr>
            <w:r>
              <w:t xml:space="preserve">16,80,000</w:t>
            </w:r>
          </w:p>
        </w:tc>
        <w:tc>
          <w:tcPr/>
          <w:p>
            <w:pPr>
              <w:pStyle w:val="Compact"/>
            </w:pPr>
            <w:r>
              <w:t xml:space="preserve">40%</w:t>
            </w:r>
          </w:p>
        </w:tc>
        <w:tc>
          <w:tcPr/>
          <w:p>
            <w:pPr>
              <w:pStyle w:val="Compact"/>
            </w:pPr>
            <w:r>
              <w:t xml:space="preserve">Phase 2 Acceptance</w:t>
            </w:r>
          </w:p>
        </w:tc>
        <w:tc>
          <w:tcPr/>
          <w:p>
            <w:pPr>
              <w:pStyle w:val="Compact"/>
            </w:pPr>
            <w:r>
              <w:t xml:space="preserve">30 days from invoice</w:t>
            </w:r>
          </w:p>
        </w:tc>
      </w:tr>
      <w:tr>
        <w:tc>
          <w:tcPr/>
          <w:p>
            <w:pPr>
              <w:pStyle w:val="Compact"/>
            </w:pPr>
            <w:r>
              <w:t xml:space="preserve">Final Acceptance</w:t>
            </w:r>
          </w:p>
        </w:tc>
        <w:tc>
          <w:tcPr/>
          <w:p>
            <w:pPr>
              <w:pStyle w:val="Compact"/>
            </w:pPr>
            <w:r>
              <w:t xml:space="preserve">12,60,000</w:t>
            </w:r>
          </w:p>
        </w:tc>
        <w:tc>
          <w:tcPr/>
          <w:p>
            <w:pPr>
              <w:pStyle w:val="Compact"/>
            </w:pPr>
            <w:r>
              <w:t xml:space="preserve">30%</w:t>
            </w:r>
          </w:p>
        </w:tc>
        <w:tc>
          <w:tcPr/>
          <w:p>
            <w:pPr>
              <w:pStyle w:val="Compact"/>
            </w:pPr>
            <w:r>
              <w:t xml:space="preserve">Go-Live &amp; Phase 3 Acceptance</w:t>
            </w:r>
          </w:p>
        </w:tc>
        <w:tc>
          <w:tcPr/>
          <w:p>
            <w:pPr>
              <w:pStyle w:val="Compact"/>
            </w:pPr>
            <w:r>
              <w:t xml:space="preserve">30 days from invoice</w:t>
            </w:r>
          </w:p>
        </w:tc>
      </w:tr>
    </w:tbl>
    <w:p>
      <w:pPr>
        <w:pStyle w:val="BodyText"/>
      </w:pPr>
      <w:r>
        <w:t xml:space="preserve">GST at 18% in addition. Invoices shall reference this Agreement number and the Milestone. The Client's payment run cycle may delay payment by up to 5 business days without default; beyond that, interest applies per Article 4.4.</w:t>
      </w:r>
    </w:p>
    <w:bookmarkEnd w:id="130"/>
    <w:bookmarkStart w:id="131" w:name="annexure-xxv-warranties-expanded"/>
    <w:p>
      <w:pPr>
        <w:pStyle w:val="Heading2"/>
      </w:pPr>
      <w:r>
        <w:t xml:space="preserve">ANNEXURE XXV — WARRANTIES (EXPANDED)</w:t>
      </w:r>
    </w:p>
    <w:p>
      <w:pPr>
        <w:pStyle w:val="FirstParagraph"/>
      </w:pPr>
      <w:r>
        <w:t xml:space="preserve">In addition to Article 10, the Developer warrants that: (a) it has not and will not incorporate any software that would require the Client to disclose or distribute the Client's proprietary code (no copyleft in critical path); (b) the Deliverables will not contain any malware, backdoors, or unauthorised access mechanisms; (c) the Developer has conducted appropriate background checks on personnel with access to Client systems and data; (d) the Developer's development environment is segregated from production and does not contain Client production data. The Client warrants that: (a) it has the authority to share its systems, APIs, and data with the Developer for the Purpose; (b) its systems will be available for integration testing as per the timeline; (c) it will designate appropriately authorised personnel for approvals.</w:t>
      </w:r>
    </w:p>
    <w:bookmarkEnd w:id="131"/>
    <w:bookmarkStart w:id="132" w:name="annexure-xxvi-technology-stack-detailed"/>
    <w:p>
      <w:pPr>
        <w:pStyle w:val="Heading2"/>
      </w:pPr>
      <w:r>
        <w:t xml:space="preserve">ANNEXURE XXVI — TECHNOLOGY STACK (DETAILED)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Backend</w:t>
            </w:r>
          </w:p>
        </w:tc>
        <w:tc>
          <w:tcPr/>
          <w:p>
            <w:pPr>
              <w:pStyle w:val="Compact"/>
            </w:pPr>
            <w:r>
              <w:t xml:space="preserve">Java</w:t>
            </w:r>
          </w:p>
        </w:tc>
        <w:tc>
          <w:tcPr/>
          <w:p>
            <w:pPr>
              <w:pStyle w:val="Compact"/>
            </w:pPr>
            <w:r>
              <w:t xml:space="preserve">17 LTS</w:t>
            </w:r>
          </w:p>
        </w:tc>
        <w:tc>
          <w:tcPr/>
          <w:p>
            <w:pPr>
              <w:pStyle w:val="Compact"/>
            </w:pPr>
            <w:r>
              <w:t xml:space="preserve">Core application logic</w:t>
            </w:r>
          </w:p>
        </w:tc>
      </w:tr>
      <w:tr>
        <w:tc>
          <w:tcPr/>
          <w:p>
            <w:pPr>
              <w:pStyle w:val="Compact"/>
            </w:pPr>
            <w:r>
              <w:t xml:space="preserve">Framework</w:t>
            </w:r>
          </w:p>
        </w:tc>
        <w:tc>
          <w:tcPr/>
          <w:p>
            <w:pPr>
              <w:pStyle w:val="Compact"/>
            </w:pPr>
            <w:r>
              <w:t xml:space="preserve">Spring Boot</w:t>
            </w:r>
          </w:p>
        </w:tc>
        <w:tc>
          <w:tcPr/>
          <w:p>
            <w:pPr>
              <w:pStyle w:val="Compact"/>
            </w:pPr>
            <w:r>
              <w:t xml:space="preserve">3.x</w:t>
            </w:r>
          </w:p>
        </w:tc>
        <w:tc>
          <w:tcPr/>
          <w:p>
            <w:pPr>
              <w:pStyle w:val="Compact"/>
            </w:pPr>
            <w:r>
              <w:t xml:space="preserve">REST APIs; security</w:t>
            </w:r>
          </w:p>
        </w:tc>
      </w:tr>
      <w:tr>
        <w:tc>
          <w:tcPr/>
          <w:p>
            <w:pPr>
              <w:pStyle w:val="Compact"/>
            </w:pPr>
            <w:r>
              <w:t xml:space="preserve">Database</w:t>
            </w:r>
          </w:p>
        </w:tc>
        <w:tc>
          <w:tcPr/>
          <w:p>
            <w:pPr>
              <w:pStyle w:val="Compact"/>
            </w:pPr>
            <w:r>
              <w:t xml:space="preserve">PostgreSQL</w:t>
            </w:r>
          </w:p>
        </w:tc>
        <w:tc>
          <w:tcPr/>
          <w:p>
            <w:pPr>
              <w:pStyle w:val="Compact"/>
            </w:pPr>
            <w:r>
              <w:t xml:space="preserve">14+</w:t>
            </w:r>
          </w:p>
        </w:tc>
        <w:tc>
          <w:tcPr/>
          <w:p>
            <w:pPr>
              <w:pStyle w:val="Compact"/>
            </w:pPr>
            <w:r>
              <w:t xml:space="preserve">Persistence</w:t>
            </w:r>
          </w:p>
        </w:tc>
      </w:tr>
      <w:tr>
        <w:tc>
          <w:tcPr/>
          <w:p>
            <w:pPr>
              <w:pStyle w:val="Compact"/>
            </w:pPr>
            <w:r>
              <w:t xml:space="preserve">Cache</w:t>
            </w:r>
          </w:p>
        </w:tc>
        <w:tc>
          <w:tcPr/>
          <w:p>
            <w:pPr>
              <w:pStyle w:val="Compact"/>
            </w:pPr>
            <w:r>
              <w:t xml:space="preserve">Redis</w:t>
            </w:r>
          </w:p>
        </w:tc>
        <w:tc>
          <w:tcPr/>
          <w:p>
            <w:pPr>
              <w:pStyle w:val="Compact"/>
            </w:pPr>
            <w:r>
              <w:t xml:space="preserve">7.x</w:t>
            </w:r>
          </w:p>
        </w:tc>
        <w:tc>
          <w:tcPr/>
          <w:p>
            <w:pPr>
              <w:pStyle w:val="Compact"/>
            </w:pPr>
            <w:r>
              <w:t xml:space="preserve">Session; performance</w:t>
            </w:r>
          </w:p>
        </w:tc>
      </w:tr>
      <w:tr>
        <w:tc>
          <w:tcPr/>
          <w:p>
            <w:pPr>
              <w:pStyle w:val="Compact"/>
            </w:pPr>
            <w:r>
              <w:t xml:space="preserve">Frontend</w:t>
            </w:r>
          </w:p>
        </w:tc>
        <w:tc>
          <w:tcPr/>
          <w:p>
            <w:pPr>
              <w:pStyle w:val="Compact"/>
            </w:pPr>
            <w:r>
              <w:t xml:space="preserve">React</w:t>
            </w:r>
          </w:p>
        </w:tc>
        <w:tc>
          <w:tcPr/>
          <w:p>
            <w:pPr>
              <w:pStyle w:val="Compact"/>
            </w:pPr>
            <w:r>
              <w:t xml:space="preserve">18.x</w:t>
            </w:r>
          </w:p>
        </w:tc>
        <w:tc>
          <w:tcPr/>
          <w:p>
            <w:pPr>
              <w:pStyle w:val="Compact"/>
            </w:pPr>
            <w:r>
              <w:t xml:space="preserve">UI</w:t>
            </w:r>
          </w:p>
        </w:tc>
      </w:tr>
      <w:tr>
        <w:tc>
          <w:tcPr/>
          <w:p>
            <w:pPr>
              <w:pStyle w:val="Compact"/>
            </w:pPr>
            <w:r>
              <w:t xml:space="preserve">Build</w:t>
            </w:r>
          </w:p>
        </w:tc>
        <w:tc>
          <w:tcPr/>
          <w:p>
            <w:pPr>
              <w:pStyle w:val="Compact"/>
            </w:pPr>
            <w:r>
              <w:t xml:space="preserve">Maven</w:t>
            </w:r>
          </w:p>
        </w:tc>
        <w:tc>
          <w:tcPr/>
          <w:p>
            <w:pPr>
              <w:pStyle w:val="Compact"/>
            </w:pPr>
            <w:r>
              <w:t xml:space="preserve">3.8+</w:t>
            </w:r>
          </w:p>
        </w:tc>
        <w:tc>
          <w:tcPr/>
          <w:p>
            <w:pPr>
              <w:pStyle w:val="Compact"/>
            </w:pPr>
            <w:r>
              <w:t xml:space="preserve">Dependency; build</w:t>
            </w:r>
          </w:p>
        </w:tc>
      </w:tr>
      <w:tr>
        <w:tc>
          <w:tcPr/>
          <w:p>
            <w:pPr>
              <w:pStyle w:val="Compact"/>
            </w:pPr>
            <w:r>
              <w:t xml:space="preserve">CI/CD</w:t>
            </w:r>
          </w:p>
        </w:tc>
        <w:tc>
          <w:tcPr/>
          <w:p>
            <w:pPr>
              <w:pStyle w:val="Compact"/>
            </w:pPr>
            <w:r>
              <w:t xml:space="preserve">Jenkins/GitHub Actions</w:t>
            </w:r>
          </w:p>
        </w:tc>
        <w:tc>
          <w:tcPr/>
          <w:p>
            <w:pPr>
              <w:pStyle w:val="Compact"/>
            </w:pPr>
            <w:r>
              <w:t xml:space="preserve">—</w:t>
            </w:r>
          </w:p>
        </w:tc>
        <w:tc>
          <w:tcPr/>
          <w:p>
            <w:pPr>
              <w:pStyle w:val="Compact"/>
            </w:pPr>
            <w:r>
              <w:t xml:space="preserve">Pipeline</w:t>
            </w:r>
          </w:p>
        </w:tc>
      </w:tr>
      <w:tr>
        <w:tc>
          <w:tcPr/>
          <w:p>
            <w:pPr>
              <w:pStyle w:val="Compact"/>
            </w:pPr>
            <w:r>
              <w:t xml:space="preserve">Container</w:t>
            </w:r>
          </w:p>
        </w:tc>
        <w:tc>
          <w:tcPr/>
          <w:p>
            <w:pPr>
              <w:pStyle w:val="Compact"/>
            </w:pPr>
            <w:r>
              <w:t xml:space="preserve">Docker</w:t>
            </w:r>
          </w:p>
        </w:tc>
        <w:tc>
          <w:tcPr/>
          <w:p>
            <w:pPr>
              <w:pStyle w:val="Compact"/>
            </w:pPr>
            <w:r>
              <w:t xml:space="preserve">—</w:t>
            </w:r>
          </w:p>
        </w:tc>
        <w:tc>
          <w:tcPr/>
          <w:p>
            <w:pPr>
              <w:pStyle w:val="Compact"/>
            </w:pPr>
            <w:r>
              <w:t xml:space="preserve">Deployment (optional)</w:t>
            </w:r>
          </w:p>
        </w:tc>
      </w:tr>
    </w:tbl>
    <w:p>
      <w:pPr>
        <w:pStyle w:val="BodyText"/>
      </w:pPr>
      <w:r>
        <w:t xml:space="preserve">Changes to technology stack require Change Request. The Developer shall document all dependencies and versions in Phase 1.</w:t>
      </w:r>
    </w:p>
    <w:bookmarkEnd w:id="132"/>
    <w:bookmarkStart w:id="133" w:name="annexure-xxvii-integration-points"/>
    <w:p>
      <w:pPr>
        <w:pStyle w:val="Heading2"/>
      </w:pPr>
      <w:r>
        <w:t xml:space="preserve">ANNEXURE XXVII — INTEGRATION POINTS</w:t>
      </w:r>
    </w:p>
    <w:p>
      <w:pPr>
        <w:pStyle w:val="FirstParagraph"/>
      </w:pPr>
      <w:r>
        <w:rPr>
          <w:b/>
          <w:bCs/>
        </w:rPr>
        <w:t xml:space="preserve">Core Banking System:</w:t>
      </w:r>
      <w:r>
        <w:t xml:space="preserve"> </w:t>
      </w:r>
      <w:r>
        <w:t xml:space="preserve">The System shall integrate with the Client's core banking platform via REST APIs. The Client shall provide API documentation, sandbox access, and staging credentials by Day 7. Integration scope: account lookup; transaction posting; balance inquiry; statement generation. The Technical Design Document shall specify endpoints and data contracts.</w:t>
      </w:r>
    </w:p>
    <w:p>
      <w:pPr>
        <w:pStyle w:val="BodyText"/>
      </w:pPr>
      <w:r>
        <w:rPr>
          <w:b/>
          <w:bCs/>
        </w:rPr>
        <w:t xml:space="preserve">Loan Origination System:</w:t>
      </w:r>
      <w:r>
        <w:t xml:space="preserve"> </w:t>
      </w:r>
      <w:r>
        <w:t xml:space="preserve">Integration for loan application data; disbursement triggers; repayment status. API specification to be agreed in Phase 1.</w:t>
      </w:r>
    </w:p>
    <w:p>
      <w:pPr>
        <w:pStyle w:val="BodyText"/>
      </w:pPr>
      <w:r>
        <w:rPr>
          <w:b/>
          <w:bCs/>
        </w:rPr>
        <w:t xml:space="preserve">Identity/KYC Provider:</w:t>
      </w:r>
      <w:r>
        <w:t xml:space="preserve"> </w:t>
      </w:r>
      <w:r>
        <w:t xml:space="preserve">Integration with Client's KYC solution for customer verification. The Client shall provide test credentials.</w:t>
      </w:r>
    </w:p>
    <w:p>
      <w:pPr>
        <w:pStyle w:val="BodyText"/>
      </w:pPr>
      <w:r>
        <w:rPr>
          <w:b/>
          <w:bCs/>
        </w:rPr>
        <w:t xml:space="preserve">Reporting/BI:</w:t>
      </w:r>
      <w:r>
        <w:t xml:space="preserve"> </w:t>
      </w:r>
      <w:r>
        <w:t xml:space="preserve">Export of regulatory reports in formats required by RBI/SEBI (PDF, Excel, XML as applicable).</w:t>
      </w:r>
    </w:p>
    <w:bookmarkEnd w:id="133"/>
    <w:bookmarkStart w:id="134" w:name="annexure-xxviii-performance-benchmarks"/>
    <w:p>
      <w:pPr>
        <w:pStyle w:val="Heading2"/>
      </w:pPr>
      <w:r>
        <w:t xml:space="preserve">ANNEXURE XXVIII — PERFORMANCE BENCHMARKS</w:t>
      </w:r>
    </w:p>
    <w:p>
      <w:pPr>
        <w:pStyle w:val="FirstParagraph"/>
      </w:pPr>
      <w:r>
        <w:rPr>
          <w:b/>
          <w:bCs/>
        </w:rPr>
        <w:t xml:space="preserve">Response Time:</w:t>
      </w:r>
      <w:r>
        <w:t xml:space="preserve"> </w:t>
      </w:r>
      <w:r>
        <w:t xml:space="preserve">95th percentile &lt; 2 seconds for standard queries (dashboard load, report generation, search). 99th percentile &lt; 5 seconds.</w:t>
      </w:r>
    </w:p>
    <w:p>
      <w:pPr>
        <w:pStyle w:val="BodyText"/>
      </w:pPr>
      <w:r>
        <w:rPr>
          <w:b/>
          <w:bCs/>
        </w:rPr>
        <w:t xml:space="preserve">Throughput:</w:t>
      </w:r>
      <w:r>
        <w:t xml:space="preserve"> </w:t>
      </w:r>
      <w:r>
        <w:t xml:space="preserve">Support 100 concurrent users without degradation. Peak load 200 concurrent users with acceptable degradation (response time &lt; 4 seconds).</w:t>
      </w:r>
    </w:p>
    <w:p>
      <w:pPr>
        <w:pStyle w:val="BodyText"/>
      </w:pPr>
      <w:r>
        <w:rPr>
          <w:b/>
          <w:bCs/>
        </w:rPr>
        <w:t xml:space="preserve">Availability:</w:t>
      </w:r>
      <w:r>
        <w:t xml:space="preserve"> </w:t>
      </w:r>
      <w:r>
        <w:t xml:space="preserve">Uptime depends on Client infrastructure. The System design shall support high availability (clustering, failover) if deployed on appropriate infrastructure.</w:t>
      </w:r>
    </w:p>
    <w:p>
      <w:pPr>
        <w:pStyle w:val="BodyText"/>
      </w:pPr>
      <w:r>
        <w:rPr>
          <w:b/>
          <w:bCs/>
        </w:rPr>
        <w:t xml:space="preserve">Batch Jobs:</w:t>
      </w:r>
      <w:r>
        <w:t xml:space="preserve"> </w:t>
      </w:r>
      <w:r>
        <w:t xml:space="preserve">End-of-day processing (report generation, audit rollover) to complete within 4 hours for typical data volumes.</w:t>
      </w:r>
    </w:p>
    <w:bookmarkEnd w:id="134"/>
    <w:bookmarkStart w:id="135" w:name="X4f4eddb16e5e9bf79115561ab1405e48859c30c"/>
    <w:p>
      <w:pPr>
        <w:pStyle w:val="Heading2"/>
      </w:pPr>
      <w:r>
        <w:t xml:space="preserve">ANNEXURE XXIX — SECURITY TESTING REQUIREMENTS</w:t>
      </w:r>
    </w:p>
    <w:p>
      <w:pPr>
        <w:pStyle w:val="FirstParagraph"/>
      </w:pPr>
      <w:r>
        <w:rPr>
          <w:b/>
          <w:bCs/>
        </w:rPr>
        <w:t xml:space="preserve">Pre-Go-Live:</w:t>
      </w:r>
      <w:r>
        <w:t xml:space="preserve"> </w:t>
      </w:r>
      <w:r>
        <w:t xml:space="preserve">(a) Static code analysis (SAST) – Developer to run and remediate high/critical; (b) Dependency scan – no known high/critical vulnerabilities in dependencies; (c) Dynamic scan (DAST) – OWASP ZAP or equivalent; (d) Penetration test – by third party at Client's cost; findings to be remediated or accepted in writing.</w:t>
      </w:r>
    </w:p>
    <w:p>
      <w:pPr>
        <w:pStyle w:val="BodyText"/>
      </w:pPr>
      <w:r>
        <w:rPr>
          <w:b/>
          <w:bCs/>
        </w:rPr>
        <w:t xml:space="preserve">Ongoing:</w:t>
      </w:r>
      <w:r>
        <w:t xml:space="preserve"> </w:t>
      </w:r>
      <w:r>
        <w:t xml:space="preserve">The Client is responsible for security of production environment. The Developer shall provide security patches for the Deliverables during Warranty Period.</w:t>
      </w:r>
    </w:p>
    <w:bookmarkEnd w:id="135"/>
    <w:bookmarkStart w:id="136" w:name="annexure-xxx-glossary-of-technical-terms"/>
    <w:p>
      <w:pPr>
        <w:pStyle w:val="Heading2"/>
      </w:pPr>
      <w:r>
        <w:t xml:space="preserve">ANNEXURE XXX — GLOSSARY OF TECHNICAL TERMS</w:t>
      </w:r>
    </w:p>
    <w:p>
      <w:pPr>
        <w:pStyle w:val="FirstParagraph"/>
      </w:pPr>
      <w:r>
        <w:rPr>
          <w:b/>
          <w:bCs/>
        </w:rPr>
        <w:t xml:space="preserve">API:</w:t>
      </w:r>
      <w:r>
        <w:t xml:space="preserve"> </w:t>
      </w:r>
      <w:r>
        <w:t xml:space="preserve">Application Programming Interface.</w:t>
      </w:r>
      <w:r>
        <w:t xml:space="preserve"> </w:t>
      </w:r>
      <w:r>
        <w:rPr>
          <w:b/>
          <w:bCs/>
        </w:rPr>
        <w:t xml:space="preserve">CDD:</w:t>
      </w:r>
      <w:r>
        <w:t xml:space="preserve"> </w:t>
      </w:r>
      <w:r>
        <w:t xml:space="preserve">Customer Due Diligence.</w:t>
      </w:r>
      <w:r>
        <w:t xml:space="preserve"> </w:t>
      </w:r>
      <w:r>
        <w:rPr>
          <w:b/>
          <w:bCs/>
        </w:rPr>
        <w:t xml:space="preserve">CI/CD:</w:t>
      </w:r>
      <w:r>
        <w:t xml:space="preserve"> </w:t>
      </w:r>
      <w:r>
        <w:t xml:space="preserve">Continuous Integration/Continuous Deployment.</w:t>
      </w:r>
      <w:r>
        <w:t xml:space="preserve"> </w:t>
      </w:r>
      <w:r>
        <w:rPr>
          <w:b/>
          <w:bCs/>
        </w:rPr>
        <w:t xml:space="preserve">DLA:</w:t>
      </w:r>
      <w:r>
        <w:t xml:space="preserve"> </w:t>
      </w:r>
      <w:r>
        <w:t xml:space="preserve">Digital Lending App.</w:t>
      </w:r>
      <w:r>
        <w:t xml:space="preserve"> </w:t>
      </w:r>
      <w:r>
        <w:rPr>
          <w:b/>
          <w:bCs/>
        </w:rPr>
        <w:t xml:space="preserve">ERD:</w:t>
      </w:r>
      <w:r>
        <w:t xml:space="preserve"> </w:t>
      </w:r>
      <w:r>
        <w:t xml:space="preserve">Entity Relationship Diagram.</w:t>
      </w:r>
      <w:r>
        <w:t xml:space="preserve"> </w:t>
      </w:r>
      <w:r>
        <w:rPr>
          <w:b/>
          <w:bCs/>
        </w:rPr>
        <w:t xml:space="preserve">MFA:</w:t>
      </w:r>
      <w:r>
        <w:t xml:space="preserve"> </w:t>
      </w:r>
      <w:r>
        <w:t xml:space="preserve">Multi-Factor Authentication.</w:t>
      </w:r>
      <w:r>
        <w:t xml:space="preserve"> </w:t>
      </w:r>
      <w:r>
        <w:rPr>
          <w:b/>
          <w:bCs/>
        </w:rPr>
        <w:t xml:space="preserve">NPA:</w:t>
      </w:r>
      <w:r>
        <w:t xml:space="preserve"> </w:t>
      </w:r>
      <w:r>
        <w:t xml:space="preserve">Non-Performing Asset.</w:t>
      </w:r>
      <w:r>
        <w:t xml:space="preserve"> </w:t>
      </w:r>
      <w:r>
        <w:rPr>
          <w:b/>
          <w:bCs/>
        </w:rPr>
        <w:t xml:space="preserve">OWASP:</w:t>
      </w:r>
      <w:r>
        <w:t xml:space="preserve"> </w:t>
      </w:r>
      <w:r>
        <w:t xml:space="preserve">Open Web Application Security Project.</w:t>
      </w:r>
      <w:r>
        <w:t xml:space="preserve"> </w:t>
      </w:r>
      <w:r>
        <w:rPr>
          <w:b/>
          <w:bCs/>
        </w:rPr>
        <w:t xml:space="preserve">RBAC:</w:t>
      </w:r>
      <w:r>
        <w:t xml:space="preserve"> </w:t>
      </w:r>
      <w:r>
        <w:t xml:space="preserve">Role-Based Access Control.</w:t>
      </w:r>
      <w:r>
        <w:t xml:space="preserve"> </w:t>
      </w:r>
      <w:r>
        <w:rPr>
          <w:b/>
          <w:bCs/>
        </w:rPr>
        <w:t xml:space="preserve">RTO/RPO:</w:t>
      </w:r>
      <w:r>
        <w:t xml:space="preserve"> </w:t>
      </w:r>
      <w:r>
        <w:t xml:space="preserve">Recovery Time/Point Objective.</w:t>
      </w:r>
      <w:r>
        <w:t xml:space="preserve"> </w:t>
      </w:r>
      <w:r>
        <w:rPr>
          <w:b/>
          <w:bCs/>
        </w:rPr>
        <w:t xml:space="preserve">SAST/DAST:</w:t>
      </w:r>
      <w:r>
        <w:t xml:space="preserve"> </w:t>
      </w:r>
      <w:r>
        <w:t xml:space="preserve">Static/Dynamic Application Security Testing.</w:t>
      </w:r>
      <w:r>
        <w:t xml:space="preserve"> </w:t>
      </w:r>
      <w:r>
        <w:rPr>
          <w:b/>
          <w:bCs/>
        </w:rPr>
        <w:t xml:space="preserve">TLS:</w:t>
      </w:r>
      <w:r>
        <w:t xml:space="preserve"> </w:t>
      </w:r>
      <w:r>
        <w:t xml:space="preserve">Transport Layer Security.</w:t>
      </w:r>
      <w:r>
        <w:t xml:space="preserve"> </w:t>
      </w:r>
      <w:r>
        <w:rPr>
          <w:b/>
          <w:bCs/>
        </w:rPr>
        <w:t xml:space="preserve">UAT:</w:t>
      </w:r>
      <w:r>
        <w:t xml:space="preserve"> </w:t>
      </w:r>
      <w:r>
        <w:t xml:space="preserve">User Acceptance Testing.</w:t>
      </w:r>
      <w:r>
        <w:t xml:space="preserve"> </w:t>
      </w:r>
      <w:r>
        <w:rPr>
          <w:b/>
          <w:bCs/>
        </w:rPr>
        <w:t xml:space="preserve">WACC:</w:t>
      </w:r>
      <w:r>
        <w:t xml:space="preserve"> </w:t>
      </w:r>
      <w:r>
        <w:t xml:space="preserve">Weighted Average Cost of Capital (for DCF).</w:t>
      </w:r>
    </w:p>
    <w:bookmarkEnd w:id="136"/>
    <w:bookmarkStart w:id="137" w:name="Xd85fe2f73be5aa814fd7d1cf0bcc744d5bdba72"/>
    <w:p>
      <w:pPr>
        <w:pStyle w:val="Heading2"/>
      </w:pPr>
      <w:r>
        <w:t xml:space="preserve">ANNEXURE XXXI — CODE REPOSITORY AND VERSION CONTROL</w:t>
      </w:r>
    </w:p>
    <w:p>
      <w:pPr>
        <w:pStyle w:val="FirstParagraph"/>
      </w:pPr>
      <w:r>
        <w:t xml:space="preserve">The Developer shall maintain the source code in a version control system (Git). The Client may request read-only access for audit purposes. Upon Acceptance of each Phase, the Developer shall provide a tagged release. Branching strategy: main (production), develop (integration), feature branches. The Developer shall not commit credentials or sensitive data. Code shall be peer-reviewed before merge. Commit messages shall reference ticket/CR numbers.</w:t>
      </w:r>
    </w:p>
    <w:bookmarkEnd w:id="137"/>
    <w:bookmarkStart w:id="138" w:name="annexure-xxxii-handover-checklist"/>
    <w:p>
      <w:pPr>
        <w:pStyle w:val="Heading2"/>
      </w:pPr>
      <w:r>
        <w:t xml:space="preserve">ANNEXURE XXXII — HANDOVER CHECKLIST</w:t>
      </w:r>
    </w:p>
    <w:p>
      <w:pPr>
        <w:pStyle w:val="FirstParagraph"/>
      </w:pPr>
      <w:r>
        <w:t xml:space="preserve">Upon completion or termination, the Developer shall deliver: (a) Full source code (all branches/releases); (b) Build scripts and configuration; (c) Database schema and migration scripts; (d) API documentation; (e) Deployment runbook; (f) User manual and admin guide; (g) Test cases and results; (h) Environment configuration templates; (i) Third-party licence list; (j) Access credentials (to be handed securely). The Client shall confirm receipt in writing. The Developer shall provide 15 days of transition support at the then-current daily rate if requested.</w:t>
      </w:r>
    </w:p>
    <w:bookmarkEnd w:id="138"/>
    <w:bookmarkStart w:id="139" w:name="X2d71db57a1ce184862f8782664a1c3e011f7ae7"/>
    <w:p>
      <w:pPr>
        <w:pStyle w:val="Heading2"/>
      </w:pPr>
      <w:r>
        <w:t xml:space="preserve">ANNEXURE XXXIII — LIMITATION OF LIABILITY (EXPANDED)</w:t>
      </w:r>
    </w:p>
    <w:p>
      <w:pPr>
        <w:pStyle w:val="FirstParagraph"/>
      </w:pPr>
      <w:r>
        <w:t xml:space="preserve">The liability cap in Article 12 applies to all claims. The cap is per Party, aggregate for all claims in the 12 months preceding the claim (or total Fees if within first 12 months). Excluded from cap: (a) amounts payable under Article 4; (b) breach of confidentiality (direct damages only); (c) indemnification under Article 11; (d) fraud or wilful misconduct. Neither Party liable for: indirect, incidental, special, consequential, punitive damages; loss of profits, revenue, data, business opportunity; reputational harm. The Client acknowledges that the Developer's fees reflect this allocation of risk. The Developer does not warrant uninterrupted or error-free operation; the Client shall implement appropriate backup and business continuity. For defects, the sole remedy is as stated in Article 10 (remediation, refund of proportionate fees).</w:t>
      </w:r>
    </w:p>
    <w:bookmarkEnd w:id="139"/>
    <w:bookmarkStart w:id="140" w:name="annexure-xxxiv-gst-and-tax"/>
    <w:p>
      <w:pPr>
        <w:pStyle w:val="Heading2"/>
      </w:pPr>
      <w:r>
        <w:t xml:space="preserve">ANNEXURE XXXIV — GST AND TAX</w:t>
      </w:r>
    </w:p>
    <w:p>
      <w:pPr>
        <w:pStyle w:val="FirstParagraph"/>
      </w:pPr>
      <w:r>
        <w:t xml:space="preserve">All amounts are exclusive of GST. GST at 18% (or applicable rate) shall be charged separately. The Developer shall issue tax invoice with GSTIN within the time required by GST law. The Client shall pay GST as part of the invoice. For input tax credit, the Client shall provide its GSTIN. If the Client is required to deduct TDS under the Income Tax Act, 1961, it shall do so and provide Form 16A. The Developer shall provide Form 15G/15H if applicable. The net amount received by the Developer shall be grossed up if TDS is due to the Developer's failure to provide tax documents; otherwise, TDS is at Client's statutory obligation and no gross-up.</w:t>
      </w:r>
    </w:p>
    <w:bookmarkEnd w:id="140"/>
    <w:bookmarkStart w:id="141" w:name="annexure-xxxv-notices-full"/>
    <w:p>
      <w:pPr>
        <w:pStyle w:val="Heading2"/>
      </w:pPr>
      <w:r>
        <w:t xml:space="preserve">ANNEXURE XXXV — NOTICES (FULL)</w:t>
      </w:r>
    </w:p>
    <w:p>
      <w:pPr>
        <w:pStyle w:val="FirstParagraph"/>
      </w:pPr>
      <w:r>
        <w:rPr>
          <w:b/>
          <w:bCs/>
        </w:rPr>
        <w:t xml:space="preserve">Client:</w:t>
      </w:r>
      <w:r>
        <w:t xml:space="preserve"> </w:t>
      </w:r>
      <w:r>
        <w:t xml:space="preserve">FinTech Solutions India Private Limited, 12th Floor, Tower B, Cyber City, Gurugram, Haryana 122002. Attention: Project Manager (Mr. Rajesh Verma). Email: rajesh.verma@fintechsol.com. Copy: legal@fintechsol.com for material notices.</w:t>
      </w:r>
    </w:p>
    <w:p>
      <w:pPr>
        <w:pStyle w:val="BodyText"/>
      </w:pPr>
      <w:r>
        <w:rPr>
          <w:b/>
          <w:bCs/>
        </w:rPr>
        <w:t xml:space="preserve">Developer:</w:t>
      </w:r>
      <w:r>
        <w:t xml:space="preserve"> </w:t>
      </w:r>
      <w:r>
        <w:t xml:space="preserve">CodeCraft Technologies LLP, 45, MG Road, Bangalore, Karnataka 560001. Attention: Project Manager (Ms. Anitha Krishnan). Email: anitha@codecraft.in. Copy: legal@codecraft.in for material notices.</w:t>
      </w:r>
    </w:p>
    <w:p>
      <w:pPr>
        <w:pStyle w:val="BodyText"/>
      </w:pPr>
      <w:r>
        <w:t xml:space="preserve">Material notices (termination, breach, dispute, change of Project Manager): by registered post (acknowledgment due) and email. Operational notices: by email. Deemed given: upon receipt if hand-delivered or courier; 3 days after posting if registered post; upon successful transmission if email (with read receipt). Change of address: 15 days' prior written notice.</w:t>
      </w:r>
    </w:p>
    <w:bookmarkEnd w:id="141"/>
    <w:bookmarkStart w:id="142" w:name="X2ba0710ece6783a860997fcd6729bb2c76517bd"/>
    <w:p>
      <w:pPr>
        <w:pStyle w:val="Heading2"/>
      </w:pPr>
      <w:r>
        <w:t xml:space="preserve">ANNEXURE XXXVI — DISPUTE RESOLUTION (EXPANDED)</w:t>
      </w:r>
    </w:p>
    <w:p>
      <w:pPr>
        <w:pStyle w:val="FirstParagraph"/>
      </w:pPr>
      <w:r>
        <w:rPr>
          <w:b/>
          <w:bCs/>
        </w:rPr>
        <w:t xml:space="preserve">Step 1 – Negotiation:</w:t>
      </w:r>
      <w:r>
        <w:t xml:space="preserve"> </w:t>
      </w:r>
      <w:r>
        <w:t xml:space="preserve">Either Party may give written notice of dispute. Senior representatives (CTO level or equivalent) shall meet within 15 days to attempt resolution. Duration: 30 days.</w:t>
      </w:r>
    </w:p>
    <w:p>
      <w:pPr>
        <w:pStyle w:val="BodyText"/>
      </w:pPr>
      <w:r>
        <w:rPr>
          <w:b/>
          <w:bCs/>
        </w:rPr>
        <w:t xml:space="preserve">Step 2 – Arbitration:</w:t>
      </w:r>
      <w:r>
        <w:t xml:space="preserve"> </w:t>
      </w:r>
      <w:r>
        <w:t xml:space="preserve">If unresolved, either Party may refer to arbitration under the Arbitration and Conciliation Act, 1996. Sole arbitrator. If Parties cannot agree within 15 days, appointment by the High Court of Delhi. Seat: Gurugram. Language: English. UNCITRAL Rules as modified by the Act. The tribunal may grant interim relief. Award final and binding. Enforcement in any court of competent jurisdiction. Costs as awarded.</w:t>
      </w:r>
    </w:p>
    <w:p>
      <w:pPr>
        <w:pStyle w:val="BodyText"/>
      </w:pPr>
      <w:r>
        <w:rPr>
          <w:b/>
          <w:bCs/>
        </w:rPr>
        <w:t xml:space="preserve">Interim Relief:</w:t>
      </w:r>
      <w:r>
        <w:t xml:space="preserve"> </w:t>
      </w:r>
      <w:r>
        <w:t xml:space="preserve">Courts at Gurugram shall have exclusive jurisdiction for interim or conservatory measures (injunction, attachment, etc.).</w:t>
      </w:r>
    </w:p>
    <w:p>
      <w:pPr>
        <w:pStyle w:val="BodyText"/>
      </w:pPr>
      <w:r>
        <w:rPr>
          <w:b/>
          <w:bCs/>
        </w:rPr>
        <w:t xml:space="preserve">Confidentiality:</w:t>
      </w:r>
      <w:r>
        <w:t xml:space="preserve"> </w:t>
      </w:r>
      <w:r>
        <w:t xml:space="preserve">The arbitration and its outcome shall be kept confidential except as required by law.</w:t>
      </w:r>
    </w:p>
    <w:bookmarkEnd w:id="142"/>
    <w:bookmarkStart w:id="143" w:name="X4a726ae9c8f4a114cfdbc9464a32344736f1aed"/>
    <w:p>
      <w:pPr>
        <w:pStyle w:val="Heading2"/>
      </w:pPr>
      <w:r>
        <w:t xml:space="preserve">ANNEXURE XXXVII — MODULE-WISE FUNCTIONAL SPECIFICATION</w:t>
      </w:r>
    </w:p>
    <w:p>
      <w:pPr>
        <w:pStyle w:val="FirstParagraph"/>
      </w:pPr>
      <w:r>
        <w:rPr>
          <w:b/>
          <w:bCs/>
        </w:rPr>
        <w:t xml:space="preserve">Regulatory Dashboard:</w:t>
      </w:r>
      <w:r>
        <w:t xml:space="preserve"> </w:t>
      </w:r>
      <w:r>
        <w:t xml:space="preserve">Single view of compliance status across RBI, SEBI, PMLA. Configurable thresholds. Alert triggers. Drill-down to transaction/sample level. Export for regulatory submission. Dashboard to support: (i) Digital Lending compliance scorecard; (ii) NPA ageing and provisioning status; (iii) KYC/CDD due list; (iv) Disclosure obligation tracker; (v) Audit finding log.</w:t>
      </w:r>
    </w:p>
    <w:p>
      <w:pPr>
        <w:pStyle w:val="BodyText"/>
      </w:pPr>
      <w:r>
        <w:rPr>
          <w:b/>
          <w:bCs/>
        </w:rPr>
        <w:t xml:space="preserve">CDD/AML Workflow:</w:t>
      </w:r>
      <w:r>
        <w:t xml:space="preserve"> </w:t>
      </w:r>
      <w:r>
        <w:t xml:space="preserve">Customer risk scoring. Automated vs manual review routing. Document collection and verification. Ongoing monitoring. STR/SAR flagging (alert only; filing by Client). PEP/sanctions screening integration points. Audit trail for all CDD actions. Configurable retention (7 years minimum).</w:t>
      </w:r>
    </w:p>
    <w:p>
      <w:pPr>
        <w:pStyle w:val="BodyText"/>
      </w:pPr>
      <w:r>
        <w:rPr>
          <w:b/>
          <w:bCs/>
        </w:rPr>
        <w:t xml:space="preserve">Report Generation:</w:t>
      </w:r>
      <w:r>
        <w:t xml:space="preserve"> </w:t>
      </w:r>
      <w:r>
        <w:t xml:space="preserve">Templates for RBI returns, SEBI disclosures, internal management reports. Scheduled and ad-hoc. Export formats: PDF, Excel, XML. Version control for reports. Approval workflow for regulatory filings (optional).</w:t>
      </w:r>
    </w:p>
    <w:p>
      <w:pPr>
        <w:pStyle w:val="BodyText"/>
      </w:pPr>
      <w:r>
        <w:rPr>
          <w:b/>
          <w:bCs/>
        </w:rPr>
        <w:t xml:space="preserve">Audit Logging:</w:t>
      </w:r>
      <w:r>
        <w:t xml:space="preserve"> </w:t>
      </w:r>
      <w:r>
        <w:t xml:space="preserve">Immutable log of user actions, system events, data changes. Tamper-evident storage. Log retention 7 years. Search and filter. Export for inspection. Role-based log access.</w:t>
      </w:r>
    </w:p>
    <w:p>
      <w:pPr>
        <w:pStyle w:val="BodyText"/>
      </w:pPr>
      <w:r>
        <w:rPr>
          <w:b/>
          <w:bCs/>
        </w:rPr>
        <w:t xml:space="preserve">Admin Console:</w:t>
      </w:r>
      <w:r>
        <w:t xml:space="preserve"> </w:t>
      </w:r>
      <w:r>
        <w:t xml:space="preserve">User management. Role definition. Permission matrix. Organisation hierarchy (for multi-tenant). Session management. Password policy. MFA configuration.</w:t>
      </w:r>
    </w:p>
    <w:bookmarkEnd w:id="143"/>
    <w:bookmarkStart w:id="144" w:name="Xfd3513180b7aec692d006d1970546510b3ccc43"/>
    <w:p>
      <w:pPr>
        <w:pStyle w:val="Heading2"/>
      </w:pPr>
      <w:r>
        <w:t xml:space="preserve">ANNEXURE XXXVIII — UAT TEST CASE CATEGORIES</w:t>
      </w:r>
    </w:p>
    <w:p>
      <w:pPr>
        <w:pStyle w:val="FirstParagraph"/>
      </w:pPr>
      <w:r>
        <w:rPr>
          <w:b/>
          <w:bCs/>
        </w:rPr>
        <w:t xml:space="preserve">Functional:</w:t>
      </w:r>
      <w:r>
        <w:t xml:space="preserve"> </w:t>
      </w:r>
      <w:r>
        <w:t xml:space="preserve">Each user story/specification to have pass/fail test case. Expected result documented. Coverage: happy path, boundary, error handling.</w:t>
      </w:r>
    </w:p>
    <w:p>
      <w:pPr>
        <w:pStyle w:val="BodyText"/>
      </w:pPr>
      <w:r>
        <w:rPr>
          <w:b/>
          <w:bCs/>
        </w:rPr>
        <w:t xml:space="preserve">Integration:</w:t>
      </w:r>
      <w:r>
        <w:t xml:space="preserve"> </w:t>
      </w:r>
      <w:r>
        <w:t xml:space="preserve">End-to-end workflows. Core banking integration. Loan origination integration. Report generation with live-like data.</w:t>
      </w:r>
    </w:p>
    <w:p>
      <w:pPr>
        <w:pStyle w:val="BodyText"/>
      </w:pPr>
      <w:r>
        <w:rPr>
          <w:b/>
          <w:bCs/>
        </w:rPr>
        <w:t xml:space="preserve">Performance:</w:t>
      </w:r>
      <w:r>
        <w:t xml:space="preserve"> </w:t>
      </w:r>
      <w:r>
        <w:t xml:space="preserve">Load test 100 users. Stress test to failure point. Soak test (sustained load). Batch job timing.</w:t>
      </w:r>
    </w:p>
    <w:p>
      <w:pPr>
        <w:pStyle w:val="BodyText"/>
      </w:pPr>
      <w:r>
        <w:rPr>
          <w:b/>
          <w:bCs/>
        </w:rPr>
        <w:t xml:space="preserve">Security:</w:t>
      </w:r>
      <w:r>
        <w:t xml:space="preserve"> </w:t>
      </w:r>
      <w:r>
        <w:t xml:space="preserve">Authentication bypass attempts. Authorization (access to others' data). Session handling. Input validation (SQL injection, XSS).</w:t>
      </w:r>
    </w:p>
    <w:p>
      <w:pPr>
        <w:pStyle w:val="BodyText"/>
      </w:pPr>
      <w:r>
        <w:rPr>
          <w:b/>
          <w:bCs/>
        </w:rPr>
        <w:t xml:space="preserve">Usability:</w:t>
      </w:r>
      <w:r>
        <w:t xml:space="preserve"> </w:t>
      </w:r>
      <w:r>
        <w:t xml:space="preserve">Navigation. Error messages. Accessibility (basic WCAG).</w:t>
      </w:r>
    </w:p>
    <w:p>
      <w:pPr>
        <w:pStyle w:val="BodyText"/>
      </w:pPr>
      <w:r>
        <w:t xml:space="preserve">The Client shall approve UAT test cases before execution. Defects shall be logged in shared tracker. Retest after fix.</w:t>
      </w:r>
    </w:p>
    <w:bookmarkEnd w:id="144"/>
    <w:bookmarkStart w:id="145" w:name="X23117d28336a1425d1726464d347e6308f4f164"/>
    <w:p>
      <w:pPr>
        <w:pStyle w:val="Heading2"/>
      </w:pPr>
      <w:r>
        <w:t xml:space="preserve">ANNEXURE XXXIX — OPEN SOURCE LICENCE COMPLIANCE</w:t>
      </w:r>
    </w:p>
    <w:p>
      <w:pPr>
        <w:pStyle w:val="FirstParagraph"/>
      </w:pPr>
      <w:r>
        <w:t xml:space="preserve">The Developer shall maintain a Software Bill of Materials (SBOM) listing all OSS components, version, and licence. No GPL, AGPL, or LGPL in the critical path without prior written consent. Permitted licences: MIT, Apache 2.0, BSD, PostgreSQL License. The Developer shall run licence scanning (e.g., FOSSA, WhiteSource) and remediate before delivery. The Client may conduct its own scan. Disputed components: Parties shall discuss; if no resolution, the Developer shall replace with permissible alternative.</w:t>
      </w:r>
    </w:p>
    <w:bookmarkEnd w:id="145"/>
    <w:bookmarkStart w:id="146" w:name="Xdbabc0497224cf7cefb4c6f74d0f30b341f21d0"/>
    <w:p>
      <w:pPr>
        <w:pStyle w:val="Heading2"/>
      </w:pPr>
      <w:r>
        <w:t xml:space="preserve">ANNEXURE XL — SUPPORT CHANNELS AND ESCALATION</w:t>
      </w:r>
    </w:p>
    <w:p>
      <w:pPr>
        <w:pStyle w:val="FirstParagraph"/>
      </w:pPr>
      <w:r>
        <w:rPr>
          <w:b/>
          <w:bCs/>
        </w:rPr>
        <w:t xml:space="preserve">Warranty Period Support:</w:t>
      </w:r>
      <w:r>
        <w:t xml:space="preserve"> </w:t>
      </w:r>
      <w:r>
        <w:t xml:space="preserve">Email: support@codecraft.in. Ticket system: [URL]. Response SLA: Critical – 4 hrs; High – 8 hrs; Medium – 24 hrs; Low – 48 hrs. Resolution target: Critical – 2 days; High – 5 days; Medium – 15 days. Business hours: 9 AM–6 PM IST, Mon–Fri (Karnataka, Haryana holidays excluded).</w:t>
      </w:r>
    </w:p>
    <w:p>
      <w:pPr>
        <w:pStyle w:val="BodyText"/>
      </w:pPr>
      <w:r>
        <w:rPr>
          <w:b/>
          <w:bCs/>
        </w:rPr>
        <w:t xml:space="preserve">Escalation:</w:t>
      </w:r>
      <w:r>
        <w:t xml:space="preserve"> </w:t>
      </w:r>
      <w:r>
        <w:t xml:space="preserve">If response SLA missed, Client may escalate to Project Manager. If resolution target missed, escalate to steering committee. Critical defect blocking production: immediate escalation to both Project Managers and CTO/Partner level.</w:t>
      </w:r>
    </w:p>
    <w:p>
      <w:pPr>
        <w:pStyle w:val="BodyText"/>
      </w:pPr>
      <w:r>
        <w:rPr>
          <w:b/>
          <w:bCs/>
        </w:rPr>
        <w:t xml:space="preserve">Post-Warranty:</w:t>
      </w:r>
      <w:r>
        <w:t xml:space="preserve"> </w:t>
      </w:r>
      <w:r>
        <w:t xml:space="preserve">Support beyond Warranty Period to be under separate agreement. The Developer shall provide quote for annual maintenance (AMC) at least 60 days before Warranty expiry.</w:t>
      </w:r>
    </w:p>
    <w:bookmarkEnd w:id="146"/>
    <w:bookmarkStart w:id="147" w:name="Xb1286fd999157207fc24347fc64045233fe608a"/>
    <w:p>
      <w:pPr>
        <w:pStyle w:val="Heading2"/>
      </w:pPr>
      <w:r>
        <w:t xml:space="preserve">ANNEXURE XLI — ENVIRONMENT SPECIFICATION (CLIENT)</w:t>
      </w:r>
    </w:p>
    <w:p>
      <w:pPr>
        <w:pStyle w:val="FirstParagraph"/>
      </w:pPr>
      <w:r>
        <w:rPr>
          <w:b/>
          <w:bCs/>
        </w:rPr>
        <w:t xml:space="preserve">Hardware (minimum):</w:t>
      </w:r>
      <w:r>
        <w:t xml:space="preserve"> </w:t>
      </w:r>
      <w:r>
        <w:t xml:space="preserve">App server: 4 vCPU, 16 GB RAM; DB server: 4 vCPU, 32 GB RAM; Storage: 200 GB SSD.</w:t>
      </w:r>
      <w:r>
        <w:t xml:space="preserve"> </w:t>
      </w:r>
      <w:r>
        <w:rPr>
          <w:b/>
          <w:bCs/>
        </w:rPr>
        <w:t xml:space="preserve">Software:</w:t>
      </w:r>
      <w:r>
        <w:t xml:space="preserve"> </w:t>
      </w:r>
      <w:r>
        <w:t xml:space="preserve">OS: RHEL 8 / CentOS 8 / Ubuntu 20.04 LTS; Java 17; PostgreSQL 14+; Redis 7+; Web server (nginx/Apache) for reverse proxy.</w:t>
      </w:r>
      <w:r>
        <w:t xml:space="preserve"> </w:t>
      </w:r>
      <w:r>
        <w:rPr>
          <w:b/>
          <w:bCs/>
        </w:rPr>
        <w:t xml:space="preserve">Network:</w:t>
      </w:r>
      <w:r>
        <w:t xml:space="preserve"> </w:t>
      </w:r>
      <w:r>
        <w:t xml:space="preserve">HTTPS; firewall rules for Developer IPs during development; VPN for production access.</w:t>
      </w:r>
      <w:r>
        <w:t xml:space="preserve"> </w:t>
      </w:r>
      <w:r>
        <w:rPr>
          <w:b/>
          <w:bCs/>
        </w:rPr>
        <w:t xml:space="preserve">Backup:</w:t>
      </w:r>
      <w:r>
        <w:t xml:space="preserve"> </w:t>
      </w:r>
      <w:r>
        <w:t xml:space="preserve">Daily incremental; weekly full; offsite copy. The Client shall provide this or equivalent. Cloud deployment (AWS/Azure/GCP) acceptable with equivalent specs.</w:t>
      </w:r>
    </w:p>
    <w:bookmarkEnd w:id="147"/>
    <w:bookmarkStart w:id="148" w:name="X39a8bf17dccdbe6b5135a5d26a54c43133a4a2b"/>
    <w:p>
      <w:pPr>
        <w:pStyle w:val="Heading2"/>
      </w:pPr>
      <w:r>
        <w:t xml:space="preserve">ANNEXURE XLII — INTELLECTUAL PROPERTY (DETAILED)</w:t>
      </w:r>
    </w:p>
    <w:p>
      <w:pPr>
        <w:pStyle w:val="FirstParagraph"/>
      </w:pPr>
      <w:r>
        <w:rPr>
          <w:b/>
          <w:bCs/>
        </w:rPr>
        <w:t xml:space="preserve">Work Product:</w:t>
      </w:r>
      <w:r>
        <w:t xml:space="preserve"> </w:t>
      </w:r>
      <w:r>
        <w:t xml:space="preserve">All Deliverables are "works made for hire" or assigned per Article 7. The Developer assigns present and future copyright. The Client may register copyright at its cost. The Developer shall sign further documents to perfect title.</w:t>
      </w:r>
    </w:p>
    <w:p>
      <w:pPr>
        <w:pStyle w:val="BodyText"/>
      </w:pPr>
      <w:r>
        <w:rPr>
          <w:b/>
          <w:bCs/>
        </w:rPr>
        <w:t xml:space="preserve">Background IP:</w:t>
      </w:r>
      <w:r>
        <w:t xml:space="preserve"> </w:t>
      </w:r>
      <w:r>
        <w:t xml:space="preserve">Developer's pre-existing tools, frameworks, methodologies remain Developer's. If incorporated with consent, Developer grants perpetual, royalty-free, irrevocable licence to use as part of the System. Client's pre-existing systems and data remain Client's.</w:t>
      </w:r>
    </w:p>
    <w:p>
      <w:pPr>
        <w:pStyle w:val="BodyText"/>
      </w:pPr>
      <w:r>
        <w:rPr>
          <w:b/>
          <w:bCs/>
        </w:rPr>
        <w:t xml:space="preserve">Third-Party IP:</w:t>
      </w:r>
      <w:r>
        <w:t xml:space="preserve"> </w:t>
      </w:r>
      <w:r>
        <w:t xml:space="preserve">OSS and commercial components. The Developer shall ensure Client has necessary rights (via OSS licence or sublicence). The Developer warrants no copyleft in critical path.</w:t>
      </w:r>
    </w:p>
    <w:p>
      <w:pPr>
        <w:pStyle w:val="BodyText"/>
      </w:pPr>
      <w:r>
        <w:rPr>
          <w:b/>
          <w:bCs/>
        </w:rPr>
        <w:t xml:space="preserve">Moral Rights:</w:t>
      </w:r>
      <w:r>
        <w:t xml:space="preserve"> </w:t>
      </w:r>
      <w:r>
        <w:t xml:space="preserve">Developer waives moral rights to fullest extent. Where waiver not permitted, Developer consents to modification without attribution.</w:t>
      </w:r>
    </w:p>
    <w:bookmarkEnd w:id="148"/>
    <w:bookmarkStart w:id="149" w:name="annexure-xliii-force-majeure-expanded"/>
    <w:p>
      <w:pPr>
        <w:pStyle w:val="Heading2"/>
      </w:pPr>
      <w:r>
        <w:t xml:space="preserve">ANNEXURE XLIII — FORCE MAJEURE (EXPANDED)</w:t>
      </w:r>
    </w:p>
    <w:p>
      <w:pPr>
        <w:pStyle w:val="FirstParagraph"/>
      </w:pPr>
      <w:r>
        <w:t xml:space="preserve">In addition to Article 15: Force Majeure includes (a) natural disaster (earthquake, flood, cyclone); (b) pandemic, epidemic, quarantine; (c) war, terrorism, civil unrest; (d) government order (lockdown, embargo, internet shutdown); (e) strike, labour dispute at Developer's or Client's premises; (f) failure of third-party infrastructure (power, telecom, cloud) beyond reasonable control; (g) cyberattack (ransomware, DDoS) affecting Developer's development environment. The affected Party shall notify within 5 days. Mitigation: alternate work location, work-from-home, extend timeline. If Force Majeure continues 60 days, either may terminate. The Client shall pay for work completed and work-in-progress (evidenced by timesheets/git history).</w:t>
      </w:r>
    </w:p>
    <w:bookmarkEnd w:id="149"/>
    <w:bookmarkStart w:id="150" w:name="X6aa1e197d4b88a96b969e73c0b2a8c6c0edd4de"/>
    <w:p>
      <w:pPr>
        <w:pStyle w:val="Heading2"/>
      </w:pPr>
      <w:r>
        <w:t xml:space="preserve">ANNEXURE XLIV — ANTI-BRIBERY AND COMPLIANCE</w:t>
      </w:r>
    </w:p>
    <w:p>
      <w:pPr>
        <w:pStyle w:val="FirstParagraph"/>
      </w:pPr>
      <w:r>
        <w:t xml:space="preserve">Each Party shall comply with the Prevention of Corruption Act, 1988, PMLA, and applicable anti-bribery laws. Neither Party shall offer or accept bribes, kickbacks, or undue advantage. The Developer shall not make payments to government officials or Client personnel for improper purpose. The Developer shall maintain books and records accurately. Breach constitutes material breach. Each Party shall ensure its personnel and contractors comply. The Client may conduct compliance audit upon reasonable notice.</w:t>
      </w:r>
    </w:p>
    <w:bookmarkEnd w:id="150"/>
    <w:bookmarkStart w:id="151" w:name="annexure-xlv-insurance-expanded"/>
    <w:p>
      <w:pPr>
        <w:pStyle w:val="Heading2"/>
      </w:pPr>
      <w:r>
        <w:t xml:space="preserve">ANNEXURE XLV — INSURANCE (EXPANDED)</w:t>
      </w:r>
    </w:p>
    <w:p>
      <w:pPr>
        <w:pStyle w:val="FirstParagraph"/>
      </w:pPr>
      <w:r>
        <w:t xml:space="preserve">The Developer shall maintain: (a) Professional Indemnity: ₹1,00,00,000 minimum; (b) Cyber Liability: ₹50,00,000 minimum; (c) General Liability: standard. Policies to cover the Project. Certificate upon request. 30 days' notice of cancellation or material change. The Client may require the Developer to add the Client as additional insured for relevant policies. The Developer shall procure from subcontractors equivalent coverage if they perform material work.</w:t>
      </w:r>
    </w:p>
    <w:bookmarkEnd w:id="151"/>
    <w:bookmarkStart w:id="152" w:name="annexure-xlvi-testing-methodology"/>
    <w:p>
      <w:pPr>
        <w:pStyle w:val="Heading2"/>
      </w:pPr>
      <w:r>
        <w:t xml:space="preserve">ANNEXURE XLVI — TESTING METHODOLOGY</w:t>
      </w:r>
    </w:p>
    <w:p>
      <w:pPr>
        <w:pStyle w:val="FirstParagraph"/>
      </w:pPr>
      <w:r>
        <w:rPr>
          <w:b/>
          <w:bCs/>
        </w:rPr>
        <w:t xml:space="preserve">Unit Testing:</w:t>
      </w:r>
      <w:r>
        <w:t xml:space="preserve"> </w:t>
      </w:r>
      <w:r>
        <w:t xml:space="preserve">Developer to write JUnit (or equivalent) tests for business logic. Target coverage 80%. Tests run in CI pipeline. Failed tests block merge.</w:t>
      </w:r>
      <w:r>
        <w:t xml:space="preserve"> </w:t>
      </w:r>
      <w:r>
        <w:rPr>
          <w:b/>
          <w:bCs/>
        </w:rPr>
        <w:t xml:space="preserve">Integration Testing:</w:t>
      </w:r>
      <w:r>
        <w:t xml:space="preserve"> </w:t>
      </w:r>
      <w:r>
        <w:t xml:space="preserve">API tests; database integration; external system mocks.</w:t>
      </w:r>
      <w:r>
        <w:t xml:space="preserve"> </w:t>
      </w:r>
      <w:r>
        <w:rPr>
          <w:b/>
          <w:bCs/>
        </w:rPr>
        <w:t xml:space="preserve">UAT:</w:t>
      </w:r>
      <w:r>
        <w:t xml:space="preserve"> </w:t>
      </w:r>
      <w:r>
        <w:t xml:space="preserve">Client conducts with Consultant support. Test cases agreed before Phase 3.</w:t>
      </w:r>
      <w:r>
        <w:t xml:space="preserve"> </w:t>
      </w:r>
      <w:r>
        <w:rPr>
          <w:b/>
          <w:bCs/>
        </w:rPr>
        <w:t xml:space="preserve">Performance:</w:t>
      </w:r>
      <w:r>
        <w:t xml:space="preserve"> </w:t>
      </w:r>
      <w:r>
        <w:t xml:space="preserve">JMeter or equivalent; 100 concurrent users; response &lt; 2 sec.</w:t>
      </w:r>
      <w:r>
        <w:t xml:space="preserve"> </w:t>
      </w:r>
      <w:r>
        <w:rPr>
          <w:b/>
          <w:bCs/>
        </w:rPr>
        <w:t xml:space="preserve">Security:</w:t>
      </w:r>
      <w:r>
        <w:t xml:space="preserve"> </w:t>
      </w:r>
      <w:r>
        <w:t xml:space="preserve">SAST, DAST, dependency scan. Penetration test by third party.</w:t>
      </w:r>
    </w:p>
    <w:bookmarkEnd w:id="152"/>
    <w:bookmarkStart w:id="153" w:name="annexure-xlvii-project-phases-detailed"/>
    <w:p>
      <w:pPr>
        <w:pStyle w:val="Heading2"/>
      </w:pPr>
      <w:r>
        <w:t xml:space="preserve">ANNEXURE XLVII — PROJECT PHASES (DETAILED)</w:t>
      </w:r>
    </w:p>
    <w:p>
      <w:pPr>
        <w:pStyle w:val="FirstParagraph"/>
      </w:pPr>
      <w:r>
        <w:rPr>
          <w:b/>
          <w:bCs/>
        </w:rPr>
        <w:t xml:space="preserve">Phase 1:</w:t>
      </w:r>
      <w:r>
        <w:t xml:space="preserve"> </w:t>
      </w:r>
      <w:r>
        <w:t xml:space="preserve">Technical Architecture; Data Flow Diagrams; ERD; API Spec; Security Design; Database Schema; Project Plan; Risk Register; Regulatory Mapping.</w:t>
      </w:r>
      <w:r>
        <w:t xml:space="preserve"> </w:t>
      </w:r>
      <w:r>
        <w:rPr>
          <w:b/>
          <w:bCs/>
        </w:rPr>
        <w:t xml:space="preserve">Phase 2:</w:t>
      </w:r>
      <w:r>
        <w:t xml:space="preserve"> </w:t>
      </w:r>
      <w:r>
        <w:t xml:space="preserve">Source code; Unit tests; Developer docs; Deployment runbook. Weekly demos.</w:t>
      </w:r>
      <w:r>
        <w:t xml:space="preserve"> </w:t>
      </w:r>
      <w:r>
        <w:rPr>
          <w:b/>
          <w:bCs/>
        </w:rPr>
        <w:t xml:space="preserve">Phase 3:</w:t>
      </w:r>
      <w:r>
        <w:t xml:space="preserve"> </w:t>
      </w:r>
      <w:r>
        <w:t xml:space="preserve">Integration test; UAT support; Performance report; Security report; User manual; Admin guide; Production deployment; Training.</w:t>
      </w:r>
    </w:p>
    <w:bookmarkEnd w:id="153"/>
    <w:bookmarkStart w:id="154" w:name="annexure-xlviii-data-migration"/>
    <w:p>
      <w:pPr>
        <w:pStyle w:val="Heading2"/>
      </w:pPr>
      <w:r>
        <w:t xml:space="preserve">ANNEXURE XLVIII — DATA MIGRATION</w:t>
      </w:r>
    </w:p>
    <w:p>
      <w:pPr>
        <w:pStyle w:val="FirstParagraph"/>
      </w:pPr>
      <w:r>
        <w:t xml:space="preserve">If scope includes migration: (a) defined in Phase 1; (b) Client provides data extract; (c) Developer develops scripts; (d) staging run; (e) validation; (f) production window. Additional fees per Change Request.</w:t>
      </w:r>
    </w:p>
    <w:bookmarkEnd w:id="154"/>
    <w:bookmarkStart w:id="155" w:name="annexure-xlix-third-party-licences"/>
    <w:p>
      <w:pPr>
        <w:pStyle w:val="Heading2"/>
      </w:pPr>
      <w:r>
        <w:t xml:space="preserve">ANNEXURE XLIX — THIRD-PARTY LICENCES</w:t>
      </w:r>
    </w:p>
    <w:p>
      <w:pPr>
        <w:pStyle w:val="FirstParagraph"/>
      </w:pPr>
      <w:r>
        <w:t xml:space="preserve">No commercial software without consent. OSS per Annexure 39. Full dependency list in Phase 1. Client may object; Developer proposes alternative. Licence compliance: Developer's responsibility.</w:t>
      </w:r>
    </w:p>
    <w:bookmarkEnd w:id="155"/>
    <w:bookmarkStart w:id="156" w:name="annexure-l-acceptance-sign-off"/>
    <w:p>
      <w:pPr>
        <w:pStyle w:val="Heading2"/>
      </w:pPr>
      <w:r>
        <w:t xml:space="preserve">ANNEXURE L — ACCEPTANCE SIGN-OFF</w:t>
      </w:r>
    </w:p>
    <w:p>
      <w:pPr>
        <w:pStyle w:val="FirstParagraph"/>
      </w:pPr>
      <w:r>
        <w:t xml:space="preserve">"The Client accepts the [Phase] Deliverables as substantially conforming to Specifications. No critical defects; high defects with workaround. Date: __________. Signed: __________."</w:t>
      </w:r>
    </w:p>
    <w:bookmarkEnd w:id="156"/>
    <w:bookmarkStart w:id="157" w:name="annexure-li-confidentiality-expanded"/>
    <w:p>
      <w:pPr>
        <w:pStyle w:val="Heading2"/>
      </w:pPr>
      <w:r>
        <w:t xml:space="preserve">ANNEXURE LI — CONFIDENTIALITY (EXPANDED)</w:t>
      </w:r>
    </w:p>
    <w:p>
      <w:pPr>
        <w:pStyle w:val="FirstParagraph"/>
      </w:pPr>
      <w:r>
        <w:t xml:space="preserve">Each Party protects the other's Confidential Information. Survives 5 years (trade secrets indefinitely). Return/destroy on termination. Compelled disclosure: notify; cooperate; disclose only what is required. Personnel and contractors bound. Injunctive relief available.</w:t>
      </w:r>
    </w:p>
    <w:bookmarkEnd w:id="157"/>
    <w:bookmarkStart w:id="158" w:name="annexure-lii-scope-exclusions"/>
    <w:p>
      <w:pPr>
        <w:pStyle w:val="Heading2"/>
      </w:pPr>
      <w:r>
        <w:t xml:space="preserve">ANNEXURE LII — SCOPE EXCLUSIONS</w:t>
      </w:r>
    </w:p>
    <w:p>
      <w:pPr>
        <w:pStyle w:val="FirstParagraph"/>
      </w:pPr>
      <w:r>
        <w:t xml:space="preserve">Excluded unless Change Request: Hardware; third-party licence fees; data migration (unless in Schedule A); training beyond scope; post-warranty support; jurisdictions outside India; systems not in design; reports beyond Schedule A; regulatory filings; legal advice; future regulatory changes.</w:t>
      </w:r>
    </w:p>
    <w:bookmarkEnd w:id="158"/>
    <w:bookmarkStart w:id="159" w:name="annexure-liii-steering-committee"/>
    <w:p>
      <w:pPr>
        <w:pStyle w:val="Heading2"/>
      </w:pPr>
      <w:r>
        <w:t xml:space="preserve">ANNEXURE LIII — STEERING COMMITTEE</w:t>
      </w:r>
    </w:p>
    <w:p>
      <w:pPr>
        <w:pStyle w:val="FirstParagraph"/>
      </w:pPr>
      <w:r>
        <w:t xml:space="preserve">2 from each Party. Monthly meetings. Agenda 3 days ahead. Minutes within 5 days. Authority: escalations; Change Requests; key personnel; timeline extension. Consensus. Deadlock: escalate to CEO/Partner.</w:t>
      </w:r>
    </w:p>
    <w:bookmarkEnd w:id="159"/>
    <w:bookmarkStart w:id="160" w:name="annexure-liv-code-quality"/>
    <w:p>
      <w:pPr>
        <w:pStyle w:val="Heading2"/>
      </w:pPr>
      <w:r>
        <w:t xml:space="preserve">ANNEXURE LIV — CODE QUALITY</w:t>
      </w:r>
    </w:p>
    <w:p>
      <w:pPr>
        <w:pStyle w:val="FirstParagraph"/>
      </w:pPr>
      <w:r>
        <w:t xml:space="preserve">Naming conventions; inline comments; no hard-coded credentials; error handling; logging; input validation; SQL parameterisation; resource cleanup. Code review. SonarQube or equivalent.</w:t>
      </w:r>
    </w:p>
    <w:bookmarkEnd w:id="160"/>
    <w:bookmarkStart w:id="161" w:name="annexure-lv-backup-and-recovery"/>
    <w:p>
      <w:pPr>
        <w:pStyle w:val="Heading2"/>
      </w:pPr>
      <w:r>
        <w:t xml:space="preserve">ANNEXURE LV — BACKUP AND RECOVERY</w:t>
      </w:r>
    </w:p>
    <w:p>
      <w:pPr>
        <w:pStyle w:val="FirstParagraph"/>
      </w:pPr>
      <w:r>
        <w:t xml:space="preserve">Design supports: daily incremental; weekly full; 30-day retention; RTO 4 hrs, RPO 1 hr. Document procedures. Client responsible for execution. No production data in dev/test.</w:t>
      </w:r>
    </w:p>
    <w:bookmarkEnd w:id="161"/>
    <w:bookmarkStart w:id="162" w:name="Xc91645ab857550fd412eed82927b5a8d0d53d9d"/>
    <w:p>
      <w:pPr>
        <w:pStyle w:val="Heading2"/>
      </w:pPr>
      <w:r>
        <w:t xml:space="preserve">ANNEXURE LVI — RBI DIGITAL LENDING MODULE REQUIREMENTS</w:t>
      </w:r>
    </w:p>
    <w:p>
      <w:pPr>
        <w:pStyle w:val="FirstParagraph"/>
      </w:pPr>
      <w:r>
        <w:t xml:space="preserve">The System shall support compliance with RBI Guidelines on Digital Lending (2 September 2022): (a) Disclosure of all-in cost (APR) to borrower; (b) Cooling-off period and right to exit; (c) Flow of funds directly from lender to borrower (no passthrough via LSP except as permitted); (d) Grievance redressal mechanism; (e) Data storage with regulated entity; (f) Restriction on access to mobile device. The Technical Design Document shall map each requirement to functionality. The Client shall obtain legal/compliance sign-off on implementation.</w:t>
      </w:r>
    </w:p>
    <w:bookmarkEnd w:id="162"/>
    <w:bookmarkStart w:id="163" w:name="annexure-lvii-pmla-and-kyc-requirements"/>
    <w:p>
      <w:pPr>
        <w:pStyle w:val="Heading2"/>
      </w:pPr>
      <w:r>
        <w:t xml:space="preserve">ANNEXURE LVII — PMLA AND KYC REQUIREMENTS</w:t>
      </w:r>
    </w:p>
    <w:p>
      <w:pPr>
        <w:pStyle w:val="FirstParagraph"/>
      </w:pPr>
      <w:r>
        <w:t xml:space="preserve">The CDD module shall support: (a) Customer identification (Aadhaar, PAN, OVD as per RBI); (b) Risk categorisation (low/medium/high); (c) Enhanced due diligence for high-risk; (d) Ongoing monitoring; (e) Record retention 7 years; (f) STR/SAR alerting (reporting by Client). Integration with Client's KYC provider. Screening against sanctions lists (OFAC, UN, local). Audit trail for all CDD actions.</w:t>
      </w:r>
    </w:p>
    <w:bookmarkEnd w:id="163"/>
    <w:bookmarkStart w:id="164" w:name="X312988cde061223b22045fff47d35a630b1bd46"/>
    <w:p>
      <w:pPr>
        <w:pStyle w:val="Heading2"/>
      </w:pPr>
      <w:r>
        <w:t xml:space="preserve">ANNEXURE LVIII — REPORTING TEMPLATES (REGULATORY)</w:t>
      </w:r>
    </w:p>
    <w:p>
      <w:pPr>
        <w:pStyle w:val="FirstParagraph"/>
      </w:pPr>
      <w:r>
        <w:t xml:space="preserve">The System shall generate or support generation of: (a) RBI returns (as applicable to NBFC/digital lender); (b) SEBI disclosures (if listed); (c) Internal management reports; (d) Audit committee reports; (e) Compliance dashboards. Export: PDF, Excel, XML. Scheduled and ad-hoc. Version control for regulatory changes.</w:t>
      </w:r>
    </w:p>
    <w:bookmarkEnd w:id="164"/>
    <w:bookmarkStart w:id="165" w:name="X7308d5b5269b1d51453ede6b48f60e9fc79e314"/>
    <w:p>
      <w:pPr>
        <w:pStyle w:val="Heading2"/>
      </w:pPr>
      <w:r>
        <w:t xml:space="preserve">ANNEXURE LIX — DEVELOPER'S MONTHLY STATUS REPORT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Executive Summary</w:t>
            </w:r>
          </w:p>
        </w:tc>
        <w:tc>
          <w:tcPr/>
          <w:p>
            <w:pPr>
              <w:pStyle w:val="Compact"/>
            </w:pPr>
            <w:r>
              <w:t xml:space="preserve">Progress; key achievements; risks</w:t>
            </w:r>
          </w:p>
        </w:tc>
      </w:tr>
      <w:tr>
        <w:tc>
          <w:tcPr/>
          <w:p>
            <w:pPr>
              <w:pStyle w:val="Compact"/>
            </w:pPr>
            <w:r>
              <w:t xml:space="preserve">Phase Progress</w:t>
            </w:r>
          </w:p>
        </w:tc>
        <w:tc>
          <w:tcPr/>
          <w:p>
            <w:pPr>
              <w:pStyle w:val="Compact"/>
            </w:pPr>
            <w:r>
              <w:t xml:space="preserve">Deliverables completed; in progress; % complete</w:t>
            </w:r>
          </w:p>
        </w:tc>
      </w:tr>
      <w:tr>
        <w:tc>
          <w:tcPr/>
          <w:p>
            <w:pPr>
              <w:pStyle w:val="Compact"/>
            </w:pPr>
            <w:r>
              <w:t xml:space="preserve">Timeline</w:t>
            </w:r>
          </w:p>
        </w:tc>
        <w:tc>
          <w:tcPr/>
          <w:p>
            <w:pPr>
              <w:pStyle w:val="Compact"/>
            </w:pPr>
            <w:r>
              <w:t xml:space="preserve">On track / delay; revised dates if any</w:t>
            </w:r>
          </w:p>
        </w:tc>
      </w:tr>
      <w:tr>
        <w:tc>
          <w:tcPr/>
          <w:p>
            <w:pPr>
              <w:pStyle w:val="Compact"/>
            </w:pPr>
            <w:r>
              <w:t xml:space="preserve">Risks and Issues</w:t>
            </w:r>
          </w:p>
        </w:tc>
        <w:tc>
          <w:tcPr/>
          <w:p>
            <w:pPr>
              <w:pStyle w:val="Compact"/>
            </w:pPr>
            <w:r>
              <w:t xml:space="preserve">Description; impact; mitigation; owner</w:t>
            </w:r>
          </w:p>
        </w:tc>
      </w:tr>
      <w:tr>
        <w:tc>
          <w:tcPr/>
          <w:p>
            <w:pPr>
              <w:pStyle w:val="Compact"/>
            </w:pPr>
            <w:r>
              <w:t xml:space="preserve">Dependencies</w:t>
            </w:r>
          </w:p>
        </w:tc>
        <w:tc>
          <w:tcPr/>
          <w:p>
            <w:pPr>
              <w:pStyle w:val="Compact"/>
            </w:pPr>
            <w:r>
              <w:t xml:space="preserve">On Client; on third parties; blockers</w:t>
            </w:r>
          </w:p>
        </w:tc>
      </w:tr>
      <w:tr>
        <w:tc>
          <w:tcPr/>
          <w:p>
            <w:pPr>
              <w:pStyle w:val="Compact"/>
            </w:pPr>
            <w:r>
              <w:t xml:space="preserve">Change Requests</w:t>
            </w:r>
          </w:p>
        </w:tc>
        <w:tc>
          <w:tcPr/>
          <w:p>
            <w:pPr>
              <w:pStyle w:val="Compact"/>
            </w:pPr>
            <w:r>
              <w:t xml:space="preserve">Pending; approved; rejected</w:t>
            </w:r>
          </w:p>
        </w:tc>
      </w:tr>
      <w:tr>
        <w:tc>
          <w:tcPr/>
          <w:p>
            <w:pPr>
              <w:pStyle w:val="Compact"/>
            </w:pPr>
            <w:r>
              <w:t xml:space="preserve">Budget</w:t>
            </w:r>
          </w:p>
        </w:tc>
        <w:tc>
          <w:tcPr/>
          <w:p>
            <w:pPr>
              <w:pStyle w:val="Compact"/>
            </w:pPr>
            <w:r>
              <w:t xml:space="preserve">Spent vs planned; forecast</w:t>
            </w:r>
          </w:p>
        </w:tc>
      </w:tr>
      <w:tr>
        <w:tc>
          <w:tcPr/>
          <w:p>
            <w:pPr>
              <w:pStyle w:val="Compact"/>
            </w:pPr>
            <w:r>
              <w:t xml:space="preserve">Next Month</w:t>
            </w:r>
          </w:p>
        </w:tc>
        <w:tc>
          <w:tcPr/>
          <w:p>
            <w:pPr>
              <w:pStyle w:val="Compact"/>
            </w:pPr>
            <w:r>
              <w:t xml:space="preserve">Planned activities; milestones</w:t>
            </w:r>
          </w:p>
        </w:tc>
      </w:tr>
    </w:tbl>
    <w:bookmarkEnd w:id="165"/>
    <w:bookmarkStart w:id="166" w:name="annexure-lx-warranty-defect-process"/>
    <w:p>
      <w:pPr>
        <w:pStyle w:val="Heading2"/>
      </w:pPr>
      <w:r>
        <w:t xml:space="preserve">ANNEXURE LX — WARRANTY DEFECT PROCESS</w:t>
      </w:r>
    </w:p>
    <w:p>
      <w:pPr>
        <w:pStyle w:val="FirstParagraph"/>
      </w:pPr>
      <w:r>
        <w:t xml:space="preserve">Client reports defect (email/ticket). Developer acknowledges per SLA. Developer investigates. If defect: Developer provides fix or workaround. Client verifies. Closure. If not defect: Developer explains; Client may escalate. Disputes: steering committee. For critical defects blocking production: expedited process; daily updates until resolved.</w:t>
      </w:r>
    </w:p>
    <w:bookmarkEnd w:id="166"/>
    <w:bookmarkStart w:id="167" w:name="X69d081d290993a958bf148b7c89dddc33025d85"/>
    <w:p>
      <w:pPr>
        <w:pStyle w:val="Heading2"/>
      </w:pPr>
      <w:r>
        <w:t xml:space="preserve">ANNEXURE LXI — API INTEGRATION SPECIFICATION</w:t>
      </w:r>
    </w:p>
    <w:p>
      <w:pPr>
        <w:pStyle w:val="FirstParagraph"/>
      </w:pPr>
      <w:r>
        <w:t xml:space="preserve">All integrations shall use REST APIs. Authentication: OAuth 2.0 or API key as agreed. Data format: JSON. Versioning: /v1/ prefix. Rate limits: as documented. Error codes: HTTP standard; application-specific in response body. The Client shall provide staging endpoints. The Developer shall document all APIs in OpenAPI 3.0. Backward compatibility: deprecated APIs supported for 12 months.</w:t>
      </w:r>
    </w:p>
    <w:bookmarkEnd w:id="167"/>
    <w:bookmarkStart w:id="168" w:name="annexure-lxii-database-design-principles"/>
    <w:p>
      <w:pPr>
        <w:pStyle w:val="Heading2"/>
      </w:pPr>
      <w:r>
        <w:t xml:space="preserve">ANNEXURE LXII — DATABASE DESIGN PRINCIPLES</w:t>
      </w:r>
    </w:p>
    <w:p>
      <w:pPr>
        <w:pStyle w:val="FirstParagraph"/>
      </w:pPr>
      <w:r>
        <w:t xml:space="preserve">Normalisation: 3NF for transactional data. Denormalisation where performance requires. Partitioning: audit logs by date. Indexing: on foreign keys, search fields. Naming: snake_case. Constraints: foreign key, check, not null. Migration: versioned scripts. Backup: Client responsibility. The Developer shall provide DDL and migration scripts.</w:t>
      </w:r>
    </w:p>
    <w:bookmarkEnd w:id="168"/>
    <w:bookmarkStart w:id="169" w:name="annexure-lxiii-frontend-requirements"/>
    <w:p>
      <w:pPr>
        <w:pStyle w:val="Heading2"/>
      </w:pPr>
      <w:r>
        <w:t xml:space="preserve">ANNEXURE LXIII — FRONTEND REQUIREMENTS</w:t>
      </w:r>
    </w:p>
    <w:p>
      <w:pPr>
        <w:pStyle w:val="FirstParagraph"/>
      </w:pPr>
      <w:r>
        <w:t xml:space="preserve">Framework: React 18. State: Redux or Context. Responsive: desktop and tablet. Browsers: Chrome, Firefox, Edge (latest 2 versions). Accessibility: WCAG 2.1 Level A. Internationalisation: ready for future (i18n). Build: production optimised. The Client shall approve UI mockups before development.</w:t>
      </w:r>
    </w:p>
    <w:bookmarkEnd w:id="169"/>
    <w:bookmarkStart w:id="170" w:name="annexure-lxiv-deployment-package"/>
    <w:p>
      <w:pPr>
        <w:pStyle w:val="Heading2"/>
      </w:pPr>
      <w:r>
        <w:t xml:space="preserve">ANNEXURE LXIV — DEPLOYMENT PACKAGE</w:t>
      </w:r>
    </w:p>
    <w:p>
      <w:pPr>
        <w:pStyle w:val="FirstParagraph"/>
      </w:pPr>
      <w:r>
        <w:t xml:space="preserve">Upon delivery: (a) WAR/JAR or container image; (b) Database migration scripts; (c) Configuration templates; (d) Deployment runbook; (e) Rollback procedure; (f) Health check endpoints; (g) Startup scripts. The Developer shall support first production deployment. Post-deployment: smoke test; monitoring verification.</w:t>
      </w:r>
    </w:p>
    <w:bookmarkEnd w:id="170"/>
    <w:bookmarkStart w:id="171" w:name="annexure-lxv-monitoring-and-logging"/>
    <w:p>
      <w:pPr>
        <w:pStyle w:val="Heading2"/>
      </w:pPr>
      <w:r>
        <w:t xml:space="preserve">ANNEXURE LXV — MONITORING AND LOGGING</w:t>
      </w:r>
    </w:p>
    <w:p>
      <w:pPr>
        <w:pStyle w:val="FirstParagraph"/>
      </w:pPr>
      <w:r>
        <w:t xml:space="preserve">The System shall expose: (a) Health endpoint (/health); (b) Metrics endpoint (Prometheus-compatible or similar); (c) Structured logs (JSON). The Client shall implement monitoring (alerting, dashboards). The Developer shall document log format and key metrics. Log levels: DEBUG, INFO, WARN, ERROR. Sensitive data shall not be logged.</w:t>
      </w:r>
    </w:p>
    <w:bookmarkEnd w:id="171"/>
    <w:bookmarkStart w:id="172" w:name="annexure-lxvi-documentation-standards"/>
    <w:p>
      <w:pPr>
        <w:pStyle w:val="Heading2"/>
      </w:pPr>
      <w:r>
        <w:t xml:space="preserve">ANNEXURE LXVI — DOCUMENTATION STANDARDS</w:t>
      </w:r>
    </w:p>
    <w:p>
      <w:pPr>
        <w:pStyle w:val="FirstParagraph"/>
      </w:pPr>
      <w:r>
        <w:t xml:space="preserve">User manual: step-by-step; screenshots; troubleshooting. Admin guide: configuration; user management; backup. API docs: OpenAPI; examples. Code: Javadoc for public APIs. Inline comments for complex logic. All in English. Delivered in Phase 3. Updates during warranty for material changes.</w:t>
      </w:r>
    </w:p>
    <w:bookmarkEnd w:id="172"/>
    <w:bookmarkStart w:id="173" w:name="X68c958508429f9b9c8b4fb46c8e0fd67ffe1a64"/>
    <w:p>
      <w:pPr>
        <w:pStyle w:val="Heading2"/>
      </w:pPr>
      <w:r>
        <w:t xml:space="preserve">ANNEXURE LXVII — ACCEPTANCE SIGN-OFF CRITERIA</w:t>
      </w:r>
    </w:p>
    <w:p>
      <w:pPr>
        <w:pStyle w:val="FirstParagraph"/>
      </w:pPr>
      <w:r>
        <w:t xml:space="preserve">Phase 1: Design documents complete and approved. Phase 2: Code complete; tests pass; no critical/high defects. Phase 3: UAT passed; performance met; security scan passed; docs delivered; training done; Go-Live successful. Formal sign-off in writing. Sign-off does not waive warranty.</w:t>
      </w:r>
    </w:p>
    <w:bookmarkEnd w:id="173"/>
    <w:bookmarkStart w:id="174" w:name="annexure-lxviii-knowledge-transfer"/>
    <w:p>
      <w:pPr>
        <w:pStyle w:val="Heading2"/>
      </w:pPr>
      <w:r>
        <w:t xml:space="preserve">ANNEXURE LXVIII — KNOWLEDGE TRANSFER</w:t>
      </w:r>
    </w:p>
    <w:p>
      <w:pPr>
        <w:pStyle w:val="FirstParagraph"/>
      </w:pPr>
      <w:r>
        <w:t xml:space="preserve">The Developer shall conduct: (a) Technical handover to Client IT; (b) Architecture walkthrough; (c) Code walkthrough (key modules); (d) Runbook review; (e) Q&amp;A session. Materials: architecture deck; runbook; contact list. The Client shall designate recipients. Handover before Warranty expiry. Additional sessions at ₹15,000/day.</w:t>
      </w:r>
    </w:p>
    <w:bookmarkEnd w:id="174"/>
    <w:bookmarkStart w:id="175" w:name="annexure-lxix-post-warranty-options"/>
    <w:p>
      <w:pPr>
        <w:pStyle w:val="Heading2"/>
      </w:pPr>
      <w:r>
        <w:t xml:space="preserve">ANNEXURE LXIX — POST-WARRANTY OPTIONS</w:t>
      </w:r>
    </w:p>
    <w:p>
      <w:pPr>
        <w:pStyle w:val="FirstParagraph"/>
      </w:pPr>
      <w:r>
        <w:t xml:space="preserve">Before Warranty expiry, the Developer shall offer: (a) Annual Maintenance Contract (AMC) for bug fixes and minor enhancements; (b) Support retainer; (c) Time-and-materials for custom work. The Client may engage another vendor. The Developer shall provide transition support per Annexure 32. Source code and docs transferred per Agreement.</w:t>
      </w:r>
    </w:p>
    <w:bookmarkEnd w:id="175"/>
    <w:bookmarkStart w:id="176" w:name="annexure-lxx-agreement-summary"/>
    <w:p>
      <w:pPr>
        <w:pStyle w:val="Heading2"/>
      </w:pPr>
      <w:r>
        <w:t xml:space="preserve">ANNEXURE LXX — AGREEMENT SUMMARY</w:t>
      </w:r>
    </w:p>
    <w:p>
      <w:pPr>
        <w:pStyle w:val="FirstParagraph"/>
      </w:pPr>
      <w:r>
        <w:t xml:space="preserve">Software Development for Banking Compliance Module. Value: ₹42 Lakh. Term: Phase 1–3 to 30 Jun 2025. Fees: 30-40-30. Warranty: 90 days. IP: Client. Confidentiality: mutual. Liability cap: 12 months' fees. Arbitration: Gurugram. Governing law: India.</w:t>
      </w:r>
    </w:p>
    <w:bookmarkEnd w:id="176"/>
    <w:bookmarkStart w:id="177" w:name="annexure-lxxi-requirements-traceability"/>
    <w:p>
      <w:pPr>
        <w:pStyle w:val="Heading2"/>
      </w:pPr>
      <w:r>
        <w:t xml:space="preserve">ANNEXURE LXXI — REQUIREMENTS TRACEABILITY</w:t>
      </w:r>
    </w:p>
    <w:p>
      <w:pPr>
        <w:pStyle w:val="FirstParagraph"/>
      </w:pPr>
      <w:r>
        <w:t xml:space="preserve">Each functional requirement in Schedule A shall be traceable to: (a) design element in Technical Design; (b) implementation (module/component); (c) test case. Traceability matrix to be maintained. Delivered with Phase 3. Enables impact analysis for changes.</w:t>
      </w:r>
    </w:p>
    <w:bookmarkEnd w:id="177"/>
    <w:bookmarkStart w:id="178" w:name="annexure-lxxii-release-management"/>
    <w:p>
      <w:pPr>
        <w:pStyle w:val="Heading2"/>
      </w:pPr>
      <w:r>
        <w:t xml:space="preserve">ANNEXURE LXXII — RELEASE MANAGEMENT</w:t>
      </w:r>
    </w:p>
    <w:p>
      <w:pPr>
        <w:pStyle w:val="FirstParagraph"/>
      </w:pPr>
      <w:r>
        <w:t xml:space="preserve">Releases during development: iterative. Phase 2: code freeze before UAT. Phase 3: production release. Version numbering: major.minor.patch. Release notes with each release. Rollback procedure documented. The Client shall approve production release timing.</w:t>
      </w:r>
    </w:p>
    <w:bookmarkEnd w:id="178"/>
    <w:bookmarkStart w:id="179" w:name="annexure-lxxiii-security-patching"/>
    <w:p>
      <w:pPr>
        <w:pStyle w:val="Heading2"/>
      </w:pPr>
      <w:r>
        <w:t xml:space="preserve">ANNEXURE LXXIII — SECURITY PATCHING</w:t>
      </w:r>
    </w:p>
    <w:p>
      <w:pPr>
        <w:pStyle w:val="FirstParagraph"/>
      </w:pPr>
      <w:r>
        <w:t xml:space="preserve">During Warranty Period, the Developer shall provide security patches for the Deliverables when vulnerabilities are identified. Critical: within 7 days. High: within 15 days. Medium: next release. The Developer shall monitor OSS dependencies for CVEs. The Client shall deploy patches promptly.</w:t>
      </w:r>
    </w:p>
    <w:bookmarkEnd w:id="179"/>
    <w:bookmarkStart w:id="180" w:name="annexure-lxxiv-data-dictionary"/>
    <w:p>
      <w:pPr>
        <w:pStyle w:val="Heading2"/>
      </w:pPr>
      <w:r>
        <w:t xml:space="preserve">ANNEXURE LXXIV — DATA DICTIONARY</w:t>
      </w:r>
    </w:p>
    <w:p>
      <w:pPr>
        <w:pStyle w:val="FirstParagraph"/>
      </w:pPr>
      <w:r>
        <w:t xml:space="preserve">The Developer shall provide a data dictionary with: entity name; attribute; type; constraints; description. For each major table. Part of technical documentation. Enables Client's future development and integration.</w:t>
      </w:r>
    </w:p>
    <w:bookmarkEnd w:id="180"/>
    <w:bookmarkStart w:id="181" w:name="annexure-lxxv-error-handling-standards"/>
    <w:p>
      <w:pPr>
        <w:pStyle w:val="Heading2"/>
      </w:pPr>
      <w:r>
        <w:t xml:space="preserve">ANNEXURE LXXV — ERROR HANDLING STANDARDS</w:t>
      </w:r>
    </w:p>
    <w:p>
      <w:pPr>
        <w:pStyle w:val="FirstParagraph"/>
      </w:pPr>
      <w:r>
        <w:t xml:space="preserve">User-facing: clear, actionable messages. No technical detail to end user. Logging: full detail in logs. Error codes: consistent numbering. Retry logic for transient failures. Circuit breaker for external calls. No uncaught exceptions.</w:t>
      </w:r>
    </w:p>
    <w:bookmarkEnd w:id="181"/>
    <w:bookmarkStart w:id="182" w:name="annexure-lxxvi-load-testing-criteria"/>
    <w:p>
      <w:pPr>
        <w:pStyle w:val="Heading2"/>
      </w:pPr>
      <w:r>
        <w:t xml:space="preserve">ANNEXURE LXXVI — LOAD TESTING CRITERIA</w:t>
      </w:r>
    </w:p>
    <w:p>
      <w:pPr>
        <w:pStyle w:val="FirstParagraph"/>
      </w:pPr>
      <w:r>
        <w:t xml:space="preserve">Baseline: 100 concurrent users. Peak: 200. Duration: 30 minutes sustained. Ramp-up: 5 minutes. Transactions: login, dashboard, report generation, search. Pass: 95th percentile &lt; 2 sec; error rate &lt; 0.1%. Fail: investigate and remediate.</w:t>
      </w:r>
    </w:p>
    <w:bookmarkEnd w:id="182"/>
    <w:bookmarkStart w:id="183" w:name="annexure-lxxvii-user-roles-initial"/>
    <w:p>
      <w:pPr>
        <w:pStyle w:val="Heading2"/>
      </w:pPr>
      <w:r>
        <w:t xml:space="preserve">ANNEXURE LXXVII — USER ROLES (INITIAL)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Permissions</w:t>
            </w:r>
          </w:p>
        </w:tc>
      </w:tr>
      <w:tr>
        <w:tc>
          <w:tcPr/>
          <w:p>
            <w:pPr>
              <w:pStyle w:val="Compact"/>
            </w:pPr>
            <w:r>
              <w:t xml:space="preserve">Admin</w:t>
            </w:r>
          </w:p>
        </w:tc>
        <w:tc>
          <w:tcPr/>
          <w:p>
            <w:pPr>
              <w:pStyle w:val="Compact"/>
            </w:pPr>
            <w:r>
              <w:t xml:space="preserve">Full system; user management; config</w:t>
            </w:r>
          </w:p>
        </w:tc>
      </w:tr>
      <w:tr>
        <w:tc>
          <w:tcPr/>
          <w:p>
            <w:pPr>
              <w:pStyle w:val="Compact"/>
            </w:pPr>
            <w:r>
              <w:t xml:space="preserve">Compliance Officer</w:t>
            </w:r>
          </w:p>
        </w:tc>
        <w:tc>
          <w:tcPr/>
          <w:p>
            <w:pPr>
              <w:pStyle w:val="Compact"/>
            </w:pPr>
            <w:r>
              <w:t xml:space="preserve">Reports; dashboard; alerts</w:t>
            </w:r>
          </w:p>
        </w:tc>
      </w:tr>
      <w:tr>
        <w:tc>
          <w:tcPr/>
          <w:p>
            <w:pPr>
              <w:pStyle w:val="Compact"/>
            </w:pPr>
            <w:r>
              <w:t xml:space="preserve">Analyst</w:t>
            </w:r>
          </w:p>
        </w:tc>
        <w:tc>
          <w:tcPr/>
          <w:p>
            <w:pPr>
              <w:pStyle w:val="Compact"/>
            </w:pPr>
            <w:r>
              <w:t xml:space="preserve">Data entry; view; limited reports</w:t>
            </w:r>
          </w:p>
        </w:tc>
      </w:tr>
      <w:tr>
        <w:tc>
          <w:tcPr/>
          <w:p>
            <w:pPr>
              <w:pStyle w:val="Compact"/>
            </w:pPr>
            <w:r>
              <w:t xml:space="preserve">Auditor</w:t>
            </w:r>
          </w:p>
        </w:tc>
        <w:tc>
          <w:tcPr/>
          <w:p>
            <w:pPr>
              <w:pStyle w:val="Compact"/>
            </w:pPr>
            <w:r>
              <w:t xml:space="preserve">Read-only; audit logs</w:t>
            </w:r>
          </w:p>
        </w:tc>
      </w:tr>
    </w:tbl>
    <w:p>
      <w:pPr>
        <w:pStyle w:val="BodyText"/>
      </w:pPr>
      <w:r>
        <w:t xml:space="preserve">Roles configurable. RBAC. Principle of least privilege.</w:t>
      </w:r>
    </w:p>
    <w:bookmarkEnd w:id="183"/>
    <w:bookmarkStart w:id="184" w:name="annexure-lxxviii-audit-log-retention"/>
    <w:p>
      <w:pPr>
        <w:pStyle w:val="Heading2"/>
      </w:pPr>
      <w:r>
        <w:t xml:space="preserve">ANNEXURE LXXVIII — AUDIT LOG RETENTION</w:t>
      </w:r>
    </w:p>
    <w:p>
      <w:pPr>
        <w:pStyle w:val="FirstParagraph"/>
      </w:pPr>
      <w:r>
        <w:t xml:space="preserve">User actions: 7 years. System events: 7 years. Format: timestamp, user, action, resource, result. Immutable. Tamper-evident. Export for regulatory inspection. Storage: as per RBI. Client responsible for infrastructure.</w:t>
      </w:r>
    </w:p>
    <w:bookmarkEnd w:id="184"/>
    <w:bookmarkStart w:id="185" w:name="annexure-lxxix-branding-and-ui"/>
    <w:p>
      <w:pPr>
        <w:pStyle w:val="Heading2"/>
      </w:pPr>
      <w:r>
        <w:t xml:space="preserve">ANNEXURE LXXIX — BRANDING AND UI</w:t>
      </w:r>
    </w:p>
    <w:p>
      <w:pPr>
        <w:pStyle w:val="FirstParagraph"/>
      </w:pPr>
      <w:r>
        <w:t xml:space="preserve">The System shall support Client branding (logo, colours). Configurable. No Developer branding in production. UI as per approved mockups. Accessibility: WCAG 2.1 Level A. Responsive design.</w:t>
      </w:r>
    </w:p>
    <w:bookmarkEnd w:id="185"/>
    <w:bookmarkStart w:id="186" w:name="annexure-lxxx-final-checklist"/>
    <w:p>
      <w:pPr>
        <w:pStyle w:val="Heading2"/>
      </w:pPr>
      <w:r>
        <w:t xml:space="preserve">ANNEXURE LXXX — FINAL CHECKLIST</w:t>
      </w:r>
    </w:p>
    <w:p>
      <w:pPr>
        <w:pStyle w:val="FirstParagraph"/>
      </w:pPr>
      <w:r>
        <w:t xml:space="preserve">Before Go-Live: (a) All UAT passed; (b) Performance criteria met; (c) Security scan passed; (d) Pen test (if done) remediated; (e) Documentation delivered; (f) Training completed; (g) Production environment ready; (h) Backup verified; (i) Monitoring configured; (j) Rollback tested. Sign-off by both Parties.</w:t>
      </w:r>
    </w:p>
    <w:bookmarkEnd w:id="186"/>
    <w:bookmarkStart w:id="187" w:name="annexure-lxxxi-implementation-support"/>
    <w:p>
      <w:pPr>
        <w:pStyle w:val="Heading2"/>
      </w:pPr>
      <w:r>
        <w:t xml:space="preserve">ANNEXURE LXXXI — IMPLEMENTATION SUPPORT</w:t>
      </w:r>
    </w:p>
    <w:p>
      <w:pPr>
        <w:pStyle w:val="FirstParagraph"/>
      </w:pPr>
      <w:r>
        <w:t xml:space="preserve">The Developer shall support the first production deployment. This includes: coordination with Client IT; deployment execution; smoke testing; verification of integrations; go/no-go decision support. The Client shall provide production access and credentials. Deployment window to be agreed. Rollback plan ready. Post-deployment: 48-hour enhanced support.</w:t>
      </w:r>
    </w:p>
    <w:bookmarkEnd w:id="187"/>
    <w:bookmarkStart w:id="188" w:name="annexure-lxxxii-change-control-log"/>
    <w:p>
      <w:pPr>
        <w:pStyle w:val="Heading2"/>
      </w:pPr>
      <w:r>
        <w:t xml:space="preserve">ANNEXURE LXXXII — CHANGE CONTROL LOG</w:t>
      </w:r>
    </w:p>
    <w:p>
      <w:pPr>
        <w:pStyle w:val="FirstParagraph"/>
      </w:pPr>
      <w:r>
        <w:t xml:space="preserve">All Change Requests shall be logged with: CR number; date; requester; description; impact (scope, timeline, fee); status (pending, approved, rejected). Log maintained by Project Manager. Available to steering committee. Approved CRs form part of Agreement.</w:t>
      </w:r>
    </w:p>
    <w:bookmarkEnd w:id="188"/>
    <w:bookmarkStart w:id="189" w:name="annexure-lxxxiii-communication-plan"/>
    <w:p>
      <w:pPr>
        <w:pStyle w:val="Heading2"/>
      </w:pPr>
      <w:r>
        <w:t xml:space="preserve">ANNEXURE LXXXIII — COMMUNICATION PLAN</w:t>
      </w:r>
    </w:p>
    <w:p>
      <w:pPr>
        <w:pStyle w:val="FirstParagraph"/>
      </w:pPr>
      <w:r>
        <w:t xml:space="preserve">Daily: Team standup (optional). Weekly: Status report; PM sync. Bi-weekly: Demo (during development). Monthly: Steering committee. Ad hoc: Escalation as needed. Channels: Email; project portal; video call. The Client shall respond to Developer queries within 5 business days for non-critical items.</w:t>
      </w:r>
    </w:p>
    <w:bookmarkEnd w:id="189"/>
    <w:bookmarkStart w:id="190" w:name="annexure-lxxxiv-defect-priority-matrix"/>
    <w:p>
      <w:pPr>
        <w:pStyle w:val="Heading2"/>
      </w:pPr>
      <w:r>
        <w:t xml:space="preserve">ANNEXURE LXXXIV — DEFECT PRIORITY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Definition</w:t>
            </w:r>
          </w:p>
        </w:tc>
        <w:tc>
          <w:tcPr/>
          <w:p>
            <w:pPr>
              <w:pStyle w:val="Compact"/>
            </w:pPr>
            <w:r>
              <w:t xml:space="preserve">Response</w:t>
            </w:r>
          </w:p>
        </w:tc>
        <w:tc>
          <w:tcPr/>
          <w:p>
            <w:pPr>
              <w:pStyle w:val="Compact"/>
            </w:pPr>
            <w:r>
              <w:t xml:space="preserve">Resolution</w:t>
            </w:r>
          </w:p>
        </w:tc>
      </w:tr>
      <w:tr>
        <w:tc>
          <w:tcPr/>
          <w:p>
            <w:pPr>
              <w:pStyle w:val="Compact"/>
            </w:pPr>
            <w:r>
              <w:t xml:space="preserve">Critical</w:t>
            </w:r>
          </w:p>
        </w:tc>
        <w:tc>
          <w:tcPr/>
          <w:p>
            <w:pPr>
              <w:pStyle w:val="Compact"/>
            </w:pPr>
            <w:r>
              <w:t xml:space="preserve">System down; data loss</w:t>
            </w:r>
          </w:p>
        </w:tc>
        <w:tc>
          <w:tcPr/>
          <w:p>
            <w:pPr>
              <w:pStyle w:val="Compact"/>
            </w:pPr>
            <w:r>
              <w:t xml:space="preserve">4 hours</w:t>
            </w:r>
          </w:p>
        </w:tc>
        <w:tc>
          <w:tcPr/>
          <w:p>
            <w:pPr>
              <w:pStyle w:val="Compact"/>
            </w:pPr>
            <w:r>
              <w:t xml:space="preserve">2 days</w:t>
            </w:r>
          </w:p>
        </w:tc>
      </w:tr>
      <w:tr>
        <w:tc>
          <w:tcPr/>
          <w:p>
            <w:pPr>
              <w:pStyle w:val="Compact"/>
            </w:pPr>
            <w:r>
              <w:t xml:space="preserve">High</w:t>
            </w:r>
          </w:p>
        </w:tc>
        <w:tc>
          <w:tcPr/>
          <w:p>
            <w:pPr>
              <w:pStyle w:val="Compact"/>
            </w:pPr>
            <w:r>
              <w:t xml:space="preserve">Major feature broken</w:t>
            </w:r>
          </w:p>
        </w:tc>
        <w:tc>
          <w:tcPr/>
          <w:p>
            <w:pPr>
              <w:pStyle w:val="Compact"/>
            </w:pPr>
            <w:r>
              <w:t xml:space="preserve">8 hours</w:t>
            </w:r>
          </w:p>
        </w:tc>
        <w:tc>
          <w:tcPr/>
          <w:p>
            <w:pPr>
              <w:pStyle w:val="Compact"/>
            </w:pPr>
            <w:r>
              <w:t xml:space="preserve">5 days</w:t>
            </w:r>
          </w:p>
        </w:tc>
      </w:tr>
      <w:tr>
        <w:tc>
          <w:tcPr/>
          <w:p>
            <w:pPr>
              <w:pStyle w:val="Compact"/>
            </w:pPr>
            <w:r>
              <w:t xml:space="preserve">Medium</w:t>
            </w:r>
          </w:p>
        </w:tc>
        <w:tc>
          <w:tcPr/>
          <w:p>
            <w:pPr>
              <w:pStyle w:val="Compact"/>
            </w:pPr>
            <w:r>
              <w:t xml:space="preserve">Workaround exists</w:t>
            </w:r>
          </w:p>
        </w:tc>
        <w:tc>
          <w:tcPr/>
          <w:p>
            <w:pPr>
              <w:pStyle w:val="Compact"/>
            </w:pPr>
            <w:r>
              <w:t xml:space="preserve">24 hours</w:t>
            </w:r>
          </w:p>
        </w:tc>
        <w:tc>
          <w:tcPr/>
          <w:p>
            <w:pPr>
              <w:pStyle w:val="Compact"/>
            </w:pPr>
            <w:r>
              <w:t xml:space="preserve">15 days</w:t>
            </w:r>
          </w:p>
        </w:tc>
      </w:tr>
      <w:tr>
        <w:tc>
          <w:tcPr/>
          <w:p>
            <w:pPr>
              <w:pStyle w:val="Compact"/>
            </w:pPr>
            <w:r>
              <w:t xml:space="preserve">Low</w:t>
            </w:r>
          </w:p>
        </w:tc>
        <w:tc>
          <w:tcPr/>
          <w:p>
            <w:pPr>
              <w:pStyle w:val="Compact"/>
            </w:pPr>
            <w:r>
              <w:t xml:space="preserve">Cosmetic</w:t>
            </w:r>
          </w:p>
        </w:tc>
        <w:tc>
          <w:tcPr/>
          <w:p>
            <w:pPr>
              <w:pStyle w:val="Compact"/>
            </w:pPr>
            <w:r>
              <w:t xml:space="preserve">48 hours</w:t>
            </w:r>
          </w:p>
        </w:tc>
        <w:tc>
          <w:tcPr/>
          <w:p>
            <w:pPr>
              <w:pStyle w:val="Compact"/>
            </w:pPr>
            <w:r>
              <w:t xml:space="preserve">Next release</w:t>
            </w:r>
          </w:p>
        </w:tc>
      </w:tr>
    </w:tbl>
    <w:bookmarkEnd w:id="190"/>
    <w:bookmarkStart w:id="191" w:name="annexure-lxxxv-document-revision-history"/>
    <w:p>
      <w:pPr>
        <w:pStyle w:val="Heading2"/>
      </w:pPr>
      <w:r>
        <w:t xml:space="preserve">ANNEXURE LXXXV — DOCUMENT REVISION HISTORY</w:t>
      </w:r>
    </w:p>
    <w:p>
      <w:pPr>
        <w:pStyle w:val="FirstParagraph"/>
      </w:pPr>
      <w:r>
        <w:t xml:space="preserve">Technical Design and key docs shall have revision history: version; date; author; changes. Enables traceability. Major revisions require Client approval. Minor (typos, formatting) may not.</w:t>
      </w:r>
    </w:p>
    <w:bookmarkEnd w:id="191"/>
    <w:bookmarkStart w:id="192" w:name="annexure-lxxxvi-environment-setup"/>
    <w:p>
      <w:pPr>
        <w:pStyle w:val="Heading2"/>
      </w:pPr>
      <w:r>
        <w:t xml:space="preserve">ANNEXURE LXXXVI — ENVIRONMENT SETUP</w:t>
      </w:r>
    </w:p>
    <w:p>
      <w:pPr>
        <w:pStyle w:val="FirstParagraph"/>
      </w:pPr>
      <w:r>
        <w:t xml:space="preserve">Development: Developer's. Staging: Client's (or agreed). Production: Client's. Each environment: separate config; no production data in non-production. The Developer shall document environment variables and config. Secrets: never in code; use config/vault.</w:t>
      </w:r>
    </w:p>
    <w:bookmarkEnd w:id="192"/>
    <w:bookmarkStart w:id="193" w:name="annexure-lxxxvii-integration-test-scope"/>
    <w:p>
      <w:pPr>
        <w:pStyle w:val="Heading2"/>
      </w:pPr>
      <w:r>
        <w:t xml:space="preserve">ANNEXURE LXXXVII — INTEGRATION TEST SCOPE</w:t>
      </w:r>
    </w:p>
    <w:p>
      <w:pPr>
        <w:pStyle w:val="FirstParagraph"/>
      </w:pPr>
      <w:r>
        <w:t xml:space="preserve">Test: Core banking API; Loan origination API; KYC provider; Report generation; Audit logging; User authentication. Mock available for parallel dev. Staging integration before UAT. Defect resolution before sign-off.</w:t>
      </w:r>
    </w:p>
    <w:bookmarkEnd w:id="193"/>
    <w:bookmarkStart w:id="194" w:name="annexure-lxxxviii-knowledge-base"/>
    <w:p>
      <w:pPr>
        <w:pStyle w:val="Heading2"/>
      </w:pPr>
      <w:r>
        <w:t xml:space="preserve">ANNEXURE LXXXVIII — KNOWLEDGE BASE</w:t>
      </w:r>
    </w:p>
    <w:p>
      <w:pPr>
        <w:pStyle w:val="FirstParagraph"/>
      </w:pPr>
      <w:r>
        <w:t xml:space="preserve">The Developer shall create knowledge base articles for: (a) Common issues and resolution; (b) Configuration options; (c) Troubleshooting; (d) FAQs. Format: wiki or document. Handover to Client. Updated during warranty for new issues.</w:t>
      </w:r>
    </w:p>
    <w:bookmarkEnd w:id="194"/>
    <w:bookmarkStart w:id="195" w:name="annexure-lxxxix-project-closure"/>
    <w:p>
      <w:pPr>
        <w:pStyle w:val="Heading2"/>
      </w:pPr>
      <w:r>
        <w:t xml:space="preserve">ANNEXURE LXXXIX — PROJECT CLOSURE</w:t>
      </w:r>
    </w:p>
    <w:p>
      <w:pPr>
        <w:pStyle w:val="FirstParagraph"/>
      </w:pPr>
      <w:r>
        <w:t xml:space="preserve">On completion: (a) Final sign-off; (b) All deliverables transferred; (c) Knowledge transfer complete; (d) Warranty period starts; (e) Final invoice; (f) Lessons learned (optional). Closure meeting. Archive of project artefacts.</w:t>
      </w:r>
    </w:p>
    <w:bookmarkEnd w:id="195"/>
    <w:bookmarkStart w:id="196" w:name="annexure-xc-software-development-summary"/>
    <w:p>
      <w:pPr>
        <w:pStyle w:val="Heading2"/>
      </w:pPr>
      <w:r>
        <w:t xml:space="preserve">ANNEXURE XC — SOFTWARE DEVELOPMENT SUMMARY</w:t>
      </w:r>
    </w:p>
    <w:p>
      <w:pPr>
        <w:pStyle w:val="FirstParagraph"/>
      </w:pPr>
      <w:r>
        <w:t xml:space="preserve">Banking Compliance Module. FinTech Solutions + CodeCraft. ₹42L. Phase 1-3. Jan-Jun 2025. 90-day warranty. RBI/SEBI/PMLA compliance. Java/React/PostgreSQL. Client IP. Gurugram arbitration.</w:t>
      </w:r>
    </w:p>
    <w:bookmarkEnd w:id="196"/>
    <w:bookmarkStart w:id="197" w:name="annexure-xci-git-branching"/>
    <w:p>
      <w:pPr>
        <w:pStyle w:val="Heading2"/>
      </w:pPr>
      <w:r>
        <w:t xml:space="preserve">ANNEXURE XCI — GIT BRANCHING</w:t>
      </w:r>
    </w:p>
    <w:p>
      <w:pPr>
        <w:pStyle w:val="FirstParagraph"/>
      </w:pPr>
      <w:r>
        <w:t xml:space="preserve">Main: production. Develop: integration. Feature branches. Pull request. Code review. No direct commit to main. Tags for releases.</w:t>
      </w:r>
    </w:p>
    <w:bookmarkEnd w:id="197"/>
    <w:bookmarkStart w:id="198" w:name="annexure-xcii-dependency-management"/>
    <w:p>
      <w:pPr>
        <w:pStyle w:val="Heading2"/>
      </w:pPr>
      <w:r>
        <w:t xml:space="preserve">ANNEXURE XCII — DEPENDENCY MANAGEMENT</w:t>
      </w:r>
    </w:p>
    <w:p>
      <w:pPr>
        <w:pStyle w:val="FirstParagraph"/>
      </w:pPr>
      <w:r>
        <w:t xml:space="preserve">Maven/Gradle. Pin versions. Regular updates. Security scan. No SNAPSHOT in production. License check in build.</w:t>
      </w:r>
    </w:p>
    <w:bookmarkEnd w:id="198"/>
    <w:bookmarkStart w:id="199" w:name="annexure-xciii-logging-format"/>
    <w:p>
      <w:pPr>
        <w:pStyle w:val="Heading2"/>
      </w:pPr>
      <w:r>
        <w:t xml:space="preserve">ANNEXURE XCIII — LOGGING FORMAT</w:t>
      </w:r>
    </w:p>
    <w:p>
      <w:pPr>
        <w:pStyle w:val="FirstParagraph"/>
      </w:pPr>
      <w:r>
        <w:t xml:space="preserve">JSON structured. Fields: timestamp, level, logger, message, thread, correlation-id. No PII in logs. Log level configurable.</w:t>
      </w:r>
    </w:p>
    <w:bookmarkEnd w:id="199"/>
    <w:bookmarkStart w:id="200" w:name="annexure-xciv-health-check"/>
    <w:p>
      <w:pPr>
        <w:pStyle w:val="Heading2"/>
      </w:pPr>
      <w:r>
        <w:t xml:space="preserve">ANNEXURE XCIV — HEALTH CHECK</w:t>
      </w:r>
    </w:p>
    <w:p>
      <w:pPr>
        <w:pStyle w:val="FirstParagraph"/>
      </w:pPr>
      <w:r>
        <w:t xml:space="preserve">/health: liveness. /ready: readiness (DB, cache). Returns 200 if ok. Used by load balancer. No sensitive data.</w:t>
      </w:r>
    </w:p>
    <w:bookmarkEnd w:id="200"/>
    <w:bookmarkStart w:id="201" w:name="annexure-xcv-secrets-management"/>
    <w:p>
      <w:pPr>
        <w:pStyle w:val="Heading2"/>
      </w:pPr>
      <w:r>
        <w:t xml:space="preserve">ANNEXURE XCV — SECRETS MANAGEMENT</w:t>
      </w:r>
    </w:p>
    <w:p>
      <w:pPr>
        <w:pStyle w:val="FirstParagraph"/>
      </w:pPr>
      <w:r>
        <w:t xml:space="preserve">No secrets in code. Environment variables or vault. Rotation procedure. Dev/test: dummy values. Production: Client provisions.</w:t>
      </w:r>
    </w:p>
    <w:bookmarkEnd w:id="201"/>
    <w:bookmarkStart w:id="202" w:name="annexure-xcvi-cors-and-security-headers"/>
    <w:p>
      <w:pPr>
        <w:pStyle w:val="Heading2"/>
      </w:pPr>
      <w:r>
        <w:t xml:space="preserve">ANNEXURE XCVI — CORS AND SECURITY HEADERS</w:t>
      </w:r>
    </w:p>
    <w:p>
      <w:pPr>
        <w:pStyle w:val="FirstParagraph"/>
      </w:pPr>
      <w:r>
        <w:t xml:space="preserve">CORS: configurable whitelist. Security headers: X-Frame-Options, X-Content-Type-Options, CSP. HTTPS only in production.</w:t>
      </w:r>
    </w:p>
    <w:bookmarkEnd w:id="202"/>
    <w:bookmarkStart w:id="203" w:name="annexure-xcvii-database-migrations"/>
    <w:p>
      <w:pPr>
        <w:pStyle w:val="Heading2"/>
      </w:pPr>
      <w:r>
        <w:t xml:space="preserve">ANNEXURE XCVII — DATABASE MIGRATIONS</w:t>
      </w:r>
    </w:p>
    <w:p>
      <w:pPr>
        <w:pStyle w:val="FirstParagraph"/>
      </w:pPr>
      <w:r>
        <w:t xml:space="preserve">Flyway or equivalent. Versioned. Idempotent where possible. Rollback scripts. Test on staging before production.</w:t>
      </w:r>
    </w:p>
    <w:bookmarkEnd w:id="203"/>
    <w:bookmarkStart w:id="204" w:name="annexure-xcviii-api-versioning"/>
    <w:p>
      <w:pPr>
        <w:pStyle w:val="Heading2"/>
      </w:pPr>
      <w:r>
        <w:t xml:space="preserve">ANNEXURE XCVIII — API VERSIONING</w:t>
      </w:r>
    </w:p>
    <w:p>
      <w:pPr>
        <w:pStyle w:val="FirstParagraph"/>
      </w:pPr>
      <w:r>
        <w:t xml:space="preserve">/api/v1/. Deprecation: 12 months notice. New version: /api/v2/. Old supported until deprecation end.</w:t>
      </w:r>
    </w:p>
    <w:bookmarkEnd w:id="204"/>
    <w:bookmarkStart w:id="205" w:name="annexure-xcix-performance-budget"/>
    <w:p>
      <w:pPr>
        <w:pStyle w:val="Heading2"/>
      </w:pPr>
      <w:r>
        <w:t xml:space="preserve">ANNEXURE XCIX — PERFORMANCE BUDGET</w:t>
      </w:r>
    </w:p>
    <w:p>
      <w:pPr>
        <w:pStyle w:val="FirstParagraph"/>
      </w:pPr>
      <w:r>
        <w:t xml:space="preserve">Initial load: &lt; 3 sec. Interaction: &lt; 500 ms. Bundle size: monitor. Alerts if regression.</w:t>
      </w:r>
    </w:p>
    <w:bookmarkEnd w:id="205"/>
    <w:bookmarkStart w:id="206" w:name="annexure-c-development-summary"/>
    <w:p>
      <w:pPr>
        <w:pStyle w:val="Heading2"/>
      </w:pPr>
      <w:r>
        <w:t xml:space="preserve">ANNEXURE C — DEVELOPMENT SUMMARY</w:t>
      </w:r>
    </w:p>
    <w:p>
      <w:pPr>
        <w:pStyle w:val="FirstParagraph"/>
      </w:pPr>
      <w:r>
        <w:t xml:space="preserve">Agreement SDA-2025-0047. FinTech Solutions (Client) and CodeCraft (Developer). Banking Compliance Module. ₹42,00,000. Phased delivery. 90-day warranty. Full IP to Client. Confidential. Cap on liability. Arbitration Gurugram.</w:t>
      </w:r>
    </w:p>
    <w:bookmarkEnd w:id="206"/>
    <w:bookmarkStart w:id="207" w:name="annexure-ci-sow-reference"/>
    <w:p>
      <w:pPr>
        <w:pStyle w:val="Heading2"/>
      </w:pPr>
      <w:r>
        <w:t xml:space="preserve">ANNEXURE CI — SOW REFERENCE</w:t>
      </w:r>
    </w:p>
    <w:p>
      <w:pPr>
        <w:pStyle w:val="FirstParagraph"/>
      </w:pPr>
      <w:r>
        <w:t xml:space="preserve">Scope as Schedule A. Technical specs as Technical Design Document (Phase 1 deliverable). Changes per Article 6.</w:t>
      </w:r>
    </w:p>
    <w:bookmarkEnd w:id="207"/>
    <w:bookmarkStart w:id="208" w:name="annexure-cii-acceptance-protocol"/>
    <w:p>
      <w:pPr>
        <w:pStyle w:val="Heading2"/>
      </w:pPr>
      <w:r>
        <w:t xml:space="preserve">ANNEXURE CII — ACCEPTANCE PROTOCOL</w:t>
      </w:r>
    </w:p>
    <w:p>
      <w:pPr>
        <w:pStyle w:val="FirstParagraph"/>
      </w:pPr>
      <w:r>
        <w:t xml:space="preserve">Submit deliverable. Client tests 15 days. Accept or reject with defect list. Developer remediates. Repeat. Max 2 cycles. Deemed accept if no response 15 days.</w:t>
      </w:r>
    </w:p>
    <w:bookmarkEnd w:id="208"/>
    <w:bookmarkStart w:id="209" w:name="annexure-ciii-warranty-start"/>
    <w:p>
      <w:pPr>
        <w:pStyle w:val="Heading2"/>
      </w:pPr>
      <w:r>
        <w:t xml:space="preserve">ANNEXURE CIII — WARRANTY START</w:t>
      </w:r>
    </w:p>
    <w:p>
      <w:pPr>
        <w:pStyle w:val="FirstParagraph"/>
      </w:pPr>
      <w:r>
        <w:t xml:space="preserve">90 days from Final Acceptance. Final = Phase 3 + Go-Live. Defects reported in warranty fixed at no cost. Exclusions: Client modification; misuse; third-party.</w:t>
      </w:r>
    </w:p>
    <w:bookmarkEnd w:id="209"/>
    <w:bookmarkStart w:id="210" w:name="Xe65400a11e28d498187fd9a85d295a121d7e36d"/>
    <w:p>
      <w:pPr>
        <w:pStyle w:val="Heading2"/>
      </w:pPr>
      <w:r>
        <w:t xml:space="preserve">ANNEXURE CIV — INTELLECTUAL PROPERTY ASSIGNMENT</w:t>
      </w:r>
    </w:p>
    <w:p>
      <w:pPr>
        <w:pStyle w:val="FirstParagraph"/>
      </w:pPr>
      <w:r>
        <w:t xml:space="preserve">All Deliverables: Client IP on payment. Developer assigns. Present and future. Worldwide. Perpetual. No royalties. Moral rights waived.</w:t>
      </w:r>
    </w:p>
    <w:bookmarkEnd w:id="210"/>
    <w:bookmarkStart w:id="211" w:name="annexure-cv-confidentiality-term"/>
    <w:p>
      <w:pPr>
        <w:pStyle w:val="Heading2"/>
      </w:pPr>
      <w:r>
        <w:t xml:space="preserve">ANNEXURE CV — CONFIDENTIALITY TERM</w:t>
      </w:r>
    </w:p>
    <w:p>
      <w:pPr>
        <w:pStyle w:val="FirstParagraph"/>
      </w:pPr>
      <w:r>
        <w:t xml:space="preserve">5 years from disclosure. Trade secrets: indefinite. Source code: indefinite. Return/destroy on termination. Survives termination.</w:t>
      </w:r>
    </w:p>
    <w:bookmarkEnd w:id="211"/>
    <w:bookmarkStart w:id="212" w:name="annexure-cvi-liability-cap-amount"/>
    <w:p>
      <w:pPr>
        <w:pStyle w:val="Heading2"/>
      </w:pPr>
      <w:r>
        <w:t xml:space="preserve">ANNEXURE CVI — LIABILITY CAP AMOUNT</w:t>
      </w:r>
    </w:p>
    <w:p>
      <w:pPr>
        <w:pStyle w:val="FirstParagraph"/>
      </w:pPr>
      <w:r>
        <w:t xml:space="preserve">12 months' fees preceding claim. Or total fees if within first 12 months. Per Party. Aggregate. Excluded: fraud; confidentiality; indemnity; amounts due.</w:t>
      </w:r>
    </w:p>
    <w:bookmarkEnd w:id="212"/>
    <w:bookmarkStart w:id="213" w:name="annexure-cvii-arbitration-seat"/>
    <w:p>
      <w:pPr>
        <w:pStyle w:val="Heading2"/>
      </w:pPr>
      <w:r>
        <w:t xml:space="preserve">ANNEXURE CVII — ARBITRATION SEAT</w:t>
      </w:r>
    </w:p>
    <w:p>
      <w:pPr>
        <w:pStyle w:val="FirstParagraph"/>
      </w:pPr>
      <w:r>
        <w:t xml:space="preserve">Gurugram. Delhi NCR. English. Sole arbitrator. Act of 1996. Final. Binding. Enforcement: any court.</w:t>
      </w:r>
    </w:p>
    <w:bookmarkEnd w:id="213"/>
    <w:bookmarkStart w:id="214" w:name="annexure-cviii-notice-for-termination"/>
    <w:p>
      <w:pPr>
        <w:pStyle w:val="Heading2"/>
      </w:pPr>
      <w:r>
        <w:t xml:space="preserve">ANNEXURE CVIII — NOTICE FOR TERMINATION</w:t>
      </w:r>
    </w:p>
    <w:p>
      <w:pPr>
        <w:pStyle w:val="FirstParagraph"/>
      </w:pPr>
      <w:r>
        <w:t xml:space="preserve">Breach: 30 days to cure. Convenience: 30 days. Insolvency: immediate. Material notices: registered post + email.</w:t>
      </w:r>
    </w:p>
    <w:bookmarkEnd w:id="214"/>
    <w:bookmarkStart w:id="215" w:name="X51d5ce48415465ff63e82dedb74a5fa14e6ebc1"/>
    <w:p>
      <w:pPr>
        <w:pStyle w:val="Heading2"/>
      </w:pPr>
      <w:r>
        <w:t xml:space="preserve">ANNEXURE CIX — POST-TERMINATION OBLIGATIONS</w:t>
      </w:r>
    </w:p>
    <w:p>
      <w:pPr>
        <w:pStyle w:val="FirstParagraph"/>
      </w:pPr>
      <w:r>
        <w:t xml:space="preserve">Deliver work product. Return/destroy Confidential Information. Pay amounts due. Transition support 15 days. Surviving clauses continue.</w:t>
      </w:r>
    </w:p>
    <w:bookmarkEnd w:id="215"/>
    <w:bookmarkStart w:id="216" w:name="X3005ec3d59620f77627f8c6335704f4ccd916c2"/>
    <w:p>
      <w:pPr>
        <w:pStyle w:val="Heading2"/>
      </w:pPr>
      <w:r>
        <w:t xml:space="preserve">ANNEXURE CX — SOFTWARE DEVELOPMENT AGREEMENT END</w:t>
      </w:r>
    </w:p>
    <w:p>
      <w:pPr>
        <w:pStyle w:val="FirstParagraph"/>
      </w:pPr>
      <w:r>
        <w:t xml:space="preserve">This concludes the Agreement and all Schedules and Annexures. Signature block follows. The Parties acknowledge that they have read, understood, and agree to be bound by this Agreement including all Schedules and Annexures.</w:t>
      </w:r>
    </w:p>
    <w:bookmarkEnd w:id="216"/>
    <w:bookmarkStart w:id="217" w:name="annexure-cxi-execution"/>
    <w:p>
      <w:pPr>
        <w:pStyle w:val="Heading2"/>
      </w:pPr>
      <w:r>
        <w:t xml:space="preserve">ANNEXURE CXI — EXECUTION</w:t>
      </w:r>
    </w:p>
    <w:p>
      <w:pPr>
        <w:pStyle w:val="FirstParagraph"/>
      </w:pPr>
      <w:r>
        <w:t xml:space="preserve">This Agreement may be executed in counterparts. Each counterpart shall be deemed an original. Electronic signatures are valid. The Parties shall exchange signed copies. This Agreement is effective upon execution by both Parties as of the Effective Date.</w:t>
      </w:r>
    </w:p>
    <w:bookmarkEnd w:id="217"/>
    <w:bookmarkStart w:id="218" w:name="in-witness-whereof"/>
    <w:p>
      <w:pPr>
        <w:pStyle w:val="Heading2"/>
      </w:pPr>
      <w:r>
        <w:t xml:space="preserve">IN WITNESS WHEREOF</w:t>
      </w:r>
    </w:p>
    <w:p>
      <w:pPr>
        <w:pStyle w:val="FirstParagraph"/>
      </w:pPr>
      <w:r>
        <w:t xml:space="preserve">The Parties have executed this Agreement as of the date first written above.</w:t>
      </w:r>
    </w:p>
    <w:p>
      <w:pPr>
        <w:pStyle w:val="BodyText"/>
      </w:pPr>
      <w:r>
        <w:rPr>
          <w:b/>
          <w:bCs/>
        </w:rPr>
        <w:t xml:space="preserve">For FinTech Solutions India Private Limited</w:t>
      </w:r>
      <w:r>
        <w:br/>
      </w:r>
      <w:r>
        <w:t xml:space="preserve">________________________</w:t>
      </w:r>
      <w:r>
        <w:br/>
      </w:r>
      <w:r>
        <w:t xml:space="preserve">Name: Vikram Mehta</w:t>
      </w:r>
      <w:r>
        <w:br/>
      </w:r>
      <w:r>
        <w:t xml:space="preserve">Title: Chief Technology Officer</w:t>
      </w:r>
    </w:p>
    <w:p>
      <w:pPr>
        <w:pStyle w:val="BodyText"/>
      </w:pPr>
      <w:r>
        <w:rPr>
          <w:b/>
          <w:bCs/>
        </w:rPr>
        <w:t xml:space="preserve">For CodeCraft Technologies LLP</w:t>
      </w:r>
      <w:r>
        <w:br/>
      </w:r>
      <w:r>
        <w:t xml:space="preserve">________________________</w:t>
      </w:r>
      <w:r>
        <w:br/>
      </w:r>
      <w:r>
        <w:t xml:space="preserve">Name: Deepak Rao</w:t>
      </w:r>
      <w:r>
        <w:br/>
      </w:r>
      <w:r>
        <w:t xml:space="preserve">Title: Managing Partner</w:t>
      </w:r>
    </w:p>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Agreement</dc:title>
  <dc:creator/>
  <cp:keywords/>
  <dcterms:created xsi:type="dcterms:W3CDTF">2026-03-06T17:02:09Z</dcterms:created>
  <dcterms:modified xsi:type="dcterms:W3CDTF">2026-03-06T17:02:09Z</dcterms:modified>
</cp:coreProperties>
</file>

<file path=docProps/custom.xml><?xml version="1.0" encoding="utf-8"?>
<Properties xmlns="http://schemas.openxmlformats.org/officeDocument/2006/custom-properties" xmlns:vt="http://schemas.openxmlformats.org/officeDocument/2006/docPropsVTypes"/>
</file>