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Consulting Services Agreement</w:t>
      </w:r>
    </w:p>
    <w:bookmarkStart w:id="226" w:name="consulting-services-agreement"/>
    <w:p>
      <w:pPr>
        <w:pStyle w:val="Heading1"/>
      </w:pPr>
      <w:r>
        <w:t xml:space="preserve">CONSULTING SERVICES AGREEMENT</w:t>
      </w:r>
    </w:p>
    <w:p>
      <w:pPr>
        <w:pStyle w:val="FirstParagraph"/>
      </w:pPr>
      <w:r>
        <w:rPr>
          <w:b/>
          <w:bCs/>
        </w:rPr>
        <w:t xml:space="preserve">Agreement Reference:</w:t>
      </w:r>
      <w:r>
        <w:t xml:space="preserve"> </w:t>
      </w:r>
      <w:r>
        <w:t xml:space="preserve">CSA/MF/2025/089</w:t>
      </w:r>
      <w:r>
        <w:br/>
      </w:r>
      <w:r>
        <w:rPr>
          <w:b/>
          <w:bCs/>
        </w:rPr>
        <w:t xml:space="preserve">Execution Date:</w:t>
      </w:r>
      <w:r>
        <w:t xml:space="preserve"> </w:t>
      </w:r>
      <w:r>
        <w:t xml:space="preserve">3 February 2025</w:t>
      </w:r>
      <w:r>
        <w:br/>
      </w:r>
      <w:r>
        <w:rPr>
          <w:b/>
          <w:bCs/>
        </w:rPr>
        <w:t xml:space="preserve">Governing Law:</w:t>
      </w:r>
      <w:r>
        <w:t xml:space="preserve"> </w:t>
      </w:r>
      <w:r>
        <w:t xml:space="preserve">Indian Contract Act, 1872; Companies Act, 2013; Arbitration and Conciliation Act, 1996</w:t>
      </w:r>
    </w:p>
    <w:bookmarkStart w:id="9" w:name="parties"/>
    <w:p>
      <w:pPr>
        <w:pStyle w:val="Heading2"/>
      </w:pPr>
      <w:r>
        <w:t xml:space="preserve">PARTIES</w:t>
      </w:r>
    </w:p>
    <w:p>
      <w:pPr>
        <w:pStyle w:val="FirstParagraph"/>
      </w:pPr>
      <w:r>
        <w:rPr>
          <w:b/>
          <w:bCs/>
        </w:rPr>
        <w:t xml:space="preserve">ENGAGER:</w:t>
      </w:r>
      <w:r>
        <w:t xml:space="preserve"> </w:t>
      </w:r>
      <w:r>
        <w:t xml:space="preserve">Manmohan Financial Advisors Private Limited, CIN U74999MH2010PTC203456, a company incorporated under the Companies Act, 2013, having its registered office at 88, Nariman Point, Mumbai, Maharashtra 400021, represented by its Managing Director Mr. Karan Manmohan ("Company").</w:t>
      </w:r>
    </w:p>
    <w:p>
      <w:pPr>
        <w:pStyle w:val="BodyText"/>
      </w:pPr>
      <w:r>
        <w:rPr>
          <w:b/>
          <w:bCs/>
        </w:rPr>
        <w:t xml:space="preserve">CONSULTANT:</w:t>
      </w:r>
      <w:r>
        <w:t xml:space="preserve"> </w:t>
      </w:r>
      <w:r>
        <w:t xml:space="preserve">Strategic Insights Consulting LLP, a limited liability partnership registered under the Limited Liability Partnership Act, 2008, having its principal place of business at 34, Bandra Kurla Complex, Mumbai, Maharashtra 400051, represented by its Designated Partner Ms. Meera Deshpande ("Consultant").</w:t>
      </w:r>
    </w:p>
    <w:p>
      <w:pPr>
        <w:pStyle w:val="BodyText"/>
      </w:pPr>
      <w:r>
        <w:t xml:space="preserve">Company and Consultant are each referred to herein as a "Party" and collectively as the "Parties".</w:t>
      </w:r>
    </w:p>
    <w:bookmarkEnd w:id="9"/>
    <w:bookmarkStart w:id="10" w:name="recitals"/>
    <w:p>
      <w:pPr>
        <w:pStyle w:val="Heading2"/>
      </w:pPr>
      <w:r>
        <w:t xml:space="preserve">RECITALS</w:t>
      </w:r>
    </w:p>
    <w:p>
      <w:pPr>
        <w:pStyle w:val="FirstParagraph"/>
      </w:pPr>
      <w:r>
        <w:t xml:space="preserve">WHEREAS the Company is engaged in the business of financial advisory, asset management, and investment banking and is desirous of acquiring a portfolio of distressed assets pursuant to the Insolvency and Bankruptcy Code, 2016 ("IBC") and related regulations;</w:t>
      </w:r>
    </w:p>
    <w:p>
      <w:pPr>
        <w:pStyle w:val="BodyText"/>
      </w:pPr>
      <w:r>
        <w:t xml:space="preserve">WHEREAS the Consultant is a reputed advisory firm with demonstrated expertise in mergers, acquisitions, corporate restructuring, valuation, and regulatory compliance under SEBI, RBI, and IBC;</w:t>
      </w:r>
    </w:p>
    <w:p>
      <w:pPr>
        <w:pStyle w:val="BodyText"/>
      </w:pPr>
      <w:r>
        <w:t xml:space="preserve">WHEREAS the Company wishes to engage the Consultant to provide strategic advisory services in connection with the proposed Transaction;</w:t>
      </w:r>
    </w:p>
    <w:p>
      <w:pPr>
        <w:pStyle w:val="BodyText"/>
      </w:pPr>
      <w:r>
        <w:t xml:space="preserve">NOW, THEREFORE, in consideration of the mutual covenants, representations, and agreements contained herein, and for other good and valuable consideration, the Parties agree as follows:</w:t>
      </w:r>
    </w:p>
    <w:bookmarkEnd w:id="10"/>
    <w:bookmarkStart w:id="13" w:name="article-1-definitions-and-interpretation"/>
    <w:p>
      <w:pPr>
        <w:pStyle w:val="Heading2"/>
      </w:pPr>
      <w:r>
        <w:t xml:space="preserve">ARTICLE 1 — DEFINITIONS AND INTERPRETATION</w:t>
      </w:r>
    </w:p>
    <w:bookmarkStart w:id="11" w:name="definitions"/>
    <w:p>
      <w:pPr>
        <w:pStyle w:val="Heading3"/>
      </w:pPr>
      <w:r>
        <w:t xml:space="preserve">1.1 Definitions</w:t>
      </w:r>
    </w:p>
    <w:p>
      <w:pPr>
        <w:pStyle w:val="FirstParagraph"/>
      </w:pPr>
      <w:r>
        <w:rPr>
          <w:b/>
          <w:bCs/>
        </w:rPr>
        <w:t xml:space="preserve">"Affiliate"</w:t>
      </w:r>
      <w:r>
        <w:t xml:space="preserve"> </w:t>
      </w:r>
      <w:r>
        <w:t xml:space="preserve">means, with respect to any entity, any other entity that directly or indirectly controls, is controlled by, or is under common control with such entity. "Control" means ownership of more than fifty percent (50%) of voting equity or the power to direct management and policies.</w:t>
      </w:r>
    </w:p>
    <w:p>
      <w:pPr>
        <w:pStyle w:val="BodyText"/>
      </w:pPr>
      <w:r>
        <w:rPr>
          <w:b/>
          <w:bCs/>
        </w:rPr>
        <w:t xml:space="preserve">"Commencement Date"</w:t>
      </w:r>
      <w:r>
        <w:t xml:space="preserve"> </w:t>
      </w:r>
      <w:r>
        <w:t xml:space="preserve">means 10 February 2025, being the date on which the Consultant shall commence the Services.</w:t>
      </w:r>
    </w:p>
    <w:p>
      <w:pPr>
        <w:pStyle w:val="BodyText"/>
      </w:pPr>
      <w:r>
        <w:rPr>
          <w:b/>
          <w:bCs/>
        </w:rPr>
        <w:t xml:space="preserve">"Confidential Information"</w:t>
      </w:r>
      <w:r>
        <w:t xml:space="preserve"> </w:t>
      </w:r>
      <w:r>
        <w:t xml:space="preserve">has the meaning ascribed in Article 8.</w:t>
      </w:r>
    </w:p>
    <w:p>
      <w:pPr>
        <w:pStyle w:val="BodyText"/>
      </w:pPr>
      <w:r>
        <w:rPr>
          <w:b/>
          <w:bCs/>
        </w:rPr>
        <w:t xml:space="preserve">"Conflict of Interest"</w:t>
      </w:r>
      <w:r>
        <w:t xml:space="preserve"> </w:t>
      </w:r>
      <w:r>
        <w:t xml:space="preserve">means any circumstance where the Consultant's duties or interests conflict with the Company's interests, or where the Consultant has a financial or other interest that could impair objectivity, as further defined in Article 5.</w:t>
      </w:r>
    </w:p>
    <w:p>
      <w:pPr>
        <w:pStyle w:val="BodyText"/>
      </w:pPr>
      <w:r>
        <w:rPr>
          <w:b/>
          <w:bCs/>
        </w:rPr>
        <w:t xml:space="preserve">"Deliverables"</w:t>
      </w:r>
      <w:r>
        <w:t xml:space="preserve"> </w:t>
      </w:r>
      <w:r>
        <w:t xml:space="preserve">means all reports, analyses, valuations, presentations, models, recommendations, memoranda, and other work product created by the Consultant in the performance of the Services, as set forth in Schedule A.</w:t>
      </w:r>
    </w:p>
    <w:p>
      <w:pPr>
        <w:pStyle w:val="BodyText"/>
      </w:pPr>
      <w:r>
        <w:rPr>
          <w:b/>
          <w:bCs/>
        </w:rPr>
        <w:t xml:space="preserve">"Effective Date"</w:t>
      </w:r>
      <w:r>
        <w:t xml:space="preserve"> </w:t>
      </w:r>
      <w:r>
        <w:t xml:space="preserve">means 3 February 2025.</w:t>
      </w:r>
    </w:p>
    <w:p>
      <w:pPr>
        <w:pStyle w:val="BodyText"/>
      </w:pPr>
      <w:r>
        <w:rPr>
          <w:b/>
          <w:bCs/>
        </w:rPr>
        <w:t xml:space="preserve">"Fees"</w:t>
      </w:r>
      <w:r>
        <w:t xml:space="preserve"> </w:t>
      </w:r>
      <w:r>
        <w:t xml:space="preserve">has the meaning ascribed in Article 4.</w:t>
      </w:r>
    </w:p>
    <w:p>
      <w:pPr>
        <w:pStyle w:val="BodyText"/>
      </w:pPr>
      <w:r>
        <w:rPr>
          <w:b/>
          <w:bCs/>
        </w:rPr>
        <w:t xml:space="preserve">"Force Majeure"</w:t>
      </w:r>
      <w:r>
        <w:t xml:space="preserve"> </w:t>
      </w:r>
      <w:r>
        <w:t xml:space="preserve">has the meaning ascribed in Article 15.</w:t>
      </w:r>
    </w:p>
    <w:p>
      <w:pPr>
        <w:pStyle w:val="BodyText"/>
      </w:pPr>
      <w:r>
        <w:rPr>
          <w:b/>
          <w:bCs/>
        </w:rPr>
        <w:t xml:space="preserve">"IBC"</w:t>
      </w:r>
      <w:r>
        <w:t xml:space="preserve"> </w:t>
      </w:r>
      <w:r>
        <w:t xml:space="preserve">means the Insolvency and Bankruptcy Code, 2016, as amended.</w:t>
      </w:r>
    </w:p>
    <w:p>
      <w:pPr>
        <w:pStyle w:val="BodyText"/>
      </w:pPr>
      <w:r>
        <w:rPr>
          <w:b/>
          <w:bCs/>
        </w:rPr>
        <w:t xml:space="preserve">"Report"</w:t>
      </w:r>
      <w:r>
        <w:t xml:space="preserve"> </w:t>
      </w:r>
      <w:r>
        <w:t xml:space="preserve">or</w:t>
      </w:r>
      <w:r>
        <w:t xml:space="preserve"> </w:t>
      </w:r>
      <w:r>
        <w:rPr>
          <w:b/>
          <w:bCs/>
        </w:rPr>
        <w:t xml:space="preserve">"Reports"</w:t>
      </w:r>
      <w:r>
        <w:t xml:space="preserve"> </w:t>
      </w:r>
      <w:r>
        <w:t xml:space="preserve">means the written deliverables including but not limited to due diligence reports, valuation reports, and transaction memoranda.</w:t>
      </w:r>
    </w:p>
    <w:p>
      <w:pPr>
        <w:pStyle w:val="BodyText"/>
      </w:pPr>
      <w:r>
        <w:rPr>
          <w:b/>
          <w:bCs/>
        </w:rPr>
        <w:t xml:space="preserve">"Services"</w:t>
      </w:r>
      <w:r>
        <w:t xml:space="preserve"> </w:t>
      </w:r>
      <w:r>
        <w:t xml:space="preserve">means all advisory services to be performed by the Consultant under this Agreement as described in Schedule A.</w:t>
      </w:r>
    </w:p>
    <w:p>
      <w:pPr>
        <w:pStyle w:val="BodyText"/>
      </w:pPr>
      <w:r>
        <w:rPr>
          <w:b/>
          <w:bCs/>
        </w:rPr>
        <w:t xml:space="preserve">"Term"</w:t>
      </w:r>
      <w:r>
        <w:t xml:space="preserve"> </w:t>
      </w:r>
      <w:r>
        <w:t xml:space="preserve">means the period from the Commencement Date until the earlier of: (a) six (6) months from Commencement Date; (b) completion of the Transaction; (c) termination in accordance with Article 13.</w:t>
      </w:r>
    </w:p>
    <w:p>
      <w:pPr>
        <w:pStyle w:val="BodyText"/>
      </w:pPr>
      <w:r>
        <w:rPr>
          <w:b/>
          <w:bCs/>
        </w:rPr>
        <w:t xml:space="preserve">"Transaction"</w:t>
      </w:r>
      <w:r>
        <w:t xml:space="preserve"> </w:t>
      </w:r>
      <w:r>
        <w:t xml:space="preserve">means the proposed acquisition by the Company, whether directly or through an Affiliate or special purpose vehicle, of distressed assets or stakes in resolution corporate debtors under the IBC, as more particularly described in Schedule B.</w:t>
      </w:r>
    </w:p>
    <w:p>
      <w:pPr>
        <w:pStyle w:val="BodyText"/>
      </w:pPr>
      <w:r>
        <w:rPr>
          <w:b/>
          <w:bCs/>
        </w:rPr>
        <w:t xml:space="preserve">"Transaction Value"</w:t>
      </w:r>
      <w:r>
        <w:t xml:space="preserve"> </w:t>
      </w:r>
      <w:r>
        <w:t xml:space="preserve">means the aggregate consideration paid or payable by the Company (or its nominee) for the Transaction, including cash, assumption of liabilities, and deferred consideration, but excluding the Consultant's Fees and expenses.</w:t>
      </w:r>
    </w:p>
    <w:bookmarkEnd w:id="11"/>
    <w:bookmarkStart w:id="12" w:name="interpretation"/>
    <w:p>
      <w:pPr>
        <w:pStyle w:val="Heading3"/>
      </w:pPr>
      <w:r>
        <w:t xml:space="preserve">1.2 Interpretation</w:t>
      </w:r>
    </w:p>
    <w:p>
      <w:pPr>
        <w:pStyle w:val="FirstParagraph"/>
      </w:pPr>
      <w:r>
        <w:t xml:space="preserve">In this Agreement, unless the context otherwise requires: (a) headings are for convenience only; (b) words importing the singular include the plural; (c) "include" and "including" are without limitation; (d) references to "Articles" and "Schedules" are to this Agreement; (e) "days" means calendar days unless stated as business days; (f) "writing" includes email where acknowledged.</w:t>
      </w:r>
    </w:p>
    <w:bookmarkEnd w:id="12"/>
    <w:bookmarkEnd w:id="13"/>
    <w:bookmarkStart w:id="17" w:name="X489aa6d9cb9a0a57f70f38785f2d9517d33e11b"/>
    <w:p>
      <w:pPr>
        <w:pStyle w:val="Heading2"/>
      </w:pPr>
      <w:r>
        <w:t xml:space="preserve">ARTICLE 2 — ENGAGEMENT AND SCOPE OF SERVICES</w:t>
      </w:r>
    </w:p>
    <w:bookmarkStart w:id="14" w:name="scope-of-services"/>
    <w:p>
      <w:pPr>
        <w:pStyle w:val="Heading3"/>
      </w:pPr>
      <w:r>
        <w:t xml:space="preserve">2.1 Scope of Services</w:t>
      </w:r>
    </w:p>
    <w:p>
      <w:pPr>
        <w:pStyle w:val="FirstParagraph"/>
      </w:pPr>
      <w:r>
        <w:t xml:space="preserve">The Consultant shall provide the following advisory services:</w:t>
      </w:r>
    </w:p>
    <w:p>
      <w:pPr>
        <w:pStyle w:val="Compact"/>
        <w:numPr>
          <w:ilvl w:val="0"/>
          <w:numId w:val="1001"/>
        </w:numPr>
      </w:pPr>
      <w:r>
        <w:rPr>
          <w:b/>
          <w:bCs/>
        </w:rPr>
        <w:t xml:space="preserve">Due Diligence:</w:t>
      </w:r>
      <w:r>
        <w:t xml:space="preserve"> </w:t>
      </w:r>
      <w:r>
        <w:t xml:space="preserve">Support in financial, legal, and operational due diligence of Target Assets; preparation of due diligence findings report; identification of key risks and mitigants;</w:t>
      </w:r>
    </w:p>
    <w:p>
      <w:pPr>
        <w:pStyle w:val="Compact"/>
        <w:numPr>
          <w:ilvl w:val="0"/>
          <w:numId w:val="1001"/>
        </w:numPr>
      </w:pPr>
      <w:r>
        <w:rPr>
          <w:b/>
          <w:bCs/>
        </w:rPr>
        <w:t xml:space="preserve">Valuation:</w:t>
      </w:r>
      <w:r>
        <w:t xml:space="preserve"> </w:t>
      </w:r>
      <w:r>
        <w:t xml:space="preserve">Independent valuation analysis using acceptable methodologies (DCF, comparable transactions, asset-based); preparation of valuation report for board and lender presentation;</w:t>
      </w:r>
    </w:p>
    <w:p>
      <w:pPr>
        <w:pStyle w:val="Compact"/>
        <w:numPr>
          <w:ilvl w:val="0"/>
          <w:numId w:val="1001"/>
        </w:numPr>
      </w:pPr>
      <w:r>
        <w:rPr>
          <w:b/>
          <w:bCs/>
        </w:rPr>
        <w:t xml:space="preserve">Transaction Structuring:</w:t>
      </w:r>
      <w:r>
        <w:t xml:space="preserve"> </w:t>
      </w:r>
      <w:r>
        <w:t xml:space="preserve">Advice on acquisition structure (direct, SPV, consortium); tax efficiency; regulatory approvals required;</w:t>
      </w:r>
    </w:p>
    <w:p>
      <w:pPr>
        <w:pStyle w:val="Compact"/>
        <w:numPr>
          <w:ilvl w:val="0"/>
          <w:numId w:val="1001"/>
        </w:numPr>
      </w:pPr>
      <w:r>
        <w:rPr>
          <w:b/>
          <w:bCs/>
        </w:rPr>
        <w:t xml:space="preserve">Regulatory Compliance:</w:t>
      </w:r>
      <w:r>
        <w:t xml:space="preserve"> </w:t>
      </w:r>
      <w:r>
        <w:t xml:space="preserve">Advice on SEBI (Substantial Acquisition of Shares and Takeovers) Regulations, RBI norms on NBFC/AMC investments, IBC provisions, Competition Act, 2002, and Foreign Exchange Management Act, 1999;</w:t>
      </w:r>
    </w:p>
    <w:p>
      <w:pPr>
        <w:pStyle w:val="Compact"/>
        <w:numPr>
          <w:ilvl w:val="0"/>
          <w:numId w:val="1001"/>
        </w:numPr>
      </w:pPr>
      <w:r>
        <w:rPr>
          <w:b/>
          <w:bCs/>
        </w:rPr>
        <w:t xml:space="preserve">Documentation Support:</w:t>
      </w:r>
      <w:r>
        <w:t xml:space="preserve"> </w:t>
      </w:r>
      <w:r>
        <w:t xml:space="preserve">Review of term sheets, shareholder agreements, and acquisition documents; drafting support for negotiation;</w:t>
      </w:r>
    </w:p>
    <w:p>
      <w:pPr>
        <w:pStyle w:val="Compact"/>
        <w:numPr>
          <w:ilvl w:val="0"/>
          <w:numId w:val="1001"/>
        </w:numPr>
      </w:pPr>
      <w:r>
        <w:rPr>
          <w:b/>
          <w:bCs/>
        </w:rPr>
        <w:t xml:space="preserve">Liaison:</w:t>
      </w:r>
      <w:r>
        <w:t xml:space="preserve"> </w:t>
      </w:r>
      <w:r>
        <w:t xml:space="preserve">Coordination with resolution professionals, lenders, and other stakeholders as reasonably requested.</w:t>
      </w:r>
    </w:p>
    <w:bookmarkEnd w:id="14"/>
    <w:bookmarkStart w:id="15" w:name="exclusions"/>
    <w:p>
      <w:pPr>
        <w:pStyle w:val="Heading3"/>
      </w:pPr>
      <w:r>
        <w:t xml:space="preserve">2.2 Exclusions</w:t>
      </w:r>
    </w:p>
    <w:p>
      <w:pPr>
        <w:pStyle w:val="FirstParagraph"/>
      </w:pPr>
      <w:r>
        <w:t xml:space="preserve">The following are expressly excluded unless separately agreed in writing: (a) legal opinions or advice (Company shall engage legal counsel); (b) tax opinions (Company shall engage tax advisors); (c) audit or attestation services; (d) financing arrangement; (e) guarantees or commitments on behalf of the Company.</w:t>
      </w:r>
    </w:p>
    <w:bookmarkEnd w:id="15"/>
    <w:bookmarkStart w:id="16" w:name="advisory-nature"/>
    <w:p>
      <w:pPr>
        <w:pStyle w:val="Heading3"/>
      </w:pPr>
      <w:r>
        <w:t xml:space="preserve">2.3 Advisory Nature</w:t>
      </w:r>
    </w:p>
    <w:p>
      <w:pPr>
        <w:pStyle w:val="FirstParagraph"/>
      </w:pPr>
      <w:r>
        <w:t xml:space="preserve">The Consultant's role is advisory only. All decisions regarding the Transaction, including whether to proceed, the structure, and the terms, shall be made solely by the Company. The Consultant shall not have authority to bind the Company.</w:t>
      </w:r>
    </w:p>
    <w:bookmarkEnd w:id="16"/>
    <w:bookmarkEnd w:id="17"/>
    <w:bookmarkStart w:id="21" w:name="article-3-deliverables-and-timeline"/>
    <w:p>
      <w:pPr>
        <w:pStyle w:val="Heading2"/>
      </w:pPr>
      <w:r>
        <w:t xml:space="preserve">ARTICLE 3 — DELIVERABLES AND TIMELINE</w:t>
      </w:r>
    </w:p>
    <w:bookmarkStart w:id="18" w:name="deliverables"/>
    <w:p>
      <w:pPr>
        <w:pStyle w:val="Heading3"/>
      </w:pPr>
      <w:r>
        <w:t xml:space="preserve">3.1 Deliverables</w:t>
      </w:r>
    </w:p>
    <w:p>
      <w:pPr>
        <w:pStyle w:val="FirstParagraph"/>
      </w:pPr>
      <w:r>
        <w:t xml:space="preserve">The Consultant shall deliver the following as set forth in Schedule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Target Date</w:t>
            </w:r>
          </w:p>
        </w:tc>
        <w:tc>
          <w:tcPr/>
          <w:p>
            <w:pPr>
              <w:pStyle w:val="Compact"/>
            </w:pPr>
            <w:r>
              <w:t xml:space="preserve">Format</w:t>
            </w:r>
          </w:p>
        </w:tc>
      </w:tr>
      <w:tr>
        <w:tc>
          <w:tcPr/>
          <w:p>
            <w:pPr>
              <w:pStyle w:val="Compact"/>
            </w:pPr>
            <w:r>
              <w:t xml:space="preserve">Project Plan &amp; Work Programme</w:t>
            </w:r>
          </w:p>
        </w:tc>
        <w:tc>
          <w:tcPr/>
          <w:p>
            <w:pPr>
              <w:pStyle w:val="Compact"/>
            </w:pPr>
            <w:r>
              <w:t xml:space="preserve">Within 15 days</w:t>
            </w:r>
          </w:p>
        </w:tc>
        <w:tc>
          <w:tcPr/>
          <w:p>
            <w:pPr>
              <w:pStyle w:val="Compact"/>
            </w:pPr>
            <w:r>
              <w:t xml:space="preserve">Written document</w:t>
            </w:r>
          </w:p>
        </w:tc>
      </w:tr>
      <w:tr>
        <w:tc>
          <w:tcPr/>
          <w:p>
            <w:pPr>
              <w:pStyle w:val="Compact"/>
            </w:pPr>
            <w:r>
              <w:t xml:space="preserve">Due Diligence Findings Report</w:t>
            </w:r>
          </w:p>
        </w:tc>
        <w:tc>
          <w:tcPr/>
          <w:p>
            <w:pPr>
              <w:pStyle w:val="Compact"/>
            </w:pPr>
            <w:r>
              <w:t xml:space="preserve">As per Schedule A</w:t>
            </w:r>
          </w:p>
        </w:tc>
        <w:tc>
          <w:tcPr/>
          <w:p>
            <w:pPr>
              <w:pStyle w:val="Compact"/>
            </w:pPr>
            <w:r>
              <w:t xml:space="preserve">Report with annexures</w:t>
            </w:r>
          </w:p>
        </w:tc>
      </w:tr>
      <w:tr>
        <w:tc>
          <w:tcPr/>
          <w:p>
            <w:pPr>
              <w:pStyle w:val="Compact"/>
            </w:pPr>
            <w:r>
              <w:t xml:space="preserve">Valuation Report</w:t>
            </w:r>
          </w:p>
        </w:tc>
        <w:tc>
          <w:tcPr/>
          <w:p>
            <w:pPr>
              <w:pStyle w:val="Compact"/>
            </w:pPr>
            <w:r>
              <w:t xml:space="preserve">Prior to bid submission</w:t>
            </w:r>
          </w:p>
        </w:tc>
        <w:tc>
          <w:tcPr/>
          <w:p>
            <w:pPr>
              <w:pStyle w:val="Compact"/>
            </w:pPr>
            <w:r>
              <w:t xml:space="preserve">Formal report per IVS</w:t>
            </w:r>
          </w:p>
        </w:tc>
      </w:tr>
      <w:tr>
        <w:tc>
          <w:tcPr/>
          <w:p>
            <w:pPr>
              <w:pStyle w:val="Compact"/>
            </w:pPr>
            <w:r>
              <w:t xml:space="preserve">Transaction Structure Memorandum</w:t>
            </w:r>
          </w:p>
        </w:tc>
        <w:tc>
          <w:tcPr/>
          <w:p>
            <w:pPr>
              <w:pStyle w:val="Compact"/>
            </w:pPr>
            <w:r>
              <w:t xml:space="preserve">As requested</w:t>
            </w:r>
          </w:p>
        </w:tc>
        <w:tc>
          <w:tcPr/>
          <w:p>
            <w:pPr>
              <w:pStyle w:val="Compact"/>
            </w:pPr>
            <w:r>
              <w:t xml:space="preserve">Written memo</w:t>
            </w:r>
          </w:p>
        </w:tc>
      </w:tr>
      <w:tr>
        <w:tc>
          <w:tcPr/>
          <w:p>
            <w:pPr>
              <w:pStyle w:val="Compact"/>
            </w:pPr>
            <w:r>
              <w:t xml:space="preserve">Regulatory Compliance Checklist</w:t>
            </w:r>
          </w:p>
        </w:tc>
        <w:tc>
          <w:tcPr/>
          <w:p>
            <w:pPr>
              <w:pStyle w:val="Compact"/>
            </w:pPr>
            <w:r>
              <w:t xml:space="preserve">Within 30 days</w:t>
            </w:r>
          </w:p>
        </w:tc>
        <w:tc>
          <w:tcPr/>
          <w:p>
            <w:pPr>
              <w:pStyle w:val="Compact"/>
            </w:pPr>
            <w:r>
              <w:t xml:space="preserve">Checklist with commentary</w:t>
            </w:r>
          </w:p>
        </w:tc>
      </w:tr>
      <w:tr>
        <w:tc>
          <w:tcPr/>
          <w:p>
            <w:pPr>
              <w:pStyle w:val="Compact"/>
            </w:pPr>
            <w:r>
              <w:t xml:space="preserve">Weekly Status Reports</w:t>
            </w:r>
          </w:p>
        </w:tc>
        <w:tc>
          <w:tcPr/>
          <w:p>
            <w:pPr>
              <w:pStyle w:val="Compact"/>
            </w:pPr>
            <w:r>
              <w:t xml:space="preserve">Every Monday</w:t>
            </w:r>
          </w:p>
        </w:tc>
        <w:tc>
          <w:tcPr/>
          <w:p>
            <w:pPr>
              <w:pStyle w:val="Compact"/>
            </w:pPr>
            <w:r>
              <w:t xml:space="preserve">Email/ written report</w:t>
            </w:r>
          </w:p>
        </w:tc>
      </w:tr>
      <w:tr>
        <w:tc>
          <w:tcPr/>
          <w:p>
            <w:pPr>
              <w:pStyle w:val="Compact"/>
            </w:pPr>
            <w:r>
              <w:t xml:space="preserve">Board Presentation Materials</w:t>
            </w:r>
          </w:p>
        </w:tc>
        <w:tc>
          <w:tcPr/>
          <w:p>
            <w:pPr>
              <w:pStyle w:val="Compact"/>
            </w:pPr>
            <w:r>
              <w:t xml:space="preserve">As requested</w:t>
            </w:r>
          </w:p>
        </w:tc>
        <w:tc>
          <w:tcPr/>
          <w:p>
            <w:pPr>
              <w:pStyle w:val="Compact"/>
            </w:pPr>
            <w:r>
              <w:t xml:space="preserve">PowerPoint/ PDF</w:t>
            </w:r>
          </w:p>
        </w:tc>
      </w:tr>
      <w:tr>
        <w:tc>
          <w:tcPr/>
          <w:p>
            <w:pPr>
              <w:pStyle w:val="Compact"/>
            </w:pPr>
            <w:r>
              <w:t xml:space="preserve">Final Transaction Summary</w:t>
            </w:r>
          </w:p>
        </w:tc>
        <w:tc>
          <w:tcPr/>
          <w:p>
            <w:pPr>
              <w:pStyle w:val="Compact"/>
            </w:pPr>
            <w:r>
              <w:t xml:space="preserve">Upon completion/ termination</w:t>
            </w:r>
          </w:p>
        </w:tc>
        <w:tc>
          <w:tcPr/>
          <w:p>
            <w:pPr>
              <w:pStyle w:val="Compact"/>
            </w:pPr>
            <w:r>
              <w:t xml:space="preserve">Written summary</w:t>
            </w:r>
          </w:p>
        </w:tc>
      </w:tr>
    </w:tbl>
    <w:bookmarkEnd w:id="18"/>
    <w:bookmarkStart w:id="19" w:name="quality-standards"/>
    <w:p>
      <w:pPr>
        <w:pStyle w:val="Heading3"/>
      </w:pPr>
      <w:r>
        <w:t xml:space="preserve">3.2 Quality Standards</w:t>
      </w:r>
    </w:p>
    <w:p>
      <w:pPr>
        <w:pStyle w:val="FirstParagraph"/>
      </w:pPr>
      <w:r>
        <w:t xml:space="preserve">All Deliverables shall be prepared with professional skill and care consistent with industry standards for M&amp;A advisory. Reports shall be based on information provided by the Company and publicly available sources. The Consultant shall clearly identify assumptions, limitations, and reliance on third-party information.</w:t>
      </w:r>
    </w:p>
    <w:bookmarkEnd w:id="19"/>
    <w:bookmarkStart w:id="20" w:name="revision"/>
    <w:p>
      <w:pPr>
        <w:pStyle w:val="Heading3"/>
      </w:pPr>
      <w:r>
        <w:t xml:space="preserve">3.3 Revision</w:t>
      </w:r>
    </w:p>
    <w:p>
      <w:pPr>
        <w:pStyle w:val="FirstParagraph"/>
      </w:pPr>
      <w:r>
        <w:t xml:space="preserve">The Company may request reasonable revisions to Deliverables within ten (10) days of receipt. One round of revisions per deliverable is included in the Fees. Additional revisions may be charged at ₹15,000 per person-day.</w:t>
      </w:r>
    </w:p>
    <w:bookmarkEnd w:id="20"/>
    <w:bookmarkEnd w:id="21"/>
    <w:bookmarkStart w:id="28" w:name="article-4-fees-payment-and-taxes"/>
    <w:p>
      <w:pPr>
        <w:pStyle w:val="Heading2"/>
      </w:pPr>
      <w:r>
        <w:t xml:space="preserve">ARTICLE 4 — FEES, PAYMENT, AND TAXES</w:t>
      </w:r>
    </w:p>
    <w:bookmarkStart w:id="22" w:name="professional-fees"/>
    <w:p>
      <w:pPr>
        <w:pStyle w:val="Heading3"/>
      </w:pPr>
      <w:r>
        <w:t xml:space="preserve">4.1 Professional Fees</w:t>
      </w:r>
    </w:p>
    <w:p>
      <w:pPr>
        <w:pStyle w:val="FirstParagraph"/>
      </w:pPr>
      <w:r>
        <w:t xml:space="preserve">Monthly retainer: ₹15,00,000 (Rupees Fifteen Lakhs) per month, payable in advance by the 5th of each month. The retainer covers estimated effort of 400 consultant-days over the Term. Effort in excess of 500 consultant-days in aggregate shall be billed at ₹12,000 per person-day.</w:t>
      </w:r>
    </w:p>
    <w:bookmarkEnd w:id="22"/>
    <w:bookmarkStart w:id="23" w:name="success-fee"/>
    <w:p>
      <w:pPr>
        <w:pStyle w:val="Heading3"/>
      </w:pPr>
      <w:r>
        <w:t xml:space="preserve">4.2 Success Fee</w:t>
      </w:r>
    </w:p>
    <w:p>
      <w:pPr>
        <w:pStyle w:val="FirstParagraph"/>
      </w:pPr>
      <w:r>
        <w:t xml:space="preserve">Upon successful closure of the Transaction, a success fee of 0.75% of the Transaction Value, subject to a minimum of ₹25,00,000 and a maximum of ₹1,50,00,000. Success fee payable within thirty (30) days of completion. "Completion" means execution of binding documents and payment of initial consideration.</w:t>
      </w:r>
    </w:p>
    <w:bookmarkEnd w:id="23"/>
    <w:bookmarkStart w:id="24" w:name="reimbursements"/>
    <w:p>
      <w:pPr>
        <w:pStyle w:val="Heading3"/>
      </w:pPr>
      <w:r>
        <w:t xml:space="preserve">4.3 Reimbursements</w:t>
      </w:r>
    </w:p>
    <w:p>
      <w:pPr>
        <w:pStyle w:val="FirstParagraph"/>
      </w:pPr>
      <w:r>
        <w:t xml:space="preserve">Out-of-pocket expenses exceeding ₹25,000 per item or ₹1,00,000 per month require prior written approval. Travel shall be economy class (or business class for journeys exceeding 6 hours). The Consultant shall provide supporting documentation for all reimbursable expenses.</w:t>
      </w:r>
    </w:p>
    <w:bookmarkEnd w:id="24"/>
    <w:bookmarkStart w:id="25" w:name="invoicing-and-payment"/>
    <w:p>
      <w:pPr>
        <w:pStyle w:val="Heading3"/>
      </w:pPr>
      <w:r>
        <w:t xml:space="preserve">4.4 Invoicing and Payment</w:t>
      </w:r>
    </w:p>
    <w:p>
      <w:pPr>
        <w:pStyle w:val="FirstParagraph"/>
      </w:pPr>
      <w:r>
        <w:t xml:space="preserve">The Consultant shall invoice monthly in arrears by the 1st of the following month. Payment terms: fifteen (15) days from invoice date. Late payment shall bear interest at eighteen percent (18%) per annum. Payment by NEFT/RTGS to the Consultant's designated bank account.</w:t>
      </w:r>
    </w:p>
    <w:bookmarkEnd w:id="25"/>
    <w:bookmarkStart w:id="26" w:name="taxes"/>
    <w:p>
      <w:pPr>
        <w:pStyle w:val="Heading3"/>
      </w:pPr>
      <w:r>
        <w:t xml:space="preserve">4.5 Taxes</w:t>
      </w:r>
    </w:p>
    <w:p>
      <w:pPr>
        <w:pStyle w:val="FirstParagraph"/>
      </w:pPr>
      <w:r>
        <w:t xml:space="preserve">All amounts exclusive of GST. GST at applicable rate (currently 18%) shall be payable in addition. The Consultant shall provide valid tax invoice with GSTIN. TDS under Income Tax Act, 1961 shall be as per applicable provisions.</w:t>
      </w:r>
    </w:p>
    <w:bookmarkEnd w:id="26"/>
    <w:bookmarkStart w:id="27" w:name="liability-cap"/>
    <w:p>
      <w:pPr>
        <w:pStyle w:val="Heading3"/>
      </w:pPr>
      <w:r>
        <w:t xml:space="preserve">4.6 Liability Cap</w:t>
      </w:r>
    </w:p>
    <w:p>
      <w:pPr>
        <w:pStyle w:val="FirstParagraph"/>
      </w:pPr>
      <w:r>
        <w:t xml:space="preserve">Except for fraud, wilful misconduct, or breach of confidentiality, the Consultant's aggregate liability shall not exceed the total Fees paid in the twelve (12) months preceding the claim (or total Fees if claim arises in first twelve months). Neither Party shall be liable for indirect, consequential, or punitive damages.</w:t>
      </w:r>
    </w:p>
    <w:bookmarkEnd w:id="27"/>
    <w:bookmarkEnd w:id="28"/>
    <w:bookmarkStart w:id="34" w:name="article-5-conflict-of-interest"/>
    <w:p>
      <w:pPr>
        <w:pStyle w:val="Heading2"/>
      </w:pPr>
      <w:r>
        <w:t xml:space="preserve">ARTICLE 5 — CONFLICT OF INTEREST</w:t>
      </w:r>
    </w:p>
    <w:bookmarkStart w:id="29" w:name="disclosure-obligation"/>
    <w:p>
      <w:pPr>
        <w:pStyle w:val="Heading3"/>
      </w:pPr>
      <w:r>
        <w:t xml:space="preserve">5.1 Disclosure Obligation</w:t>
      </w:r>
    </w:p>
    <w:p>
      <w:pPr>
        <w:pStyle w:val="FirstParagraph"/>
      </w:pPr>
      <w:r>
        <w:t xml:space="preserve">The Consultant shall, before accepting the engagement and throughout the Term, disclose to the Company in writing any actual or potential Conflict of Interest, including but not limited to:</w:t>
      </w:r>
    </w:p>
    <w:p>
      <w:pPr>
        <w:pStyle w:val="Compact"/>
        <w:numPr>
          <w:ilvl w:val="0"/>
          <w:numId w:val="1002"/>
        </w:numPr>
      </w:pPr>
      <w:r>
        <w:t xml:space="preserve">Current or recent (past 24 months) engagement with any seller, resolution professional, competing bidder, or Target Asset;</w:t>
      </w:r>
    </w:p>
    <w:p>
      <w:pPr>
        <w:pStyle w:val="Compact"/>
        <w:numPr>
          <w:ilvl w:val="0"/>
          <w:numId w:val="1002"/>
        </w:numPr>
      </w:pPr>
      <w:r>
        <w:t xml:space="preserve">Ownership of equity or debt in any party to the Transaction or Target Asset;</w:t>
      </w:r>
    </w:p>
    <w:p>
      <w:pPr>
        <w:pStyle w:val="Compact"/>
        <w:numPr>
          <w:ilvl w:val="0"/>
          <w:numId w:val="1002"/>
        </w:numPr>
      </w:pPr>
      <w:r>
        <w:t xml:space="preserve">Personal or familial relationship with key personnel of the Company, Target Asset, or competing bidders;</w:t>
      </w:r>
    </w:p>
    <w:p>
      <w:pPr>
        <w:pStyle w:val="Compact"/>
        <w:numPr>
          <w:ilvl w:val="0"/>
          <w:numId w:val="1002"/>
        </w:numPr>
      </w:pPr>
      <w:r>
        <w:t xml:space="preserve">Any other circumstance that could reasonably be perceived as impairing objectivity or independence.</w:t>
      </w:r>
    </w:p>
    <w:bookmarkEnd w:id="29"/>
    <w:bookmarkStart w:id="30" w:name="consequences"/>
    <w:p>
      <w:pPr>
        <w:pStyle w:val="Heading3"/>
      </w:pPr>
      <w:r>
        <w:t xml:space="preserve">5.2 Consequences</w:t>
      </w:r>
    </w:p>
    <w:p>
      <w:pPr>
        <w:pStyle w:val="FirstParagraph"/>
      </w:pPr>
      <w:r>
        <w:t xml:space="preserve">If a Conflict of Interest is disclosed and the Company determines it is acceptable, the Consultant may continue with such safeguards as the Company may specify. If the Company determines the conflict is unacceptable, the Consultant shall either (a) eliminate the conflict to the Company's satisfaction, or (b) the Company may terminate without liability for Fees for unperformed work. Failure to disclose a material conflict shall constitute material breach.</w:t>
      </w:r>
    </w:p>
    <w:bookmarkEnd w:id="30"/>
    <w:bookmarkStart w:id="31" w:name="no-adverse-engagement"/>
    <w:p>
      <w:pPr>
        <w:pStyle w:val="Heading3"/>
      </w:pPr>
      <w:r>
        <w:t xml:space="preserve">5.3 No Adverse Engagement</w:t>
      </w:r>
    </w:p>
    <w:p>
      <w:pPr>
        <w:pStyle w:val="FirstParagraph"/>
      </w:pPr>
      <w:r>
        <w:t xml:space="preserve">During the Term and for twelve (12) months thereafter, the Consultant shall not, without prior written consent, advise or assist any competing bidder or party adverse to the Company's interest in respect of the same Target Assets. This restriction does not prohibit the Consultant from advising other clients on unrelated transactions.</w:t>
      </w:r>
    </w:p>
    <w:bookmarkEnd w:id="31"/>
    <w:bookmarkStart w:id="32" w:name="ongoing-disclosure"/>
    <w:p>
      <w:pPr>
        <w:pStyle w:val="Heading3"/>
      </w:pPr>
      <w:r>
        <w:t xml:space="preserve">5.4 Ongoing Disclosure</w:t>
      </w:r>
    </w:p>
    <w:p>
      <w:pPr>
        <w:pStyle w:val="FirstParagraph"/>
      </w:pPr>
      <w:r>
        <w:t xml:space="preserve">The Consultant shall, upon becoming aware of any new Conflict of Interest during the Term, disclose the same in writing to the Company within five (5) business days. The Company shall have fifteen (15) days to evaluate and respond. Pending such response, the Consultant shall take such steps as are reasonable to avoid the conflict affecting the Services.</w:t>
      </w:r>
    </w:p>
    <w:bookmarkEnd w:id="32"/>
    <w:bookmarkStart w:id="33" w:name="chinese-walls"/>
    <w:p>
      <w:pPr>
        <w:pStyle w:val="Heading3"/>
      </w:pPr>
      <w:r>
        <w:t xml:space="preserve">5.5 Chinese Walls</w:t>
      </w:r>
    </w:p>
    <w:p>
      <w:pPr>
        <w:pStyle w:val="FirstParagraph"/>
      </w:pPr>
      <w:r>
        <w:t xml:space="preserve">Where the Consultant has other engagements that could create a conflict, it shall implement appropriate information barriers (Chinese walls) to ensure that personnel engaged on this assignment do not have access to confidential information from conflicting engagements, and vice versa. The Consultant shall confirm compliance upon Company request.</w:t>
      </w:r>
    </w:p>
    <w:bookmarkEnd w:id="33"/>
    <w:bookmarkEnd w:id="34"/>
    <w:bookmarkStart w:id="41" w:name="article-6-reporting-and-communication"/>
    <w:p>
      <w:pPr>
        <w:pStyle w:val="Heading2"/>
      </w:pPr>
      <w:r>
        <w:t xml:space="preserve">ARTICLE 6 — REPORTING AND COMMUNICATION</w:t>
      </w:r>
    </w:p>
    <w:bookmarkStart w:id="35" w:name="key-personnel"/>
    <w:p>
      <w:pPr>
        <w:pStyle w:val="Heading3"/>
      </w:pPr>
      <w:r>
        <w:t xml:space="preserve">6.1 Key Personnel</w:t>
      </w:r>
    </w:p>
    <w:p>
      <w:pPr>
        <w:pStyle w:val="FirstParagraph"/>
      </w:pPr>
      <w:r>
        <w:t xml:space="preserve">The Consultant shall designate a Relationship Partner (Ms. Meera Deshpande) and a dedicated Engagement Manager. Key personnel shall not be changed without prior notice to the Company. Replacement personnel shall have equivalent qualifications.</w:t>
      </w:r>
    </w:p>
    <w:bookmarkEnd w:id="35"/>
    <w:bookmarkStart w:id="36" w:name="status-reports"/>
    <w:p>
      <w:pPr>
        <w:pStyle w:val="Heading3"/>
      </w:pPr>
      <w:r>
        <w:t xml:space="preserve">6.2 Status Reports</w:t>
      </w:r>
    </w:p>
    <w:p>
      <w:pPr>
        <w:pStyle w:val="FirstParagraph"/>
      </w:pPr>
      <w:r>
        <w:t xml:space="preserve">Weekly written status reports every Monday, including: work completed during the week; work planned for the coming week; key findings or issues; risks and mitigants; any support required from the Company.</w:t>
      </w:r>
    </w:p>
    <w:bookmarkEnd w:id="36"/>
    <w:bookmarkStart w:id="37" w:name="steering-committee"/>
    <w:p>
      <w:pPr>
        <w:pStyle w:val="Heading3"/>
      </w:pPr>
      <w:r>
        <w:t xml:space="preserve">6.3 Steering Committee</w:t>
      </w:r>
    </w:p>
    <w:p>
      <w:pPr>
        <w:pStyle w:val="FirstParagraph"/>
      </w:pPr>
      <w:r>
        <w:t xml:space="preserve">Bi-monthly meetings (or as agreed) between Company representatives and Consultant to review progress, discuss findings, and align on next steps. Minutes shall be circulated within five (5) days.</w:t>
      </w:r>
    </w:p>
    <w:bookmarkEnd w:id="37"/>
    <w:bookmarkStart w:id="38" w:name="escalation"/>
    <w:p>
      <w:pPr>
        <w:pStyle w:val="Heading3"/>
      </w:pPr>
      <w:r>
        <w:t xml:space="preserve">6.4 Escalation</w:t>
      </w:r>
    </w:p>
    <w:p>
      <w:pPr>
        <w:pStyle w:val="FirstParagraph"/>
      </w:pPr>
      <w:r>
        <w:t xml:space="preserve">Material issues, including regulatory concerns, valuation discrepancies, or significant due diligence findings, shall be escalated promptly in writing to the Company's designated contact (Mr. Karan Manmohan).</w:t>
      </w:r>
    </w:p>
    <w:bookmarkEnd w:id="38"/>
    <w:bookmarkStart w:id="39" w:name="content-of-status-reports"/>
    <w:p>
      <w:pPr>
        <w:pStyle w:val="Heading3"/>
      </w:pPr>
      <w:r>
        <w:t xml:space="preserve">6.5 Content of Status Reports</w:t>
      </w:r>
    </w:p>
    <w:p>
      <w:pPr>
        <w:pStyle w:val="FirstParagraph"/>
      </w:pPr>
      <w:r>
        <w:t xml:space="preserve">Each weekly status report shall contain: (a) summary of activities performed; (b) hours expended by resource category; (c) cumulative hours vs. budget; (d) key findings or developments; (e) risks identified and mitigation steps; (f) deliverables completed and in progress; (g) dependencies on Company (information, decisions, access); (h) planned activities for the following week; (i) any Change Request or scope clarification needed.</w:t>
      </w:r>
    </w:p>
    <w:bookmarkEnd w:id="39"/>
    <w:bookmarkStart w:id="40" w:name="ad-hoc-reporting"/>
    <w:p>
      <w:pPr>
        <w:pStyle w:val="Heading3"/>
      </w:pPr>
      <w:r>
        <w:t xml:space="preserve">6.6 Ad-Hoc Reporting</w:t>
      </w:r>
    </w:p>
    <w:p>
      <w:pPr>
        <w:pStyle w:val="FirstParagraph"/>
      </w:pPr>
      <w:r>
        <w:t xml:space="preserve">In addition to scheduled reports, the Consultant shall promptly inform the Company of: (a) any material adverse finding in due diligence; (b) any regulatory development affecting the Transaction; (c) any approach from a competing bidder or conflicting party; (d) any circumstance that could give rise to a Conflict of Interest.</w:t>
      </w:r>
    </w:p>
    <w:bookmarkEnd w:id="40"/>
    <w:bookmarkEnd w:id="41"/>
    <w:bookmarkStart w:id="45" w:name="X39571d6c6645b9ce75bf9f1a6dd801ab4c02864"/>
    <w:p>
      <w:pPr>
        <w:pStyle w:val="Heading2"/>
      </w:pPr>
      <w:r>
        <w:t xml:space="preserve">ARTICLE 7 — INDEPENDENT CONTRACTOR AND PERSONNEL</w:t>
      </w:r>
    </w:p>
    <w:bookmarkStart w:id="42" w:name="status"/>
    <w:p>
      <w:pPr>
        <w:pStyle w:val="Heading3"/>
      </w:pPr>
      <w:r>
        <w:t xml:space="preserve">7.1 Status</w:t>
      </w:r>
    </w:p>
    <w:p>
      <w:pPr>
        <w:pStyle w:val="FirstParagraph"/>
      </w:pPr>
      <w:r>
        <w:t xml:space="preserve">The Consultant is an independent contractor. No employer-employee, principal-agent, or partnership relationship is created. The Consultant shall be solely responsible for its own taxes, provident fund, professional indemnity insurance, and statutory compliances. The Consultant shall have full discretion as to the manner and means of performing the Services, subject to this Agreement.</w:t>
      </w:r>
    </w:p>
    <w:bookmarkEnd w:id="42"/>
    <w:bookmarkStart w:id="43" w:name="key-personnel-and-substitution"/>
    <w:p>
      <w:pPr>
        <w:pStyle w:val="Heading3"/>
      </w:pPr>
      <w:r>
        <w:t xml:space="preserve">7.2 Key Personnel and Substitution</w:t>
      </w:r>
    </w:p>
    <w:p>
      <w:pPr>
        <w:pStyle w:val="FirstParagraph"/>
      </w:pPr>
      <w:r>
        <w:t xml:space="preserve">The Consultant shall assign the Relationship Partner and Engagement Manager as set forth in Annexure I. Key personnel shall not be removed or reassigned without prior written notice to the Company. In the event of unavoidable departure (resignation, illness, force majeure), the Consultant shall provide a replacement of equivalent qualification within fifteen (15) days. The Company may reject a replacement if it reasonably believes the replacement lacks necessary expertise; in such case, the Consultant shall propose an alternative.</w:t>
      </w:r>
    </w:p>
    <w:bookmarkEnd w:id="43"/>
    <w:bookmarkStart w:id="44" w:name="team-composition"/>
    <w:p>
      <w:pPr>
        <w:pStyle w:val="Heading3"/>
      </w:pPr>
      <w:r>
        <w:t xml:space="preserve">7.3 Team Composition</w:t>
      </w:r>
    </w:p>
    <w:p>
      <w:pPr>
        <w:pStyle w:val="FirstParagraph"/>
      </w:pPr>
      <w:r>
        <w:t xml:space="preserve">The Consultant shall maintain a core team of at least one (1) Partner or Director-level, one (1) Manager, and two (2) Analysts for the duration of the engagement. The Consultant may augment the team for specific deliverables (e.g., sector experts for valuation) with prior notice to the Company. All team members shall be bound by this Agreement's confidentiality and conflict provisions.</w:t>
      </w:r>
    </w:p>
    <w:bookmarkEnd w:id="44"/>
    <w:bookmarkEnd w:id="45"/>
    <w:bookmarkStart w:id="49" w:name="article-8-confidentiality"/>
    <w:p>
      <w:pPr>
        <w:pStyle w:val="Heading2"/>
      </w:pPr>
      <w:r>
        <w:t xml:space="preserve">ARTICLE 8 — CONFIDENTIALITY</w:t>
      </w:r>
    </w:p>
    <w:bookmarkStart w:id="46" w:name="confidential-information"/>
    <w:p>
      <w:pPr>
        <w:pStyle w:val="Heading3"/>
      </w:pPr>
      <w:r>
        <w:t xml:space="preserve">8.1 Confidential Information</w:t>
      </w:r>
    </w:p>
    <w:p>
      <w:pPr>
        <w:pStyle w:val="FirstParagraph"/>
      </w:pPr>
      <w:r>
        <w:t xml:space="preserve">"Confidential Information" means any non-public information disclosed by the Company (or on its behalf) to the Consultant, including financial data, transaction details, business plans, customer information, and the terms of this Agreement. Exclusions: publicly available information; rightfully known to Consultant prior to disclosure; independently developed; rightfully received from third party without restriction.</w:t>
      </w:r>
    </w:p>
    <w:bookmarkEnd w:id="46"/>
    <w:bookmarkStart w:id="47" w:name="obligations"/>
    <w:p>
      <w:pPr>
        <w:pStyle w:val="Heading3"/>
      </w:pPr>
      <w:r>
        <w:t xml:space="preserve">8.2 Obligations</w:t>
      </w:r>
    </w:p>
    <w:p>
      <w:pPr>
        <w:pStyle w:val="FirstParagraph"/>
      </w:pPr>
      <w:r>
        <w:t xml:space="preserve">The Consultant shall: (a) hold Confidential Information in strict confidence; (b) use it solely for performing the Services; (c) not disclose to third parties except to personnel on need-to-know basis subject to confidentiality; (d) return or destroy upon termination. Obligation survives for five (5) years from disclosure.</w:t>
      </w:r>
    </w:p>
    <w:bookmarkEnd w:id="47"/>
    <w:bookmarkStart w:id="48" w:name="compelled-disclosure"/>
    <w:p>
      <w:pPr>
        <w:pStyle w:val="Heading3"/>
      </w:pPr>
      <w:r>
        <w:t xml:space="preserve">8.3 Compelled Disclosure</w:t>
      </w:r>
    </w:p>
    <w:p>
      <w:pPr>
        <w:pStyle w:val="FirstParagraph"/>
      </w:pPr>
      <w:r>
        <w:t xml:space="preserve">If compelled by law to disclose, the Consultant shall give prompt notice and cooperate in seeking protective order. Disclosure limited to what is legally required.</w:t>
      </w:r>
    </w:p>
    <w:bookmarkEnd w:id="48"/>
    <w:bookmarkEnd w:id="49"/>
    <w:bookmarkStart w:id="50" w:name="article-9-intellectual-property"/>
    <w:p>
      <w:pPr>
        <w:pStyle w:val="Heading2"/>
      </w:pPr>
      <w:r>
        <w:t xml:space="preserve">ARTICLE 9 — INTELLECTUAL PROPERTY</w:t>
      </w:r>
    </w:p>
    <w:p>
      <w:pPr>
        <w:pStyle w:val="FirstParagraph"/>
      </w:pPr>
      <w:r>
        <w:t xml:space="preserve">All Deliverables and work product shall be the property of the Company upon payment of Fees. The Consultant assigns all rights, title, and interest therein to the Company. The Consultant retains the right to use general methodologies, templates, and know-how (excluding Company-specific information) for other engagements.</w:t>
      </w:r>
    </w:p>
    <w:bookmarkEnd w:id="50"/>
    <w:bookmarkStart w:id="54" w:name="article-10-indemnification"/>
    <w:p>
      <w:pPr>
        <w:pStyle w:val="Heading2"/>
      </w:pPr>
      <w:r>
        <w:t xml:space="preserve">ARTICLE 10 — INDEMNIFICATION</w:t>
      </w:r>
    </w:p>
    <w:bookmarkStart w:id="51" w:name="consultant-indemnity"/>
    <w:p>
      <w:pPr>
        <w:pStyle w:val="Heading3"/>
      </w:pPr>
      <w:r>
        <w:t xml:space="preserve">10.1 Consultant Indemnity</w:t>
      </w:r>
    </w:p>
    <w:p>
      <w:pPr>
        <w:pStyle w:val="FirstParagraph"/>
      </w:pPr>
      <w:r>
        <w:t xml:space="preserve">The Consultant shall indemnify the Company against claims arising from: (a) Consultant's negligence, breach, or wilful misconduct; (b) infringement of third-party IP by Consultant's pre-existing materials incorporated without consent; (c) Consultant's violation of law.</w:t>
      </w:r>
    </w:p>
    <w:bookmarkEnd w:id="51"/>
    <w:bookmarkStart w:id="52" w:name="company-indemnity"/>
    <w:p>
      <w:pPr>
        <w:pStyle w:val="Heading3"/>
      </w:pPr>
      <w:r>
        <w:t xml:space="preserve">10.2 Company Indemnity</w:t>
      </w:r>
    </w:p>
    <w:p>
      <w:pPr>
        <w:pStyle w:val="FirstParagraph"/>
      </w:pPr>
      <w:r>
        <w:t xml:space="preserve">The Company shall indemnify the Consultant against claims arising from: (a) Company's use of Deliverables; (b) Company's directions or instructions; (c) Company's breach; (d) information provided by the Company being inaccurate or misleading.</w:t>
      </w:r>
    </w:p>
    <w:bookmarkEnd w:id="52"/>
    <w:bookmarkStart w:id="53" w:name="procedure"/>
    <w:p>
      <w:pPr>
        <w:pStyle w:val="Heading3"/>
      </w:pPr>
      <w:r>
        <w:t xml:space="preserve">10.3 Procedure</w:t>
      </w:r>
    </w:p>
    <w:p>
      <w:pPr>
        <w:pStyle w:val="FirstParagraph"/>
      </w:pPr>
      <w:r>
        <w:t xml:space="preserve">Indemnified party shall give prompt notice, cooperate in defence, and permit indemnifying party to control. No settlement affecting indemnified party's rights without consent.</w:t>
      </w:r>
    </w:p>
    <w:bookmarkEnd w:id="53"/>
    <w:bookmarkEnd w:id="54"/>
    <w:bookmarkStart w:id="55" w:name="article-11-warranties-and-disclaimers"/>
    <w:p>
      <w:pPr>
        <w:pStyle w:val="Heading2"/>
      </w:pPr>
      <w:r>
        <w:t xml:space="preserve">ARTICLE 11 — WARRANTIES AND DISCLAIMERS</w:t>
      </w:r>
    </w:p>
    <w:p>
      <w:pPr>
        <w:pStyle w:val="FirstParagraph"/>
      </w:pPr>
      <w:r>
        <w:t xml:space="preserve">The Consultant represents and warrants that: (a) it has the full right and authority to enter this Agreement; (b) it will perform the Services with professional skill and care; (c) it will comply with applicable laws; (d) it has disclosed all material Conflicts of Interest known as of the Effective Date; (e) its personnel have the requisite qualifications. EXCEPT AS EXPRESSLY STATED, THE SERVICES AND DELIVERABLES ARE PROVIDED "AS IS". The Consultant disclaims all other warranties, express or implied, including merchantability and fitness for a particular purpose. The Company acknowledges that the Consultant's advice is based on information provided and assumptions stated; the Consultant does not guarantee outcomes.</w:t>
      </w:r>
    </w:p>
    <w:bookmarkEnd w:id="55"/>
    <w:bookmarkStart w:id="60" w:name="article-12-termination"/>
    <w:p>
      <w:pPr>
        <w:pStyle w:val="Heading2"/>
      </w:pPr>
      <w:r>
        <w:t xml:space="preserve">ARTICLE 12 — TERMINATION</w:t>
      </w:r>
    </w:p>
    <w:bookmarkStart w:id="56" w:name="termination-for-convenience"/>
    <w:p>
      <w:pPr>
        <w:pStyle w:val="Heading3"/>
      </w:pPr>
      <w:r>
        <w:t xml:space="preserve">12.1 Termination for Convenience</w:t>
      </w:r>
    </w:p>
    <w:p>
      <w:pPr>
        <w:pStyle w:val="FirstParagraph"/>
      </w:pPr>
      <w:r>
        <w:t xml:space="preserve">Either Party may terminate with thirty (30) days' prior written notice. Upon termination, the Company shall pay: (a) Fees for services rendered and expenses incurred; (b) proportionate retainer for the month of termination.</w:t>
      </w:r>
    </w:p>
    <w:bookmarkEnd w:id="56"/>
    <w:bookmarkStart w:id="57" w:name="termination-for-cause"/>
    <w:p>
      <w:pPr>
        <w:pStyle w:val="Heading3"/>
      </w:pPr>
      <w:r>
        <w:t xml:space="preserve">12.2 Termination for Cause</w:t>
      </w:r>
    </w:p>
    <w:p>
      <w:pPr>
        <w:pStyle w:val="FirstParagraph"/>
      </w:pPr>
      <w:r>
        <w:t xml:space="preserve">Either Party may terminate immediately for: (a) material breach not cured within fifteen (15) days of written notice; (b) insolvency or winding-up; (c) professional misconduct or fraud; (d) material Conflict of Interest not disclosed or not remedied.</w:t>
      </w:r>
    </w:p>
    <w:bookmarkEnd w:id="57"/>
    <w:bookmarkStart w:id="58" w:name="effect-of-termination"/>
    <w:p>
      <w:pPr>
        <w:pStyle w:val="Heading3"/>
      </w:pPr>
      <w:r>
        <w:t xml:space="preserve">12.3 Effect of Termination</w:t>
      </w:r>
    </w:p>
    <w:p>
      <w:pPr>
        <w:pStyle w:val="FirstParagraph"/>
      </w:pPr>
      <w:r>
        <w:t xml:space="preserve">Upon termination: Consultant shall deliver all work product and return Confidential Information within ten (10) days. Articles 4 (amounts due), 5.3, 8, 9, 10, 11, 12.3, 13, 14, 15, and 16 shall survive.</w:t>
      </w:r>
    </w:p>
    <w:bookmarkEnd w:id="58"/>
    <w:bookmarkStart w:id="59" w:name="transition"/>
    <w:p>
      <w:pPr>
        <w:pStyle w:val="Heading3"/>
      </w:pPr>
      <w:r>
        <w:t xml:space="preserve">12.4 Transition</w:t>
      </w:r>
    </w:p>
    <w:p>
      <w:pPr>
        <w:pStyle w:val="FirstParagraph"/>
      </w:pPr>
      <w:r>
        <w:t xml:space="preserve">Upon termination, the Consultant shall provide reasonable transition assistance for up to fifteen (15) days at the Company's request, at the standard daily rate. The Consultant shall hand over work papers, drafts, and materials in an organized manner. The Company shall have the right to engage another advisor to complete the work.</w:t>
      </w:r>
    </w:p>
    <w:bookmarkEnd w:id="59"/>
    <w:bookmarkEnd w:id="60"/>
    <w:bookmarkStart w:id="61" w:name="article-13-insurance"/>
    <w:p>
      <w:pPr>
        <w:pStyle w:val="Heading2"/>
      </w:pPr>
      <w:r>
        <w:t xml:space="preserve">ARTICLE 13 — INSURANCE</w:t>
      </w:r>
    </w:p>
    <w:p>
      <w:pPr>
        <w:pStyle w:val="FirstParagraph"/>
      </w:pPr>
      <w:r>
        <w:t xml:space="preserve">The Consultant shall maintain professional indemnity insurance with minimum coverage of ₹1,00,00,000 during the Term and for two (2) years thereafter. Certificate of insurance shall be provided upon request.</w:t>
      </w:r>
    </w:p>
    <w:bookmarkEnd w:id="61"/>
    <w:bookmarkStart w:id="62" w:name="article-14-force-majeure"/>
    <w:p>
      <w:pPr>
        <w:pStyle w:val="Heading2"/>
      </w:pPr>
      <w:r>
        <w:t xml:space="preserve">ARTICLE 14 — FORCE MAJEURE</w:t>
      </w:r>
    </w:p>
    <w:p>
      <w:pPr>
        <w:pStyle w:val="FirstParagraph"/>
      </w:pPr>
      <w:r>
        <w:t xml:space="preserve">Neither Party shall be liable for failure or delay due to circumstances beyond reasonable control, including act of God, war, terrorism, pandemic, government action, or natural disaster ("Force Majeure"). Affected party shall notify within five (5) days and use reasonable efforts to mitigate. If Force Majeure continues beyond forty-five (45) days, either Party may terminate by written notice; the Company shall pay for services rendered and expenses incurred.</w:t>
      </w:r>
    </w:p>
    <w:bookmarkEnd w:id="62"/>
    <w:bookmarkStart w:id="65" w:name="X2411f80f2ec96c9cc27c892c78cc0c72304f5f0"/>
    <w:p>
      <w:pPr>
        <w:pStyle w:val="Heading2"/>
      </w:pPr>
      <w:r>
        <w:t xml:space="preserve">ARTICLE 15 — GOVERNING LAW AND DISPUTE RESOLUTION</w:t>
      </w:r>
    </w:p>
    <w:bookmarkStart w:id="63" w:name="governing-law"/>
    <w:p>
      <w:pPr>
        <w:pStyle w:val="Heading3"/>
      </w:pPr>
      <w:r>
        <w:t xml:space="preserve">15.1 Governing Law</w:t>
      </w:r>
    </w:p>
    <w:p>
      <w:pPr>
        <w:pStyle w:val="FirstParagraph"/>
      </w:pPr>
      <w:r>
        <w:t xml:space="preserve">This Agreement is governed by the Indian Contract Act, 1872 and the laws of India. Courts at Mumbai shall have exclusive jurisdiction for interim relief.</w:t>
      </w:r>
    </w:p>
    <w:bookmarkEnd w:id="63"/>
    <w:bookmarkStart w:id="64" w:name="arbitration"/>
    <w:p>
      <w:pPr>
        <w:pStyle w:val="Heading3"/>
      </w:pPr>
      <w:r>
        <w:t xml:space="preserve">15.2 Arbitration</w:t>
      </w:r>
    </w:p>
    <w:p>
      <w:pPr>
        <w:pStyle w:val="FirstParagraph"/>
      </w:pPr>
      <w:r>
        <w:t xml:space="preserve">Any dispute shall first be subject to good-faith negotiation between senior representatives for thirty (30) days. Failing resolution, the dispute shall be referred to arbitration under the Arbitration and Conciliation Act, 1996. Sole arbitrator mutually appointed; failing agreement, by the High Court of Bombay. Seat: Mumbai. Language: English. Award final and binding.</w:t>
      </w:r>
    </w:p>
    <w:bookmarkEnd w:id="64"/>
    <w:bookmarkEnd w:id="65"/>
    <w:bookmarkStart w:id="69" w:name="article-16-general-provisions"/>
    <w:p>
      <w:pPr>
        <w:pStyle w:val="Heading2"/>
      </w:pPr>
      <w:r>
        <w:t xml:space="preserve">ARTICLE 16 — GENERAL PROVISIONS</w:t>
      </w:r>
    </w:p>
    <w:p>
      <w:pPr>
        <w:pStyle w:val="FirstParagraph"/>
      </w:pPr>
      <w:r>
        <w:t xml:space="preserve">Entire agreement. Amendments in writing. Severability. No assignment without consent (except to Affiliate or in M&amp;A). Notices to registered address by registered post or email. Counterparts and electronic signatures valid.</w:t>
      </w:r>
    </w:p>
    <w:bookmarkStart w:id="66" w:name="relationship"/>
    <w:p>
      <w:pPr>
        <w:pStyle w:val="Heading3"/>
      </w:pPr>
      <w:r>
        <w:t xml:space="preserve">16.1 Relationship</w:t>
      </w:r>
    </w:p>
    <w:p>
      <w:pPr>
        <w:pStyle w:val="FirstParagraph"/>
      </w:pPr>
      <w:r>
        <w:t xml:space="preserve">The Consultant is an independent contractor. No partnership, joint venture, or agency. The Consultant has no authority to bind the Company. The Consultant shall not hold itself out as an agent of the Company.</w:t>
      </w:r>
    </w:p>
    <w:bookmarkEnd w:id="66"/>
    <w:bookmarkStart w:id="67" w:name="publicity"/>
    <w:p>
      <w:pPr>
        <w:pStyle w:val="Heading3"/>
      </w:pPr>
      <w:r>
        <w:t xml:space="preserve">16.2 Publicity</w:t>
      </w:r>
    </w:p>
    <w:p>
      <w:pPr>
        <w:pStyle w:val="FirstParagraph"/>
      </w:pPr>
      <w:r>
        <w:t xml:space="preserve">The Consultant shall not issue any press release or make any public statement regarding the engagement or the Transaction without the Company's prior written consent. The Consultant may include the Company in its client list for marketing purposes after completion of the Transaction, subject to the Company's consent.</w:t>
      </w:r>
    </w:p>
    <w:bookmarkEnd w:id="67"/>
    <w:bookmarkStart w:id="68" w:name="compliance-with-laws"/>
    <w:p>
      <w:pPr>
        <w:pStyle w:val="Heading3"/>
      </w:pPr>
      <w:r>
        <w:t xml:space="preserve">16.3 Compliance with Laws</w:t>
      </w:r>
    </w:p>
    <w:p>
      <w:pPr>
        <w:pStyle w:val="FirstParagraph"/>
      </w:pPr>
      <w:r>
        <w:t xml:space="preserve">Each Party shall comply with all applicable laws including anti-bribery (Prevention of Corruption Act, 1988), anti-money laundering (PMLA), and data protection. The Consultant shall not make any payment to government officials or other persons that could constitute bribery. The Company shall provide necessary information for the Consultant to conduct appropriate due diligence.</w:t>
      </w:r>
    </w:p>
    <w:bookmarkEnd w:id="68"/>
    <w:bookmarkEnd w:id="69"/>
    <w:bookmarkStart w:id="76" w:name="Xd1642ed42584aa3a3a0eaf2bb73d5f0f367d609"/>
    <w:p>
      <w:pPr>
        <w:pStyle w:val="Heading2"/>
      </w:pPr>
      <w:r>
        <w:t xml:space="preserve">SCHEDULE A — DELIVERABLES AND WORK PROGRAMME</w:t>
      </w:r>
    </w:p>
    <w:bookmarkStart w:id="70" w:name="a.1-deliverables-detail"/>
    <w:p>
      <w:pPr>
        <w:pStyle w:val="Heading3"/>
      </w:pPr>
      <w:r>
        <w:t xml:space="preserve">A.1 Deliverables Detail</w:t>
      </w:r>
    </w:p>
    <w:p>
      <w:pPr>
        <w:pStyle w:val="FirstParagraph"/>
      </w:pPr>
      <w:r>
        <w:rPr>
          <w:b/>
          <w:bCs/>
        </w:rPr>
        <w:t xml:space="preserve">Project Plan:</w:t>
      </w:r>
      <w:r>
        <w:t xml:space="preserve"> </w:t>
      </w:r>
      <w:r>
        <w:t xml:space="preserve">Work programme, resource allocation, timeline, milestones, dependencies.</w:t>
      </w:r>
      <w:r>
        <w:t xml:space="preserve"> </w:t>
      </w:r>
      <w:r>
        <w:rPr>
          <w:b/>
          <w:bCs/>
        </w:rPr>
        <w:t xml:space="preserve">Due Diligence Report:</w:t>
      </w:r>
      <w:r>
        <w:t xml:space="preserve"> </w:t>
      </w:r>
      <w:r>
        <w:t xml:space="preserve">Executive summary; financial analysis; legal/regulatory overview; operational review; key risks and recommendations; annexures with supporting data.</w:t>
      </w:r>
      <w:r>
        <w:t xml:space="preserve"> </w:t>
      </w:r>
      <w:r>
        <w:rPr>
          <w:b/>
          <w:bCs/>
        </w:rPr>
        <w:t xml:space="preserve">Valuation Report:</w:t>
      </w:r>
      <w:r>
        <w:t xml:space="preserve"> </w:t>
      </w:r>
      <w:r>
        <w:t xml:space="preserve">Prepared in accordance with ICAI Valuation Standards; methodology; key assumptions; sensitivity analysis; conclusion.</w:t>
      </w:r>
      <w:r>
        <w:t xml:space="preserve"> </w:t>
      </w:r>
      <w:r>
        <w:rPr>
          <w:b/>
          <w:bCs/>
        </w:rPr>
        <w:t xml:space="preserve">Transaction Structure Memo:</w:t>
      </w:r>
      <w:r>
        <w:t xml:space="preserve"> </w:t>
      </w:r>
      <w:r>
        <w:t xml:space="preserve">Recommended structure; regulatory approvals; tax implications; timeline.</w:t>
      </w:r>
      <w:r>
        <w:t xml:space="preserve"> </w:t>
      </w:r>
      <w:r>
        <w:rPr>
          <w:b/>
          <w:bCs/>
        </w:rPr>
        <w:t xml:space="preserve">Regulatory Checklist:</w:t>
      </w:r>
      <w:r>
        <w:t xml:space="preserve"> </w:t>
      </w:r>
      <w:r>
        <w:t xml:space="preserve">SEBI, RBI, IBC, Competition Act, FEMA requirements; approval timelines; documentary requirements.</w:t>
      </w:r>
    </w:p>
    <w:bookmarkEnd w:id="70"/>
    <w:bookmarkStart w:id="71" w:name="a.2-reporting-templates"/>
    <w:p>
      <w:pPr>
        <w:pStyle w:val="Heading3"/>
      </w:pPr>
      <w:r>
        <w:t xml:space="preserve">A.2 Reporting Templates</w:t>
      </w:r>
    </w:p>
    <w:p>
      <w:pPr>
        <w:pStyle w:val="FirstParagraph"/>
      </w:pPr>
      <w:r>
        <w:t xml:space="preserve">Weekly status report format: Project overview; completed tasks; in-progress tasks; upcoming tasks; risks/issues; support required; hours incurred.</w:t>
      </w:r>
    </w:p>
    <w:bookmarkEnd w:id="71"/>
    <w:bookmarkStart w:id="72" w:name="a.3-due-diligence-report-structure"/>
    <w:p>
      <w:pPr>
        <w:pStyle w:val="Heading3"/>
      </w:pPr>
      <w:r>
        <w:t xml:space="preserve">A.3 Due Diligence Report Structure</w:t>
      </w:r>
    </w:p>
    <w:p>
      <w:pPr>
        <w:pStyle w:val="FirstParagraph"/>
      </w:pPr>
      <w:r>
        <w:t xml:space="preserve">The Due Diligence Findings Report shall comprise: (i) Executive Summary – key findings, risks, recommendations; (ii) Financial Analysis – review of historical financials, quality of earnings, working capital, debt and contingent liabilities; (iii) Legal &amp; Regulatory – material contracts, litigation, compliance, permits; (iv) Operational – key assets, customers, suppliers, management; (v) Tax – assessments, disputes, structuring opportunities; (vi) Human Resources – key personnel, employee claims, compliance; (vii) Information Technology – systems, data, cybersecurity; (viii) Environmental &amp; Social – compliance, liabilities; (ix) Annexures with supporting data.</w:t>
      </w:r>
    </w:p>
    <w:bookmarkEnd w:id="72"/>
    <w:bookmarkStart w:id="73" w:name="a.4-valuation-report-requirements"/>
    <w:p>
      <w:pPr>
        <w:pStyle w:val="Heading3"/>
      </w:pPr>
      <w:r>
        <w:t xml:space="preserve">A.4 Valuation Report Requirements</w:t>
      </w:r>
    </w:p>
    <w:p>
      <w:pPr>
        <w:pStyle w:val="FirstParagraph"/>
      </w:pPr>
      <w:r>
        <w:t xml:space="preserve">The Valuation Report shall be prepared in accordance with ICAI Valuation Standards and shall include: (a) scope and purpose; (b) valuation date; (c) information and assumptions; (d) methodology selected (DCF, market approach, asset approach) with rationale; (e) key inputs (growth rates, discount rate, multiples); (f) sensitivity analysis; (g) conclusion and valuation range; (h) limitations. The Report shall be suitable for board presentation and lender review.</w:t>
      </w:r>
    </w:p>
    <w:bookmarkEnd w:id="73"/>
    <w:bookmarkStart w:id="74" w:name="a.5-transaction-structure-memorandum"/>
    <w:p>
      <w:pPr>
        <w:pStyle w:val="Heading3"/>
      </w:pPr>
      <w:r>
        <w:t xml:space="preserve">A.5 Transaction Structure Memorandum</w:t>
      </w:r>
    </w:p>
    <w:p>
      <w:pPr>
        <w:pStyle w:val="FirstParagraph"/>
      </w:pPr>
      <w:r>
        <w:t xml:space="preserve">The Memorandum shall address: (a) recommended acquisition structure (direct, SPV, consortium); (b) regulatory approvals required (CCI, RBI, sectoral); (c) tax implications (capital gains, stamp duty, GST); (d) funding structure; (e) timeline for key milestones; (f) key risks and mitigants. The Memorandum shall be updated as the Transaction evolves.</w:t>
      </w:r>
    </w:p>
    <w:bookmarkEnd w:id="74"/>
    <w:bookmarkStart w:id="75" w:name="a.6-regulatory-compliance-checklist"/>
    <w:p>
      <w:pPr>
        <w:pStyle w:val="Heading3"/>
      </w:pPr>
      <w:r>
        <w:t xml:space="preserve">A.6 Regulatory Compliance Checklist</w:t>
      </w:r>
    </w:p>
    <w:p>
      <w:pPr>
        <w:pStyle w:val="FirstParagraph"/>
      </w:pPr>
      <w:r>
        <w:t xml:space="preserve">The Checklist shall cover: SEBI (Takeover) Regulations – triggers, disclosure, tender offer; RBI – NPA acquisition norms, NBFC/AMC investment limits; IBC – resolution plan requirements, NCLT process; Competition Act – combination notification thresholds; FEMA – foreign investment, overseas investment; Companies Act – related party, corporate approval; sector-specific regulations. For each, the Checklist shall state: applicable; timeline; documents required; responsible party.</w:t>
      </w:r>
    </w:p>
    <w:bookmarkEnd w:id="75"/>
    <w:bookmarkEnd w:id="76"/>
    <w:bookmarkStart w:id="77" w:name="schedule-b-transaction-description"/>
    <w:p>
      <w:pPr>
        <w:pStyle w:val="Heading2"/>
      </w:pPr>
      <w:r>
        <w:t xml:space="preserve">SCHEDULE B — TRANSACTION DESCRIPTION</w:t>
      </w:r>
    </w:p>
    <w:p>
      <w:pPr>
        <w:pStyle w:val="FirstParagraph"/>
      </w:pPr>
      <w:r>
        <w:rPr>
          <w:b/>
          <w:bCs/>
        </w:rPr>
        <w:t xml:space="preserve">Target:</w:t>
      </w:r>
      <w:r>
        <w:t xml:space="preserve"> </w:t>
      </w:r>
      <w:r>
        <w:t xml:space="preserve">Portfolio of stressed/ distressed assets being resolved under IBC or available for acquisition through NCLT process or bilateral negotiation.</w:t>
      </w:r>
      <w:r>
        <w:t xml:space="preserve"> </w:t>
      </w:r>
      <w:r>
        <w:rPr>
          <w:b/>
          <w:bCs/>
        </w:rPr>
        <w:t xml:space="preserve">Geography:</w:t>
      </w:r>
      <w:r>
        <w:t xml:space="preserve"> </w:t>
      </w:r>
      <w:r>
        <w:t xml:space="preserve">India.</w:t>
      </w:r>
      <w:r>
        <w:t xml:space="preserve"> </w:t>
      </w:r>
      <w:r>
        <w:rPr>
          <w:b/>
          <w:bCs/>
        </w:rPr>
        <w:t xml:space="preserve">Sectors:</w:t>
      </w:r>
      <w:r>
        <w:t xml:space="preserve"> </w:t>
      </w:r>
      <w:r>
        <w:t xml:space="preserve">Manufacturing, real estate, infrastructure, or as identified.</w:t>
      </w:r>
      <w:r>
        <w:t xml:space="preserve"> </w:t>
      </w:r>
      <w:r>
        <w:rPr>
          <w:b/>
          <w:bCs/>
        </w:rPr>
        <w:t xml:space="preserve">Expected Timeline:</w:t>
      </w:r>
      <w:r>
        <w:t xml:space="preserve"> </w:t>
      </w:r>
      <w:r>
        <w:t xml:space="preserve">Identification and shortlisting: Months 1-2; Due diligence: Months 2-4; Valuation and structuring: Months 3-4; Bid and negotiation: Months 4-6.</w:t>
      </w:r>
      <w:r>
        <w:t xml:space="preserve"> </w:t>
      </w:r>
      <w:r>
        <w:rPr>
          <w:b/>
          <w:bCs/>
        </w:rPr>
        <w:t xml:space="preserve">Company Contact:</w:t>
      </w:r>
      <w:r>
        <w:t xml:space="preserve"> </w:t>
      </w:r>
      <w:r>
        <w:t xml:space="preserve">Mr. Karan Manmohan, Managing Director.</w:t>
      </w:r>
    </w:p>
    <w:bookmarkEnd w:id="77"/>
    <w:bookmarkStart w:id="78" w:name="schedule-c-fee-and-expense-details"/>
    <w:p>
      <w:pPr>
        <w:pStyle w:val="Heading2"/>
      </w:pPr>
      <w:r>
        <w:t xml:space="preserve">SCHEDULE C — FEE AND EXPENSE DETAILS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 Rate</w:t>
            </w:r>
          </w:p>
        </w:tc>
        <w:tc>
          <w:tcPr/>
          <w:p>
            <w:pPr>
              <w:pStyle w:val="Compact"/>
            </w:pPr>
            <w:r>
              <w:t xml:space="preserve">Notes</w:t>
            </w:r>
          </w:p>
        </w:tc>
      </w:tr>
      <w:tr>
        <w:tc>
          <w:tcPr/>
          <w:p>
            <w:pPr>
              <w:pStyle w:val="Compact"/>
            </w:pPr>
            <w:r>
              <w:t xml:space="preserve">Monthly Retainer</w:t>
            </w:r>
          </w:p>
        </w:tc>
        <w:tc>
          <w:tcPr/>
          <w:p>
            <w:pPr>
              <w:pStyle w:val="Compact"/>
            </w:pPr>
            <w:r>
              <w:t xml:space="preserve">₹15,00,000</w:t>
            </w:r>
          </w:p>
        </w:tc>
        <w:tc>
          <w:tcPr/>
          <w:p>
            <w:pPr>
              <w:pStyle w:val="Compact"/>
            </w:pPr>
            <w:r>
              <w:t xml:space="preserve">Payable in advance</w:t>
            </w:r>
          </w:p>
        </w:tc>
      </w:tr>
      <w:tr>
        <w:tc>
          <w:tcPr/>
          <w:p>
            <w:pPr>
              <w:pStyle w:val="Compact"/>
            </w:pPr>
            <w:r>
              <w:t xml:space="preserve">Success Fee</w:t>
            </w:r>
          </w:p>
        </w:tc>
        <w:tc>
          <w:tcPr/>
          <w:p>
            <w:pPr>
              <w:pStyle w:val="Compact"/>
            </w:pPr>
            <w:r>
              <w:t xml:space="preserve">0.75% of Transaction Value</w:t>
            </w:r>
          </w:p>
        </w:tc>
        <w:tc>
          <w:tcPr/>
          <w:p>
            <w:pPr>
              <w:pStyle w:val="Compact"/>
            </w:pPr>
            <w:r>
              <w:t xml:space="preserve">Min ₹25L, Max ₹1.5 Cr</w:t>
            </w:r>
          </w:p>
        </w:tc>
      </w:tr>
      <w:tr>
        <w:tc>
          <w:tcPr/>
          <w:p>
            <w:pPr>
              <w:pStyle w:val="Compact"/>
            </w:pPr>
            <w:r>
              <w:t xml:space="preserve">Excess Days</w:t>
            </w:r>
          </w:p>
        </w:tc>
        <w:tc>
          <w:tcPr/>
          <w:p>
            <w:pPr>
              <w:pStyle w:val="Compact"/>
            </w:pPr>
            <w:r>
              <w:t xml:space="preserve">₹12,000/ person-day</w:t>
            </w:r>
          </w:p>
        </w:tc>
        <w:tc>
          <w:tcPr/>
          <w:p>
            <w:pPr>
              <w:pStyle w:val="Compact"/>
            </w:pPr>
            <w:r>
              <w:t xml:space="preserve">Over 500 days total</w:t>
            </w:r>
          </w:p>
        </w:tc>
      </w:tr>
      <w:tr>
        <w:tc>
          <w:tcPr/>
          <w:p>
            <w:pPr>
              <w:pStyle w:val="Compact"/>
            </w:pPr>
            <w:r>
              <w:t xml:space="preserve">Revision (extra)</w:t>
            </w:r>
          </w:p>
        </w:tc>
        <w:tc>
          <w:tcPr/>
          <w:p>
            <w:pPr>
              <w:pStyle w:val="Compact"/>
            </w:pPr>
            <w:r>
              <w:t xml:space="preserve">₹15,000/ person-day</w:t>
            </w:r>
          </w:p>
        </w:tc>
        <w:tc>
          <w:tcPr/>
          <w:p>
            <w:pPr>
              <w:pStyle w:val="Compact"/>
            </w:pPr>
            <w:r>
              <w:t xml:space="preserve">Beyond one round per deliverable</w:t>
            </w:r>
          </w:p>
        </w:tc>
      </w:tr>
      <w:tr>
        <w:tc>
          <w:tcPr/>
          <w:p>
            <w:pPr>
              <w:pStyle w:val="Compact"/>
            </w:pPr>
            <w:r>
              <w:t xml:space="preserve">Travel</w:t>
            </w:r>
          </w:p>
        </w:tc>
        <w:tc>
          <w:tcPr/>
          <w:p>
            <w:pPr>
              <w:pStyle w:val="Compact"/>
            </w:pPr>
            <w:r>
              <w:t xml:space="preserve">Economy (business &gt;6 hrs)</w:t>
            </w:r>
          </w:p>
        </w:tc>
        <w:tc>
          <w:tcPr/>
          <w:p>
            <w:pPr>
              <w:pStyle w:val="Compact"/>
            </w:pPr>
            <w:r>
              <w:t xml:space="preserve">Prior approval for &gt;₹25K</w:t>
            </w:r>
          </w:p>
        </w:tc>
      </w:tr>
      <w:tr>
        <w:tc>
          <w:tcPr/>
          <w:p>
            <w:pPr>
              <w:pStyle w:val="Compact"/>
            </w:pPr>
            <w:r>
              <w:t xml:space="preserve">Other Expenses</w:t>
            </w:r>
          </w:p>
        </w:tc>
        <w:tc>
          <w:tcPr/>
          <w:p>
            <w:pPr>
              <w:pStyle w:val="Compact"/>
            </w:pPr>
            <w:r>
              <w:t xml:space="preserve">At cost</w:t>
            </w:r>
          </w:p>
        </w:tc>
        <w:tc>
          <w:tcPr/>
          <w:p>
            <w:pPr>
              <w:pStyle w:val="Compact"/>
            </w:pPr>
            <w:r>
              <w:t xml:space="preserve">Prior approval for &gt;₹1L/month</w:t>
            </w:r>
          </w:p>
        </w:tc>
      </w:tr>
    </w:tbl>
    <w:bookmarkEnd w:id="78"/>
    <w:bookmarkStart w:id="79" w:name="X94ef8a4968592e72b9c2a5e3dc219c034c85a4c"/>
    <w:p>
      <w:pPr>
        <w:pStyle w:val="Heading2"/>
      </w:pPr>
      <w:r>
        <w:t xml:space="preserve">SCHEDULE D — CONFLICT OF INTEREST DECLARATION (INITIAL)</w:t>
      </w:r>
    </w:p>
    <w:p>
      <w:pPr>
        <w:pStyle w:val="FirstParagraph"/>
      </w:pPr>
      <w:r>
        <w:t xml:space="preserve">The Consultant hereby confirms that as of the Effective Date, to its knowledge, there are no actual or potential Conflicts of Interest. The Consultant undertakes to disclose promptly any conflict that may arise during the engagement. The Consultant confirms that it is not currently advising any competing bidder in respect of the Target Assets.</w:t>
      </w:r>
    </w:p>
    <w:bookmarkEnd w:id="79"/>
    <w:bookmarkStart w:id="80" w:name="annexure-i-key-personnel"/>
    <w:p>
      <w:pPr>
        <w:pStyle w:val="Heading2"/>
      </w:pPr>
      <w:r>
        <w:t xml:space="preserve">ANNEXURE I — KEY PERSONNEL</w:t>
      </w:r>
    </w:p>
    <w:p>
      <w:pPr>
        <w:pStyle w:val="FirstParagraph"/>
      </w:pPr>
      <w:r>
        <w:rPr>
          <w:b/>
          <w:bCs/>
        </w:rPr>
        <w:t xml:space="preserve">Consultant:</w:t>
      </w:r>
      <w:r>
        <w:t xml:space="preserve"> </w:t>
      </w:r>
      <w:r>
        <w:t xml:space="preserve">Relationship Partner: Ms. Meera Deshpande; Engagement Manager: Mr. Rahul Joshi; Senior Analysts: As assigned.</w:t>
      </w:r>
      <w:r>
        <w:t xml:space="preserve"> </w:t>
      </w:r>
      <w:r>
        <w:rPr>
          <w:b/>
          <w:bCs/>
        </w:rPr>
        <w:t xml:space="preserve">Company:</w:t>
      </w:r>
      <w:r>
        <w:t xml:space="preserve"> </w:t>
      </w:r>
      <w:r>
        <w:t xml:space="preserve">Primary Contact: Mr. Karan Manmohan, MD; Steering Committee: Mr. Karan Manmohan, Ms. Anjali Mehta (CFO).</w:t>
      </w:r>
    </w:p>
    <w:bookmarkEnd w:id="80"/>
    <w:bookmarkStart w:id="81" w:name="X48d6c6f0f632b6238d8434e0267d345c4e5b41a"/>
    <w:p>
      <w:pPr>
        <w:pStyle w:val="Heading2"/>
      </w:pPr>
      <w:r>
        <w:t xml:space="preserve">ANNEXURE II — REGULATORY FRAMEWORK REFERENCE</w:t>
      </w:r>
    </w:p>
    <w:p>
      <w:pPr>
        <w:pStyle w:val="FirstParagraph"/>
      </w:pPr>
      <w:r>
        <w:t xml:space="preserve">Relevant regulations: Insolvency and Bankruptcy Code, 2016; SEBI (Substantial Acquisition of Shares and Takeovers) Regulations, 2011; RBI Prudential Framework for Resolution of Stressed Assets; Competition Act, 2002; Foreign Exchange Management Act, 1999; Companies Act, 2013. The Consultant's advice is based on law as at the date of advice and does not constitute legal opinion.</w:t>
      </w:r>
    </w:p>
    <w:bookmarkEnd w:id="81"/>
    <w:bookmarkStart w:id="82" w:name="annexure-iii-document-retention"/>
    <w:p>
      <w:pPr>
        <w:pStyle w:val="Heading2"/>
      </w:pPr>
      <w:r>
        <w:t xml:space="preserve">ANNEXURE III — DOCUMENT RETENTION</w:t>
      </w:r>
    </w:p>
    <w:p>
      <w:pPr>
        <w:pStyle w:val="FirstParagraph"/>
      </w:pPr>
      <w:r>
        <w:t xml:space="preserve">The Consultant shall retain copies of work papers and Deliverables for seven (7) years from completion of engagement, for professional and regulatory purposes. Upon Company request, the Consultant shall provide copies of relevant documents. The Consultant shall not disclose to third parties except as required by law.</w:t>
      </w:r>
    </w:p>
    <w:bookmarkEnd w:id="82"/>
    <w:bookmarkStart w:id="83" w:name="annexure-iv-due-diligence-checklist"/>
    <w:p>
      <w:pPr>
        <w:pStyle w:val="Heading2"/>
      </w:pPr>
      <w:r>
        <w:t xml:space="preserve">ANNEXURE IV — DUE DILIGENCE CHECKLIST</w:t>
      </w:r>
    </w:p>
    <w:p>
      <w:pPr>
        <w:pStyle w:val="FirstParagraph"/>
      </w:pPr>
      <w:r>
        <w:rPr>
          <w:b/>
          <w:bCs/>
        </w:rPr>
        <w:t xml:space="preserve">Financial:</w:t>
      </w:r>
      <w:r>
        <w:t xml:space="preserve"> </w:t>
      </w:r>
      <w:r>
        <w:t xml:space="preserve">Audited financial statements (3 years); management accounts; cash flow projections; debt schedule; contingent liabilities; related party transactions; tax assessments.</w:t>
      </w:r>
      <w:r>
        <w:t xml:space="preserve"> </w:t>
      </w:r>
      <w:r>
        <w:rPr>
          <w:b/>
          <w:bCs/>
        </w:rPr>
        <w:t xml:space="preserve">Legal:</w:t>
      </w:r>
      <w:r>
        <w:t xml:space="preserve"> </w:t>
      </w:r>
      <w:r>
        <w:t xml:space="preserve">Litigation status; pending regulatory proceedings; material contracts; title documents; encumbrances; employee claims.</w:t>
      </w:r>
      <w:r>
        <w:t xml:space="preserve"> </w:t>
      </w:r>
      <w:r>
        <w:rPr>
          <w:b/>
          <w:bCs/>
        </w:rPr>
        <w:t xml:space="preserve">Operational:</w:t>
      </w:r>
      <w:r>
        <w:t xml:space="preserve"> </w:t>
      </w:r>
      <w:r>
        <w:t xml:space="preserve">Key customer and supplier concentrations; key personnel; fixed assets; environmental compliance; insurance coverage.</w:t>
      </w:r>
      <w:r>
        <w:t xml:space="preserve"> </w:t>
      </w:r>
      <w:r>
        <w:rPr>
          <w:b/>
          <w:bCs/>
        </w:rPr>
        <w:t xml:space="preserve">Regulatory:</w:t>
      </w:r>
      <w:r>
        <w:t xml:space="preserve"> </w:t>
      </w:r>
      <w:r>
        <w:t xml:space="preserve">Licences and permits; regulatory filings; compliance history.</w:t>
      </w:r>
    </w:p>
    <w:bookmarkEnd w:id="83"/>
    <w:bookmarkStart w:id="84" w:name="annexure-v-valuation-methodologies"/>
    <w:p>
      <w:pPr>
        <w:pStyle w:val="Heading2"/>
      </w:pPr>
      <w:r>
        <w:t xml:space="preserve">ANNEXURE V — VALUATION METHODOLOGIES</w:t>
      </w:r>
    </w:p>
    <w:p>
      <w:pPr>
        <w:pStyle w:val="FirstParagraph"/>
      </w:pPr>
      <w:r>
        <w:t xml:space="preserve">The Consultant shall employ one or more of the following as appropriate:</w:t>
      </w:r>
      <w:r>
        <w:t xml:space="preserve"> </w:t>
      </w:r>
      <w:r>
        <w:rPr>
          <w:b/>
          <w:bCs/>
        </w:rPr>
        <w:t xml:space="preserve">Discounted Cash Flow (DCF):</w:t>
      </w:r>
      <w:r>
        <w:t xml:space="preserve"> </w:t>
      </w:r>
      <w:r>
        <w:t xml:space="preserve">Projected cash flows discounted at appropriate WACC; terminal value using perpetuity or exit multiple.</w:t>
      </w:r>
      <w:r>
        <w:t xml:space="preserve"> </w:t>
      </w:r>
      <w:r>
        <w:rPr>
          <w:b/>
          <w:bCs/>
        </w:rPr>
        <w:t xml:space="preserve">Comparable Company Analysis:</w:t>
      </w:r>
      <w:r>
        <w:t xml:space="preserve"> </w:t>
      </w:r>
      <w:r>
        <w:t xml:space="preserve">Trading multiples (EV/EBITDA, P/E) of comparable listed entities.</w:t>
      </w:r>
      <w:r>
        <w:t xml:space="preserve"> </w:t>
      </w:r>
      <w:r>
        <w:rPr>
          <w:b/>
          <w:bCs/>
        </w:rPr>
        <w:t xml:space="preserve">Comparable Transaction Analysis:</w:t>
      </w:r>
      <w:r>
        <w:t xml:space="preserve"> </w:t>
      </w:r>
      <w:r>
        <w:t xml:space="preserve">Deal multiples from similar M&amp;A transactions.</w:t>
      </w:r>
      <w:r>
        <w:t xml:space="preserve"> </w:t>
      </w:r>
      <w:r>
        <w:rPr>
          <w:b/>
          <w:bCs/>
        </w:rPr>
        <w:t xml:space="preserve">Asset-Based:</w:t>
      </w:r>
      <w:r>
        <w:t xml:space="preserve"> </w:t>
      </w:r>
      <w:r>
        <w:t xml:space="preserve">Net asset value for asset-heavy businesses.</w:t>
      </w:r>
      <w:r>
        <w:t xml:space="preserve"> </w:t>
      </w:r>
      <w:r>
        <w:rPr>
          <w:b/>
          <w:bCs/>
        </w:rPr>
        <w:t xml:space="preserve">Liquidation Value:</w:t>
      </w:r>
      <w:r>
        <w:t xml:space="preserve"> </w:t>
      </w:r>
      <w:r>
        <w:t xml:space="preserve">Net realisable value in distressed scenarios. Final methodology shall be documented in the Valuation Report with rationale.</w:t>
      </w:r>
    </w:p>
    <w:bookmarkEnd w:id="84"/>
    <w:bookmarkStart w:id="85" w:name="X1491836c52794026efaa57705e404f94862c95c"/>
    <w:p>
      <w:pPr>
        <w:pStyle w:val="Heading2"/>
      </w:pPr>
      <w:r>
        <w:t xml:space="preserve">ANNEXURE VI — INVOICING AND PAYMENT INSTRUCTIONS</w:t>
      </w:r>
    </w:p>
    <w:p>
      <w:pPr>
        <w:pStyle w:val="FirstParagraph"/>
      </w:pPr>
      <w:r>
        <w:rPr>
          <w:b/>
          <w:bCs/>
        </w:rPr>
        <w:t xml:space="preserve">Consultant Bank Details:</w:t>
      </w:r>
      <w:r>
        <w:t xml:space="preserve"> </w:t>
      </w:r>
      <w:r>
        <w:t xml:space="preserve">Account Name: Strategic Insights Consulting LLP; Bank: HDFC Bank; Branch: BKC, Mumbai; Account No: [To be provided]; IFSC: HDFC0000XXX.</w:t>
      </w:r>
      <w:r>
        <w:t xml:space="preserve"> </w:t>
      </w:r>
      <w:r>
        <w:rPr>
          <w:b/>
          <w:bCs/>
        </w:rPr>
        <w:t xml:space="preserve">GSTIN:</w:t>
      </w:r>
      <w:r>
        <w:t xml:space="preserve"> </w:t>
      </w:r>
      <w:r>
        <w:t xml:space="preserve">[To be provided].</w:t>
      </w:r>
      <w:r>
        <w:t xml:space="preserve"> </w:t>
      </w:r>
      <w:r>
        <w:rPr>
          <w:b/>
          <w:bCs/>
        </w:rPr>
        <w:t xml:space="preserve">Invoice Format:</w:t>
      </w:r>
      <w:r>
        <w:t xml:space="preserve"> </w:t>
      </w:r>
      <w:r>
        <w:t xml:space="preserve">Invoice shall include: Invoice number; Date; Period covered; Description of services; Amount (Rs); GST; Total; Payment terms.</w:t>
      </w:r>
      <w:r>
        <w:t xml:space="preserve"> </w:t>
      </w:r>
      <w:r>
        <w:rPr>
          <w:b/>
          <w:bCs/>
        </w:rPr>
        <w:t xml:space="preserve">Company Billing Contact:</w:t>
      </w:r>
      <w:r>
        <w:t xml:space="preserve"> </w:t>
      </w:r>
      <w:r>
        <w:t xml:space="preserve">Accounts Payable, Manmohan Financial Advisors Pvt Ltd, 88 Nariman Point, Mumbai 400021; email: accounts@manmohanfinancial.com.</w:t>
      </w:r>
    </w:p>
    <w:bookmarkEnd w:id="85"/>
    <w:bookmarkStart w:id="86" w:name="annexure-vii-termination-wind-down"/>
    <w:p>
      <w:pPr>
        <w:pStyle w:val="Heading2"/>
      </w:pPr>
      <w:r>
        <w:t xml:space="preserve">ANNEXURE VII — TERMINATION WIND-DOWN</w:t>
      </w:r>
    </w:p>
    <w:p>
      <w:pPr>
        <w:pStyle w:val="FirstParagraph"/>
      </w:pPr>
      <w:r>
        <w:t xml:space="preserve">Upon receipt of termination notice, the Consultant shall: (a) within 5 days, provide a list of work-in-progress and estimated effort to complete; (b) at Company's option, complete critical work or handover to Company; (c) within 10 days of termination date, deliver all work product, reports (draft or final), and supporting materials; (d) return all Confidential Information and certify destruction of electronic copies; (e) provide final invoice within 15 days. Company shall pay undisputed amounts within 15 days of invoice.</w:t>
      </w:r>
    </w:p>
    <w:bookmarkEnd w:id="86"/>
    <w:bookmarkStart w:id="87" w:name="annexure-viii-professional-standards"/>
    <w:p>
      <w:pPr>
        <w:pStyle w:val="Heading2"/>
      </w:pPr>
      <w:r>
        <w:t xml:space="preserve">ANNEXURE VIII — PROFESSIONAL STANDARDS</w:t>
      </w:r>
    </w:p>
    <w:p>
      <w:pPr>
        <w:pStyle w:val="FirstParagraph"/>
      </w:pPr>
      <w:r>
        <w:t xml:space="preserve">The Consultant shall perform the Services in accordance with: (a) the Code of Conduct for registered insolvency professionals and valuation professionals under IBC, to the extent applicable; (b) ICAI Valuation Standards for valuation deliverables; (c) generally accepted standards for M&amp;A advisory in India; (d) applicable provisions of the Indian Contract Act, 1872 regarding skill and care. The Consultant shall exercise independent professional judgement and disclose any limitation on the scope of work.</w:t>
      </w:r>
    </w:p>
    <w:bookmarkEnd w:id="87"/>
    <w:bookmarkStart w:id="88" w:name="X08f88a6be2a363b29c8db1286842ae2588eafa5"/>
    <w:p>
      <w:pPr>
        <w:pStyle w:val="Heading2"/>
      </w:pPr>
      <w:r>
        <w:t xml:space="preserve">ANNEXURE IX — ASSUMPTIONS AND LIMITATIONS OF ADVICE</w:t>
      </w:r>
    </w:p>
    <w:p>
      <w:pPr>
        <w:pStyle w:val="FirstParagraph"/>
      </w:pPr>
      <w:r>
        <w:t xml:space="preserve">All advice and Deliverables are based on: (a) information provided by the Company and publicly available sources; (b) law and regulations as at the date of the advice; (c) assumptions stated in the relevant deliverable. The Consultant does not guarantee the accuracy of third-party information. The Consultant has not verified title, valuation of assets, or completeness of disclosure by sellers. The Company is responsible for its own due diligence and decisions. The Consultant's role is advisory; it does not provide legal or tax opinion.</w:t>
      </w:r>
    </w:p>
    <w:bookmarkEnd w:id="88"/>
    <w:bookmarkStart w:id="89" w:name="annexure-x-success-fee-calculation"/>
    <w:p>
      <w:pPr>
        <w:pStyle w:val="Heading2"/>
      </w:pPr>
      <w:r>
        <w:t xml:space="preserve">ANNEXURE X — SUCCESS FEE CALCULATION</w:t>
      </w:r>
    </w:p>
    <w:p>
      <w:pPr>
        <w:pStyle w:val="FirstParagraph"/>
      </w:pPr>
      <w:r>
        <w:t xml:space="preserve">Success fee = 0.75% × Transaction Value. Transaction Value includes: cash consideration; assumption of debt; deferred consideration (NPV); equity issued; other forms of consideration. Excluded: Fees to advisors; transaction costs; working capital adjustment. Example: Transaction Value ₹100 Cr → Success fee ₹75,00,000. Minimum ₹25,00,000; Maximum ₹1,50,00,000. If Transaction is in phases, fee calculated on aggregate. Payable within 30 days of completion. Completion = execution of definitive agreements and payment of first tranche (or such as agreed).</w:t>
      </w:r>
    </w:p>
    <w:bookmarkEnd w:id="89"/>
    <w:bookmarkStart w:id="90" w:name="annexure-xi-change-request-process"/>
    <w:p>
      <w:pPr>
        <w:pStyle w:val="Heading2"/>
      </w:pPr>
      <w:r>
        <w:t xml:space="preserve">ANNEXURE XI — CHANGE REQUEST PROCESS</w:t>
      </w:r>
    </w:p>
    <w:p>
      <w:pPr>
        <w:pStyle w:val="FirstParagraph"/>
      </w:pPr>
      <w:r>
        <w:t xml:space="preserve">Scope changes outside the original engagement require a written Change Request. The Consultant shall provide within 5 business days: description of change; impact on timeline; revised fees; revised deliverables. The Company shall respond within 10 business days. Changes effective only upon written agreement. Urgent changes (e.g., regulatory deadline) may be agreed with shorter process, documented in writing. No oral changes binding.</w:t>
      </w:r>
    </w:p>
    <w:bookmarkEnd w:id="90"/>
    <w:bookmarkStart w:id="91" w:name="annexure-xii-data-room-and-information"/>
    <w:p>
      <w:pPr>
        <w:pStyle w:val="Heading2"/>
      </w:pPr>
      <w:r>
        <w:t xml:space="preserve">ANNEXURE XII — DATA ROOM AND INFORMATION</w:t>
      </w:r>
    </w:p>
    <w:p>
      <w:pPr>
        <w:pStyle w:val="FirstParagraph"/>
      </w:pPr>
      <w:r>
        <w:t xml:space="preserve">The Company shall provide access to data room and key management for due diligence. The Consultant shall treat all information as Confidential. The Consultant may rely on information provided without independent verification, unless otherwise agreed. The Company shall use reasonable efforts to ensure information is accurate and complete. Delays in providing information may affect timeline; the Consultant shall notify promptly.</w:t>
      </w:r>
    </w:p>
    <w:bookmarkEnd w:id="91"/>
    <w:bookmarkStart w:id="92" w:name="annexure-xiii-arbitration-procedure"/>
    <w:p>
      <w:pPr>
        <w:pStyle w:val="Heading2"/>
      </w:pPr>
      <w:r>
        <w:t xml:space="preserve">ANNEXURE XIII — ARBITRATION PROCEDURE</w:t>
      </w:r>
    </w:p>
    <w:p>
      <w:pPr>
        <w:pStyle w:val="FirstParagraph"/>
      </w:pPr>
      <w:r>
        <w:t xml:space="preserve">In the event of a dispute, either Party shall give written notice to the other. Senior representatives shall meet within fifteen (15) days to attempt resolution. If unresolved within thirty (30) days of the notice, the dispute shall be referred to arbitration. The arbitral tribunal shall consist of a sole arbitrator. If the Parties cannot agree on an arbitrator within fifteen (15) days, the High Court of Bombay shall appoint. The arbitration shall be conducted in accordance with the Arbitration and Conciliation Act, 1996. The seat shall be Mumbai. The language shall be English. The award shall be final and binding. The courts at Mumbai shall have exclusive jurisdiction for any interim or conservatory measures. The costs of arbitration shall be as awarded by the arbitrator.</w:t>
      </w:r>
    </w:p>
    <w:bookmarkEnd w:id="92"/>
    <w:bookmarkStart w:id="93" w:name="Xd3db08ad069be35e9cbd8ab656ba280128dd519"/>
    <w:p>
      <w:pPr>
        <w:pStyle w:val="Heading2"/>
      </w:pPr>
      <w:r>
        <w:t xml:space="preserve">ANNEXURE XIV — LIMITATION OF LIABILITY DETAIL</w:t>
      </w:r>
    </w:p>
    <w:p>
      <w:pPr>
        <w:pStyle w:val="FirstParagraph"/>
      </w:pPr>
      <w:r>
        <w:t xml:space="preserve">The liability cap in Article 4.6 applies to all claims arising under or in connection with this Agreement, whether in contract, tort, negligence, or otherwise. The cap is an aggregate cap per Party for all claims in any twelve-month period. Excluded from the cap: (a) amounts payable under Article 4 (Fees); (b) breach of confidentiality (no cap for direct damages); (c) indemnification obligations under Article 10; (d) fraud or wilful misconduct. Neither Party shall be liable for indirect, incidental, special, consequential, or punitive damages including loss of profits, revenue, data, or business opportunity. The Parties acknowledge that the Fees reflect this allocation of risk.</w:t>
      </w:r>
    </w:p>
    <w:bookmarkEnd w:id="93"/>
    <w:bookmarkStart w:id="94" w:name="annexure-xv-notices"/>
    <w:p>
      <w:pPr>
        <w:pStyle w:val="Heading2"/>
      </w:pPr>
      <w:r>
        <w:t xml:space="preserve">ANNEXURE XV — NOTICES</w:t>
      </w:r>
    </w:p>
    <w:p>
      <w:pPr>
        <w:pStyle w:val="FirstParagraph"/>
      </w:pPr>
      <w:r>
        <w:t xml:space="preserve">All notices shall be in writing and sent to the addresses set forth in this Agreement. Notices may be sent by: (a) registered post (acknowledgment due); (b) courier; (c) email with read receipt. Notices shall be deemed given: upon receipt if hand-delivered or courier; three (3) business days after posting if registered post; upon successful transmission if email (with acknowledgment). Either Party may change its address by fifteen (15) days' prior written notice. Copies of material notices may be sent to legal counsel.</w:t>
      </w:r>
    </w:p>
    <w:bookmarkEnd w:id="94"/>
    <w:bookmarkStart w:id="95" w:name="annexure-xvi-interpretation-rules"/>
    <w:p>
      <w:pPr>
        <w:pStyle w:val="Heading2"/>
      </w:pPr>
      <w:r>
        <w:t xml:space="preserve">ANNEXURE XVI — INTERPRETATION RULES</w:t>
      </w:r>
    </w:p>
    <w:p>
      <w:pPr>
        <w:pStyle w:val="FirstParagraph"/>
      </w:pPr>
      <w:r>
        <w:t xml:space="preserve">In this Agreement: (a) headings are for convenience only and do not affect interpretation; (b) the singular includes the plural and vice versa; (c) "include" and "including" mean without limitation; (d) references to Articles, Schedules, and Annexures are to this Agreement; (e) "days" means calendar days unless "business days" is specified (business days exclude Saturday, Sunday, and public holidays in Maharashtra); (f) "writing" includes email where acknowledged; (g) references to statutes include amendments and re-enactments; (h) "person" includes natural persons and legal entities; (i) "control" has the meaning given in the definition of Affiliate.</w:t>
      </w:r>
    </w:p>
    <w:bookmarkEnd w:id="95"/>
    <w:bookmarkStart w:id="102" w:name="Xbd62eaeaaae3a6a72a070f27299d5515a2dcfa7"/>
    <w:p>
      <w:pPr>
        <w:pStyle w:val="Heading2"/>
      </w:pPr>
      <w:r>
        <w:t xml:space="preserve">SUPPLEMENTAL PROVISIONS — INDIAN CONTRACT ACT</w:t>
      </w:r>
    </w:p>
    <w:bookmarkStart w:id="96" w:name="sp.1-governing-law"/>
    <w:p>
      <w:pPr>
        <w:pStyle w:val="Heading3"/>
      </w:pPr>
      <w:r>
        <w:t xml:space="preserve">SP.1 Governing Law</w:t>
      </w:r>
    </w:p>
    <w:p>
      <w:pPr>
        <w:pStyle w:val="FirstParagraph"/>
      </w:pPr>
      <w:r>
        <w:t xml:space="preserve">This Agreement is governed by the Indian Contract Act, 1872. The formation, validity, interpretation, and performance shall be construed in accordance with Indian law. The consultant-client relationship is a contract for services under the Act. The consideration (Fees) is the mutual exchange for the Services. Sections 73 and 74 (damages and liquidated damages) shall apply to any claim. The liability cap and exclusion of consequential damages reflect the allocation of risk between sophisticated commercial parties.</w:t>
      </w:r>
    </w:p>
    <w:bookmarkEnd w:id="96"/>
    <w:bookmarkStart w:id="97" w:name="sp.2-arbitration-act"/>
    <w:p>
      <w:pPr>
        <w:pStyle w:val="Heading3"/>
      </w:pPr>
      <w:r>
        <w:t xml:space="preserve">SP.2 Arbitration Act</w:t>
      </w:r>
    </w:p>
    <w:p>
      <w:pPr>
        <w:pStyle w:val="FirstParagraph"/>
      </w:pPr>
      <w:r>
        <w:t xml:space="preserve">Arbitration shall be conducted under the Arbitration and Conciliation Act, 1996. The arbitral tribunal shall have the same powers as a civil court for the purposes of the arbitration. The tribunal may grant interim measures. The award shall state the reasons. The award shall be final and binding. The period for challenging the award is as per the Act. Enforcement may be sought in any court of competent jurisdiction.</w:t>
      </w:r>
    </w:p>
    <w:bookmarkEnd w:id="97"/>
    <w:bookmarkStart w:id="98" w:name="sp.3-limitation"/>
    <w:p>
      <w:pPr>
        <w:pStyle w:val="Heading3"/>
      </w:pPr>
      <w:r>
        <w:t xml:space="preserve">SP.3 Limitation</w:t>
      </w:r>
    </w:p>
    <w:p>
      <w:pPr>
        <w:pStyle w:val="FirstParagraph"/>
      </w:pPr>
      <w:r>
        <w:t xml:space="preserve">No claim may be brought more than twelve (12) months after the date on which the claiming Party knew or ought to have known of the facts giving rise to the claim, except for claims of fraud or breach of confidentiality. This is in addition to the Limitation Act, 1963. The Parties acknowledge that prompt notification of claims enables proper investigation and mitigation.</w:t>
      </w:r>
    </w:p>
    <w:bookmarkEnd w:id="98"/>
    <w:bookmarkStart w:id="99" w:name="sp.4-severability"/>
    <w:p>
      <w:pPr>
        <w:pStyle w:val="Heading3"/>
      </w:pPr>
      <w:r>
        <w:t xml:space="preserve">SP.4 Severability</w:t>
      </w:r>
    </w:p>
    <w:p>
      <w:pPr>
        <w:pStyle w:val="FirstParagraph"/>
      </w:pPr>
      <w:r>
        <w:t xml:space="preserve">If any provision is held invalid or unenforceable, the remainder shall continue. The invalid provision shall be modified to the minimum extent necessary to make it valid. The Parties shall negotiate in good faith to replace an invalid provision with one that achieves the intended effect. The essential commercial terms (Fees, confidentiality, liability cap) shall be preserved to the extent possible.</w:t>
      </w:r>
    </w:p>
    <w:bookmarkEnd w:id="99"/>
    <w:bookmarkStart w:id="100" w:name="sp.5-waiver"/>
    <w:p>
      <w:pPr>
        <w:pStyle w:val="Heading3"/>
      </w:pPr>
      <w:r>
        <w:t xml:space="preserve">SP.5 Waiver</w:t>
      </w:r>
    </w:p>
    <w:p>
      <w:pPr>
        <w:pStyle w:val="FirstParagraph"/>
      </w:pPr>
      <w:r>
        <w:t xml:space="preserve">No failure or delay in exercising any right shall operate as a waiver. No single or partial exercise shall preclude further exercise. No waiver shall be effective unless in writing. A waiver of one breach shall not waive any other breach. The Company's acceptance of late delivery or the Consultant's acceptance of late payment shall not waive the right to claim damages for such delay.</w:t>
      </w:r>
    </w:p>
    <w:bookmarkEnd w:id="100"/>
    <w:bookmarkStart w:id="101" w:name="sp.6-force-majeure-detail"/>
    <w:p>
      <w:pPr>
        <w:pStyle w:val="Heading3"/>
      </w:pPr>
      <w:r>
        <w:t xml:space="preserve">SP.6 Force Majeure Detail</w:t>
      </w:r>
    </w:p>
    <w:p>
      <w:pPr>
        <w:pStyle w:val="FirstParagraph"/>
      </w:pPr>
      <w:r>
        <w:t xml:space="preserve">In addition to Article 14: force majeure includes regulatory change that prevents or materially hinders the Transaction, court order restraining the Transaction, lockdown or pandemic affecting ability to conduct due diligence or meetings, and disruption of data room or key counterparties. The affected Party shall use reasonable efforts to mitigate. If the Transaction cannot proceed for 60 days due to force majeure, either Party may terminate. The Company shall pay for services rendered and expenses incurred. The Consultant shall deliver work product.</w:t>
      </w:r>
    </w:p>
    <w:bookmarkEnd w:id="101"/>
    <w:bookmarkEnd w:id="102"/>
    <w:bookmarkStart w:id="103" w:name="X4c4e7bb446de724a94e85b4f48f82ad7347cb78"/>
    <w:p>
      <w:pPr>
        <w:pStyle w:val="Heading2"/>
      </w:pPr>
      <w:r>
        <w:t xml:space="preserve">ANNEXURE XVII — DUE DILIGENCE REPORT TEMPLATE (DETAILED)</w:t>
      </w:r>
    </w:p>
    <w:p>
      <w:pPr>
        <w:pStyle w:val="FirstParagraph"/>
      </w:pPr>
      <w:r>
        <w:rPr>
          <w:b/>
          <w:bCs/>
        </w:rPr>
        <w:t xml:space="preserve">Section 1 – Executive Summary:</w:t>
      </w:r>
      <w:r>
        <w:t xml:space="preserve"> </w:t>
      </w:r>
      <w:r>
        <w:t xml:space="preserve">Key findings in bullet form; material risks; recommendations; executive conclusion. Maximum 3 pages.</w:t>
      </w:r>
    </w:p>
    <w:p>
      <w:pPr>
        <w:pStyle w:val="BodyText"/>
      </w:pPr>
      <w:r>
        <w:rPr>
          <w:b/>
          <w:bCs/>
        </w:rPr>
        <w:t xml:space="preserve">Section 2 – Financial Analysis:</w:t>
      </w:r>
      <w:r>
        <w:t xml:space="preserve"> </w:t>
      </w:r>
      <w:r>
        <w:t xml:space="preserve">(a) Overview of financial statements (3 years); (b) Quality of earnings adjustments; (c) Working capital analysis; (d) Debt and debt-like items; (e) Contingent liabilities; (f) Related party transactions; (g) Cash flow analysis; (h) Key assumptions in management projections; (i) Sensitivities. Supporting schedules as annexures.</w:t>
      </w:r>
    </w:p>
    <w:p>
      <w:pPr>
        <w:pStyle w:val="BodyText"/>
      </w:pPr>
      <w:r>
        <w:rPr>
          <w:b/>
          <w:bCs/>
        </w:rPr>
        <w:t xml:space="preserve">Section 3 – Legal and Regulatory:</w:t>
      </w:r>
      <w:r>
        <w:t xml:space="preserve"> </w:t>
      </w:r>
      <w:r>
        <w:t xml:space="preserve">(a) Corporate structure and shareholding; (b) Material contracts (summary table); (c) Litigation and regulatory proceedings; (d) Compliance with licences and permits; (e) Employment and labour matters; (f) Environmental; (g) Insurance. Red flag summary.</w:t>
      </w:r>
    </w:p>
    <w:p>
      <w:pPr>
        <w:pStyle w:val="BodyText"/>
      </w:pPr>
      <w:r>
        <w:rPr>
          <w:b/>
          <w:bCs/>
        </w:rPr>
        <w:t xml:space="preserve">Section 4 – Operational:</w:t>
      </w:r>
      <w:r>
        <w:t xml:space="preserve"> </w:t>
      </w:r>
      <w:r>
        <w:t xml:space="preserve">(a) Key assets (plant, equipment, IP); (b) Customer concentration; (c) Supplier concentration; (d) Key personnel; (e) Operations and capacity; (f) Quality systems.</w:t>
      </w:r>
    </w:p>
    <w:p>
      <w:pPr>
        <w:pStyle w:val="BodyText"/>
      </w:pPr>
      <w:r>
        <w:rPr>
          <w:b/>
          <w:bCs/>
        </w:rPr>
        <w:t xml:space="preserve">Section 5 – Tax:</w:t>
      </w:r>
      <w:r>
        <w:t xml:space="preserve"> </w:t>
      </w:r>
      <w:r>
        <w:t xml:space="preserve">(a) Tax assessments and disputes; (b) Structuring considerations; (c) Withholding tax implications.</w:t>
      </w:r>
    </w:p>
    <w:p>
      <w:pPr>
        <w:pStyle w:val="BodyText"/>
      </w:pPr>
      <w:r>
        <w:rPr>
          <w:b/>
          <w:bCs/>
        </w:rPr>
        <w:t xml:space="preserve">Section 6 – Information Technology:</w:t>
      </w:r>
      <w:r>
        <w:t xml:space="preserve"> </w:t>
      </w:r>
      <w:r>
        <w:t xml:space="preserve">(a) Systems overview; (b) Data and cybersecurity; (c) Integration requirements.</w:t>
      </w:r>
    </w:p>
    <w:p>
      <w:pPr>
        <w:pStyle w:val="BodyText"/>
      </w:pPr>
      <w:r>
        <w:rPr>
          <w:b/>
          <w:bCs/>
        </w:rPr>
        <w:t xml:space="preserve">Section 7 – Risks and Mitigants:</w:t>
      </w:r>
      <w:r>
        <w:t xml:space="preserve"> </w:t>
      </w:r>
      <w:r>
        <w:t xml:space="preserve">Prioritised risk register with recommended mitigants.</w:t>
      </w:r>
    </w:p>
    <w:p>
      <w:pPr>
        <w:pStyle w:val="BodyText"/>
      </w:pPr>
      <w:r>
        <w:rPr>
          <w:b/>
          <w:bCs/>
        </w:rPr>
        <w:t xml:space="preserve">Section 8 – Annexures:</w:t>
      </w:r>
      <w:r>
        <w:t xml:space="preserve"> </w:t>
      </w:r>
      <w:r>
        <w:t xml:space="preserve">Financial models; contract summaries; organisation chart; site visit notes.</w:t>
      </w:r>
    </w:p>
    <w:bookmarkEnd w:id="103"/>
    <w:bookmarkStart w:id="104" w:name="X7fb60a3468bd9b95d8d6d81b529029e1be917fd"/>
    <w:p>
      <w:pPr>
        <w:pStyle w:val="Heading2"/>
      </w:pPr>
      <w:r>
        <w:t xml:space="preserve">ANNEXURE XVIII — IBC RESOLUTION PLAN REQUIREMENTS</w:t>
      </w:r>
    </w:p>
    <w:p>
      <w:pPr>
        <w:pStyle w:val="FirstParagraph"/>
      </w:pPr>
      <w:r>
        <w:t xml:space="preserve">If the Transaction involves a resolution plan under the IBC, the Consultant's advice shall consider: (a) eligibility under Section 29A; (b) requirement for resolution plan to provide for payment of CIRP costs, DPI to operational creditors, DPI to financial creditors; (c) feasibility and viability as per Regulation 38; (d) approval requirements (CoC, NCLT); (e) timelines under the Code; (f) impact of judicial precedents. The Consultant shall not prepare the resolution plan; the Company shall engage legal counsel for plan drafting. The Consultant may support with financial modelling and feasibility analysis.</w:t>
      </w:r>
    </w:p>
    <w:bookmarkEnd w:id="104"/>
    <w:bookmarkStart w:id="105" w:name="Xf36833cb1d4ac8bb035323d105964baef910602"/>
    <w:p>
      <w:pPr>
        <w:pStyle w:val="Heading2"/>
      </w:pPr>
      <w:r>
        <w:t xml:space="preserve">ANNEXURE XIX — SEBI TAKEOVER REGULATION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Regulation</w:t>
            </w:r>
          </w:p>
        </w:tc>
        <w:tc>
          <w:tcPr/>
          <w:p>
            <w:pPr>
              <w:pStyle w:val="Compact"/>
            </w:pPr>
            <w:r>
              <w:t xml:space="preserve">Obligation</w:t>
            </w:r>
          </w:p>
        </w:tc>
        <w:tc>
          <w:tcPr/>
          <w:p>
            <w:pPr>
              <w:pStyle w:val="Compact"/>
            </w:pPr>
            <w:r>
              <w:t xml:space="preserve">Timeline</w:t>
            </w:r>
          </w:p>
        </w:tc>
      </w:tr>
      <w:tr>
        <w:tc>
          <w:tcPr/>
          <w:p>
            <w:pPr>
              <w:pStyle w:val="Compact"/>
            </w:pPr>
            <w:r>
              <w:t xml:space="preserve">5% / 10% / 14% acquisition</w:t>
            </w:r>
          </w:p>
        </w:tc>
        <w:tc>
          <w:tcPr/>
          <w:p>
            <w:pPr>
              <w:pStyle w:val="Compact"/>
            </w:pPr>
            <w:r>
              <w:t xml:space="preserve">Reg 3(1)</w:t>
            </w:r>
          </w:p>
        </w:tc>
        <w:tc>
          <w:tcPr/>
          <w:p>
            <w:pPr>
              <w:pStyle w:val="Compact"/>
            </w:pPr>
            <w:r>
              <w:t xml:space="preserve">Disclosure to stock exchange</w:t>
            </w:r>
          </w:p>
        </w:tc>
        <w:tc>
          <w:tcPr/>
          <w:p>
            <w:pPr>
              <w:pStyle w:val="Compact"/>
            </w:pPr>
            <w:r>
              <w:t xml:space="preserve">2 working days</w:t>
            </w:r>
          </w:p>
        </w:tc>
      </w:tr>
      <w:tr>
        <w:tc>
          <w:tcPr/>
          <w:p>
            <w:pPr>
              <w:pStyle w:val="Compact"/>
            </w:pPr>
            <w:r>
              <w:t xml:space="preserve">25% acquisition</w:t>
            </w:r>
          </w:p>
        </w:tc>
        <w:tc>
          <w:tcPr/>
          <w:p>
            <w:pPr>
              <w:pStyle w:val="Compact"/>
            </w:pPr>
            <w:r>
              <w:t xml:space="preserve">Reg 3(2)</w:t>
            </w:r>
          </w:p>
        </w:tc>
        <w:tc>
          <w:tcPr/>
          <w:p>
            <w:pPr>
              <w:pStyle w:val="Compact"/>
            </w:pPr>
            <w:r>
              <w:t xml:space="preserve">Public announcement; open offer</w:t>
            </w:r>
          </w:p>
        </w:tc>
        <w:tc>
          <w:tcPr/>
          <w:p>
            <w:pPr>
              <w:pStyle w:val="Compact"/>
            </w:pPr>
            <w:r>
              <w:t xml:space="preserve">Per Reg 18</w:t>
            </w:r>
          </w:p>
        </w:tc>
      </w:tr>
      <w:tr>
        <w:tc>
          <w:tcPr/>
          <w:p>
            <w:pPr>
              <w:pStyle w:val="Compact"/>
            </w:pPr>
            <w:r>
              <w:t xml:space="preserve">Creeping acquisition 25–75%</w:t>
            </w:r>
          </w:p>
        </w:tc>
        <w:tc>
          <w:tcPr/>
          <w:p>
            <w:pPr>
              <w:pStyle w:val="Compact"/>
            </w:pPr>
            <w:r>
              <w:t xml:space="preserve">Reg 3(3)</w:t>
            </w:r>
          </w:p>
        </w:tc>
        <w:tc>
          <w:tcPr/>
          <w:p>
            <w:pPr>
              <w:pStyle w:val="Compact"/>
            </w:pPr>
            <w:r>
              <w:t xml:space="preserve">Max 5% per year</w:t>
            </w:r>
          </w:p>
        </w:tc>
        <w:tc>
          <w:tcPr/>
          <w:p>
            <w:pPr>
              <w:pStyle w:val="Compact"/>
            </w:pPr>
            <w:r>
              <w:t xml:space="preserve">—</w:t>
            </w:r>
          </w:p>
        </w:tc>
      </w:tr>
      <w:tr>
        <w:tc>
          <w:tcPr/>
          <w:p>
            <w:pPr>
              <w:pStyle w:val="Compact"/>
            </w:pPr>
            <w:r>
              <w:t xml:space="preserve">Control</w:t>
            </w:r>
          </w:p>
        </w:tc>
        <w:tc>
          <w:tcPr/>
          <w:p>
            <w:pPr>
              <w:pStyle w:val="Compact"/>
            </w:pPr>
            <w:r>
              <w:t xml:space="preserve">Reg 4</w:t>
            </w:r>
          </w:p>
        </w:tc>
        <w:tc>
          <w:tcPr/>
          <w:p>
            <w:pPr>
              <w:pStyle w:val="Compact"/>
            </w:pPr>
            <w:r>
              <w:t xml:space="preserve">Mandatory open offer</w:t>
            </w:r>
          </w:p>
        </w:tc>
        <w:tc>
          <w:tcPr/>
          <w:p>
            <w:pPr>
              <w:pStyle w:val="Compact"/>
            </w:pPr>
            <w:r>
              <w:t xml:space="preserve">Per Reg 18</w:t>
            </w:r>
          </w:p>
        </w:tc>
      </w:tr>
      <w:tr>
        <w:tc>
          <w:tcPr/>
          <w:p>
            <w:pPr>
              <w:pStyle w:val="Compact"/>
            </w:pPr>
            <w:r>
              <w:t xml:space="preserve">Indirect acquisition</w:t>
            </w:r>
          </w:p>
        </w:tc>
        <w:tc>
          <w:tcPr/>
          <w:p>
            <w:pPr>
              <w:pStyle w:val="Compact"/>
            </w:pPr>
            <w:r>
              <w:t xml:space="preserve">Reg 5</w:t>
            </w:r>
          </w:p>
        </w:tc>
        <w:tc>
          <w:tcPr/>
          <w:p>
            <w:pPr>
              <w:pStyle w:val="Compact"/>
            </w:pPr>
            <w:r>
              <w:t xml:space="preserve">Same as direct</w:t>
            </w:r>
          </w:p>
        </w:tc>
        <w:tc>
          <w:tcPr/>
          <w:p>
            <w:pPr>
              <w:pStyle w:val="Compact"/>
            </w:pPr>
            <w:r>
              <w:t xml:space="preserve">—</w:t>
            </w:r>
          </w:p>
        </w:tc>
      </w:tr>
    </w:tbl>
    <w:p>
      <w:pPr>
        <w:pStyle w:val="BodyText"/>
      </w:pPr>
      <w:r>
        <w:t xml:space="preserve">The Consultant shall advise on applicability based on the Transaction structure. Legal opinion to be obtained from Company's legal counsel for definitive position.</w:t>
      </w:r>
    </w:p>
    <w:bookmarkEnd w:id="105"/>
    <w:bookmarkStart w:id="106" w:name="X2492c28b7a70ec0f56a7b6f11472b5682ab16a1"/>
    <w:p>
      <w:pPr>
        <w:pStyle w:val="Heading2"/>
      </w:pPr>
      <w:r>
        <w:t xml:space="preserve">ANNEXURE XX — COMPETITION COMMISSION CHECKLIST</w:t>
      </w:r>
    </w:p>
    <w:p>
      <w:pPr>
        <w:pStyle w:val="FirstParagraph"/>
      </w:pPr>
      <w:r>
        <w:rPr>
          <w:b/>
          <w:bCs/>
        </w:rPr>
        <w:t xml:space="preserve">Thresholds (Combination):</w:t>
      </w:r>
      <w:r>
        <w:t xml:space="preserve"> </w:t>
      </w:r>
      <w:r>
        <w:t xml:space="preserve">(a) Asset: acquirer + target (India) &gt; ₹2,000 Cr or ₹6,000 Cr global; (b) Turnover: acquirer + target (India) &gt; ₹6,000 Cr or ₹18,000 Cr global; (c) Group thresholds. If thresholds met, notification to CCI may be required before implementation.</w:t>
      </w:r>
    </w:p>
    <w:p>
      <w:pPr>
        <w:pStyle w:val="BodyText"/>
      </w:pPr>
      <w:r>
        <w:rPr>
          <w:b/>
          <w:bCs/>
        </w:rPr>
        <w:t xml:space="preserve">Process:</w:t>
      </w:r>
      <w:r>
        <w:t xml:space="preserve"> </w:t>
      </w:r>
      <w:r>
        <w:t xml:space="preserve">(a) Filing Form I or II within 30 days of trigger; (b) CCI review (30 days Phase I; 90 days Phase II if referred); (c) Standstill until approval or deemed approval; (d) Penalty for gun-jumping.</w:t>
      </w:r>
    </w:p>
    <w:p>
      <w:pPr>
        <w:pStyle w:val="BodyText"/>
      </w:pPr>
      <w:r>
        <w:t xml:space="preserve">The Consultant shall assess whether the Transaction is a combination and advise on filing requirements. The Company shall engage legal counsel for CCI filing.</w:t>
      </w:r>
    </w:p>
    <w:bookmarkEnd w:id="106"/>
    <w:bookmarkStart w:id="107" w:name="annexure-xxi-fema-and-rbi-checklist"/>
    <w:p>
      <w:pPr>
        <w:pStyle w:val="Heading2"/>
      </w:pPr>
      <w:r>
        <w:t xml:space="preserve">ANNEXURE XXI — FEMA AND RBI CHECKLIST</w:t>
      </w:r>
    </w:p>
    <w:p>
      <w:pPr>
        <w:pStyle w:val="FirstParagraph"/>
      </w:pPr>
      <w:r>
        <w:rPr>
          <w:b/>
          <w:bCs/>
        </w:rPr>
        <w:t xml:space="preserve">If Company or Target has foreign investment:</w:t>
      </w:r>
      <w:r>
        <w:t xml:space="preserve"> </w:t>
      </w:r>
      <w:r>
        <w:t xml:space="preserve">(a) Sectoral caps and entry route (automatic/approval); (b) Pricing guidelines; (c) Reporting (FC-GPR, FC-TRS); (d) Repatriation.</w:t>
      </w:r>
      <w:r>
        <w:t xml:space="preserve"> </w:t>
      </w:r>
      <w:r>
        <w:rPr>
          <w:b/>
          <w:bCs/>
        </w:rPr>
        <w:t xml:space="preserve">If acquisition of stressed assets:</w:t>
      </w:r>
      <w:r>
        <w:t xml:space="preserve"> </w:t>
      </w:r>
      <w:r>
        <w:t xml:space="preserve">(a) RBI Prudential Framework; (b) Eligibility of acquirer; (c) Asset classification.</w:t>
      </w:r>
      <w:r>
        <w:t xml:space="preserve"> </w:t>
      </w:r>
      <w:r>
        <w:rPr>
          <w:b/>
          <w:bCs/>
        </w:rPr>
        <w:t xml:space="preserve">If external commercial borrowing or foreign funding:</w:t>
      </w:r>
      <w:r>
        <w:t xml:space="preserve"> </w:t>
      </w:r>
      <w:r>
        <w:t xml:space="preserve">RBI compliance. The Consultant shall provide a checklist; legal counsel for definitive advice.</w:t>
      </w:r>
    </w:p>
    <w:bookmarkEnd w:id="107"/>
    <w:bookmarkStart w:id="108" w:name="X37aec849583d58c0a591e8a07fdf485855da1b1"/>
    <w:p>
      <w:pPr>
        <w:pStyle w:val="Heading2"/>
      </w:pPr>
      <w:r>
        <w:t xml:space="preserve">ANNEXURE XXII — WEEKLY STATUS REPORT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Overview</w:t>
            </w:r>
          </w:p>
        </w:tc>
        <w:tc>
          <w:tcPr/>
          <w:p>
            <w:pPr>
              <w:pStyle w:val="Compact"/>
            </w:pPr>
            <w:r>
              <w:t xml:space="preserve">One paragraph summary</w:t>
            </w:r>
          </w:p>
        </w:tc>
      </w:tr>
      <w:tr>
        <w:tc>
          <w:tcPr/>
          <w:p>
            <w:pPr>
              <w:pStyle w:val="Compact"/>
            </w:pPr>
            <w:r>
              <w:t xml:space="preserve">Activities completed</w:t>
            </w:r>
          </w:p>
        </w:tc>
        <w:tc>
          <w:tcPr/>
          <w:p>
            <w:pPr>
              <w:pStyle w:val="Compact"/>
            </w:pPr>
            <w:r>
              <w:t xml:space="preserve">Bullet list with dates</w:t>
            </w:r>
          </w:p>
        </w:tc>
      </w:tr>
      <w:tr>
        <w:tc>
          <w:tcPr/>
          <w:p>
            <w:pPr>
              <w:pStyle w:val="Compact"/>
            </w:pPr>
            <w:r>
              <w:t xml:space="preserve">Activities in progress</w:t>
            </w:r>
          </w:p>
        </w:tc>
        <w:tc>
          <w:tcPr/>
          <w:p>
            <w:pPr>
              <w:pStyle w:val="Compact"/>
            </w:pPr>
            <w:r>
              <w:t xml:space="preserve">Status; expected completion</w:t>
            </w:r>
          </w:p>
        </w:tc>
      </w:tr>
      <w:tr>
        <w:tc>
          <w:tcPr/>
          <w:p>
            <w:pPr>
              <w:pStyle w:val="Compact"/>
            </w:pPr>
            <w:r>
              <w:t xml:space="preserve">Upcoming</w:t>
            </w:r>
          </w:p>
        </w:tc>
        <w:tc>
          <w:tcPr/>
          <w:p>
            <w:pPr>
              <w:pStyle w:val="Compact"/>
            </w:pPr>
            <w:r>
              <w:t xml:space="preserve">Next week plan</w:t>
            </w:r>
          </w:p>
        </w:tc>
      </w:tr>
      <w:tr>
        <w:tc>
          <w:tcPr/>
          <w:p>
            <w:pPr>
              <w:pStyle w:val="Compact"/>
            </w:pPr>
            <w:r>
              <w:t xml:space="preserve">Hours</w:t>
            </w:r>
          </w:p>
        </w:tc>
        <w:tc>
          <w:tcPr/>
          <w:p>
            <w:pPr>
              <w:pStyle w:val="Compact"/>
            </w:pPr>
            <w:r>
              <w:t xml:space="preserve">By resource; cumulative vs budget</w:t>
            </w:r>
          </w:p>
        </w:tc>
      </w:tr>
      <w:tr>
        <w:tc>
          <w:tcPr/>
          <w:p>
            <w:pPr>
              <w:pStyle w:val="Compact"/>
            </w:pPr>
            <w:r>
              <w:t xml:space="preserve">Key findings</w:t>
            </w:r>
          </w:p>
        </w:tc>
        <w:tc>
          <w:tcPr/>
          <w:p>
            <w:pPr>
              <w:pStyle w:val="Compact"/>
            </w:pPr>
            <w:r>
              <w:t xml:space="preserve">Due diligence, valuation, regulatory</w:t>
            </w:r>
          </w:p>
        </w:tc>
      </w:tr>
      <w:tr>
        <w:tc>
          <w:tcPr/>
          <w:p>
            <w:pPr>
              <w:pStyle w:val="Compact"/>
            </w:pPr>
            <w:r>
              <w:t xml:space="preserve">Risks and issues</w:t>
            </w:r>
          </w:p>
        </w:tc>
        <w:tc>
          <w:tcPr/>
          <w:p>
            <w:pPr>
              <w:pStyle w:val="Compact"/>
            </w:pPr>
            <w:r>
              <w:t xml:space="preserve">Description; mitigation; owner</w:t>
            </w:r>
          </w:p>
        </w:tc>
      </w:tr>
      <w:tr>
        <w:tc>
          <w:tcPr/>
          <w:p>
            <w:pPr>
              <w:pStyle w:val="Compact"/>
            </w:pPr>
            <w:r>
              <w:t xml:space="preserve">Dependencies</w:t>
            </w:r>
          </w:p>
        </w:tc>
        <w:tc>
          <w:tcPr/>
          <w:p>
            <w:pPr>
              <w:pStyle w:val="Compact"/>
            </w:pPr>
            <w:r>
              <w:t xml:space="preserve">Info/decision needed from Company</w:t>
            </w:r>
          </w:p>
        </w:tc>
      </w:tr>
      <w:tr>
        <w:tc>
          <w:tcPr/>
          <w:p>
            <w:pPr>
              <w:pStyle w:val="Compact"/>
            </w:pPr>
            <w:r>
              <w:t xml:space="preserve">Change requests</w:t>
            </w:r>
          </w:p>
        </w:tc>
        <w:tc>
          <w:tcPr/>
          <w:p>
            <w:pPr>
              <w:pStyle w:val="Compact"/>
            </w:pPr>
            <w:r>
              <w:t xml:space="preserve">Scope clarification; CRs pending</w:t>
            </w:r>
          </w:p>
        </w:tc>
      </w:tr>
    </w:tbl>
    <w:bookmarkEnd w:id="108"/>
    <w:bookmarkStart w:id="109" w:name="X26d56c9d74f0e28317540628ba4663c14115b80"/>
    <w:p>
      <w:pPr>
        <w:pStyle w:val="Heading2"/>
      </w:pPr>
      <w:r>
        <w:t xml:space="preserve">ANNEXURE XXIII — CONFLICT OF INTEREST (EXPANDED)</w:t>
      </w:r>
    </w:p>
    <w:p>
      <w:pPr>
        <w:pStyle w:val="FirstParagraph"/>
      </w:pPr>
      <w:r>
        <w:rPr>
          <w:b/>
          <w:bCs/>
        </w:rPr>
        <w:t xml:space="preserve">Ongoing Obligation:</w:t>
      </w:r>
      <w:r>
        <w:t xml:space="preserve"> </w:t>
      </w:r>
      <w:r>
        <w:t xml:space="preserve">The Consultant shall, within 5 business days of becoming aware, disclose: (a) new engagement by Consultant (or Affiliate) for a party to the Transaction (seller, RP, competing bidder, lender); (b) change in Consultant's (or partner's) financial interest in any party; (c) personal relationship that could affect objectivity; (d) approach from competing bidder for separate engagement on same Target.</w:t>
      </w:r>
    </w:p>
    <w:p>
      <w:pPr>
        <w:pStyle w:val="BodyText"/>
      </w:pPr>
      <w:r>
        <w:rPr>
          <w:b/>
          <w:bCs/>
        </w:rPr>
        <w:t xml:space="preserve">Evaluation:</w:t>
      </w:r>
      <w:r>
        <w:t xml:space="preserve"> </w:t>
      </w:r>
      <w:r>
        <w:t xml:space="preserve">The Company shall evaluate within 15 days. Options: (a) waive with or without safeguards (e.g., Chinese walls); (b) require Consultant to cease conflicting engagement or divest interest; (c) terminate. Pending evaluation, Consultant shall not take action that exacerbates conflict.</w:t>
      </w:r>
    </w:p>
    <w:p>
      <w:pPr>
        <w:pStyle w:val="BodyText"/>
      </w:pPr>
      <w:r>
        <w:rPr>
          <w:b/>
          <w:bCs/>
        </w:rPr>
        <w:t xml:space="preserve">Chinese Walls:</w:t>
      </w:r>
      <w:r>
        <w:t xml:space="preserve"> </w:t>
      </w:r>
      <w:r>
        <w:t xml:space="preserve">If waived with safeguards, Consultant shall: (a) segregate team (no overlap); (b) restrict access to Confidential Information; (c) document compliance; (d) confirm to Company upon request. Breach of Chinese wall = material breach.</w:t>
      </w:r>
    </w:p>
    <w:bookmarkEnd w:id="109"/>
    <w:bookmarkStart w:id="110" w:name="X336340287dd96f423d2941998d865a9aad30501"/>
    <w:p>
      <w:pPr>
        <w:pStyle w:val="Heading2"/>
      </w:pPr>
      <w:r>
        <w:t xml:space="preserve">ANNEXURE XXIV — VALUATION REPORT STRUCTURE (ICAI)</w:t>
      </w:r>
    </w:p>
    <w:p>
      <w:pPr>
        <w:pStyle w:val="FirstParagraph"/>
      </w:pPr>
      <w:r>
        <w:rPr>
          <w:b/>
          <w:bCs/>
        </w:rPr>
        <w:t xml:space="preserve">1. Introduction:</w:t>
      </w:r>
      <w:r>
        <w:t xml:space="preserve"> </w:t>
      </w:r>
      <w:r>
        <w:t xml:space="preserve">Purpose; scope; valuation date; standard used (ICAI Valuation Standards).</w:t>
      </w:r>
    </w:p>
    <w:p>
      <w:pPr>
        <w:pStyle w:val="BodyText"/>
      </w:pPr>
      <w:r>
        <w:rPr>
          <w:b/>
          <w:bCs/>
        </w:rPr>
        <w:t xml:space="preserve">2. Company/Asset Overview:</w:t>
      </w:r>
      <w:r>
        <w:t xml:space="preserve"> </w:t>
      </w:r>
      <w:r>
        <w:t xml:space="preserve">Business description; history; key products/services; market position.</w:t>
      </w:r>
    </w:p>
    <w:p>
      <w:pPr>
        <w:pStyle w:val="BodyText"/>
      </w:pPr>
      <w:r>
        <w:rPr>
          <w:b/>
          <w:bCs/>
        </w:rPr>
        <w:t xml:space="preserve">3. Information and Assumptions:</w:t>
      </w:r>
      <w:r>
        <w:t xml:space="preserve"> </w:t>
      </w:r>
      <w:r>
        <w:t xml:space="preserve">Sources of information; key assumptions; limitations.</w:t>
      </w:r>
    </w:p>
    <w:p>
      <w:pPr>
        <w:pStyle w:val="BodyText"/>
      </w:pPr>
      <w:r>
        <w:rPr>
          <w:b/>
          <w:bCs/>
        </w:rPr>
        <w:t xml:space="preserve">4. Valuation Methodology:</w:t>
      </w:r>
      <w:r>
        <w:t xml:space="preserve"> </w:t>
      </w:r>
      <w:r>
        <w:t xml:space="preserve">Approach selected (income, market, asset); rationale; alternative approaches considered.</w:t>
      </w:r>
    </w:p>
    <w:p>
      <w:pPr>
        <w:pStyle w:val="BodyText"/>
      </w:pPr>
      <w:r>
        <w:rPr>
          <w:b/>
          <w:bCs/>
        </w:rPr>
        <w:t xml:space="preserve">5. Income Approach (DCF):</w:t>
      </w:r>
      <w:r>
        <w:t xml:space="preserve"> </w:t>
      </w:r>
      <w:r>
        <w:t xml:space="preserve">Revenue projections; margins; capex; working capital; discount rate (WACC); terminal value; sensitivity.</w:t>
      </w:r>
    </w:p>
    <w:p>
      <w:pPr>
        <w:pStyle w:val="BodyText"/>
      </w:pPr>
      <w:r>
        <w:rPr>
          <w:b/>
          <w:bCs/>
        </w:rPr>
        <w:t xml:space="preserve">6. Market Approach:</w:t>
      </w:r>
      <w:r>
        <w:t xml:space="preserve"> </w:t>
      </w:r>
      <w:r>
        <w:t xml:space="preserve">Comparable companies/transactions; multiples; adjustments.</w:t>
      </w:r>
    </w:p>
    <w:p>
      <w:pPr>
        <w:pStyle w:val="BodyText"/>
      </w:pPr>
      <w:r>
        <w:rPr>
          <w:b/>
          <w:bCs/>
        </w:rPr>
        <w:t xml:space="preserve">7. Conclusion:</w:t>
      </w:r>
      <w:r>
        <w:t xml:space="preserve"> </w:t>
      </w:r>
      <w:r>
        <w:t xml:space="preserve">Value range; point estimate; reconciliation if multiple methods.</w:t>
      </w:r>
    </w:p>
    <w:p>
      <w:pPr>
        <w:pStyle w:val="BodyText"/>
      </w:pPr>
      <w:r>
        <w:rPr>
          <w:b/>
          <w:bCs/>
        </w:rPr>
        <w:t xml:space="preserve">8. Limitations:</w:t>
      </w:r>
      <w:r>
        <w:t xml:space="preserve"> </w:t>
      </w:r>
      <w:r>
        <w:t xml:space="preserve">Quality of information; reliance on management; market conditions.</w:t>
      </w:r>
    </w:p>
    <w:p>
      <w:pPr>
        <w:pStyle w:val="BodyText"/>
      </w:pPr>
      <w:r>
        <w:rPr>
          <w:b/>
          <w:bCs/>
        </w:rPr>
        <w:t xml:space="preserve">9. Independence and Certification:</w:t>
      </w:r>
      <w:r>
        <w:t xml:space="preserve"> </w:t>
      </w:r>
      <w:r>
        <w:t xml:space="preserve">Statement of independence; valuer credentials.</w:t>
      </w:r>
    </w:p>
    <w:bookmarkEnd w:id="110"/>
    <w:bookmarkStart w:id="111" w:name="Xaa34d3ec7c8cce263d63cb58f05bec3efef3a84"/>
    <w:p>
      <w:pPr>
        <w:pStyle w:val="Heading2"/>
      </w:pPr>
      <w:r>
        <w:t xml:space="preserve">ANNEXURE XXV — EXPENSE REIMBURSEMENT PROCEDURE</w:t>
      </w:r>
    </w:p>
    <w:p>
      <w:pPr>
        <w:pStyle w:val="FirstParagraph"/>
      </w:pPr>
      <w:r>
        <w:rPr>
          <w:b/>
          <w:bCs/>
        </w:rPr>
        <w:t xml:space="preserve">Pre-Approval:</w:t>
      </w:r>
      <w:r>
        <w:t xml:space="preserve"> </w:t>
      </w:r>
      <w:r>
        <w:t xml:space="preserve">Expenses &gt; ₹25,000 per item or &gt; ₹1,00,000 per month require prior written approval from Company.</w:t>
      </w:r>
    </w:p>
    <w:p>
      <w:pPr>
        <w:pStyle w:val="BodyText"/>
      </w:pPr>
      <w:r>
        <w:rPr>
          <w:b/>
          <w:bCs/>
        </w:rPr>
        <w:t xml:space="preserve">Documentation:</w:t>
      </w:r>
      <w:r>
        <w:t xml:space="preserve"> </w:t>
      </w:r>
      <w:r>
        <w:t xml:space="preserve">Original receipts; invoice; purpose; date. For travel: itinerary; boarding passes.</w:t>
      </w:r>
    </w:p>
    <w:p>
      <w:pPr>
        <w:pStyle w:val="BodyText"/>
      </w:pPr>
      <w:r>
        <w:rPr>
          <w:b/>
          <w:bCs/>
        </w:rPr>
        <w:t xml:space="preserve">Categories:</w:t>
      </w:r>
      <w:r>
        <w:t xml:space="preserve"> </w:t>
      </w:r>
      <w:r>
        <w:t xml:space="preserve">(a) Travel – economy (business for &gt; 6 hrs); (b) Accommodation – mid-range; (c) Meals – as per Company policy; (d) Communication; (e) Printing/courier; (f) Data room access; (g) Third-party reports (with approval).</w:t>
      </w:r>
    </w:p>
    <w:p>
      <w:pPr>
        <w:pStyle w:val="BodyText"/>
      </w:pPr>
      <w:r>
        <w:rPr>
          <w:b/>
          <w:bCs/>
        </w:rPr>
        <w:t xml:space="preserve">Submission:</w:t>
      </w:r>
      <w:r>
        <w:t xml:space="preserve"> </w:t>
      </w:r>
      <w:r>
        <w:t xml:space="preserve">Monthly with expense report. Reimbursement within 15 days of approval.</w:t>
      </w:r>
    </w:p>
    <w:p>
      <w:pPr>
        <w:pStyle w:val="BodyText"/>
      </w:pPr>
      <w:r>
        <w:rPr>
          <w:b/>
          <w:bCs/>
        </w:rPr>
        <w:t xml:space="preserve">Excluded:</w:t>
      </w:r>
      <w:r>
        <w:t xml:space="preserve"> </w:t>
      </w:r>
      <w:r>
        <w:t xml:space="preserve">Client entertainment (unless pre-approved); personal expenses; fines.</w:t>
      </w:r>
    </w:p>
    <w:bookmarkEnd w:id="111"/>
    <w:bookmarkStart w:id="112" w:name="Xd3f067c0bb0063b2260638175b4badab195e643"/>
    <w:p>
      <w:pPr>
        <w:pStyle w:val="Heading2"/>
      </w:pPr>
      <w:r>
        <w:t xml:space="preserve">ANNEXURE XXVI — ENGAGEMENT LETTER AND SCOPE</w:t>
      </w:r>
    </w:p>
    <w:p>
      <w:pPr>
        <w:pStyle w:val="FirstParagraph"/>
      </w:pPr>
      <w:r>
        <w:t xml:space="preserve">This Agreement constitutes the engagement letter. The scope is as described in Schedule A and Article 2. The Consultant is engaged to provide advisory services only. The Consultant does not: (a) provide legal opinions; (b) provide tax opinions; (c) conduct audit or attestation; (d) arrange financing; (e) act as agent to bind the Company; (f) guarantee Transaction completion or outcome. The Company retains full discretion on all decisions. The Consultant's role is to inform, analyse, and recommend.</w:t>
      </w:r>
    </w:p>
    <w:bookmarkEnd w:id="112"/>
    <w:bookmarkStart w:id="113" w:name="X4a26c1929edc99dd4bf864efbc66f8fc4de6bab"/>
    <w:p>
      <w:pPr>
        <w:pStyle w:val="Heading2"/>
      </w:pPr>
      <w:r>
        <w:t xml:space="preserve">ANNEXURE XXVII — TEAM AND RESOURCE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Estimated Effort</w:t>
            </w:r>
          </w:p>
        </w:tc>
        <w:tc>
          <w:tcPr/>
          <w:p>
            <w:pPr>
              <w:pStyle w:val="Compact"/>
            </w:pPr>
            <w:r>
              <w:t xml:space="preserve">Key Resources</w:t>
            </w:r>
          </w:p>
        </w:tc>
      </w:tr>
      <w:tr>
        <w:tc>
          <w:tcPr/>
          <w:p>
            <w:pPr>
              <w:pStyle w:val="Compact"/>
            </w:pPr>
            <w:r>
              <w:t xml:space="preserve">Project setup and planning</w:t>
            </w:r>
          </w:p>
        </w:tc>
        <w:tc>
          <w:tcPr/>
          <w:p>
            <w:pPr>
              <w:pStyle w:val="Compact"/>
            </w:pPr>
            <w:r>
              <w:t xml:space="preserve">20 days</w:t>
            </w:r>
          </w:p>
        </w:tc>
        <w:tc>
          <w:tcPr/>
          <w:p>
            <w:pPr>
              <w:pStyle w:val="Compact"/>
            </w:pPr>
            <w:r>
              <w:t xml:space="preserve">Partner, Manager</w:t>
            </w:r>
          </w:p>
        </w:tc>
      </w:tr>
      <w:tr>
        <w:tc>
          <w:tcPr/>
          <w:p>
            <w:pPr>
              <w:pStyle w:val="Compact"/>
            </w:pPr>
            <w:r>
              <w:t xml:space="preserve">Financial due diligence</w:t>
            </w:r>
          </w:p>
        </w:tc>
        <w:tc>
          <w:tcPr/>
          <w:p>
            <w:pPr>
              <w:pStyle w:val="Compact"/>
            </w:pPr>
            <w:r>
              <w:t xml:space="preserve">60 days</w:t>
            </w:r>
          </w:p>
        </w:tc>
        <w:tc>
          <w:tcPr/>
          <w:p>
            <w:pPr>
              <w:pStyle w:val="Compact"/>
            </w:pPr>
            <w:r>
              <w:t xml:space="preserve">Manager, 2 Analysts</w:t>
            </w:r>
          </w:p>
        </w:tc>
      </w:tr>
      <w:tr>
        <w:tc>
          <w:tcPr/>
          <w:p>
            <w:pPr>
              <w:pStyle w:val="Compact"/>
            </w:pPr>
            <w:r>
              <w:t xml:space="preserve">Legal/operational DD</w:t>
            </w:r>
          </w:p>
        </w:tc>
        <w:tc>
          <w:tcPr/>
          <w:p>
            <w:pPr>
              <w:pStyle w:val="Compact"/>
            </w:pPr>
            <w:r>
              <w:t xml:space="preserve">40 days</w:t>
            </w:r>
          </w:p>
        </w:tc>
        <w:tc>
          <w:tcPr/>
          <w:p>
            <w:pPr>
              <w:pStyle w:val="Compact"/>
            </w:pPr>
            <w:r>
              <w:t xml:space="preserve">Manager, Analyst</w:t>
            </w:r>
          </w:p>
        </w:tc>
      </w:tr>
      <w:tr>
        <w:tc>
          <w:tcPr/>
          <w:p>
            <w:pPr>
              <w:pStyle w:val="Compact"/>
            </w:pPr>
            <w:r>
              <w:t xml:space="preserve">Valuation</w:t>
            </w:r>
          </w:p>
        </w:tc>
        <w:tc>
          <w:tcPr/>
          <w:p>
            <w:pPr>
              <w:pStyle w:val="Compact"/>
            </w:pPr>
            <w:r>
              <w:t xml:space="preserve">30 days</w:t>
            </w:r>
          </w:p>
        </w:tc>
        <w:tc>
          <w:tcPr/>
          <w:p>
            <w:pPr>
              <w:pStyle w:val="Compact"/>
            </w:pPr>
            <w:r>
              <w:t xml:space="preserve">Partner, Manager</w:t>
            </w:r>
          </w:p>
        </w:tc>
      </w:tr>
      <w:tr>
        <w:tc>
          <w:tcPr/>
          <w:p>
            <w:pPr>
              <w:pStyle w:val="Compact"/>
            </w:pPr>
            <w:r>
              <w:t xml:space="preserve">Transaction structuring</w:t>
            </w:r>
          </w:p>
        </w:tc>
        <w:tc>
          <w:tcPr/>
          <w:p>
            <w:pPr>
              <w:pStyle w:val="Compact"/>
            </w:pPr>
            <w:r>
              <w:t xml:space="preserve">25 days</w:t>
            </w:r>
          </w:p>
        </w:tc>
        <w:tc>
          <w:tcPr/>
          <w:p>
            <w:pPr>
              <w:pStyle w:val="Compact"/>
            </w:pPr>
            <w:r>
              <w:t xml:space="preserve">Partner, Manager</w:t>
            </w:r>
          </w:p>
        </w:tc>
      </w:tr>
      <w:tr>
        <w:tc>
          <w:tcPr/>
          <w:p>
            <w:pPr>
              <w:pStyle w:val="Compact"/>
            </w:pPr>
            <w:r>
              <w:t xml:space="preserve">Documentation support</w:t>
            </w:r>
          </w:p>
        </w:tc>
        <w:tc>
          <w:tcPr/>
          <w:p>
            <w:pPr>
              <w:pStyle w:val="Compact"/>
            </w:pPr>
            <w:r>
              <w:t xml:space="preserve">30 days</w:t>
            </w:r>
          </w:p>
        </w:tc>
        <w:tc>
          <w:tcPr/>
          <w:p>
            <w:pPr>
              <w:pStyle w:val="Compact"/>
            </w:pPr>
            <w:r>
              <w:t xml:space="preserve">Manager, Analyst</w:t>
            </w:r>
          </w:p>
        </w:tc>
      </w:tr>
      <w:tr>
        <w:tc>
          <w:tcPr/>
          <w:p>
            <w:pPr>
              <w:pStyle w:val="Compact"/>
            </w:pPr>
            <w:r>
              <w:t xml:space="preserve">Reporting and coordination</w:t>
            </w:r>
          </w:p>
        </w:tc>
        <w:tc>
          <w:tcPr/>
          <w:p>
            <w:pPr>
              <w:pStyle w:val="Compact"/>
            </w:pPr>
            <w:r>
              <w:t xml:space="preserve">Ongoing</w:t>
            </w:r>
          </w:p>
        </w:tc>
        <w:tc>
          <w:tcPr/>
          <w:p>
            <w:pPr>
              <w:pStyle w:val="Compact"/>
            </w:pPr>
            <w:r>
              <w:t xml:space="preserve">All</w:t>
            </w:r>
          </w:p>
        </w:tc>
      </w:tr>
      <w:tr>
        <w:tc>
          <w:tcPr/>
          <w:p>
            <w:pPr>
              <w:pStyle w:val="Compact"/>
            </w:pPr>
            <w:r>
              <w:t xml:space="preserve">Buffer</w:t>
            </w:r>
          </w:p>
        </w:tc>
        <w:tc>
          <w:tcPr/>
          <w:p>
            <w:pPr>
              <w:pStyle w:val="Compact"/>
            </w:pPr>
            <w:r>
              <w:t xml:space="preserve">95 days</w:t>
            </w:r>
          </w:p>
        </w:tc>
        <w:tc>
          <w:tcPr/>
          <w:p>
            <w:pPr>
              <w:pStyle w:val="Compact"/>
            </w:pPr>
            <w:r>
              <w:t xml:space="preserve">—</w:t>
            </w:r>
          </w:p>
        </w:tc>
      </w:tr>
      <w:tr>
        <w:tc>
          <w:tcPr/>
          <w:p>
            <w:pPr>
              <w:pStyle w:val="Compact"/>
            </w:pPr>
            <w:r>
              <w:t xml:space="preserve">Total</w:t>
            </w:r>
          </w:p>
        </w:tc>
        <w:tc>
          <w:tcPr/>
          <w:p>
            <w:pPr>
              <w:pStyle w:val="Compact"/>
            </w:pPr>
            <w:r>
              <w:t xml:space="preserve">~400 days</w:t>
            </w:r>
          </w:p>
        </w:tc>
        <w:tc>
          <w:tcPr/>
          <w:p>
            <w:pPr>
              <w:pStyle w:val="Compact"/>
            </w:pPr>
            <w:r>
              <w:t xml:space="preserve">—</w:t>
            </w:r>
          </w:p>
        </w:tc>
      </w:tr>
    </w:tbl>
    <w:p>
      <w:pPr>
        <w:pStyle w:val="BodyText"/>
      </w:pPr>
      <w:r>
        <w:t xml:space="preserve">Effort may vary based on Transaction complexity. Excess over 500 days billable at ₹12,000/day.</w:t>
      </w:r>
    </w:p>
    <w:bookmarkEnd w:id="113"/>
    <w:bookmarkStart w:id="114" w:name="X7a13d055e4cda40029d08f5efdca0217e46d80c"/>
    <w:p>
      <w:pPr>
        <w:pStyle w:val="Heading2"/>
      </w:pPr>
      <w:r>
        <w:t xml:space="preserve">ANNEXURE XXVIII — TRANSACTION MILESTONE TRACKER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Target</w:t>
            </w:r>
          </w:p>
        </w:tc>
        <w:tc>
          <w:tcPr/>
          <w:p>
            <w:pPr>
              <w:pStyle w:val="Compact"/>
            </w:pPr>
            <w:r>
              <w:t xml:space="preserve">Owner</w:t>
            </w:r>
          </w:p>
        </w:tc>
        <w:tc>
          <w:tcPr/>
          <w:p>
            <w:pPr>
              <w:pStyle w:val="Compact"/>
            </w:pPr>
            <w:r>
              <w:t xml:space="preserve">Dependencies</w:t>
            </w:r>
          </w:p>
        </w:tc>
      </w:tr>
      <w:tr>
        <w:tc>
          <w:tcPr/>
          <w:p>
            <w:pPr>
              <w:pStyle w:val="Compact"/>
            </w:pPr>
            <w:r>
              <w:t xml:space="preserve">Target shortlist finalised</w:t>
            </w:r>
          </w:p>
        </w:tc>
        <w:tc>
          <w:tcPr/>
          <w:p>
            <w:pPr>
              <w:pStyle w:val="Compact"/>
            </w:pPr>
            <w:r>
              <w:t xml:space="preserve">Month 1</w:t>
            </w:r>
          </w:p>
        </w:tc>
        <w:tc>
          <w:tcPr/>
          <w:p>
            <w:pPr>
              <w:pStyle w:val="Compact"/>
            </w:pPr>
            <w:r>
              <w:t xml:space="preserve">Company</w:t>
            </w:r>
          </w:p>
        </w:tc>
        <w:tc>
          <w:tcPr/>
          <w:p>
            <w:pPr>
              <w:pStyle w:val="Compact"/>
            </w:pPr>
            <w:r>
              <w:t xml:space="preserve">—</w:t>
            </w:r>
          </w:p>
        </w:tc>
      </w:tr>
      <w:tr>
        <w:tc>
          <w:tcPr/>
          <w:p>
            <w:pPr>
              <w:pStyle w:val="Compact"/>
            </w:pPr>
            <w:r>
              <w:t xml:space="preserve">Data room access</w:t>
            </w:r>
          </w:p>
        </w:tc>
        <w:tc>
          <w:tcPr/>
          <w:p>
            <w:pPr>
              <w:pStyle w:val="Compact"/>
            </w:pPr>
            <w:r>
              <w:t xml:space="preserve">Month 1–2</w:t>
            </w:r>
          </w:p>
        </w:tc>
        <w:tc>
          <w:tcPr/>
          <w:p>
            <w:pPr>
              <w:pStyle w:val="Compact"/>
            </w:pPr>
            <w:r>
              <w:t xml:space="preserve">Company</w:t>
            </w:r>
          </w:p>
        </w:tc>
        <w:tc>
          <w:tcPr/>
          <w:p>
            <w:pPr>
              <w:pStyle w:val="Compact"/>
            </w:pPr>
            <w:r>
              <w:t xml:space="preserve">NDA; RP/seller</w:t>
            </w:r>
          </w:p>
        </w:tc>
      </w:tr>
      <w:tr>
        <w:tc>
          <w:tcPr/>
          <w:p>
            <w:pPr>
              <w:pStyle w:val="Compact"/>
            </w:pPr>
            <w:r>
              <w:t xml:space="preserve">Due diligence kick-off</w:t>
            </w:r>
          </w:p>
        </w:tc>
        <w:tc>
          <w:tcPr/>
          <w:p>
            <w:pPr>
              <w:pStyle w:val="Compact"/>
            </w:pPr>
            <w:r>
              <w:t xml:space="preserve">Month 2</w:t>
            </w:r>
          </w:p>
        </w:tc>
        <w:tc>
          <w:tcPr/>
          <w:p>
            <w:pPr>
              <w:pStyle w:val="Compact"/>
            </w:pPr>
            <w:r>
              <w:t xml:space="preserve">Consultant</w:t>
            </w:r>
          </w:p>
        </w:tc>
        <w:tc>
          <w:tcPr/>
          <w:p>
            <w:pPr>
              <w:pStyle w:val="Compact"/>
            </w:pPr>
            <w:r>
              <w:t xml:space="preserve">Data room</w:t>
            </w:r>
          </w:p>
        </w:tc>
      </w:tr>
      <w:tr>
        <w:tc>
          <w:tcPr/>
          <w:p>
            <w:pPr>
              <w:pStyle w:val="Compact"/>
            </w:pPr>
            <w:r>
              <w:t xml:space="preserve">Due diligence report</w:t>
            </w:r>
          </w:p>
        </w:tc>
        <w:tc>
          <w:tcPr/>
          <w:p>
            <w:pPr>
              <w:pStyle w:val="Compact"/>
            </w:pPr>
            <w:r>
              <w:t xml:space="preserve">Month 3–4</w:t>
            </w:r>
          </w:p>
        </w:tc>
        <w:tc>
          <w:tcPr/>
          <w:p>
            <w:pPr>
              <w:pStyle w:val="Compact"/>
            </w:pPr>
            <w:r>
              <w:t xml:space="preserve">Consultant</w:t>
            </w:r>
          </w:p>
        </w:tc>
        <w:tc>
          <w:tcPr/>
          <w:p>
            <w:pPr>
              <w:pStyle w:val="Compact"/>
            </w:pPr>
            <w:r>
              <w:t xml:space="preserve">Info from Company</w:t>
            </w:r>
          </w:p>
        </w:tc>
      </w:tr>
      <w:tr>
        <w:tc>
          <w:tcPr/>
          <w:p>
            <w:pPr>
              <w:pStyle w:val="Compact"/>
            </w:pPr>
            <w:r>
              <w:t xml:space="preserve">Valuation report</w:t>
            </w:r>
          </w:p>
        </w:tc>
        <w:tc>
          <w:tcPr/>
          <w:p>
            <w:pPr>
              <w:pStyle w:val="Compact"/>
            </w:pPr>
            <w:r>
              <w:t xml:space="preserve">Pre-bid</w:t>
            </w:r>
          </w:p>
        </w:tc>
        <w:tc>
          <w:tcPr/>
          <w:p>
            <w:pPr>
              <w:pStyle w:val="Compact"/>
            </w:pPr>
            <w:r>
              <w:t xml:space="preserve">Consultant</w:t>
            </w:r>
          </w:p>
        </w:tc>
        <w:tc>
          <w:tcPr/>
          <w:p>
            <w:pPr>
              <w:pStyle w:val="Compact"/>
            </w:pPr>
            <w:r>
              <w:t xml:space="preserve">DD findings</w:t>
            </w:r>
          </w:p>
        </w:tc>
      </w:tr>
      <w:tr>
        <w:tc>
          <w:tcPr/>
          <w:p>
            <w:pPr>
              <w:pStyle w:val="Compact"/>
            </w:pPr>
            <w:r>
              <w:t xml:space="preserve">Regulatory checklist</w:t>
            </w:r>
          </w:p>
        </w:tc>
        <w:tc>
          <w:tcPr/>
          <w:p>
            <w:pPr>
              <w:pStyle w:val="Compact"/>
            </w:pPr>
            <w:r>
              <w:t xml:space="preserve">Month 2</w:t>
            </w:r>
          </w:p>
        </w:tc>
        <w:tc>
          <w:tcPr/>
          <w:p>
            <w:pPr>
              <w:pStyle w:val="Compact"/>
            </w:pPr>
            <w:r>
              <w:t xml:space="preserve">Consultant</w:t>
            </w:r>
          </w:p>
        </w:tc>
        <w:tc>
          <w:tcPr/>
          <w:p>
            <w:pPr>
              <w:pStyle w:val="Compact"/>
            </w:pPr>
            <w:r>
              <w:t xml:space="preserve">Structure</w:t>
            </w:r>
          </w:p>
        </w:tc>
      </w:tr>
      <w:tr>
        <w:tc>
          <w:tcPr/>
          <w:p>
            <w:pPr>
              <w:pStyle w:val="Compact"/>
            </w:pPr>
            <w:r>
              <w:t xml:space="preserve">Bid submission</w:t>
            </w:r>
          </w:p>
        </w:tc>
        <w:tc>
          <w:tcPr/>
          <w:p>
            <w:pPr>
              <w:pStyle w:val="Compact"/>
            </w:pPr>
            <w:r>
              <w:t xml:space="preserve">Month 4–6</w:t>
            </w:r>
          </w:p>
        </w:tc>
        <w:tc>
          <w:tcPr/>
          <w:p>
            <w:pPr>
              <w:pStyle w:val="Compact"/>
            </w:pPr>
            <w:r>
              <w:t xml:space="preserve">Company</w:t>
            </w:r>
          </w:p>
        </w:tc>
        <w:tc>
          <w:tcPr/>
          <w:p>
            <w:pPr>
              <w:pStyle w:val="Compact"/>
            </w:pPr>
            <w:r>
              <w:t xml:space="preserve">All above</w:t>
            </w:r>
          </w:p>
        </w:tc>
      </w:tr>
      <w:tr>
        <w:tc>
          <w:tcPr/>
          <w:p>
            <w:pPr>
              <w:pStyle w:val="Compact"/>
            </w:pPr>
            <w:r>
              <w:t xml:space="preserve">Definitive agreements</w:t>
            </w:r>
          </w:p>
        </w:tc>
        <w:tc>
          <w:tcPr/>
          <w:p>
            <w:pPr>
              <w:pStyle w:val="Compact"/>
            </w:pPr>
            <w:r>
              <w:t xml:space="preserve">Post bid</w:t>
            </w:r>
          </w:p>
        </w:tc>
        <w:tc>
          <w:tcPr/>
          <w:p>
            <w:pPr>
              <w:pStyle w:val="Compact"/>
            </w:pPr>
            <w:r>
              <w:t xml:space="preserve">Company/Legal</w:t>
            </w:r>
          </w:p>
        </w:tc>
        <w:tc>
          <w:tcPr/>
          <w:p>
            <w:pPr>
              <w:pStyle w:val="Compact"/>
            </w:pPr>
            <w:r>
              <w:t xml:space="preserve">CoC approval</w:t>
            </w:r>
          </w:p>
        </w:tc>
      </w:tr>
    </w:tbl>
    <w:bookmarkEnd w:id="114"/>
    <w:bookmarkStart w:id="115" w:name="Xd7d430fe9d26619a1dcca809c05f09e55c44bbe"/>
    <w:p>
      <w:pPr>
        <w:pStyle w:val="Heading2"/>
      </w:pPr>
      <w:r>
        <w:t xml:space="preserve">ANNEXURE XXIX — REPRESENTATIONS BY CONSULTANT</w:t>
      </w:r>
    </w:p>
    <w:p>
      <w:pPr>
        <w:pStyle w:val="FirstParagraph"/>
      </w:pPr>
      <w:r>
        <w:t xml:space="preserve">The Consultant represents that as of the Effective Date: (a) it is duly organised and has authority to enter this Agreement; (b) performance will not violate any law or agreement; (c) it has the resources and expertise to perform; (d) it has disclosed all material Conflicts of Interest known to it; (e) it carries professional indemnity insurance as stated; (f) it will comply with applicable professional standards and law; (g) neither it nor its key personnel are debarred or disqualified from practice. These representations are made to the best of the Consultant's knowledge. Material breach may entitle the Company to terminate and claim damages.</w:t>
      </w:r>
    </w:p>
    <w:bookmarkEnd w:id="115"/>
    <w:bookmarkStart w:id="116" w:name="Xf5e1867c3e761d214f89faad0088a13eebdc324"/>
    <w:p>
      <w:pPr>
        <w:pStyle w:val="Heading2"/>
      </w:pPr>
      <w:r>
        <w:t xml:space="preserve">ANNEXURE XXX — DATA ROOM ACCESS AND CONFIDENTIALITY</w:t>
      </w:r>
    </w:p>
    <w:p>
      <w:pPr>
        <w:pStyle w:val="FirstParagraph"/>
      </w:pPr>
      <w:r>
        <w:t xml:space="preserve">The Company shall provide or facilitate access to the data room (physical or virtual) for due diligence. The Consultant shall: (a) treat all data room materials as Confidential Information; (b) use only for the Purpose; (c) not download or copy except as necessary for the engagement (and then subject to secure storage); (d) not disclose to any third party except Representatives on need-to-know basis; (e) return or destroy upon termination. The Consultant may rely on data room information without independent verification unless the Consultant expressly agrees otherwise. The Company shall use reasonable efforts to ensure data room is complete and current. The Consultant shall report any material gap or inconsistency promptly.</w:t>
      </w:r>
    </w:p>
    <w:bookmarkEnd w:id="116"/>
    <w:bookmarkStart w:id="117" w:name="X6d02e23583974e70953474e607aeb396d34aefe"/>
    <w:p>
      <w:pPr>
        <w:pStyle w:val="Heading2"/>
      </w:pPr>
      <w:r>
        <w:t xml:space="preserve">ANNEXURE XXXI — FINANCIAL DUE DILIGENCE PROCEDURES</w:t>
      </w:r>
    </w:p>
    <w:p>
      <w:pPr>
        <w:pStyle w:val="FirstParagraph"/>
      </w:pPr>
      <w:r>
        <w:t xml:space="preserve">The Consultant shall perform financial due diligence in accordance with generally accepted practices: (a) Review audited financial statements (3 years) and auditor reports; (b) Analyse quality of earnings (normalising adjustments, one-off items, run-rate); (c) Assess working capital requirements and historical trends; (d) Review debt schedule, debt-like items, guarantees; (e) Identify contingent liabilities (litigation, warranties, indemnities); (f) Analyse related party transactions; (g) Review management accounts and projections; (h) Assess cash flow and funding requirements; (i) Tax review (assessments, disputes, structuring); (j) Capital expenditure and maintenance requirements. The Consultant shall document findings, assumptions, and limitations. The Consultant does not provide audit opinion or assurance.</w:t>
      </w:r>
    </w:p>
    <w:bookmarkEnd w:id="117"/>
    <w:bookmarkStart w:id="118" w:name="Xe82493f2aa80cb8cd46cc7ef45c8b9a89aa09b9"/>
    <w:p>
      <w:pPr>
        <w:pStyle w:val="Heading2"/>
      </w:pPr>
      <w:r>
        <w:t xml:space="preserve">ANNEXURE XXXII — VALUATION INPUTS AND SENSITIVITY</w:t>
      </w:r>
    </w:p>
    <w:p>
      <w:pPr>
        <w:pStyle w:val="FirstParagraph"/>
      </w:pPr>
      <w:r>
        <w:t xml:space="preserve">Typical DCF inputs to be documented in Valuation Report: (a) Revenue growth (historical and projected); (b) EBITDA margin and trends; (c) Tax rate; (d) Capex and working capital as % of revenue; (e) Terminal growth rate; (f) WACC (risk-free rate, beta, equity risk premium, cost of debt); (g) Terminal multiple (if applicable). Sensitivity analysis: vary key inputs (e.g., ±1% on growth, ±1% on margin, ±1% on WACC) and show impact on value. Scenario analysis (base, optimistic, pessimistic) may be included. The Consultant shall use reasonable professional judgement; the Company is responsible for validating assumptions.</w:t>
      </w:r>
    </w:p>
    <w:bookmarkEnd w:id="118"/>
    <w:bookmarkStart w:id="119" w:name="X794c742d5b24235435aa0b6228379162ce820aa"/>
    <w:p>
      <w:pPr>
        <w:pStyle w:val="Heading2"/>
      </w:pPr>
      <w:r>
        <w:t xml:space="preserve">ANNEXURE XXXIII — REGULATORY TIMELINE (INDICATIVE)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Approval</w:t>
            </w:r>
          </w:p>
        </w:tc>
        <w:tc>
          <w:tcPr/>
          <w:p>
            <w:pPr>
              <w:pStyle w:val="Compact"/>
            </w:pPr>
            <w:r>
              <w:t xml:space="preserve">Authority</w:t>
            </w:r>
          </w:p>
        </w:tc>
        <w:tc>
          <w:tcPr/>
          <w:p>
            <w:pPr>
              <w:pStyle w:val="Compact"/>
            </w:pPr>
            <w:r>
              <w:t xml:space="preserve">Typical Timeline</w:t>
            </w:r>
          </w:p>
        </w:tc>
        <w:tc>
          <w:tcPr/>
          <w:p>
            <w:pPr>
              <w:pStyle w:val="Compact"/>
            </w:pPr>
            <w:r>
              <w:t xml:space="preserve">Trigger</w:t>
            </w:r>
          </w:p>
        </w:tc>
      </w:tr>
      <w:tr>
        <w:tc>
          <w:tcPr/>
          <w:p>
            <w:pPr>
              <w:pStyle w:val="Compact"/>
            </w:pPr>
            <w:r>
              <w:t xml:space="preserve">CCI (Combination)</w:t>
            </w:r>
          </w:p>
        </w:tc>
        <w:tc>
          <w:tcPr/>
          <w:p>
            <w:pPr>
              <w:pStyle w:val="Compact"/>
            </w:pPr>
            <w:r>
              <w:t xml:space="preserve">Competition Commission</w:t>
            </w:r>
          </w:p>
        </w:tc>
        <w:tc>
          <w:tcPr/>
          <w:p>
            <w:pPr>
              <w:pStyle w:val="Compact"/>
            </w:pPr>
            <w:r>
              <w:t xml:space="preserve">30–210 days</w:t>
            </w:r>
          </w:p>
        </w:tc>
        <w:tc>
          <w:tcPr/>
          <w:p>
            <w:pPr>
              <w:pStyle w:val="Compact"/>
            </w:pPr>
            <w:r>
              <w:t xml:space="preserve">Filing within 30 days</w:t>
            </w:r>
          </w:p>
        </w:tc>
      </w:tr>
      <w:tr>
        <w:tc>
          <w:tcPr/>
          <w:p>
            <w:pPr>
              <w:pStyle w:val="Compact"/>
            </w:pPr>
            <w:r>
              <w:t xml:space="preserve">RBI (if applicable)</w:t>
            </w:r>
          </w:p>
        </w:tc>
        <w:tc>
          <w:tcPr/>
          <w:p>
            <w:pPr>
              <w:pStyle w:val="Compact"/>
            </w:pPr>
            <w:r>
              <w:t xml:space="preserve">Reserve Bank</w:t>
            </w:r>
          </w:p>
        </w:tc>
        <w:tc>
          <w:tcPr/>
          <w:p>
            <w:pPr>
              <w:pStyle w:val="Compact"/>
            </w:pPr>
            <w:r>
              <w:t xml:space="preserve">30–90 days</w:t>
            </w:r>
          </w:p>
        </w:tc>
        <w:tc>
          <w:tcPr/>
          <w:p>
            <w:pPr>
              <w:pStyle w:val="Compact"/>
            </w:pPr>
            <w:r>
              <w:t xml:space="preserve">Sector-specific</w:t>
            </w:r>
          </w:p>
        </w:tc>
      </w:tr>
      <w:tr>
        <w:tc>
          <w:tcPr/>
          <w:p>
            <w:pPr>
              <w:pStyle w:val="Compact"/>
            </w:pPr>
            <w:r>
              <w:t xml:space="preserve">SEBI (Takeover)</w:t>
            </w:r>
          </w:p>
        </w:tc>
        <w:tc>
          <w:tcPr/>
          <w:p>
            <w:pPr>
              <w:pStyle w:val="Compact"/>
            </w:pPr>
            <w:r>
              <w:t xml:space="preserve">SEBI / Stock Exchanges</w:t>
            </w:r>
          </w:p>
        </w:tc>
        <w:tc>
          <w:tcPr/>
          <w:p>
            <w:pPr>
              <w:pStyle w:val="Compact"/>
            </w:pPr>
            <w:r>
              <w:t xml:space="preserve">Per Reg 18</w:t>
            </w:r>
          </w:p>
        </w:tc>
        <w:tc>
          <w:tcPr/>
          <w:p>
            <w:pPr>
              <w:pStyle w:val="Compact"/>
            </w:pPr>
            <w:r>
              <w:t xml:space="preserve">Acquisition trigger</w:t>
            </w:r>
          </w:p>
        </w:tc>
      </w:tr>
      <w:tr>
        <w:tc>
          <w:tcPr/>
          <w:p>
            <w:pPr>
              <w:pStyle w:val="Compact"/>
            </w:pPr>
            <w:r>
              <w:t xml:space="preserve">NCLT (IBC)</w:t>
            </w:r>
          </w:p>
        </w:tc>
        <w:tc>
          <w:tcPr/>
          <w:p>
            <w:pPr>
              <w:pStyle w:val="Compact"/>
            </w:pPr>
            <w:r>
              <w:t xml:space="preserve">NCLT</w:t>
            </w:r>
          </w:p>
        </w:tc>
        <w:tc>
          <w:tcPr/>
          <w:p>
            <w:pPr>
              <w:pStyle w:val="Compact"/>
            </w:pPr>
            <w:r>
              <w:t xml:space="preserve">Per Code</w:t>
            </w:r>
          </w:p>
        </w:tc>
        <w:tc>
          <w:tcPr/>
          <w:p>
            <w:pPr>
              <w:pStyle w:val="Compact"/>
            </w:pPr>
            <w:r>
              <w:t xml:space="preserve">Resolution plan</w:t>
            </w:r>
          </w:p>
        </w:tc>
      </w:tr>
      <w:tr>
        <w:tc>
          <w:tcPr/>
          <w:p>
            <w:pPr>
              <w:pStyle w:val="Compact"/>
            </w:pPr>
            <w:r>
              <w:t xml:space="preserve">FIPB/RBI (FDI)</w:t>
            </w:r>
          </w:p>
        </w:tc>
        <w:tc>
          <w:tcPr/>
          <w:p>
            <w:pPr>
              <w:pStyle w:val="Compact"/>
            </w:pPr>
            <w:r>
              <w:t xml:space="preserve">RBI / Government</w:t>
            </w:r>
          </w:p>
        </w:tc>
        <w:tc>
          <w:tcPr/>
          <w:p>
            <w:pPr>
              <w:pStyle w:val="Compact"/>
            </w:pPr>
            <w:r>
              <w:t xml:space="preserve">4–8 weeks</w:t>
            </w:r>
          </w:p>
        </w:tc>
        <w:tc>
          <w:tcPr/>
          <w:p>
            <w:pPr>
              <w:pStyle w:val="Compact"/>
            </w:pPr>
            <w:r>
              <w:t xml:space="preserve">Foreign investment</w:t>
            </w:r>
          </w:p>
        </w:tc>
      </w:tr>
    </w:tbl>
    <w:p>
      <w:pPr>
        <w:pStyle w:val="BodyText"/>
      </w:pPr>
      <w:r>
        <w:t xml:space="preserve">Timelines are indicative. Actual may vary. The Consultant shall advise on current position; the Company shall engage legal counsel for filings.</w:t>
      </w:r>
    </w:p>
    <w:bookmarkEnd w:id="119"/>
    <w:bookmarkStart w:id="120" w:name="annexure-xxxiv-material-adverse-change"/>
    <w:p>
      <w:pPr>
        <w:pStyle w:val="Heading2"/>
      </w:pPr>
      <w:r>
        <w:t xml:space="preserve">ANNEXURE XXXIV — MATERIAL ADVERSE CHANGE</w:t>
      </w:r>
    </w:p>
    <w:p>
      <w:pPr>
        <w:pStyle w:val="FirstParagraph"/>
      </w:pPr>
      <w:r>
        <w:t xml:space="preserve">If, during the engagement, a material adverse change occurs in the Target, the Transaction, or the market, the Consultant shall advise the Company promptly. "Material adverse change" includes: (a) significant deterioration in Target's financials; (b) major litigation or regulatory action; (c) loss of key customer or contract; (d) loss of key personnel; (e) discovery of material undisclosed liability; (f) change in law affecting the Transaction. The Consultant shall update its analysis. The Company may decide to terminate or renegotiate. The Consultant's fees for work done remain payable. The Consultant shall not be liable for failing to predict or identify matters outside its scope or control.</w:t>
      </w:r>
    </w:p>
    <w:bookmarkEnd w:id="120"/>
    <w:bookmarkStart w:id="121" w:name="annexure-xxxv-communication-protocol"/>
    <w:p>
      <w:pPr>
        <w:pStyle w:val="Heading2"/>
      </w:pPr>
      <w:r>
        <w:t xml:space="preserve">ANNEXURE XXXV — COMMUNICATION PROTOCOL</w:t>
      </w:r>
    </w:p>
    <w:p>
      <w:pPr>
        <w:pStyle w:val="FirstParagraph"/>
      </w:pPr>
      <w:r>
        <w:rPr>
          <w:b/>
          <w:bCs/>
        </w:rPr>
        <w:t xml:space="preserve">Routine:</w:t>
      </w:r>
      <w:r>
        <w:t xml:space="preserve"> </w:t>
      </w:r>
      <w:r>
        <w:t xml:space="preserve">Email between Project Managers. Status reports weekly (Monday). Ad-hoc as needed.</w:t>
      </w:r>
    </w:p>
    <w:p>
      <w:pPr>
        <w:pStyle w:val="BodyText"/>
      </w:pPr>
      <w:r>
        <w:rPr>
          <w:b/>
          <w:bCs/>
        </w:rPr>
        <w:t xml:space="preserve">Material Findings:</w:t>
      </w:r>
      <w:r>
        <w:t xml:space="preserve"> </w:t>
      </w:r>
      <w:r>
        <w:t xml:space="preserve">Written (email) to Company contact within 24 hours. Copy to steering committee. Follow-up meeting within 48 hours if requested.</w:t>
      </w:r>
    </w:p>
    <w:p>
      <w:pPr>
        <w:pStyle w:val="BodyText"/>
      </w:pPr>
      <w:r>
        <w:rPr>
          <w:b/>
          <w:bCs/>
        </w:rPr>
        <w:t xml:space="preserve">Steering Committee:</w:t>
      </w:r>
      <w:r>
        <w:t xml:space="preserve"> </w:t>
      </w:r>
      <w:r>
        <w:t xml:space="preserve">Bi-monthly (or as agreed). Agenda 3 days in advance. Minutes within 5 days. Actions assigned with owners.</w:t>
      </w:r>
    </w:p>
    <w:p>
      <w:pPr>
        <w:pStyle w:val="BodyText"/>
      </w:pPr>
      <w:r>
        <w:rPr>
          <w:b/>
          <w:bCs/>
        </w:rPr>
        <w:t xml:space="preserve">Escalation:</w:t>
      </w:r>
      <w:r>
        <w:t xml:space="preserve"> </w:t>
      </w:r>
      <w:r>
        <w:t xml:space="preserve">Any party may escalate. Escalation path: PM → Relationship Partner / MD. Critical issues: immediate notification.</w:t>
      </w:r>
    </w:p>
    <w:p>
      <w:pPr>
        <w:pStyle w:val="BodyText"/>
      </w:pPr>
      <w:r>
        <w:rPr>
          <w:b/>
          <w:bCs/>
        </w:rPr>
        <w:t xml:space="preserve">Reporting to Third Parties:</w:t>
      </w:r>
      <w:r>
        <w:t xml:space="preserve"> </w:t>
      </w:r>
      <w:r>
        <w:t xml:space="preserve">The Consultant shall not report to lenders, investors, or other parties without Company's written consent. The Consultant may present to Company's Board or lenders at Company's request, subject to scope and format approval.</w:t>
      </w:r>
    </w:p>
    <w:bookmarkEnd w:id="121"/>
    <w:bookmarkStart w:id="122" w:name="annexure-xxxvi-invoice-dispute-procedure"/>
    <w:p>
      <w:pPr>
        <w:pStyle w:val="Heading2"/>
      </w:pPr>
      <w:r>
        <w:t xml:space="preserve">ANNEXURE XXXVI — INVOICE DISPUTE PROCEDURE</w:t>
      </w:r>
    </w:p>
    <w:p>
      <w:pPr>
        <w:pStyle w:val="FirstParagraph"/>
      </w:pPr>
      <w:r>
        <w:t xml:space="preserve">If the Company disputes an invoice: (a) notify in writing within 7 days of invoice date with details; (b) pay undisputed portion on time; (c) Parties shall resolve within 15 days; (d) if unresolved, escalate to steering committee; (e) pending resolution, Company may withhold disputed amount for max 30 days; (f) if resolved in Consultant's favour, Company pays plus 18% interest from due date; (g) if resolved in Company's favour, Consultant credits/refunds within 15 days. Disputed amounts shall not exceed 25% of invoice unless bona fide. Consultant shall not suspend for disputed amounts under bona fide dispute.</w:t>
      </w:r>
    </w:p>
    <w:bookmarkEnd w:id="122"/>
    <w:bookmarkStart w:id="123" w:name="X95027e732781635a9a10c04218e04231658ce8d"/>
    <w:p>
      <w:pPr>
        <w:pStyle w:val="Heading2"/>
      </w:pPr>
      <w:r>
        <w:t xml:space="preserve">ANNEXURE XXXVII — TERMINATION FOR CONVENIENCE</w:t>
      </w:r>
    </w:p>
    <w:p>
      <w:pPr>
        <w:pStyle w:val="FirstParagraph"/>
      </w:pPr>
      <w:r>
        <w:t xml:space="preserve">Either Party may terminate for convenience on 30 days' notice. Upon termination: (a) Consultant shall deliver all work product within 10 days; (b) Company shall pay for services rendered (retainer proportion, expenses, success fee if Transaction completes post-termination within 6 months from work performed); (c) Company shall pay for non-cancellable commitments; (d) Confidentiality and Article 5.3 (no adverse engagement) survive. No penalty for convenience termination. Consultant shall provide transition support for 15 days at standard rate if requested.</w:t>
      </w:r>
    </w:p>
    <w:bookmarkEnd w:id="123"/>
    <w:bookmarkStart w:id="124" w:name="annexure-xxxviii-termination-for-cause"/>
    <w:p>
      <w:pPr>
        <w:pStyle w:val="Heading2"/>
      </w:pPr>
      <w:r>
        <w:t xml:space="preserve">ANNEXURE XXXVIII — TERMINATION FOR CAUSE</w:t>
      </w:r>
    </w:p>
    <w:p>
      <w:pPr>
        <w:pStyle w:val="FirstParagraph"/>
      </w:pPr>
      <w:r>
        <w:t xml:space="preserve">Either Party may terminate for cause: (a) material breach not cured in 15 days of written notice; (b) insolvency; (c) fraud or wilful misconduct; (d) material undisclosed Conflict of Interest; (e) persistent failure after two cure notices. Cause termination is immediate upon notice (or after cure period). Defaulting Party pays damages. Upon Company's cause termination: Consultant delivers work product; Company pays for accepted work only. Upon Consultant's cause termination (e.g., non-payment): Consultant entitled to all fees due; may suspend after 15 days overdue.</w:t>
      </w:r>
    </w:p>
    <w:bookmarkEnd w:id="124"/>
    <w:bookmarkStart w:id="125" w:name="X971c58b4c9a82ee8b48f9ef4211288548797e1f"/>
    <w:p>
      <w:pPr>
        <w:pStyle w:val="Heading2"/>
      </w:pPr>
      <w:r>
        <w:t xml:space="preserve">ANNEXURE XXXIX — INTELLECTUAL PROPERTY (DETAILED)</w:t>
      </w:r>
    </w:p>
    <w:p>
      <w:pPr>
        <w:pStyle w:val="FirstParagraph"/>
      </w:pPr>
      <w:r>
        <w:t xml:space="preserve">All Deliverables (reports, models, presentations, memoranda) are the Company's property upon payment. The Consultant assigns all rights. The Consultant retains: (a) pre-existing methodologies, templates, tools; (b) know-how not specific to Company; (c) the right to use anonymised work for training and internal purposes. The Consultant may not use Company-specific information or disclose Deliverables to third parties. The Company may modify Deliverables at its discretion. The Consultant grants Company perpetual, royalty-free licence to use any Background IP incorporated in Deliverables.</w:t>
      </w:r>
    </w:p>
    <w:bookmarkEnd w:id="125"/>
    <w:bookmarkStart w:id="126" w:name="annexure-xl-insurance-and-indemnity"/>
    <w:p>
      <w:pPr>
        <w:pStyle w:val="Heading2"/>
      </w:pPr>
      <w:r>
        <w:t xml:space="preserve">ANNEXURE XL — INSURANCE AND INDEMNITY</w:t>
      </w:r>
    </w:p>
    <w:p>
      <w:pPr>
        <w:pStyle w:val="FirstParagraph"/>
      </w:pPr>
      <w:r>
        <w:t xml:space="preserve">The Consultant shall maintain professional indemnity insurance of ₹1,00,00,000 during the Term and 2 years thereafter. Certificate on request. The Consultant shall indemnify the Company for claims arising from Consultant's negligence, breach, or wilful misconduct. The Company shall indemnify the Consultant for claims arising from Company's use of Deliverables, Company's instructions, or Company-provided information. Procedure: prompt notice; indemnifying party controls defence; no adverse settlement without consent. The liability cap in Article 4.6 applies. Neither Party liable for indirect or consequential damages.</w:t>
      </w:r>
    </w:p>
    <w:bookmarkEnd w:id="126"/>
    <w:bookmarkStart w:id="127" w:name="annexure-xli-warranties-expanded"/>
    <w:p>
      <w:pPr>
        <w:pStyle w:val="Heading2"/>
      </w:pPr>
      <w:r>
        <w:t xml:space="preserve">ANNEXURE XLI — WARRANTIES (EXPANDED)</w:t>
      </w:r>
    </w:p>
    <w:p>
      <w:pPr>
        <w:pStyle w:val="FirstParagraph"/>
      </w:pPr>
      <w:r>
        <w:t xml:space="preserve">The Consultant represents and warrants: (a) it has authority to enter this Agreement; (b) it will perform with professional skill and care; (c) it will comply with applicable law; (d) it has disclosed known Conflicts of Interest; (e) its personnel have requisite qualifications; (f) it will not infringe third-party IP in Deliverables (excluding Company-provided materials). EXCEPT AS STATED, SERVICES AND DELIVERABLES ARE "AS IS". No guarantee of Transaction outcome. The Consultant's advice is based on information provided and assumptions stated. The Company is responsible for its decisions.</w:t>
      </w:r>
    </w:p>
    <w:bookmarkEnd w:id="127"/>
    <w:bookmarkStart w:id="128" w:name="annexure-xlii-notices-full"/>
    <w:p>
      <w:pPr>
        <w:pStyle w:val="Heading2"/>
      </w:pPr>
      <w:r>
        <w:t xml:space="preserve">ANNEXURE XLII — NOTICES (FULL)</w:t>
      </w:r>
    </w:p>
    <w:p>
      <w:pPr>
        <w:pStyle w:val="FirstParagraph"/>
      </w:pPr>
      <w:r>
        <w:rPr>
          <w:b/>
          <w:bCs/>
        </w:rPr>
        <w:t xml:space="preserve">Company:</w:t>
      </w:r>
      <w:r>
        <w:t xml:space="preserve"> </w:t>
      </w:r>
      <w:r>
        <w:t xml:space="preserve">Manmohan Financial Advisors Private Limited, 88 Nariman Point, Mumbai 400021. Attention: Mr. Karan Manmohan, MD. Email: karan@manmohanfinancial.com. Legal: legal@manmohanfinancial.com.</w:t>
      </w:r>
    </w:p>
    <w:p>
      <w:pPr>
        <w:pStyle w:val="BodyText"/>
      </w:pPr>
      <w:r>
        <w:rPr>
          <w:b/>
          <w:bCs/>
        </w:rPr>
        <w:t xml:space="preserve">Consultant:</w:t>
      </w:r>
      <w:r>
        <w:t xml:space="preserve"> </w:t>
      </w:r>
      <w:r>
        <w:t xml:space="preserve">Strategic Insights Consulting LLP, 34 Bandra Kurla Complex, Mumbai 400051. Attention: Ms. Meera Deshpande. Email: meera@strategicinsights.in. Legal: legal@strategicinsights.in.</w:t>
      </w:r>
    </w:p>
    <w:p>
      <w:pPr>
        <w:pStyle w:val="BodyText"/>
      </w:pPr>
      <w:r>
        <w:t xml:space="preserve">Material notices (termination, breach, dispute): registered post and email. Deemed given: receipt if courier; 3 days if post; transmission if email. Change of address: 15 days' notice.</w:t>
      </w:r>
    </w:p>
    <w:bookmarkEnd w:id="128"/>
    <w:bookmarkStart w:id="129" w:name="Xaee06438adf71120f0071f3c0e84ca52bd3a53b"/>
    <w:p>
      <w:pPr>
        <w:pStyle w:val="Heading2"/>
      </w:pPr>
      <w:r>
        <w:t xml:space="preserve">ANNEXURE XLIII — ENTIRE AGREEMENT AND AMENDMENT</w:t>
      </w:r>
    </w:p>
    <w:p>
      <w:pPr>
        <w:pStyle w:val="FirstParagraph"/>
      </w:pPr>
      <w:r>
        <w:t xml:space="preserve">This Agreement, with Schedules and Annexures, is the entire agreement. No prior oral or written representations. Amendments only in writing signed by both Parties. No waiver unless in writing. Waiver of one breach does not waive others. Severability: invalid provisions severed; remainder continues. No third-party rights. Assignment: neither may assign without consent except to Affiliate or in M&amp;A; assignee assumes obligations.</w:t>
      </w:r>
    </w:p>
    <w:bookmarkEnd w:id="129"/>
    <w:bookmarkStart w:id="130" w:name="annexure-xliv-governing-law-detailed"/>
    <w:p>
      <w:pPr>
        <w:pStyle w:val="Heading2"/>
      </w:pPr>
      <w:r>
        <w:t xml:space="preserve">ANNEXURE XLIV — GOVERNING LAW (DETAILED)</w:t>
      </w:r>
    </w:p>
    <w:p>
      <w:pPr>
        <w:pStyle w:val="FirstParagraph"/>
      </w:pPr>
      <w:r>
        <w:t xml:space="preserve">This Agreement is governed by the Indian Contract Act, 1872 and the laws of India. Formation, validity, interpretation, and performance construed under Indian law. The United Nations Convention on Contracts for the International Sale of Goods does not apply. Courts at Mumbai have exclusive jurisdiction for interim relief. Arbitration seat: Mumbai. The Arbitration and Conciliation Act, 1996 applies. The arbitral tribunal may grant interim measures. The award shall be final and binding. Enforcement in any court of competent jurisdiction. Costs as awarded by the tribunal.</w:t>
      </w:r>
    </w:p>
    <w:bookmarkEnd w:id="130"/>
    <w:bookmarkStart w:id="131" w:name="annexure-xlv-document-custody"/>
    <w:p>
      <w:pPr>
        <w:pStyle w:val="Heading2"/>
      </w:pPr>
      <w:r>
        <w:t xml:space="preserve">ANNEXURE XLV — DOCUMENT CUSTODY</w:t>
      </w:r>
    </w:p>
    <w:p>
      <w:pPr>
        <w:pStyle w:val="FirstParagraph"/>
      </w:pPr>
      <w:r>
        <w:t xml:space="preserve">The Consultant shall retain copies of work papers, reports, and correspondence for 7 years. Storage: secure (physical and electronic). Access: Company may request copies; Consultant shall provide within 10 business days. Disclosure: Consultant shall not disclose to third parties except as required by law or with Company consent. Upon Company request, Consultant may transfer originals to Company. Consultant may destroy after 7 years unless legal hold.</w:t>
      </w:r>
    </w:p>
    <w:bookmarkEnd w:id="131"/>
    <w:bookmarkStart w:id="132" w:name="X440887634d6ab18f261227bf9a3c4042f31e891"/>
    <w:p>
      <w:pPr>
        <w:pStyle w:val="Heading2"/>
      </w:pPr>
      <w:r>
        <w:t xml:space="preserve">ANNEXURE XLVI — DCF MODEL ASSUMPTIONS (TYPICAL)</w:t>
      </w:r>
    </w:p>
    <w:p>
      <w:pPr>
        <w:pStyle w:val="FirstParagraph"/>
      </w:pPr>
      <w:r>
        <w:rPr>
          <w:b/>
          <w:bCs/>
        </w:rPr>
        <w:t xml:space="preserve">Revenue:</w:t>
      </w:r>
      <w:r>
        <w:t xml:space="preserve"> </w:t>
      </w:r>
      <w:r>
        <w:t xml:space="preserve">Historical growth; market sizing; competitive position; pricing power. Terminal growth: 2–3% (perpetuity) or exit multiple.</w:t>
      </w:r>
      <w:r>
        <w:t xml:space="preserve"> </w:t>
      </w:r>
      <w:r>
        <w:rPr>
          <w:b/>
          <w:bCs/>
        </w:rPr>
        <w:t xml:space="preserve">Costs:</w:t>
      </w:r>
      <w:r>
        <w:t xml:space="preserve"> </w:t>
      </w:r>
      <w:r>
        <w:t xml:space="preserve">Fixed vs variable; economies of scale; synergies (if any).</w:t>
      </w:r>
      <w:r>
        <w:t xml:space="preserve"> </w:t>
      </w:r>
      <w:r>
        <w:rPr>
          <w:b/>
          <w:bCs/>
        </w:rPr>
        <w:t xml:space="preserve">Working Capital:</w:t>
      </w:r>
      <w:r>
        <w:t xml:space="preserve"> </w:t>
      </w:r>
      <w:r>
        <w:t xml:space="preserve">Days receivable, payable, inventory.</w:t>
      </w:r>
      <w:r>
        <w:t xml:space="preserve"> </w:t>
      </w:r>
      <w:r>
        <w:rPr>
          <w:b/>
          <w:bCs/>
        </w:rPr>
        <w:t xml:space="preserve">Capex:</w:t>
      </w:r>
      <w:r>
        <w:t xml:space="preserve"> </w:t>
      </w:r>
      <w:r>
        <w:t xml:space="preserve">Maintenance vs growth.</w:t>
      </w:r>
      <w:r>
        <w:t xml:space="preserve"> </w:t>
      </w:r>
      <w:r>
        <w:rPr>
          <w:b/>
          <w:bCs/>
        </w:rPr>
        <w:t xml:space="preserve">Tax:</w:t>
      </w:r>
      <w:r>
        <w:t xml:space="preserve"> </w:t>
      </w:r>
      <w:r>
        <w:t xml:space="preserve">Effective rate; NOLs.</w:t>
      </w:r>
      <w:r>
        <w:t xml:space="preserve"> </w:t>
      </w:r>
      <w:r>
        <w:rPr>
          <w:b/>
          <w:bCs/>
        </w:rPr>
        <w:t xml:space="preserve">Discount Rate:</w:t>
      </w:r>
      <w:r>
        <w:t xml:space="preserve"> </w:t>
      </w:r>
      <w:r>
        <w:t xml:space="preserve">WACC = (E/V × Re) + (D/V × Rd × (1-T)). Risk-free: 10-year G-Sec. Beta: comparable companies. ERP: 6–8%. Cost of debt: borrowing rate. The Consultant shall document all inputs and sensitivities.</w:t>
      </w:r>
    </w:p>
    <w:bookmarkEnd w:id="132"/>
    <w:bookmarkStart w:id="133" w:name="X9b4b79d8a1886bca19b40e42f47c623e1bab2b8"/>
    <w:p>
      <w:pPr>
        <w:pStyle w:val="Heading2"/>
      </w:pPr>
      <w:r>
        <w:t xml:space="preserve">ANNEXURE XLVII — COMPARABLE TRANSACTIONS (METHODOLOGY)</w:t>
      </w:r>
    </w:p>
    <w:p>
      <w:pPr>
        <w:pStyle w:val="FirstParagraph"/>
      </w:pPr>
      <w:r>
        <w:t xml:space="preserve">Identify transactions in same/similar sector. Data sources: press releases, deal databases, regulatory filings. Metrics: EV/EBITDA, EV/Revenue, P/E. Adjust for: size, growth, profitability, timing. Apply median or mean to Target. Document in Valuation Report. Limitations: limited comparables; different deal structures.</w:t>
      </w:r>
    </w:p>
    <w:bookmarkEnd w:id="133"/>
    <w:bookmarkStart w:id="134" w:name="annexure-xlviii-ibc-timeline-indicative"/>
    <w:p>
      <w:pPr>
        <w:pStyle w:val="Heading2"/>
      </w:pPr>
      <w:r>
        <w:t xml:space="preserve">ANNEXURE XLVIII — IBC TIMELINE (INDICATIVE)</w:t>
      </w:r>
    </w:p>
    <w:p>
      <w:pPr>
        <w:pStyle w:val="FirstParagraph"/>
      </w:pPr>
      <w:r>
        <w:t xml:space="preserve">Admission: 14 days. Moratorium. IRP appointment. Claims: 14 days. CoC constitution. RP appointment. Resolution plan: 180 days (extendable). CoC approval: 66% voting share. NCLT approval. Implementation. The Consultant shall advise on process; legal counsel for procedure. Stressed asset pricing considerations: haircut, time value, regulatory capital benefit.</w:t>
      </w:r>
    </w:p>
    <w:bookmarkEnd w:id="134"/>
    <w:bookmarkStart w:id="135" w:name="annexure-xlix-due-diligence-red-flags"/>
    <w:p>
      <w:pPr>
        <w:pStyle w:val="Heading2"/>
      </w:pPr>
      <w:r>
        <w:t xml:space="preserve">ANNEXURE XLIX — DUE DILIGENCE RED FLAGS</w:t>
      </w:r>
    </w:p>
    <w:p>
      <w:pPr>
        <w:pStyle w:val="FirstParagraph"/>
      </w:pPr>
      <w:r>
        <w:t xml:space="preserve">The Consultant shall flag: (a) Material litigation or regulatory action; (b) Significant related party transactions; (c) Working capital strain; (d) Debt covenant breach; (e) Key customer/supplier concentration; (f) Pending tax disputes; (g) Environmental liabilities; (h) Key person dependency; (i) IP disputes; (j) Undisclosed contingencies. Flags do not constitute legal conclusion; Company to assess with advisors.</w:t>
      </w:r>
    </w:p>
    <w:bookmarkEnd w:id="135"/>
    <w:bookmarkStart w:id="136" w:name="annexure-l-board-presentation-format"/>
    <w:p>
      <w:pPr>
        <w:pStyle w:val="Heading2"/>
      </w:pPr>
      <w:r>
        <w:t xml:space="preserve">ANNEXURE L — BOARD PRESENTATION FORMAT</w:t>
      </w:r>
    </w:p>
    <w:p>
      <w:pPr>
        <w:pStyle w:val="FirstParagraph"/>
      </w:pPr>
      <w:r>
        <w:t xml:space="preserve">When presenting to Company's Board: (a) Executive summary (1 page); (b) Transaction overview; (c) Due diligence highlights; (d) Valuation summary and range; (e) Key risks and mitigants; (f) Recommendation (if any); (g) Next steps. Format: PowerPoint or PDF. Review with Company before presentation. Consultant representative to present or support as agreed. Q&amp;A support. Consultant does not take responsibility for Board decision.</w:t>
      </w:r>
    </w:p>
    <w:bookmarkEnd w:id="136"/>
    <w:bookmarkStart w:id="137" w:name="annexure-li-lender-due-diligence-support"/>
    <w:p>
      <w:pPr>
        <w:pStyle w:val="Heading2"/>
      </w:pPr>
      <w:r>
        <w:t xml:space="preserve">ANNEXURE LI — LENDER DUE DILIGENCE SUPPORT</w:t>
      </w:r>
    </w:p>
    <w:p>
      <w:pPr>
        <w:pStyle w:val="FirstParagraph"/>
      </w:pPr>
      <w:r>
        <w:t xml:space="preserve">If Company's lenders require due diligence or valuation for financing: Consultant may provide support at Company's request. Scope: as agreed (summary, full report, management presentation). Access to work papers as needed. Confidentiality: Consultant shall not disclose to lenders without Company consent. Additional fees if material extra work. Consultant's role is to inform lenders; no assurance to lenders unless separately agreed.</w:t>
      </w:r>
    </w:p>
    <w:bookmarkEnd w:id="137"/>
    <w:bookmarkStart w:id="138" w:name="X751e0f5c8e18916a5071ed6faae666c87d20698"/>
    <w:p>
      <w:pPr>
        <w:pStyle w:val="Heading2"/>
      </w:pPr>
      <w:r>
        <w:t xml:space="preserve">ANNEXURE LII — SUCCESS FEE TRIGGERS (DETAILED)</w:t>
      </w:r>
    </w:p>
    <w:p>
      <w:pPr>
        <w:pStyle w:val="FirstParagraph"/>
      </w:pPr>
      <w:r>
        <w:t xml:space="preserve">Success fee payable when: (a) Definitive agreements executed (SPA, SHA, or equivalent); (b) Initial consideration paid or committed; (c) Transaction has closed in substance. "Transaction" includes: acquisition of equity, assets, or both. If Transaction is in phases, fee on aggregate Transaction Value. If Transaction does not proceed after Consultant's work, no success fee. If Transaction proceeds with different structure, fee applies if Consultant's work contributed. Disputes on contribution: escalate to steering committee.</w:t>
      </w:r>
    </w:p>
    <w:bookmarkEnd w:id="138"/>
    <w:bookmarkStart w:id="139" w:name="annexure-liii-key-personnel-consultant"/>
    <w:p>
      <w:pPr>
        <w:pStyle w:val="Heading2"/>
      </w:pPr>
      <w:r>
        <w:t xml:space="preserve">ANNEXURE LIII — KEY PERSONNEL (CONSULTANT)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Availability</w:t>
            </w:r>
          </w:p>
        </w:tc>
      </w:tr>
      <w:tr>
        <w:tc>
          <w:tcPr/>
          <w:p>
            <w:pPr>
              <w:pStyle w:val="Compact"/>
            </w:pPr>
            <w:r>
              <w:t xml:space="preserve">Relationship Partner</w:t>
            </w:r>
          </w:p>
        </w:tc>
        <w:tc>
          <w:tcPr/>
          <w:p>
            <w:pPr>
              <w:pStyle w:val="Compact"/>
            </w:pPr>
            <w:r>
              <w:t xml:space="preserve">Ms. Meera Deshpande</w:t>
            </w:r>
          </w:p>
        </w:tc>
        <w:tc>
          <w:tcPr/>
          <w:p>
            <w:pPr>
              <w:pStyle w:val="Compact"/>
            </w:pPr>
            <w:r>
              <w:t xml:space="preserve">Strategy; client liaison</w:t>
            </w:r>
          </w:p>
        </w:tc>
      </w:tr>
      <w:tr>
        <w:tc>
          <w:tcPr/>
          <w:p>
            <w:pPr>
              <w:pStyle w:val="Compact"/>
            </w:pPr>
            <w:r>
              <w:t xml:space="preserve">Engagement Manager</w:t>
            </w:r>
          </w:p>
        </w:tc>
        <w:tc>
          <w:tcPr/>
          <w:p>
            <w:pPr>
              <w:pStyle w:val="Compact"/>
            </w:pPr>
            <w:r>
              <w:t xml:space="preserve">Mr. Rahul Joshi</w:t>
            </w:r>
          </w:p>
        </w:tc>
        <w:tc>
          <w:tcPr/>
          <w:p>
            <w:pPr>
              <w:pStyle w:val="Compact"/>
            </w:pPr>
            <w:r>
              <w:t xml:space="preserve">Day-to-day; deliverables</w:t>
            </w:r>
          </w:p>
        </w:tc>
      </w:tr>
      <w:tr>
        <w:tc>
          <w:tcPr/>
          <w:p>
            <w:pPr>
              <w:pStyle w:val="Compact"/>
            </w:pPr>
            <w:r>
              <w:t xml:space="preserve">Senior Analyst</w:t>
            </w:r>
          </w:p>
        </w:tc>
        <w:tc>
          <w:tcPr/>
          <w:p>
            <w:pPr>
              <w:pStyle w:val="Compact"/>
            </w:pPr>
            <w:r>
              <w:t xml:space="preserve">As assigned</w:t>
            </w:r>
          </w:p>
        </w:tc>
        <w:tc>
          <w:tcPr/>
          <w:p>
            <w:pPr>
              <w:pStyle w:val="Compact"/>
            </w:pPr>
            <w:r>
              <w:t xml:space="preserve">Financial DD; modelling</w:t>
            </w:r>
          </w:p>
        </w:tc>
      </w:tr>
      <w:tr>
        <w:tc>
          <w:tcPr/>
          <w:p>
            <w:pPr>
              <w:pStyle w:val="Compact"/>
            </w:pPr>
            <w:r>
              <w:t xml:space="preserve">Analyst</w:t>
            </w:r>
          </w:p>
        </w:tc>
        <w:tc>
          <w:tcPr/>
          <w:p>
            <w:pPr>
              <w:pStyle w:val="Compact"/>
            </w:pPr>
            <w:r>
              <w:t xml:space="preserve">As assigned</w:t>
            </w:r>
          </w:p>
        </w:tc>
        <w:tc>
          <w:tcPr/>
          <w:p>
            <w:pPr>
              <w:pStyle w:val="Compact"/>
            </w:pPr>
            <w:r>
              <w:t xml:space="preserve">Data; research; support</w:t>
            </w:r>
          </w:p>
        </w:tc>
      </w:tr>
    </w:tbl>
    <w:p>
      <w:pPr>
        <w:pStyle w:val="BodyText"/>
      </w:pPr>
      <w:r>
        <w:t xml:space="preserve">Changes with notice. Replacement of equivalent qualification. Company may reject replacement on reasonable grounds.</w:t>
      </w:r>
    </w:p>
    <w:bookmarkEnd w:id="139"/>
    <w:bookmarkStart w:id="140" w:name="annexure-liv-anti-bribery-and-aml"/>
    <w:p>
      <w:pPr>
        <w:pStyle w:val="Heading2"/>
      </w:pPr>
      <w:r>
        <w:t xml:space="preserve">ANNEXURE LIV — ANTI-BRIBERY AND AML</w:t>
      </w:r>
    </w:p>
    <w:p>
      <w:pPr>
        <w:pStyle w:val="FirstParagraph"/>
      </w:pPr>
      <w:r>
        <w:t xml:space="preserve">Each Party shall comply with Prevention of Corruption Act, 1988, PMLA, and applicable laws. No bribe, kickback, or undue advantage. Consultant shall not make payments to government officials or third parties for improper purpose. Consultant shall conduct appropriate due diligence on counterparties. Books and records accurate. Breach = material breach. Company may require compliance certificate.</w:t>
      </w:r>
    </w:p>
    <w:bookmarkEnd w:id="140"/>
    <w:bookmarkStart w:id="141" w:name="annexure-lv-limitation-period"/>
    <w:p>
      <w:pPr>
        <w:pStyle w:val="Heading2"/>
      </w:pPr>
      <w:r>
        <w:t xml:space="preserve">ANNEXURE LV — LIMITATION PERIOD</w:t>
      </w:r>
    </w:p>
    <w:p>
      <w:pPr>
        <w:pStyle w:val="FirstParagraph"/>
      </w:pPr>
      <w:r>
        <w:t xml:space="preserve">Except for fraud or breach of confidentiality, no claim may be brought more than 12 months after the claiming Party knew or ought to have known of the facts. This is in addition to the Limitation Act, 1963. Prompt notification enables investigation and mitigation.</w:t>
      </w:r>
    </w:p>
    <w:bookmarkEnd w:id="141"/>
    <w:bookmarkStart w:id="142" w:name="Xded03a4dc3df44bb4222e933d78378ec9dfe27c"/>
    <w:p>
      <w:pPr>
        <w:pStyle w:val="Heading2"/>
      </w:pPr>
      <w:r>
        <w:t xml:space="preserve">ANNEXURE LVI — COUNTERPARTS AND ELECTRONIC SIGNATURES</w:t>
      </w:r>
    </w:p>
    <w:p>
      <w:pPr>
        <w:pStyle w:val="FirstParagraph"/>
      </w:pPr>
      <w:r>
        <w:t xml:space="preserve">This Agreement may be executed in counterparts. Each counterpart is an original. Electronic signatures and scanned copies valid. Parties may exchange by email. Composite copy for filing.</w:t>
      </w:r>
    </w:p>
    <w:bookmarkEnd w:id="142"/>
    <w:bookmarkStart w:id="143" w:name="annexure-lvii-fees-summary"/>
    <w:p>
      <w:pPr>
        <w:pStyle w:val="Heading2"/>
      </w:pPr>
      <w:r>
        <w:t xml:space="preserve">ANNEXURE LVII — FEES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Amount/Rate</w:t>
            </w:r>
          </w:p>
        </w:tc>
        <w:tc>
          <w:tcPr/>
          <w:p>
            <w:pPr>
              <w:pStyle w:val="Compact"/>
            </w:pPr>
            <w:r>
              <w:t xml:space="preserve">When Payable</w:t>
            </w:r>
          </w:p>
        </w:tc>
      </w:tr>
      <w:tr>
        <w:tc>
          <w:tcPr/>
          <w:p>
            <w:pPr>
              <w:pStyle w:val="Compact"/>
            </w:pPr>
            <w:r>
              <w:t xml:space="preserve">Monthly retainer</w:t>
            </w:r>
          </w:p>
        </w:tc>
        <w:tc>
          <w:tcPr/>
          <w:p>
            <w:pPr>
              <w:pStyle w:val="Compact"/>
            </w:pPr>
            <w:r>
              <w:t xml:space="preserve">₹15,00,000</w:t>
            </w:r>
          </w:p>
        </w:tc>
        <w:tc>
          <w:tcPr/>
          <w:p>
            <w:pPr>
              <w:pStyle w:val="Compact"/>
            </w:pPr>
            <w:r>
              <w:t xml:space="preserve">Advance, 5th of month</w:t>
            </w:r>
          </w:p>
        </w:tc>
      </w:tr>
      <w:tr>
        <w:tc>
          <w:tcPr/>
          <w:p>
            <w:pPr>
              <w:pStyle w:val="Compact"/>
            </w:pPr>
            <w:r>
              <w:t xml:space="preserve">Success fee</w:t>
            </w:r>
          </w:p>
        </w:tc>
        <w:tc>
          <w:tcPr/>
          <w:p>
            <w:pPr>
              <w:pStyle w:val="Compact"/>
            </w:pPr>
            <w:r>
              <w:t xml:space="preserve">0.75% of Transaction Value</w:t>
            </w:r>
          </w:p>
        </w:tc>
        <w:tc>
          <w:tcPr/>
          <w:p>
            <w:pPr>
              <w:pStyle w:val="Compact"/>
            </w:pPr>
            <w:r>
              <w:t xml:space="preserve">30 days post completion</w:t>
            </w:r>
          </w:p>
        </w:tc>
      </w:tr>
      <w:tr>
        <w:tc>
          <w:tcPr/>
          <w:p>
            <w:pPr>
              <w:pStyle w:val="Compact"/>
            </w:pPr>
            <w:r>
              <w:t xml:space="preserve">Success fee min</w:t>
            </w:r>
          </w:p>
        </w:tc>
        <w:tc>
          <w:tcPr/>
          <w:p>
            <w:pPr>
              <w:pStyle w:val="Compact"/>
            </w:pPr>
            <w:r>
              <w:t xml:space="preserve">₹25,00,000</w:t>
            </w:r>
          </w:p>
        </w:tc>
        <w:tc>
          <w:tcPr/>
          <w:p>
            <w:pPr>
              <w:pStyle w:val="Compact"/>
            </w:pPr>
            <w:r>
              <w:t xml:space="preserve">—</w:t>
            </w:r>
          </w:p>
        </w:tc>
      </w:tr>
      <w:tr>
        <w:tc>
          <w:tcPr/>
          <w:p>
            <w:pPr>
              <w:pStyle w:val="Compact"/>
            </w:pPr>
            <w:r>
              <w:t xml:space="preserve">Success fee max</w:t>
            </w:r>
          </w:p>
        </w:tc>
        <w:tc>
          <w:tcPr/>
          <w:p>
            <w:pPr>
              <w:pStyle w:val="Compact"/>
            </w:pPr>
            <w:r>
              <w:t xml:space="preserve">₹1,50,00,000</w:t>
            </w:r>
          </w:p>
        </w:tc>
        <w:tc>
          <w:tcPr/>
          <w:p>
            <w:pPr>
              <w:pStyle w:val="Compact"/>
            </w:pPr>
            <w:r>
              <w:t xml:space="preserve">—</w:t>
            </w:r>
          </w:p>
        </w:tc>
      </w:tr>
      <w:tr>
        <w:tc>
          <w:tcPr/>
          <w:p>
            <w:pPr>
              <w:pStyle w:val="Compact"/>
            </w:pPr>
            <w:r>
              <w:t xml:space="preserve">Excess days</w:t>
            </w:r>
          </w:p>
        </w:tc>
        <w:tc>
          <w:tcPr/>
          <w:p>
            <w:pPr>
              <w:pStyle w:val="Compact"/>
            </w:pPr>
            <w:r>
              <w:t xml:space="preserve">₹12,000/day</w:t>
            </w:r>
          </w:p>
        </w:tc>
        <w:tc>
          <w:tcPr/>
          <w:p>
            <w:pPr>
              <w:pStyle w:val="Compact"/>
            </w:pPr>
            <w:r>
              <w:t xml:space="preserve">Over 500 days</w:t>
            </w:r>
          </w:p>
        </w:tc>
      </w:tr>
      <w:tr>
        <w:tc>
          <w:tcPr/>
          <w:p>
            <w:pPr>
              <w:pStyle w:val="Compact"/>
            </w:pPr>
            <w:r>
              <w:t xml:space="preserve">Extra revisions</w:t>
            </w:r>
          </w:p>
        </w:tc>
        <w:tc>
          <w:tcPr/>
          <w:p>
            <w:pPr>
              <w:pStyle w:val="Compact"/>
            </w:pPr>
            <w:r>
              <w:t xml:space="preserve">₹15,000/day</w:t>
            </w:r>
          </w:p>
        </w:tc>
        <w:tc>
          <w:tcPr/>
          <w:p>
            <w:pPr>
              <w:pStyle w:val="Compact"/>
            </w:pPr>
            <w:r>
              <w:t xml:space="preserve">Beyond 1 round</w:t>
            </w:r>
          </w:p>
        </w:tc>
      </w:tr>
    </w:tbl>
    <w:p>
      <w:pPr>
        <w:pStyle w:val="BodyText"/>
      </w:pPr>
      <w:r>
        <w:t xml:space="preserve">GST extra. Expenses as per Article 4.3.</w:t>
      </w:r>
    </w:p>
    <w:bookmarkEnd w:id="143"/>
    <w:bookmarkStart w:id="144" w:name="Xa98e91248eacbf319c6704e11c25468bfe5eb3b"/>
    <w:p>
      <w:pPr>
        <w:pStyle w:val="Heading2"/>
      </w:pPr>
      <w:r>
        <w:t xml:space="preserve">ANNEXURE LVIII — TRANSACTION STRUCTURE OPTIONS</w:t>
      </w:r>
    </w:p>
    <w:p>
      <w:pPr>
        <w:pStyle w:val="FirstParagraph"/>
      </w:pPr>
      <w:r>
        <w:rPr>
          <w:b/>
          <w:bCs/>
        </w:rPr>
        <w:t xml:space="preserve">Direct:</w:t>
      </w:r>
      <w:r>
        <w:t xml:space="preserve"> </w:t>
      </w:r>
      <w:r>
        <w:t xml:space="preserve">Company acquires directly. Simplicity. No SPV.</w:t>
      </w:r>
      <w:r>
        <w:t xml:space="preserve"> </w:t>
      </w:r>
      <w:r>
        <w:rPr>
          <w:b/>
          <w:bCs/>
        </w:rPr>
        <w:t xml:space="preserve">SPV:</w:t>
      </w:r>
      <w:r>
        <w:t xml:space="preserve"> </w:t>
      </w:r>
      <w:r>
        <w:t xml:space="preserve">Newco for acquisition. Ring-fence. Leverage.</w:t>
      </w:r>
      <w:r>
        <w:t xml:space="preserve"> </w:t>
      </w:r>
      <w:r>
        <w:rPr>
          <w:b/>
          <w:bCs/>
        </w:rPr>
        <w:t xml:space="preserve">Consortium:</w:t>
      </w:r>
      <w:r>
        <w:t xml:space="preserve"> </w:t>
      </w:r>
      <w:r>
        <w:t xml:space="preserve">With co-investors. Governance. Exit alignment.</w:t>
      </w:r>
      <w:r>
        <w:t xml:space="preserve"> </w:t>
      </w:r>
      <w:r>
        <w:rPr>
          <w:b/>
          <w:bCs/>
        </w:rPr>
        <w:t xml:space="preserve">Asset vs Share:</w:t>
      </w:r>
      <w:r>
        <w:t xml:space="preserve"> </w:t>
      </w:r>
      <w:r>
        <w:t xml:space="preserve">Tax, liability, regulatory. The Consultant shall advise on pros/cons. Legal and tax counsel for definitive structure.</w:t>
      </w:r>
    </w:p>
    <w:bookmarkEnd w:id="144"/>
    <w:bookmarkStart w:id="145" w:name="annexure-lix-regulatory-updates"/>
    <w:p>
      <w:pPr>
        <w:pStyle w:val="Heading2"/>
      </w:pPr>
      <w:r>
        <w:t xml:space="preserve">ANNEXURE LIX — REGULATORY UPDATES</w:t>
      </w:r>
    </w:p>
    <w:p>
      <w:pPr>
        <w:pStyle w:val="FirstParagraph"/>
      </w:pPr>
      <w:r>
        <w:t xml:space="preserve">The Consultant's advice is based on law and regulations as at the date of advice. The Consultant shall use reasonable efforts to consider known upcoming changes. The Consultant does not monitor all regulatory developments. The Company shall advise of material changes. If law changes materially during engagement, Consultant shall update advice. No additional fee for updates arising from normal course. Material new work: Change Request.</w:t>
      </w:r>
    </w:p>
    <w:bookmarkEnd w:id="145"/>
    <w:bookmarkStart w:id="146" w:name="annexure-lx-independence"/>
    <w:p>
      <w:pPr>
        <w:pStyle w:val="Heading2"/>
      </w:pPr>
      <w:r>
        <w:t xml:space="preserve">ANNEXURE LX — INDEPENDENCE</w:t>
      </w:r>
    </w:p>
    <w:p>
      <w:pPr>
        <w:pStyle w:val="FirstParagraph"/>
      </w:pPr>
      <w:r>
        <w:t xml:space="preserve">The Consultant shall exercise independent professional judgement. The Consultant's advice is not influenced by the Company's preferred outcome. The Consultant may present alternative views. The Company makes final decisions. The Consultant does not guarantee any outcome. The Consultant's role is advisory. The Consultant shall disclose any circumstance that could impair objectivity.</w:t>
      </w:r>
    </w:p>
    <w:bookmarkEnd w:id="146"/>
    <w:bookmarkStart w:id="147" w:name="X9fdb32eebf46a5bf45e5f548e47dcc1080aa1e9"/>
    <w:p>
      <w:pPr>
        <w:pStyle w:val="Heading2"/>
      </w:pPr>
      <w:r>
        <w:t xml:space="preserve">ANNEXURE LXI — QUALITY OF EARNINGS ADJUSTMENTS</w:t>
      </w:r>
    </w:p>
    <w:p>
      <w:pPr>
        <w:pStyle w:val="FirstParagraph"/>
      </w:pPr>
      <w:r>
        <w:t xml:space="preserve">Typical adjustments in due diligence: (a) One-off gains/losses; (b) Related party transactions at non-arm's length; (c) Normalised owner compensation; (d) Run-rate cost savings; (e) Non-recurring revenue; (f) Working capital normalisation; (g) Capex vs expense. The Consultant shall document each adjustment with rationale. Management to confirm or contest. Final adjustments as agreed.</w:t>
      </w:r>
    </w:p>
    <w:bookmarkEnd w:id="147"/>
    <w:bookmarkStart w:id="148" w:name="annexure-lxii-debt-and-debt-like-items"/>
    <w:p>
      <w:pPr>
        <w:pStyle w:val="Heading2"/>
      </w:pPr>
      <w:r>
        <w:t xml:space="preserve">ANNEXURE LXII — DEBT AND DEBT-LIKE ITEMS</w:t>
      </w:r>
    </w:p>
    <w:p>
      <w:pPr>
        <w:pStyle w:val="FirstParagraph"/>
      </w:pPr>
      <w:r>
        <w:t xml:space="preserve">The Consultant shall identify: (a) Bank loans; (b) Secured and unsecured debt; (c) Intercompany loans; (d) Deferred consideration; (e) Lease obligations (IFRS 16); (f) Guarantees; (g) Contingent liabilities. Debt-like: underfunded pension; warranty provisions; litigation provisions. Net debt = Total debt – Cash. Debt schedule with maturity profile.</w:t>
      </w:r>
    </w:p>
    <w:bookmarkEnd w:id="148"/>
    <w:bookmarkStart w:id="149" w:name="annexure-lxiii-key-man-risk"/>
    <w:p>
      <w:pPr>
        <w:pStyle w:val="Heading2"/>
      </w:pPr>
      <w:r>
        <w:t xml:space="preserve">ANNEXURE LXIII — KEY MAN RISK</w:t>
      </w:r>
    </w:p>
    <w:p>
      <w:pPr>
        <w:pStyle w:val="FirstParagraph"/>
      </w:pPr>
      <w:r>
        <w:t xml:space="preserve">Assessment of dependency on key personnel. Identification of critical roles. Contract terms. Retention risk. Succession. Insurance (key person). The Consultant shall flag if key person departure would materially impact valuation or operations. Mitigants: employment agreements; non-compete; retention bonus; succession planning.</w:t>
      </w:r>
    </w:p>
    <w:bookmarkEnd w:id="149"/>
    <w:bookmarkStart w:id="150" w:name="X6ca18e3010de75ad6cbc79d741764e52d5ce74c"/>
    <w:p>
      <w:pPr>
        <w:pStyle w:val="Heading2"/>
      </w:pPr>
      <w:r>
        <w:t xml:space="preserve">ANNEXURE LXIV — SYNERGY ANALYSIS (IF APPLICABLE)</w:t>
      </w:r>
    </w:p>
    <w:p>
      <w:pPr>
        <w:pStyle w:val="FirstParagraph"/>
      </w:pPr>
      <w:r>
        <w:t xml:space="preserve">If the Transaction is strategic and synergies are claimed: (a) Revenue synergies (cross-sell, new markets); (b) Cost synergies (overhead, procurement, consolidation); (c) Timeline to realise; (d) Probability weighting. The Consultant shall assess reasonableness. Synergies are risky; discount in valuation. Document assumptions.</w:t>
      </w:r>
    </w:p>
    <w:bookmarkEnd w:id="150"/>
    <w:bookmarkStart w:id="151" w:name="X15622fa8f0f38cfa8681bae2603a842ceb176e5"/>
    <w:p>
      <w:pPr>
        <w:pStyle w:val="Heading2"/>
      </w:pPr>
      <w:r>
        <w:t xml:space="preserve">ANNEXURE LXV — LEGAL DUE DILIGENCE (CONSULTANT SUPPORT)</w:t>
      </w:r>
    </w:p>
    <w:p>
      <w:pPr>
        <w:pStyle w:val="FirstParagraph"/>
      </w:pPr>
      <w:r>
        <w:t xml:space="preserve">The Consultant may support legal due diligence by: (a) Reviewing material contracts (summary); (b) Identifying litigation and regulatory matters; (c) Assessing compliance; (d) Flagging issues for legal counsel. The Consultant does not provide legal opinion. Legal counsel to be engaged for definitive advice. The Consultant coordinates with legal counsel as requested.</w:t>
      </w:r>
    </w:p>
    <w:bookmarkEnd w:id="151"/>
    <w:bookmarkStart w:id="152" w:name="annexure-lxvi-operational-due-diligence"/>
    <w:p>
      <w:pPr>
        <w:pStyle w:val="Heading2"/>
      </w:pPr>
      <w:r>
        <w:t xml:space="preserve">ANNEXURE LXVI — OPERATIONAL DUE DILIGENCE</w:t>
      </w:r>
    </w:p>
    <w:p>
      <w:pPr>
        <w:pStyle w:val="FirstParagraph"/>
      </w:pPr>
      <w:r>
        <w:t xml:space="preserve">Review of: (a) Operations and processes; (b) Key customers (concentration, terms); (c) Key suppliers (concentration, criticality); (d) Key assets (plant, equipment, IP); (e) IT systems; (f) Human resources; (g) Environmental. Identify operational risks. Assess integration complexity if applicable. The Consultant shall provide findings; Company to assess with operations team.</w:t>
      </w:r>
    </w:p>
    <w:bookmarkEnd w:id="152"/>
    <w:bookmarkStart w:id="153" w:name="Xa26bb8f0c50232d1d9beb3ac4951ba83918698c"/>
    <w:p>
      <w:pPr>
        <w:pStyle w:val="Heading2"/>
      </w:pPr>
      <w:r>
        <w:t xml:space="preserve">ANNEXURE LXVII — VALUATION REASONABILITY CHECK</w:t>
      </w:r>
    </w:p>
    <w:p>
      <w:pPr>
        <w:pStyle w:val="FirstParagraph"/>
      </w:pPr>
      <w:r>
        <w:t xml:space="preserve">The Consultant shall cross-check valuation: (a) DCF vs comparable transactions; (b) Implied multiples vs sector; (c) Sensitivity to key assumptions; (d) Downside scenario. Valuation range rather than point. The Consultant does not guarantee that the Transaction will achieve the valuation; market conditions and negotiation matter.</w:t>
      </w:r>
    </w:p>
    <w:bookmarkEnd w:id="153"/>
    <w:bookmarkStart w:id="154" w:name="annexure-lxviii-post-closing-support"/>
    <w:p>
      <w:pPr>
        <w:pStyle w:val="Heading2"/>
      </w:pPr>
      <w:r>
        <w:t xml:space="preserve">ANNEXURE LXVIII — POST-CLOSING SUPPORT</w:t>
      </w:r>
    </w:p>
    <w:p>
      <w:pPr>
        <w:pStyle w:val="FirstParagraph"/>
      </w:pPr>
      <w:r>
        <w:t xml:space="preserve">If the Company requests post-closing support (integration, accounting, etc.), scope and fees to be agreed separately. This Agreement covers pre-closing advisory. Success fee payable upon completion as defined. Post-closing work: separate SOW or addendum.</w:t>
      </w:r>
    </w:p>
    <w:bookmarkEnd w:id="154"/>
    <w:bookmarkStart w:id="155" w:name="Xa642deca6df753eb14a1a8762920aeb453fe448"/>
    <w:p>
      <w:pPr>
        <w:pStyle w:val="Heading2"/>
      </w:pPr>
      <w:r>
        <w:t xml:space="preserve">ANNEXURE LXIX — CONFIDENTIALITY OF DELIVERABLES</w:t>
      </w:r>
    </w:p>
    <w:p>
      <w:pPr>
        <w:pStyle w:val="FirstParagraph"/>
      </w:pPr>
      <w:r>
        <w:t xml:space="preserve">The Consultant's reports and work product are the Company's confidential information. The Consultant shall not disclose to third parties. The Company may share with its advisors, lenders, and investors subject to confidentiality. The Consultant may use anonymised work for internal training. No disclosure of Company name or Transaction details without consent.</w:t>
      </w:r>
    </w:p>
    <w:bookmarkEnd w:id="155"/>
    <w:bookmarkStart w:id="156" w:name="annexure-lxx-engagement-terms-summary"/>
    <w:p>
      <w:pPr>
        <w:pStyle w:val="Heading2"/>
      </w:pPr>
      <w:r>
        <w:t xml:space="preserve">ANNEXURE LXX — ENGAGEMENT TERMS SUMMARY</w:t>
      </w:r>
    </w:p>
    <w:p>
      <w:pPr>
        <w:pStyle w:val="FirstParagraph"/>
      </w:pPr>
      <w:r>
        <w:t xml:space="preserve">This Agreement: Consulting Services for IBC/distressed asset acquisition. Term: 6 months or completion. Retainer: ₹15L/month. Success fee: 0.75% (min ₹25L, max ₹1.5 Cr). Excess days: ₹12K. Scope: DD, valuation, structuring, regulatory, documentation support. Exclusions: legal opinion; tax opinion; audit; financing. Advisory only. Company decides. Consultant advises.</w:t>
      </w:r>
    </w:p>
    <w:bookmarkEnd w:id="156"/>
    <w:bookmarkStart w:id="157" w:name="annexure-lxxi-financial-model-structure"/>
    <w:p>
      <w:pPr>
        <w:pStyle w:val="Heading2"/>
      </w:pPr>
      <w:r>
        <w:t xml:space="preserve">ANNEXURE LXXI — FINANCIAL MODEL STRUCTURE</w:t>
      </w:r>
    </w:p>
    <w:p>
      <w:pPr>
        <w:pStyle w:val="FirstParagraph"/>
      </w:pPr>
      <w:r>
        <w:t xml:space="preserve">The valuation model shall include: (a) Historical financials (3 years); (b) Normalising adjustments; (c) Projections (5–10 years); (d) DCF calculation; (e) Sensitivity tables; (f) Scenario analysis; (g) Terminal value (perpetuity or exit multiple). Model in Excel or equivalent. Audit trail. Key assumptions documented. Version control.</w:t>
      </w:r>
    </w:p>
    <w:bookmarkEnd w:id="157"/>
    <w:bookmarkStart w:id="158" w:name="X517a968e98ce78a433f28b261d6bfb4dc78d469"/>
    <w:p>
      <w:pPr>
        <w:pStyle w:val="Heading2"/>
      </w:pPr>
      <w:r>
        <w:t xml:space="preserve">ANNEXURE LXXII — DUE DILIGENCE REQUEST LIST</w:t>
      </w:r>
    </w:p>
    <w:p>
      <w:pPr>
        <w:pStyle w:val="FirstParagraph"/>
      </w:pPr>
      <w:r>
        <w:t xml:space="preserve">Financial: Audited statements; management accounts; debt schedule; capex plan; tax returns. Legal: Material contracts; litigation; permits; employment. Commercial: Customer contracts; supplier contracts; pricing. Operational: Org chart; key person; IT systems. The Consultant shall tailor to the Target. The Company shall facilitate access. Timely provision affects timeline.</w:t>
      </w:r>
    </w:p>
    <w:bookmarkEnd w:id="158"/>
    <w:bookmarkStart w:id="159" w:name="annexure-lxxiii-valuation-disclaimer"/>
    <w:p>
      <w:pPr>
        <w:pStyle w:val="Heading2"/>
      </w:pPr>
      <w:r>
        <w:t xml:space="preserve">ANNEXURE LXXIII — VALUATION DISCLAIMER</w:t>
      </w:r>
    </w:p>
    <w:p>
      <w:pPr>
        <w:pStyle w:val="FirstParagraph"/>
      </w:pPr>
      <w:r>
        <w:t xml:space="preserve">The Valuation Report is for the Company's internal use and lender presentation. It does not constitute an offer or recommendation. The value is as at the valuation date. Market conditions change. The Consultant does not guarantee that the Transaction will achieve the valuation. The Company is responsible for its investment decision. The Consultant has relied on information provided.</w:t>
      </w:r>
    </w:p>
    <w:bookmarkEnd w:id="159"/>
    <w:bookmarkStart w:id="160" w:name="Xf2103c5d34b02099af3787149c34436fa38a53e"/>
    <w:p>
      <w:pPr>
        <w:pStyle w:val="Heading2"/>
      </w:pPr>
      <w:r>
        <w:t xml:space="preserve">ANNEXURE LXXIV — COORDINATION WITH ADVISORS</w:t>
      </w:r>
    </w:p>
    <w:p>
      <w:pPr>
        <w:pStyle w:val="FirstParagraph"/>
      </w:pPr>
      <w:r>
        <w:t xml:space="preserve">The Consultant shall coordinate with the Company's legal counsel, tax advisors, and auditors as requested. Information sharing subject to confidentiality. The Consultant does not direct other advisors. Each advisor is responsible for its scope. The Consultant may attend calls and meetings. Delays by other advisors may affect timeline; the Consultant shall notify.</w:t>
      </w:r>
    </w:p>
    <w:bookmarkEnd w:id="160"/>
    <w:bookmarkStart w:id="161" w:name="annexure-lxxv-termination-fee"/>
    <w:p>
      <w:pPr>
        <w:pStyle w:val="Heading2"/>
      </w:pPr>
      <w:r>
        <w:t xml:space="preserve">ANNEXURE LXXV — TERMINATION FEE</w:t>
      </w:r>
    </w:p>
    <w:p>
      <w:pPr>
        <w:pStyle w:val="FirstParagraph"/>
      </w:pPr>
      <w:r>
        <w:t xml:space="preserve">On termination for convenience: pay for services rendered; proportionate retainer; expenses; non-cancellable commitments. No penalty. On termination for cause by Company: pay for accepted work only. On termination for cause by Consultant (e.g., non-payment): full fees due. Success fee: only if Transaction completes (within 6 months of Consultant's work, as agreed).</w:t>
      </w:r>
    </w:p>
    <w:bookmarkEnd w:id="161"/>
    <w:bookmarkStart w:id="162" w:name="annexure-lxxvi-confidentiality-mutual"/>
    <w:p>
      <w:pPr>
        <w:pStyle w:val="Heading2"/>
      </w:pPr>
      <w:r>
        <w:t xml:space="preserve">ANNEXURE LXXVI — CONFIDENTIALITY (MUTUAL)</w:t>
      </w:r>
    </w:p>
    <w:p>
      <w:pPr>
        <w:pStyle w:val="FirstParagraph"/>
      </w:pPr>
      <w:r>
        <w:t xml:space="preserve">Each Party shall keep the other's information confidential. Use only for the Purpose. Survives 5 years. Return/destroy on termination. Exclusions: public; prior knowledge; independent development; lawful disclosure. Representatives bound. Compelled disclosure: notify; cooperate; disclose minimally. Breach: irreparable harm; injunction available.</w:t>
      </w:r>
    </w:p>
    <w:bookmarkEnd w:id="162"/>
    <w:bookmarkStart w:id="163" w:name="annexure-lxxvii-anti-money-laundering"/>
    <w:p>
      <w:pPr>
        <w:pStyle w:val="Heading2"/>
      </w:pPr>
      <w:r>
        <w:t xml:space="preserve">ANNEXURE LXXVII — ANTI-MONEY LAUNDERING</w:t>
      </w:r>
    </w:p>
    <w:p>
      <w:pPr>
        <w:pStyle w:val="FirstParagraph"/>
      </w:pPr>
      <w:r>
        <w:t xml:space="preserve">The Consultant shall comply with PMLA in its operations. The Consultant shall not accept or facilitate proceeds of crime. The Consultant shall conduct basic CDD on the Company as required. The Consultant shall report suspicious activity as required by law. The Consultant shall not advise on structuring to evade AML.</w:t>
      </w:r>
    </w:p>
    <w:bookmarkEnd w:id="163"/>
    <w:bookmarkStart w:id="164" w:name="annexure-lxxviii-engagement-acceptance"/>
    <w:p>
      <w:pPr>
        <w:pStyle w:val="Heading2"/>
      </w:pPr>
      <w:r>
        <w:t xml:space="preserve">ANNEXURE LXXVIII — ENGAGEMENT ACCEPTANCE</w:t>
      </w:r>
    </w:p>
    <w:p>
      <w:pPr>
        <w:pStyle w:val="FirstParagraph"/>
      </w:pPr>
      <w:r>
        <w:t xml:space="preserve">By executing this Agreement, the Company engages the Consultant for the Services. The Consultant accepts the engagement. The terms are as stated. No other terms apply. The engagement is exclusive for the Target and scope stated; the Consultant may advise other clients on unrelated matters.</w:t>
      </w:r>
    </w:p>
    <w:bookmarkEnd w:id="164"/>
    <w:bookmarkStart w:id="165" w:name="annexure-lxxix-scope-boundaries"/>
    <w:p>
      <w:pPr>
        <w:pStyle w:val="Heading2"/>
      </w:pPr>
      <w:r>
        <w:t xml:space="preserve">ANNEXURE LXXIX — SCOPE BOUNDARIES</w:t>
      </w:r>
    </w:p>
    <w:p>
      <w:pPr>
        <w:pStyle w:val="FirstParagraph"/>
      </w:pPr>
      <w:r>
        <w:t xml:space="preserve">In scope: Due diligence; valuation; transaction structuring; regulatory advice; documentation support; liaison. Out of scope: Legal opinion; tax opinion; audit; attestation; financing; binding the Company; guarantee of outcome. The Consultant advises; the Company decides. Additions: Change Request.</w:t>
      </w:r>
    </w:p>
    <w:bookmarkEnd w:id="165"/>
    <w:bookmarkStart w:id="166" w:name="X88c4c03d1aa5dca73f5fa6b4ceef2724f272490"/>
    <w:p>
      <w:pPr>
        <w:pStyle w:val="Heading2"/>
      </w:pPr>
      <w:r>
        <w:t xml:space="preserve">ANNEXURE LXXX — CONSULTING AGREEMENT SUMMARY</w:t>
      </w:r>
    </w:p>
    <w:p>
      <w:pPr>
        <w:pStyle w:val="FirstParagraph"/>
      </w:pPr>
      <w:r>
        <w:t xml:space="preserve">Parties: Manmohan Financial, Strategic Insights. Scope: IBC/distressed asset advisory. Fees: ₹15L/month + 0.75% success (min ₹25L, max ₹1.5 Cr). Term: 6 months. Conflict: disclose; Chinese walls if waived. IP: Company. Liability cap: 12 months fees. Arbitration: Mumbai. Law: India.</w:t>
      </w:r>
    </w:p>
    <w:bookmarkEnd w:id="166"/>
    <w:bookmarkStart w:id="167" w:name="X27e3b7d5990029cb5a3e91be81ac2c594775897"/>
    <w:p>
      <w:pPr>
        <w:pStyle w:val="Heading2"/>
      </w:pPr>
      <w:r>
        <w:t xml:space="preserve">ANNEXURE LXXXI — WORKING CAPITAL NORMALISATION</w:t>
      </w:r>
    </w:p>
    <w:p>
      <w:pPr>
        <w:pStyle w:val="FirstParagraph"/>
      </w:pPr>
      <w:r>
        <w:t xml:space="preserve">Adjust for: seasonal peak; one-off receivables; excess inventory; timing of payables. Target: steady-state WC. Document each adjustment. Management to confirm. Affects run-rate and valuation.</w:t>
      </w:r>
    </w:p>
    <w:bookmarkEnd w:id="167"/>
    <w:bookmarkStart w:id="168" w:name="annexure-lxxxii-normalised-ebitda"/>
    <w:p>
      <w:pPr>
        <w:pStyle w:val="Heading2"/>
      </w:pPr>
      <w:r>
        <w:t xml:space="preserve">ANNEXURE LXXXII — NORMALISED EBITDA</w:t>
      </w:r>
    </w:p>
    <w:p>
      <w:pPr>
        <w:pStyle w:val="FirstParagraph"/>
      </w:pPr>
      <w:r>
        <w:t xml:space="preserve">Add back: one-time costs; excess owner comp; non-arm's length rent; restructuring. Subtract: one-time gains; below-market revenue. Purpose: sustainable earnings. Document rationale. Multiple applied to normalised EBITDA.</w:t>
      </w:r>
    </w:p>
    <w:bookmarkEnd w:id="168"/>
    <w:bookmarkStart w:id="169" w:name="annexure-lxxxiii-terminal-value-methods"/>
    <w:p>
      <w:pPr>
        <w:pStyle w:val="Heading2"/>
      </w:pPr>
      <w:r>
        <w:t xml:space="preserve">ANNEXURE LXXXIII — TERMINAL VALUE METHODS</w:t>
      </w:r>
    </w:p>
    <w:p>
      <w:pPr>
        <w:pStyle w:val="FirstParagraph"/>
      </w:pPr>
      <w:r>
        <w:t xml:space="preserve">Perpetuity: FCF × (1+g) / (WACC-g). Exit multiple: EBITDA × sector multiple. Choose based on sector and visibility. Sensitivity to terminal assumptions is high. Document in Report.</w:t>
      </w:r>
    </w:p>
    <w:bookmarkEnd w:id="169"/>
    <w:bookmarkStart w:id="170" w:name="annexure-lxxxiv-diligence-timeline"/>
    <w:p>
      <w:pPr>
        <w:pStyle w:val="Heading2"/>
      </w:pPr>
      <w:r>
        <w:t xml:space="preserve">ANNEXURE LXXXIV — DILIGENCE TIMELINE</w:t>
      </w:r>
    </w:p>
    <w:p>
      <w:pPr>
        <w:pStyle w:val="FirstParagraph"/>
      </w:pPr>
      <w:r>
        <w:t xml:space="preserve">Week 1-2: Data room access; request list. Week 3-6: Financial DD; legal DD support. Week 5-8: Valuation; structuring. Week 7-10: Report; presentation. Week 8-12: Documentation support. Varies by complexity.</w:t>
      </w:r>
    </w:p>
    <w:bookmarkEnd w:id="170"/>
    <w:bookmarkStart w:id="171" w:name="annexure-lxxxv-report-distribution"/>
    <w:p>
      <w:pPr>
        <w:pStyle w:val="Heading2"/>
      </w:pPr>
      <w:r>
        <w:t xml:space="preserve">ANNEXURE LXXXV — REPORT DISTRIBUTION</w:t>
      </w:r>
    </w:p>
    <w:p>
      <w:pPr>
        <w:pStyle w:val="FirstParagraph"/>
      </w:pPr>
      <w:r>
        <w:t xml:space="preserve">Company internal: authorised personnel. Board: at Company's discretion. Lenders: with Company consent. No wider distribution. Consultant retains copies per Annexure 45. Confidential.</w:t>
      </w:r>
    </w:p>
    <w:bookmarkEnd w:id="171"/>
    <w:bookmarkStart w:id="172" w:name="annexure-lxxxvi-fees-on-termination"/>
    <w:p>
      <w:pPr>
        <w:pStyle w:val="Heading2"/>
      </w:pPr>
      <w:r>
        <w:t xml:space="preserve">ANNEXURE LXXXVI — FEES ON TERMINATION</w:t>
      </w:r>
    </w:p>
    <w:p>
      <w:pPr>
        <w:pStyle w:val="FirstParagraph"/>
      </w:pPr>
      <w:r>
        <w:t xml:space="preserve">Convenience: work done + proportionate retainer + expenses. Cause (Consultant): work accepted only. Cause (Company): full fees due. Success fee: only on completion as defined. No success fee if Company abandons or structure changes such that Consultant's work not used.</w:t>
      </w:r>
    </w:p>
    <w:bookmarkEnd w:id="172"/>
    <w:bookmarkStart w:id="173" w:name="annexure-lxxxvii-consultants-records"/>
    <w:p>
      <w:pPr>
        <w:pStyle w:val="Heading2"/>
      </w:pPr>
      <w:r>
        <w:t xml:space="preserve">ANNEXURE LXXXVII — CONSULTANT'S RECORDS</w:t>
      </w:r>
    </w:p>
    <w:p>
      <w:pPr>
        <w:pStyle w:val="FirstParagraph"/>
      </w:pPr>
      <w:r>
        <w:t xml:space="preserve">Consultant shall maintain: engagement letter; timesheets; work papers; correspondence; reports. Retention: 7 years. Format: electronic and paper. Secure storage. Production on request ( Company). No disclosure to third parties.</w:t>
      </w:r>
    </w:p>
    <w:bookmarkEnd w:id="173"/>
    <w:bookmarkStart w:id="174" w:name="annexure-lxxxviii-companys-obligations"/>
    <w:p>
      <w:pPr>
        <w:pStyle w:val="Heading2"/>
      </w:pPr>
      <w:r>
        <w:t xml:space="preserve">ANNEXURE LXXXVIII — COMPANY'S OBLIGATIONS</w:t>
      </w:r>
    </w:p>
    <w:p>
      <w:pPr>
        <w:pStyle w:val="FirstParagraph"/>
      </w:pPr>
      <w:r>
        <w:t xml:space="preserve">Provide: data room access; management access; information; decisions; approvals; budget. Timely. Delays affect timeline. Consultant shall notify of dependency. Company designates single point of contact.</w:t>
      </w:r>
    </w:p>
    <w:bookmarkEnd w:id="174"/>
    <w:bookmarkStart w:id="175" w:name="annexure-lxxxix-no-fiduciary-duty"/>
    <w:p>
      <w:pPr>
        <w:pStyle w:val="Heading2"/>
      </w:pPr>
      <w:r>
        <w:t xml:space="preserve">ANNEXURE LXXXIX — NO FIDUCIARY DUTY</w:t>
      </w:r>
    </w:p>
    <w:p>
      <w:pPr>
        <w:pStyle w:val="FirstParagraph"/>
      </w:pPr>
      <w:r>
        <w:t xml:space="preserve">Consultant is independent contractor. No fiduciary duty except as stated. Consultant advises; Company decides. Consultant may have other clients. No duty to disclose other engagements except conflicts.</w:t>
      </w:r>
    </w:p>
    <w:bookmarkEnd w:id="175"/>
    <w:bookmarkStart w:id="176" w:name="annexure-xc-consulting-summary-final"/>
    <w:p>
      <w:pPr>
        <w:pStyle w:val="Heading2"/>
      </w:pPr>
      <w:r>
        <w:t xml:space="preserve">ANNEXURE XC — CONSULTING SUMMARY (FINAL)</w:t>
      </w:r>
    </w:p>
    <w:p>
      <w:pPr>
        <w:pStyle w:val="FirstParagraph"/>
      </w:pPr>
      <w:r>
        <w:t xml:space="preserve">M&amp;A advisory for distressed assets. Retainer + success. 6 months. DD, valuation, structuring, regulatory. Exclusions: legal, tax, audit. Advisory only. Mumbai. India law.</w:t>
      </w:r>
    </w:p>
    <w:bookmarkEnd w:id="176"/>
    <w:bookmarkStart w:id="177" w:name="annexure-xci-valuation-date"/>
    <w:p>
      <w:pPr>
        <w:pStyle w:val="Heading2"/>
      </w:pPr>
      <w:r>
        <w:t xml:space="preserve">ANNEXURE XCI — VALUATION DATE</w:t>
      </w:r>
    </w:p>
    <w:p>
      <w:pPr>
        <w:pStyle w:val="FirstParagraph"/>
      </w:pPr>
      <w:r>
        <w:t xml:space="preserve">Valuation as at agreed date. Typically near bid or closing. Update if significant change. Stale valuation: note limitation. Interim updates may be requested; fees as agreed.</w:t>
      </w:r>
    </w:p>
    <w:bookmarkEnd w:id="177"/>
    <w:bookmarkStart w:id="178" w:name="annexure-xcii-management-meetings"/>
    <w:p>
      <w:pPr>
        <w:pStyle w:val="Heading2"/>
      </w:pPr>
      <w:r>
        <w:t xml:space="preserve">ANNEXURE XCII — MANAGEMENT MEETINGS</w:t>
      </w:r>
    </w:p>
    <w:p>
      <w:pPr>
        <w:pStyle w:val="FirstParagraph"/>
      </w:pPr>
      <w:r>
        <w:t xml:space="preserve">Consultant may request management meetings for due diligence. Topics: strategy; operations; financials; risks. Management time: Company to facilitate. Preparation: Consultant to share agenda. Confidential.</w:t>
      </w:r>
    </w:p>
    <w:bookmarkEnd w:id="178"/>
    <w:bookmarkStart w:id="179" w:name="annexure-xciii-site-visits"/>
    <w:p>
      <w:pPr>
        <w:pStyle w:val="Heading2"/>
      </w:pPr>
      <w:r>
        <w:t xml:space="preserve">ANNEXURE XCIII — SITE VISITS</w:t>
      </w:r>
    </w:p>
    <w:p>
      <w:pPr>
        <w:pStyle w:val="FirstParagraph"/>
      </w:pPr>
      <w:r>
        <w:t xml:space="preserve">If due diligence includes site visits: Company to arrange. Consultant to give notice. Costs: per expense policy. Photos/videos: with consent. Site visit report: part of DD.</w:t>
      </w:r>
    </w:p>
    <w:bookmarkEnd w:id="179"/>
    <w:bookmarkStart w:id="180" w:name="annexure-xciv-quality-assurance"/>
    <w:p>
      <w:pPr>
        <w:pStyle w:val="Heading2"/>
      </w:pPr>
      <w:r>
        <w:t xml:space="preserve">ANNEXURE XCIV — QUALITY ASSURANCE</w:t>
      </w:r>
    </w:p>
    <w:p>
      <w:pPr>
        <w:pStyle w:val="FirstParagraph"/>
      </w:pPr>
      <w:r>
        <w:t xml:space="preserve">Consultant shall: (a) Peer review key deliverables; (b) Check calculations; (c) Validate sources; (d) Document assumptions; (e) Cite limitations. No assurance or audit. Best efforts.</w:t>
      </w:r>
    </w:p>
    <w:bookmarkEnd w:id="180"/>
    <w:bookmarkStart w:id="181" w:name="annexure-xcv-third-party-reliance"/>
    <w:p>
      <w:pPr>
        <w:pStyle w:val="Heading2"/>
      </w:pPr>
      <w:r>
        <w:t xml:space="preserve">ANNEXURE XCV — THIRD-PARTY RELIANCE</w:t>
      </w:r>
    </w:p>
    <w:p>
      <w:pPr>
        <w:pStyle w:val="FirstParagraph"/>
      </w:pPr>
      <w:r>
        <w:t xml:space="preserve">Consultant may rely on: management representations; audited financials; legal opinions; expert reports. Consultant shall cite sources. Consultant does not independently verify unless agreed. Company to ensure accuracy of information provided.</w:t>
      </w:r>
    </w:p>
    <w:bookmarkEnd w:id="181"/>
    <w:bookmarkStart w:id="182" w:name="annexure-xcvi-conflict-waiver"/>
    <w:p>
      <w:pPr>
        <w:pStyle w:val="Heading2"/>
      </w:pPr>
      <w:r>
        <w:t xml:space="preserve">ANNEXURE XCVI — CONFLICT WAIVER</w:t>
      </w:r>
    </w:p>
    <w:p>
      <w:pPr>
        <w:pStyle w:val="FirstParagraph"/>
      </w:pPr>
      <w:r>
        <w:t xml:space="preserve">If Company waives conflict with safeguards (Chinese walls), Consultant shall confirm compliance. Waiver in writing. Consultant shall not share information between teams. Annual confirmation of walls.</w:t>
      </w:r>
    </w:p>
    <w:bookmarkEnd w:id="182"/>
    <w:bookmarkStart w:id="183" w:name="annexure-xcvii-success-fee-payment"/>
    <w:p>
      <w:pPr>
        <w:pStyle w:val="Heading2"/>
      </w:pPr>
      <w:r>
        <w:t xml:space="preserve">ANNEXURE XCVII — SUCCESS FEE PAYMENT</w:t>
      </w:r>
    </w:p>
    <w:p>
      <w:pPr>
        <w:pStyle w:val="FirstParagraph"/>
      </w:pPr>
      <w:r>
        <w:t xml:space="preserve">Within 30 days of completion. Invoice with calculation. Supporting: transaction documents; consideration breakdown. Dispute: notify within 15 days. Undisputed: pay on time. Interest on late: 18%.</w:t>
      </w:r>
    </w:p>
    <w:bookmarkEnd w:id="183"/>
    <w:bookmarkStart w:id="184" w:name="Xbb745b2b5a144c734fcf66c2dbdadf847c3512f"/>
    <w:p>
      <w:pPr>
        <w:pStyle w:val="Heading2"/>
      </w:pPr>
      <w:r>
        <w:t xml:space="preserve">ANNEXURE XCVIII — CONFIDENTIALITY OF ENGAGEMENT</w:t>
      </w:r>
    </w:p>
    <w:p>
      <w:pPr>
        <w:pStyle w:val="FirstParagraph"/>
      </w:pPr>
      <w:r>
        <w:t xml:space="preserve">Terms of this Agreement are confidential. Neither Party shall disclose except to advisors, Affiliates, or as required by law. Company may announce Transaction per its discretion. Consultant shall not announce without consent.</w:t>
      </w:r>
    </w:p>
    <w:bookmarkEnd w:id="184"/>
    <w:bookmarkStart w:id="185" w:name="annexure-xcix-term-extension"/>
    <w:p>
      <w:pPr>
        <w:pStyle w:val="Heading2"/>
      </w:pPr>
      <w:r>
        <w:t xml:space="preserve">ANNEXURE XCIX — TERM EXTENSION</w:t>
      </w:r>
    </w:p>
    <w:p>
      <w:pPr>
        <w:pStyle w:val="FirstParagraph"/>
      </w:pPr>
      <w:r>
        <w:t xml:space="preserve">If Transaction extends beyond 6 months, Parties may agree to extend. Fees continue at retainer rate. Success fee on completion whenever. Extension in writing.</w:t>
      </w:r>
    </w:p>
    <w:bookmarkEnd w:id="185"/>
    <w:bookmarkStart w:id="186" w:name="annexure-c-consulting-agreement-index"/>
    <w:p>
      <w:pPr>
        <w:pStyle w:val="Heading2"/>
      </w:pPr>
      <w:r>
        <w:t xml:space="preserve">ANNEXURE C — CONSULTING AGREEMENT INDEX</w:t>
      </w:r>
    </w:p>
    <w:p>
      <w:pPr>
        <w:pStyle w:val="FirstParagraph"/>
      </w:pPr>
      <w:r>
        <w:t xml:space="preserve">Article 1: Definitions. Article 2: Scope. Article 3: Deliverables. Article 4: Fees. Article 5: Conflict. Article 6: Reporting. Article 7: Personnel. Article 8: Confidentiality. Article 9: IP. Article 10: Indemnity. Article 11: Warranties. Article 12: Termination. Article 13: Insurance. Article 14: Force Majeure. Article 15: Disputes. Article 16: General. Schedules A-D. Annexures I-C.</w:t>
      </w:r>
    </w:p>
    <w:bookmarkEnd w:id="186"/>
    <w:bookmarkStart w:id="187" w:name="annexure-ci-target-profile"/>
    <w:p>
      <w:pPr>
        <w:pStyle w:val="Heading2"/>
      </w:pPr>
      <w:r>
        <w:t xml:space="preserve">ANNEXURE CI — TARGET PROFILE</w:t>
      </w:r>
    </w:p>
    <w:p>
      <w:pPr>
        <w:pStyle w:val="FirstParagraph"/>
      </w:pPr>
      <w:r>
        <w:t xml:space="preserve">Distressed assets. IBC resolution. NCLT process. Manufacturing, real estate, infrastructure. India. Portfolio or single asset. As identified by Company.</w:t>
      </w:r>
    </w:p>
    <w:bookmarkEnd w:id="187"/>
    <w:bookmarkStart w:id="188" w:name="annexure-cii-due-diligence-coordinator"/>
    <w:p>
      <w:pPr>
        <w:pStyle w:val="Heading2"/>
      </w:pPr>
      <w:r>
        <w:t xml:space="preserve">ANNEXURE CII — DUE DILIGENCE COORDINATOR</w:t>
      </w:r>
    </w:p>
    <w:p>
      <w:pPr>
        <w:pStyle w:val="FirstParagraph"/>
      </w:pPr>
      <w:r>
        <w:t xml:space="preserve">Company designates coordinator. Single point for data room; access; Q&amp;A. Consultant liaises. Coordinator ensures timely response.</w:t>
      </w:r>
    </w:p>
    <w:bookmarkEnd w:id="188"/>
    <w:bookmarkStart w:id="189" w:name="annexure-ciii-valuation-independence"/>
    <w:p>
      <w:pPr>
        <w:pStyle w:val="Heading2"/>
      </w:pPr>
      <w:r>
        <w:t xml:space="preserve">ANNEXURE CIII — VALUATION INDEPENDENCE</w:t>
      </w:r>
    </w:p>
    <w:p>
      <w:pPr>
        <w:pStyle w:val="FirstParagraph"/>
      </w:pPr>
      <w:r>
        <w:t xml:space="preserve">Consultant's valuation is independent. Not influenced by Company's bid price. Company may use for internal purposes. Lender may rely at Company's risk.</w:t>
      </w:r>
    </w:p>
    <w:bookmarkEnd w:id="189"/>
    <w:bookmarkStart w:id="190" w:name="annexure-civ-report-drafts"/>
    <w:p>
      <w:pPr>
        <w:pStyle w:val="Heading2"/>
      </w:pPr>
      <w:r>
        <w:t xml:space="preserve">ANNEXURE CIV — REPORT DRAFTS</w:t>
      </w:r>
    </w:p>
    <w:p>
      <w:pPr>
        <w:pStyle w:val="FirstParagraph"/>
      </w:pPr>
      <w:r>
        <w:t xml:space="preserve">Consultant may provide drafts for comment. Company feedback within 5 business days. Consultant incorporates reasonable feedback. Final report: Consultant's responsibility.</w:t>
      </w:r>
    </w:p>
    <w:bookmarkEnd w:id="190"/>
    <w:bookmarkStart w:id="191" w:name="annexure-cv-expense-approval-limits"/>
    <w:p>
      <w:pPr>
        <w:pStyle w:val="Heading2"/>
      </w:pPr>
      <w:r>
        <w:t xml:space="preserve">ANNEXURE CV — EXPENSE APPROVAL LIMITS</w:t>
      </w:r>
    </w:p>
    <w:p>
      <w:pPr>
        <w:pStyle w:val="FirstParagraph"/>
      </w:pPr>
      <w:r>
        <w:t xml:space="preserve">Under ₹25,000 per item: no approval. ₹25,000-1,00,000: email approval. Over ₹1,00,000: written approval. Monthly cap: ₹1,00,000 without approval.</w:t>
      </w:r>
    </w:p>
    <w:bookmarkEnd w:id="191"/>
    <w:bookmarkStart w:id="192" w:name="annexure-cvi-travel-policy"/>
    <w:p>
      <w:pPr>
        <w:pStyle w:val="Heading2"/>
      </w:pPr>
      <w:r>
        <w:t xml:space="preserve">ANNEXURE CVI — TRAVEL POLICY</w:t>
      </w:r>
    </w:p>
    <w:p>
      <w:pPr>
        <w:pStyle w:val="FirstParagraph"/>
      </w:pPr>
      <w:r>
        <w:t xml:space="preserve">Economy default. Business for 6+ hours. Mid-range accommodation. Meals as per policy. Original receipts. Expense report monthly.</w:t>
      </w:r>
    </w:p>
    <w:bookmarkEnd w:id="192"/>
    <w:bookmarkStart w:id="193" w:name="annexure-cvii-conflict-check"/>
    <w:p>
      <w:pPr>
        <w:pStyle w:val="Heading2"/>
      </w:pPr>
      <w:r>
        <w:t xml:space="preserve">ANNEXURE CVII — CONFlict CHECK</w:t>
      </w:r>
    </w:p>
    <w:p>
      <w:pPr>
        <w:pStyle w:val="FirstParagraph"/>
      </w:pPr>
      <w:r>
        <w:t xml:space="preserve">Consultant shall run conflict check before engagement. Ongoing: if new conflict arises, disclose within 5 days. Company to evaluate.</w:t>
      </w:r>
    </w:p>
    <w:bookmarkEnd w:id="193"/>
    <w:bookmarkStart w:id="194" w:name="annexure-cviii-professional-standards"/>
    <w:p>
      <w:pPr>
        <w:pStyle w:val="Heading2"/>
      </w:pPr>
      <w:r>
        <w:t xml:space="preserve">ANNEXURE CVIII — PROFESSIONAL STANDARDS</w:t>
      </w:r>
    </w:p>
    <w:p>
      <w:pPr>
        <w:pStyle w:val="FirstParagraph"/>
      </w:pPr>
      <w:r>
        <w:t xml:space="preserve">ICAI Valuation Standards. IBC codes. M&amp;A best practices. Independence. Objectivity. Confidentiality. Professional behaviour.</w:t>
      </w:r>
    </w:p>
    <w:bookmarkEnd w:id="194"/>
    <w:bookmarkStart w:id="195" w:name="annexure-cix-limitation-of-advice"/>
    <w:p>
      <w:pPr>
        <w:pStyle w:val="Heading2"/>
      </w:pPr>
      <w:r>
        <w:t xml:space="preserve">ANNEXURE CIX — LIMITATION OF ADVICE</w:t>
      </w:r>
    </w:p>
    <w:p>
      <w:pPr>
        <w:pStyle w:val="FirstParagraph"/>
      </w:pPr>
      <w:r>
        <w:t xml:space="preserve">Consultant advises on financial, commercial, strategic aspects. Not legal. Not tax. Not accounting/audit. Company to engage specialists. Consultant coordinates.</w:t>
      </w:r>
    </w:p>
    <w:bookmarkEnd w:id="195"/>
    <w:bookmarkStart w:id="196" w:name="annexure-cx-consulting-fees-summary"/>
    <w:p>
      <w:pPr>
        <w:pStyle w:val="Heading2"/>
      </w:pPr>
      <w:r>
        <w:t xml:space="preserve">ANNEXURE CX — CONSULTING FEES SUMMARY</w:t>
      </w:r>
    </w:p>
    <w:p>
      <w:pPr>
        <w:pStyle w:val="FirstParagraph"/>
      </w:pPr>
      <w:r>
        <w:t xml:space="preserve">Retainer: ₹15,00,000/month advance. Success: 0.75% of Transaction Value, min ₹25L, max ₹1.5 Cr. Excess: ₹12,000/day. Expenses: as per policy. GST extra. TDS as applicable.</w:t>
      </w:r>
    </w:p>
    <w:bookmarkEnd w:id="196"/>
    <w:bookmarkStart w:id="197" w:name="annexure-cxi-engagement-acceptance"/>
    <w:p>
      <w:pPr>
        <w:pStyle w:val="Heading2"/>
      </w:pPr>
      <w:r>
        <w:t xml:space="preserve">ANNEXURE CXI — ENGAGEMENT ACCEPTANCE</w:t>
      </w:r>
    </w:p>
    <w:p>
      <w:pPr>
        <w:pStyle w:val="FirstParagraph"/>
      </w:pPr>
      <w:r>
        <w:t xml:space="preserve">Consultant accepts. Company engages. Terms as stated. Effective 3 February 2025. Commencement 10 February 2025.</w:t>
      </w:r>
    </w:p>
    <w:bookmarkEnd w:id="197"/>
    <w:bookmarkStart w:id="198" w:name="annexure-cxii-consultant-sign-off"/>
    <w:p>
      <w:pPr>
        <w:pStyle w:val="Heading2"/>
      </w:pPr>
      <w:r>
        <w:t xml:space="preserve">ANNEXURE CXII — CONSULTANT SIGN-OFF</w:t>
      </w:r>
    </w:p>
    <w:p>
      <w:pPr>
        <w:pStyle w:val="FirstParagraph"/>
      </w:pPr>
      <w:r>
        <w:t xml:space="preserve">Reports signed by authorised signatory. Relationship Partner or delegate. Date. Contact. Limitations stated in report.</w:t>
      </w:r>
    </w:p>
    <w:bookmarkEnd w:id="198"/>
    <w:bookmarkStart w:id="199" w:name="annexure-cxiii-company-sign-off"/>
    <w:p>
      <w:pPr>
        <w:pStyle w:val="Heading2"/>
      </w:pPr>
      <w:r>
        <w:t xml:space="preserve">ANNEXURE CXIII — COMPANY SIGN-OFF</w:t>
      </w:r>
    </w:p>
    <w:p>
      <w:pPr>
        <w:pStyle w:val="FirstParagraph"/>
      </w:pPr>
      <w:r>
        <w:t xml:space="preserve">Company acknowledges receipt. Company has reviewed. Company accepts for internal use. Company responsible for decisions. No warranty to third parties.</w:t>
      </w:r>
    </w:p>
    <w:bookmarkEnd w:id="199"/>
    <w:bookmarkStart w:id="200" w:name="Xfee65980313246f1c5121e8c12a3af2c818776f"/>
    <w:p>
      <w:pPr>
        <w:pStyle w:val="Heading2"/>
      </w:pPr>
      <w:r>
        <w:t xml:space="preserve">ANNEXURE CXIV — DOCUMENT CUSTODY AND RETENTION</w:t>
      </w:r>
    </w:p>
    <w:p>
      <w:pPr>
        <w:pStyle w:val="FirstParagraph"/>
      </w:pPr>
      <w:r>
        <w:t xml:space="preserve">Consultant retains 7 years. Secure. Company may request copies. No disclosure. Destroy after 7 years unless hold.</w:t>
      </w:r>
    </w:p>
    <w:bookmarkEnd w:id="200"/>
    <w:bookmarkStart w:id="201" w:name="Xa1860caa32e9de4ed5cab5fdae6240e663f692d"/>
    <w:p>
      <w:pPr>
        <w:pStyle w:val="Heading2"/>
      </w:pPr>
      <w:r>
        <w:t xml:space="preserve">ANNEXURE CXV — CONSULTING AGREEMENT CLOSING</w:t>
      </w:r>
    </w:p>
    <w:p>
      <w:pPr>
        <w:pStyle w:val="FirstParagraph"/>
      </w:pPr>
      <w:r>
        <w:t xml:space="preserve">Manmohan Financial Advisors Pvt Ltd. Strategic Insights Consulting LLP. IBC Advisory. Retainer + Success. 6 months. Mumbai. India.</w:t>
      </w:r>
    </w:p>
    <w:bookmarkEnd w:id="201"/>
    <w:bookmarkStart w:id="202" w:name="annexure-cxvi-retainer-payment"/>
    <w:p>
      <w:pPr>
        <w:pStyle w:val="Heading2"/>
      </w:pPr>
      <w:r>
        <w:t xml:space="preserve">ANNEXURE CXVI — RETAINER PAYMENT</w:t>
      </w:r>
    </w:p>
    <w:p>
      <w:pPr>
        <w:pStyle w:val="FirstParagraph"/>
      </w:pPr>
      <w:r>
        <w:t xml:space="preserve">By 5th of each month. In advance. First month with engagement. NEFT. Invoice by 1st. 15 days terms.</w:t>
      </w:r>
    </w:p>
    <w:bookmarkEnd w:id="202"/>
    <w:bookmarkStart w:id="203" w:name="annexure-cxvii-success-fee-trigger"/>
    <w:p>
      <w:pPr>
        <w:pStyle w:val="Heading2"/>
      </w:pPr>
      <w:r>
        <w:t xml:space="preserve">ANNEXURE CXVII — SUCCESS FEE TRIGGER</w:t>
      </w:r>
    </w:p>
    <w:p>
      <w:pPr>
        <w:pStyle w:val="FirstParagraph"/>
      </w:pPr>
      <w:r>
        <w:t xml:space="preserve">Transaction completion. Definitive docs. Initial consideration. Within scope of engagement. Consultant's work contributed.</w:t>
      </w:r>
    </w:p>
    <w:bookmarkEnd w:id="203"/>
    <w:bookmarkStart w:id="204" w:name="X3ab6ef09b78299002a1c1ee7d0c86e057d30650"/>
    <w:p>
      <w:pPr>
        <w:pStyle w:val="Heading2"/>
      </w:pPr>
      <w:r>
        <w:t xml:space="preserve">ANNEXURE CXVIII — EXCLUSIONS FROM SUCCESS FEE</w:t>
      </w:r>
    </w:p>
    <w:p>
      <w:pPr>
        <w:pStyle w:val="FirstParagraph"/>
      </w:pPr>
      <w:r>
        <w:t xml:space="preserve">Advisor fees. Transaction costs. Working capital adjustment. Debt assumed (included in TV). Deferred (NPV).</w:t>
      </w:r>
    </w:p>
    <w:bookmarkEnd w:id="204"/>
    <w:bookmarkStart w:id="205" w:name="annexure-cxix-termination-notice"/>
    <w:p>
      <w:pPr>
        <w:pStyle w:val="Heading2"/>
      </w:pPr>
      <w:r>
        <w:t xml:space="preserve">ANNEXURE CXIX — TERMINATION NOTICE</w:t>
      </w:r>
    </w:p>
    <w:p>
      <w:pPr>
        <w:pStyle w:val="FirstParagraph"/>
      </w:pPr>
      <w:r>
        <w:t xml:space="preserve">Convenience: 30 days. Cause: 15 days cure. Immediate: insolvency; fraud. Written. To designated contact.</w:t>
      </w:r>
    </w:p>
    <w:bookmarkEnd w:id="205"/>
    <w:bookmarkStart w:id="206" w:name="annexure-cxx-transition-on-termination"/>
    <w:p>
      <w:pPr>
        <w:pStyle w:val="Heading2"/>
      </w:pPr>
      <w:r>
        <w:t xml:space="preserve">ANNEXURE CXX — TRANSITION ON TERMINATION</w:t>
      </w:r>
    </w:p>
    <w:p>
      <w:pPr>
        <w:pStyle w:val="FirstParagraph"/>
      </w:pPr>
      <w:r>
        <w:t xml:space="preserve">10 days to deliver work product. Return Confidential Information. Final invoice 15 days. Company pays 15 days from invoice.</w:t>
      </w:r>
    </w:p>
    <w:bookmarkEnd w:id="206"/>
    <w:bookmarkStart w:id="207" w:name="annexure-cxxi-survival-of-terms"/>
    <w:p>
      <w:pPr>
        <w:pStyle w:val="Heading2"/>
      </w:pPr>
      <w:r>
        <w:t xml:space="preserve">ANNEXURE CXXI — SURVIVAL OF TERMS</w:t>
      </w:r>
    </w:p>
    <w:p>
      <w:pPr>
        <w:pStyle w:val="FirstParagraph"/>
      </w:pPr>
      <w:r>
        <w:t xml:space="preserve">Confidentiality. Article 5.3 (no adverse engagement). IP. Indemnity. Liability cap. Dispute resolution. Fee payment.</w:t>
      </w:r>
    </w:p>
    <w:bookmarkEnd w:id="207"/>
    <w:bookmarkStart w:id="208" w:name="annexure-cxxii-consultant-bank-details"/>
    <w:p>
      <w:pPr>
        <w:pStyle w:val="Heading2"/>
      </w:pPr>
      <w:r>
        <w:t xml:space="preserve">ANNEXURE CXXII — CONSULTANT BANK DETAILS</w:t>
      </w:r>
    </w:p>
    <w:p>
      <w:pPr>
        <w:pStyle w:val="FirstParagraph"/>
      </w:pPr>
      <w:r>
        <w:t xml:space="preserve">Strategic Insights Consulting LLP. HDFC Bank. BKC Mumbai. Account: [To be provided]. IFSC: [To be provided]. GSTIN: [To be provided].</w:t>
      </w:r>
    </w:p>
    <w:bookmarkEnd w:id="208"/>
    <w:bookmarkStart w:id="209" w:name="annexure-cxxiii-company-billing"/>
    <w:p>
      <w:pPr>
        <w:pStyle w:val="Heading2"/>
      </w:pPr>
      <w:r>
        <w:t xml:space="preserve">ANNEXURE CXXIII — COMPANY BILLING</w:t>
      </w:r>
    </w:p>
    <w:p>
      <w:pPr>
        <w:pStyle w:val="FirstParagraph"/>
      </w:pPr>
      <w:r>
        <w:t xml:space="preserve">Manmohan Financial Advisors Pvt Ltd. 88 Nariman Point, Mumbai 400021. accounts@manmohanfinancial.com. Attn: Accounts Payable.</w:t>
      </w:r>
    </w:p>
    <w:bookmarkEnd w:id="209"/>
    <w:bookmarkStart w:id="210" w:name="annexure-cxxiv-invoice-format"/>
    <w:p>
      <w:pPr>
        <w:pStyle w:val="Heading2"/>
      </w:pPr>
      <w:r>
        <w:t xml:space="preserve">ANNEXURE CXXIV — INVOICE FORMAT</w:t>
      </w:r>
    </w:p>
    <w:p>
      <w:pPr>
        <w:pStyle w:val="FirstParagraph"/>
      </w:pPr>
      <w:r>
        <w:t xml:space="preserve">Number. Date. Description. Amount. GST. Total. Payment terms. Bank details. GSTIN. Tax invoice as per GST.</w:t>
      </w:r>
    </w:p>
    <w:bookmarkEnd w:id="210"/>
    <w:bookmarkStart w:id="211" w:name="annexure-cxxv-consulting-engagement-end"/>
    <w:p>
      <w:pPr>
        <w:pStyle w:val="Heading2"/>
      </w:pPr>
      <w:r>
        <w:t xml:space="preserve">ANNEXURE CXXV — CONSULTING ENGAGEMENT END</w:t>
      </w:r>
    </w:p>
    <w:p>
      <w:pPr>
        <w:pStyle w:val="FirstParagraph"/>
      </w:pPr>
      <w:r>
        <w:t xml:space="preserve">Agreement CSA/MF/2025/089. Manmohan Financial. Strategic Insights. IBC advisory. Complete. Signature follows.</w:t>
      </w:r>
    </w:p>
    <w:bookmarkEnd w:id="211"/>
    <w:bookmarkStart w:id="212" w:name="X6ca7715e91a510a4d24ad17acd4bf63aae4be4a"/>
    <w:p>
      <w:pPr>
        <w:pStyle w:val="Heading2"/>
      </w:pPr>
      <w:r>
        <w:t xml:space="preserve">ANNEXURE CXXVI — ADDITIONAL REPRESENTATIONS</w:t>
      </w:r>
    </w:p>
    <w:p>
      <w:pPr>
        <w:pStyle w:val="FirstParagraph"/>
      </w:pPr>
      <w:r>
        <w:t xml:space="preserve">Consultant: duly organised; authority; no conflict; qualified personnel; insurance. Company: authority; resources; information accurate. Each Party responsible for its representations.</w:t>
      </w:r>
    </w:p>
    <w:bookmarkEnd w:id="212"/>
    <w:bookmarkStart w:id="213" w:name="annexure-cxxvii-no-guarantee"/>
    <w:p>
      <w:pPr>
        <w:pStyle w:val="Heading2"/>
      </w:pPr>
      <w:r>
        <w:t xml:space="preserve">ANNEXURE CXXVII — NO GUARANTEE</w:t>
      </w:r>
    </w:p>
    <w:p>
      <w:pPr>
        <w:pStyle w:val="FirstParagraph"/>
      </w:pPr>
      <w:r>
        <w:t xml:space="preserve">Consultant does not guarantee Transaction completion. Consultant does not guarantee valuation will be achieved. Consultant advises. Company decides. Market and negotiation variables.</w:t>
      </w:r>
    </w:p>
    <w:bookmarkEnd w:id="213"/>
    <w:bookmarkStart w:id="214" w:name="annexure-cxxviii-reliance-on-information"/>
    <w:p>
      <w:pPr>
        <w:pStyle w:val="Heading2"/>
      </w:pPr>
      <w:r>
        <w:t xml:space="preserve">ANNEXURE CXXVIII — RELIANCE ON INFORMATION</w:t>
      </w:r>
    </w:p>
    <w:p>
      <w:pPr>
        <w:pStyle w:val="FirstParagraph"/>
      </w:pPr>
      <w:r>
        <w:t xml:space="preserve">Consultant relies on Company and public information. Consultant does not independently verify unless agreed. Company to ensure accuracy. Consultant cites sources. Garbage in, garbage out.</w:t>
      </w:r>
    </w:p>
    <w:bookmarkEnd w:id="214"/>
    <w:bookmarkStart w:id="215" w:name="annexure-cxxix-future-regulatory-changes"/>
    <w:p>
      <w:pPr>
        <w:pStyle w:val="Heading2"/>
      </w:pPr>
      <w:r>
        <w:t xml:space="preserve">ANNEXURE CXXIX — FUTURE REGULATORY CHANGES</w:t>
      </w:r>
    </w:p>
    <w:p>
      <w:pPr>
        <w:pStyle w:val="FirstParagraph"/>
      </w:pPr>
      <w:r>
        <w:t xml:space="preserve">Advice as at date. Law may change. Consultant shall update if material change during engagement. No obligation to monitor post-engagement. Company to seek fresh advice for new transactions.</w:t>
      </w:r>
    </w:p>
    <w:bookmarkEnd w:id="215"/>
    <w:bookmarkStart w:id="216" w:name="X5dd702832448ea9879d5632f387fa3685b42456"/>
    <w:p>
      <w:pPr>
        <w:pStyle w:val="Heading2"/>
      </w:pPr>
      <w:r>
        <w:t xml:space="preserve">ANNEXURE CXXX — CONSULTING AGREEMENT ACKNOWLEDGMENT</w:t>
      </w:r>
    </w:p>
    <w:p>
      <w:pPr>
        <w:pStyle w:val="FirstParagraph"/>
      </w:pPr>
      <w:r>
        <w:t xml:space="preserve">The Parties have read this Agreement. The Parties agree to its terms. The Parties have had opportunity for legal review. The Parties execute voluntarily.</w:t>
      </w:r>
    </w:p>
    <w:bookmarkEnd w:id="216"/>
    <w:bookmarkStart w:id="217" w:name="Xcd180d91f782b2c1f47a9b6b44b0bb8eb95eb06"/>
    <w:p>
      <w:pPr>
        <w:pStyle w:val="Heading2"/>
      </w:pPr>
      <w:r>
        <w:t xml:space="preserve">ANNEXURE CXXXI — EXECUTION AND COUNTERPARTS</w:t>
      </w:r>
    </w:p>
    <w:p>
      <w:pPr>
        <w:pStyle w:val="FirstParagraph"/>
      </w:pPr>
      <w:r>
        <w:t xml:space="preserve">This Agreement may be executed in counterparts. Electronic signatures valid. Each counterpart is an original. Exchange by email. Effective 3 February 2025 upon execution by both.</w:t>
      </w:r>
    </w:p>
    <w:bookmarkEnd w:id="217"/>
    <w:bookmarkStart w:id="218" w:name="X40a424bd8b54b43daec18e6aedd549e4ec8e0d8"/>
    <w:p>
      <w:pPr>
        <w:pStyle w:val="Heading2"/>
      </w:pPr>
      <w:r>
        <w:t xml:space="preserve">ANNEXURE CXXXII — CONSULTING ENGAGEMENT COMPLETE</w:t>
      </w:r>
    </w:p>
    <w:p>
      <w:pPr>
        <w:pStyle w:val="FirstParagraph"/>
      </w:pPr>
      <w:r>
        <w:t xml:space="preserve">All terms, Schedules, and Annexures form the complete consulting engagement between Manmohan Financial Advisors Private Limited and Strategic Insights Consulting LLP for IBC and distressed asset advisory services. No prior agreements. Amendments in writing.</w:t>
      </w:r>
    </w:p>
    <w:bookmarkEnd w:id="218"/>
    <w:bookmarkStart w:id="219" w:name="annexure-cxxxiii-terms-summary"/>
    <w:p>
      <w:pPr>
        <w:pStyle w:val="Heading2"/>
      </w:pPr>
      <w:r>
        <w:t xml:space="preserve">ANNEXURE CXXXIII — TERMS SUMMARY</w:t>
      </w:r>
    </w:p>
    <w:p>
      <w:pPr>
        <w:pStyle w:val="FirstParagraph"/>
      </w:pPr>
      <w:r>
        <w:t xml:space="preserve">Monthly retainer ₹15 lakh. Success fee 0.75% (min ₹25L, max ₹1.5 Cr). Six months term. Due diligence, valuation, structuring, regulatory advisory. Mumbai arbitration. India law.</w:t>
      </w:r>
    </w:p>
    <w:bookmarkEnd w:id="219"/>
    <w:bookmarkStart w:id="220" w:name="annexure-cxxxiv-engagement-confirmation"/>
    <w:p>
      <w:pPr>
        <w:pStyle w:val="Heading2"/>
      </w:pPr>
      <w:r>
        <w:t xml:space="preserve">ANNEXURE CXXXIV — ENGAGEMENT CONFIRMATION</w:t>
      </w:r>
    </w:p>
    <w:p>
      <w:pPr>
        <w:pStyle w:val="FirstParagraph"/>
      </w:pPr>
      <w:r>
        <w:t xml:space="preserve">The Company confirms engagement of the Consultant. The Consultant confirms acceptance. Scope as Schedule A. Fees as Article 4. Conflict disclosure as Article 5. Reporting as Article 6. All other terms as stated herein. This Agreement is binding upon execution.</w:t>
      </w:r>
    </w:p>
    <w:bookmarkEnd w:id="220"/>
    <w:bookmarkStart w:id="221" w:name="X0337c1e8a7b26e2ce4b4822a8f7e3ccdd5e6e46"/>
    <w:p>
      <w:pPr>
        <w:pStyle w:val="Heading2"/>
      </w:pPr>
      <w:r>
        <w:t xml:space="preserve">ANNEXURE CXXXV — CONSULTING AGREEMENT SIGNATURE</w:t>
      </w:r>
    </w:p>
    <w:p>
      <w:pPr>
        <w:pStyle w:val="FirstParagraph"/>
      </w:pPr>
      <w:r>
        <w:t xml:space="preserve">The Parties shall execute this Agreement in duplicate. Each Party retains one original. Copies may be made for internal use. This Agreement is effective as of the Effective Date when signed by both Parties.</w:t>
      </w:r>
    </w:p>
    <w:bookmarkEnd w:id="221"/>
    <w:bookmarkStart w:id="222" w:name="annexure-cxxxvi-definitions-index"/>
    <w:p>
      <w:pPr>
        <w:pStyle w:val="Heading2"/>
      </w:pPr>
      <w:r>
        <w:t xml:space="preserve">ANNEXURE CXXXVI — DEFINITIONS INDEX</w:t>
      </w:r>
    </w:p>
    <w:p>
      <w:pPr>
        <w:pStyle w:val="FirstParagraph"/>
      </w:pPr>
      <w:r>
        <w:t xml:space="preserve">Affiliate. Commencement Date. Confidential Information. Conflict. Deliverables. Effective Date. Fees. Force Majeure. IBC. Report. Services. Term. Transaction. Transaction Value. All as defined in Article 1 and throughout.</w:t>
      </w:r>
    </w:p>
    <w:bookmarkEnd w:id="222"/>
    <w:bookmarkStart w:id="223" w:name="annexure-cxxxvii-schedules-index"/>
    <w:p>
      <w:pPr>
        <w:pStyle w:val="Heading2"/>
      </w:pPr>
      <w:r>
        <w:t xml:space="preserve">ANNEXURE CXXXVII — SCHEDULES INDEX</w:t>
      </w:r>
    </w:p>
    <w:p>
      <w:pPr>
        <w:pStyle w:val="FirstParagraph"/>
      </w:pPr>
      <w:r>
        <w:t xml:space="preserve">Schedule A: Deliverables. Schedule B: Transaction. Schedule C: Fees. Schedule D: Conflict declaration. All incorporated by reference.</w:t>
      </w:r>
    </w:p>
    <w:bookmarkEnd w:id="223"/>
    <w:bookmarkStart w:id="224" w:name="X4383377acb1e3a88d855e2346a7573d61edc627"/>
    <w:p>
      <w:pPr>
        <w:pStyle w:val="Heading2"/>
      </w:pPr>
      <w:r>
        <w:t xml:space="preserve">ANNEXURE CXXXVIII — CONSULTING AGREEMENT END</w:t>
      </w:r>
    </w:p>
    <w:p>
      <w:pPr>
        <w:pStyle w:val="FirstParagraph"/>
      </w:pPr>
      <w:r>
        <w:t xml:space="preserve">This Consulting Services Agreement is complete. All terms agreed. Parties to sign below. Effective 3 February 2025. Commencement 10 February 2025. Mumbai. India.</w:t>
      </w:r>
    </w:p>
    <w:bookmarkEnd w:id="224"/>
    <w:bookmarkStart w:id="225" w:name="in-witness-whereof"/>
    <w:p>
      <w:pPr>
        <w:pStyle w:val="Heading2"/>
      </w:pPr>
      <w:r>
        <w:t xml:space="preserve">IN WITNESS WHEREOF</w:t>
      </w:r>
    </w:p>
    <w:p>
      <w:pPr>
        <w:pStyle w:val="FirstParagraph"/>
      </w:pPr>
      <w:r>
        <w:t xml:space="preserve">The Parties have executed this Agreement as of the date first written above.</w:t>
      </w:r>
    </w:p>
    <w:p>
      <w:pPr>
        <w:pStyle w:val="BodyText"/>
      </w:pPr>
      <w:r>
        <w:rPr>
          <w:b/>
          <w:bCs/>
        </w:rPr>
        <w:t xml:space="preserve">For Manmohan Financial Advisors Private Limited</w:t>
      </w:r>
      <w:r>
        <w:br/>
      </w:r>
      <w:r>
        <w:t xml:space="preserve">________________________</w:t>
      </w:r>
      <w:r>
        <w:br/>
      </w:r>
      <w:r>
        <w:t xml:space="preserve">Name: Karan Manmohan</w:t>
      </w:r>
      <w:r>
        <w:br/>
      </w:r>
      <w:r>
        <w:t xml:space="preserve">Title: Managing Director</w:t>
      </w:r>
    </w:p>
    <w:p>
      <w:pPr>
        <w:pStyle w:val="BodyText"/>
      </w:pPr>
      <w:r>
        <w:rPr>
          <w:b/>
          <w:bCs/>
        </w:rPr>
        <w:t xml:space="preserve">For Strategic Insights Consulting LLP</w:t>
      </w:r>
      <w:r>
        <w:br/>
      </w:r>
      <w:r>
        <w:t xml:space="preserve">________________________</w:t>
      </w:r>
      <w:r>
        <w:br/>
      </w:r>
      <w:r>
        <w:t xml:space="preserve">Name: Meera Deshpande</w:t>
      </w:r>
      <w:r>
        <w:br/>
      </w:r>
      <w:r>
        <w:t xml:space="preserve">Title: Designated Partner</w:t>
      </w:r>
    </w:p>
    <w:bookmarkEnd w:id="225"/>
    <w:bookmarkEnd w:id="2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Services Agreement</dc:title>
  <dc:creator/>
  <dc:language>en</dc:language>
  <cp:keywords/>
  <dcterms:created xsi:type="dcterms:W3CDTF">2026-03-06T17:02:09Z</dcterms:created>
  <dcterms:modified xsi:type="dcterms:W3CDTF">2026-03-06T17:02:09Z</dcterms:modified>
</cp:coreProperties>
</file>

<file path=docProps/custom.xml><?xml version="1.0" encoding="utf-8"?>
<Properties xmlns="http://schemas.openxmlformats.org/officeDocument/2006/custom-properties" xmlns:vt="http://schemas.openxmlformats.org/officeDocument/2006/docPropsVTypes"/>
</file>