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Commercial Lease Agreement</w:t>
      </w:r>
    </w:p>
    <w:bookmarkStart w:id="273" w:name="commercial-lease-deed"/>
    <w:p>
      <w:pPr>
        <w:pStyle w:val="Heading1"/>
      </w:pPr>
      <w:r>
        <w:t xml:space="preserve">COMMERCIAL LEASE DEED</w:t>
      </w:r>
    </w:p>
    <w:p>
      <w:pPr>
        <w:pStyle w:val="FirstParagraph"/>
      </w:pPr>
      <w:r>
        <w:rPr>
          <w:b/>
          <w:bCs/>
        </w:rPr>
        <w:t xml:space="preserve">Lease Deed No:</w:t>
      </w:r>
      <w:r>
        <w:t xml:space="preserve"> </w:t>
      </w:r>
      <w:r>
        <w:t xml:space="preserve">CL/BLR/2025/1122</w:t>
      </w:r>
      <w:r>
        <w:br/>
      </w:r>
      <w:r>
        <w:rPr>
          <w:b/>
          <w:bCs/>
        </w:rPr>
        <w:t xml:space="preserve">Date of Execution:</w:t>
      </w:r>
      <w:r>
        <w:t xml:space="preserve"> </w:t>
      </w:r>
      <w:r>
        <w:t xml:space="preserve">20 February 2025</w:t>
      </w:r>
      <w:r>
        <w:br/>
      </w:r>
      <w:r>
        <w:rPr>
          <w:b/>
          <w:bCs/>
        </w:rPr>
        <w:t xml:space="preserve">Stamp Duty:</w:t>
      </w:r>
      <w:r>
        <w:t xml:space="preserve"> </w:t>
      </w:r>
      <w:r>
        <w:t xml:space="preserve">Paid as per Karnataka Stamp Act, 1957</w:t>
      </w:r>
      <w:r>
        <w:br/>
      </w:r>
      <w:r>
        <w:rPr>
          <w:b/>
          <w:bCs/>
        </w:rPr>
        <w:t xml:space="preserve">Registration:</w:t>
      </w:r>
      <w:r>
        <w:t xml:space="preserve"> </w:t>
      </w:r>
      <w:r>
        <w:t xml:space="preserve">Sub-Registrar, Bangalore</w:t>
      </w:r>
      <w:r>
        <w:br/>
      </w:r>
      <w:r>
        <w:rPr>
          <w:b/>
          <w:bCs/>
        </w:rPr>
        <w:t xml:space="preserve">Governing Law:</w:t>
      </w:r>
      <w:r>
        <w:t xml:space="preserve"> </w:t>
      </w:r>
      <w:r>
        <w:t xml:space="preserve">Transfer of Property Act, 1882; Indian Contract Act, 1872</w:t>
      </w:r>
    </w:p>
    <w:bookmarkStart w:id="9" w:name="parties"/>
    <w:p>
      <w:pPr>
        <w:pStyle w:val="Heading2"/>
      </w:pPr>
      <w:r>
        <w:t xml:space="preserve">PARTIES</w:t>
      </w:r>
    </w:p>
    <w:p>
      <w:pPr>
        <w:pStyle w:val="FirstParagraph"/>
      </w:pPr>
      <w:r>
        <w:rPr>
          <w:b/>
          <w:bCs/>
        </w:rPr>
        <w:t xml:space="preserve">LESSOR:</w:t>
      </w:r>
      <w:r>
        <w:t xml:space="preserve"> </w:t>
      </w:r>
      <w:r>
        <w:t xml:space="preserve">Heritage Properties Private Limited, CIN U7010KA2005PTC038912, a company incorporated under the Companies Act, 2013, having its registered office at 100, Richmond Road, Bangalore, Karnataka 560025, represented by its Director Mr. Suresh Kumar ("Lessor").</w:t>
      </w:r>
    </w:p>
    <w:p>
      <w:pPr>
        <w:pStyle w:val="BodyText"/>
      </w:pPr>
      <w:r>
        <w:rPr>
          <w:b/>
          <w:bCs/>
        </w:rPr>
        <w:t xml:space="preserve">LESSEE:</w:t>
      </w:r>
      <w:r>
        <w:t xml:space="preserve"> </w:t>
      </w:r>
      <w:r>
        <w:t xml:space="preserve">CloudNine Tech Services India Private Limited, CIN U72900TG2015PTC099876, having its registered office at 5-12-89, Hitech City, Hyderabad, Telangana 500081, represented by its CEO Ms. Priya Sharma ("Lessee").</w:t>
      </w:r>
    </w:p>
    <w:p>
      <w:pPr>
        <w:pStyle w:val="BodyText"/>
      </w:pPr>
      <w:r>
        <w:t xml:space="preserve">Lessor and Lessee are each referred to as a "Party" and collectively as the "Parties".</w:t>
      </w:r>
    </w:p>
    <w:bookmarkEnd w:id="9"/>
    <w:bookmarkStart w:id="10" w:name="recitals"/>
    <w:p>
      <w:pPr>
        <w:pStyle w:val="Heading2"/>
      </w:pPr>
      <w:r>
        <w:t xml:space="preserve">RECITALS</w:t>
      </w:r>
    </w:p>
    <w:p>
      <w:pPr>
        <w:pStyle w:val="FirstParagraph"/>
      </w:pPr>
      <w:r>
        <w:t xml:space="preserve">WHEREAS the Lessor is the absolute owner in possession of the commercial premises more particularly described in Schedule A (the "Premises"), situated at 456, Outer Ring Road, Marathahalli, Bangalore 560037, forming part of the building known as "Tech Park Tower B";</w:t>
      </w:r>
    </w:p>
    <w:p>
      <w:pPr>
        <w:pStyle w:val="BodyText"/>
      </w:pPr>
      <w:r>
        <w:t xml:space="preserve">WHEREAS the Lessee is desirous of taking the Premises on lease for the purpose of establishing its office and carrying on its business of software development and IT consulting;</w:t>
      </w:r>
    </w:p>
    <w:p>
      <w:pPr>
        <w:pStyle w:val="BodyText"/>
      </w:pPr>
      <w:r>
        <w:t xml:space="preserve">NOW, THEREFORE, in consideration of the rent, covenants, and agreements herein contained, the Parties agree as follows:</w:t>
      </w:r>
    </w:p>
    <w:bookmarkEnd w:id="10"/>
    <w:bookmarkStart w:id="13" w:name="article-1-definitions-and-interpretation"/>
    <w:p>
      <w:pPr>
        <w:pStyle w:val="Heading2"/>
      </w:pPr>
      <w:r>
        <w:t xml:space="preserve">ARTICLE 1 — DEFINITIONS AND INTERPRETATION</w:t>
      </w:r>
    </w:p>
    <w:bookmarkStart w:id="11" w:name="definitions"/>
    <w:p>
      <w:pPr>
        <w:pStyle w:val="Heading3"/>
      </w:pPr>
      <w:r>
        <w:t xml:space="preserve">1.1 Definitions</w:t>
      </w:r>
    </w:p>
    <w:p>
      <w:pPr>
        <w:pStyle w:val="FirstParagraph"/>
      </w:pPr>
      <w:r>
        <w:rPr>
          <w:b/>
          <w:bCs/>
        </w:rPr>
        <w:t xml:space="preserve">"Common Areas"</w:t>
      </w:r>
      <w:r>
        <w:t xml:space="preserve"> </w:t>
      </w:r>
      <w:r>
        <w:t xml:space="preserve">means lobbies, corridors, elevators, stairwells, parking areas, and other areas of the Building designated for common use.</w:t>
      </w:r>
      <w:r>
        <w:t xml:space="preserve"> </w:t>
      </w:r>
      <w:r>
        <w:rPr>
          <w:b/>
          <w:bCs/>
        </w:rPr>
        <w:t xml:space="preserve">"Building"</w:t>
      </w:r>
      <w:r>
        <w:t xml:space="preserve"> </w:t>
      </w:r>
      <w:r>
        <w:t xml:space="preserve">means Tech Park Tower B.</w:t>
      </w:r>
      <w:r>
        <w:t xml:space="preserve"> </w:t>
      </w:r>
      <w:r>
        <w:rPr>
          <w:b/>
          <w:bCs/>
        </w:rPr>
        <w:t xml:space="preserve">"Commencement Date"</w:t>
      </w:r>
      <w:r>
        <w:t xml:space="preserve"> </w:t>
      </w:r>
      <w:r>
        <w:t xml:space="preserve">means 1 March 2025.</w:t>
      </w:r>
      <w:r>
        <w:t xml:space="preserve"> </w:t>
      </w:r>
      <w:r>
        <w:rPr>
          <w:b/>
          <w:bCs/>
        </w:rPr>
        <w:t xml:space="preserve">"Lease Term"</w:t>
      </w:r>
      <w:r>
        <w:t xml:space="preserve"> </w:t>
      </w:r>
      <w:r>
        <w:t xml:space="preserve">means thirty-six (36) months from Commencement Date.</w:t>
      </w:r>
      <w:r>
        <w:t xml:space="preserve"> </w:t>
      </w:r>
      <w:r>
        <w:rPr>
          <w:b/>
          <w:bCs/>
        </w:rPr>
        <w:t xml:space="preserve">"Permitted Use"</w:t>
      </w:r>
      <w:r>
        <w:t xml:space="preserve"> </w:t>
      </w:r>
      <w:r>
        <w:t xml:space="preserve">means general office, IT/software development, and related administrative use.</w:t>
      </w:r>
      <w:r>
        <w:t xml:space="preserve"> </w:t>
      </w:r>
      <w:r>
        <w:rPr>
          <w:b/>
          <w:bCs/>
        </w:rPr>
        <w:t xml:space="preserve">"Rent"</w:t>
      </w:r>
      <w:r>
        <w:t xml:space="preserve"> </w:t>
      </w:r>
      <w:r>
        <w:t xml:space="preserve">has the meaning in Article 3.</w:t>
      </w:r>
      <w:r>
        <w:t xml:space="preserve"> </w:t>
      </w:r>
      <w:r>
        <w:rPr>
          <w:b/>
          <w:bCs/>
        </w:rPr>
        <w:t xml:space="preserve">"Security Deposit"</w:t>
      </w:r>
      <w:r>
        <w:t xml:space="preserve"> </w:t>
      </w:r>
      <w:r>
        <w:t xml:space="preserve">has the meaning in Article 3.</w:t>
      </w:r>
      <w:r>
        <w:t xml:space="preserve"> </w:t>
      </w:r>
      <w:r>
        <w:rPr>
          <w:b/>
          <w:bCs/>
        </w:rPr>
        <w:t xml:space="preserve">"Premises"</w:t>
      </w:r>
      <w:r>
        <w:t xml:space="preserve"> </w:t>
      </w:r>
      <w:r>
        <w:t xml:space="preserve">means the demised premises described in Schedule A.</w:t>
      </w:r>
      <w:r>
        <w:t xml:space="preserve"> </w:t>
      </w:r>
      <w:r>
        <w:rPr>
          <w:b/>
          <w:bCs/>
        </w:rPr>
        <w:t xml:space="preserve">"CAM"</w:t>
      </w:r>
      <w:r>
        <w:t xml:space="preserve"> </w:t>
      </w:r>
      <w:r>
        <w:t xml:space="preserve">means Common Area Maintenance charges.</w:t>
      </w:r>
      <w:r>
        <w:t xml:space="preserve"> </w:t>
      </w:r>
      <w:r>
        <w:rPr>
          <w:b/>
          <w:bCs/>
        </w:rPr>
        <w:t xml:space="preserve">"Rules"</w:t>
      </w:r>
      <w:r>
        <w:t xml:space="preserve"> </w:t>
      </w:r>
      <w:r>
        <w:t xml:space="preserve">means the rules and regulations in Schedule D.</w:t>
      </w:r>
    </w:p>
    <w:bookmarkEnd w:id="11"/>
    <w:bookmarkStart w:id="12" w:name="interpretation"/>
    <w:p>
      <w:pPr>
        <w:pStyle w:val="Heading3"/>
      </w:pPr>
      <w:r>
        <w:t xml:space="preserve">1.2 Interpretation</w:t>
      </w:r>
    </w:p>
    <w:p>
      <w:pPr>
        <w:pStyle w:val="FirstParagraph"/>
      </w:pPr>
      <w:r>
        <w:t xml:space="preserve">Headings are for convenience only. Singular includes plural. "Include" and "including" are without limitation. References to "Articles" and "Schedules" are to this Lease. "Days" means calendar days unless "business days" specified. "Writing" includes email. This Lease shall be construed in accordance with the Transfer of Property Act, 1882 and the Indian Contract Act, 1872. In case of conflict between the main body and Schedules, the main body shall prevail.</w:t>
      </w:r>
    </w:p>
    <w:bookmarkEnd w:id="12"/>
    <w:bookmarkEnd w:id="13"/>
    <w:bookmarkStart w:id="18" w:name="article-2-demise-term-and-registration"/>
    <w:p>
      <w:pPr>
        <w:pStyle w:val="Heading2"/>
      </w:pPr>
      <w:r>
        <w:t xml:space="preserve">ARTICLE 2 — DEMISE, TERM, AND REGISTRATION</w:t>
      </w:r>
    </w:p>
    <w:bookmarkStart w:id="14" w:name="stamp-duty-and-registration"/>
    <w:p>
      <w:pPr>
        <w:pStyle w:val="Heading3"/>
      </w:pPr>
      <w:r>
        <w:t xml:space="preserve">2.0 Stamp Duty and Registration</w:t>
      </w:r>
    </w:p>
    <w:p>
      <w:pPr>
        <w:pStyle w:val="FirstParagraph"/>
      </w:pPr>
      <w:r>
        <w:t xml:space="preserve">This Lease Deed is executed on non-judicial stamp paper of the appropriate value as per the Karnataka Stamp Act, 1957. The Parties shall cause this deed to be registered before the Sub-Registrar having jurisdiction over the Premises, in accordance with the Registration Act, 1908. The cost of stamp duty and registration shall be borne as per prevailing practice (typically by the Lessee). The Lease shall be effective from the Commencement Date irrespective of registration; however, registration is recommended for creation of a valid leasehold interest and priority against third parties.</w:t>
      </w:r>
    </w:p>
    <w:bookmarkEnd w:id="14"/>
    <w:bookmarkStart w:id="15" w:name="grant-of-lease"/>
    <w:p>
      <w:pPr>
        <w:pStyle w:val="Heading3"/>
      </w:pPr>
      <w:r>
        <w:t xml:space="preserve">2.1 Grant of Lease</w:t>
      </w:r>
    </w:p>
    <w:p>
      <w:pPr>
        <w:pStyle w:val="FirstParagraph"/>
      </w:pPr>
      <w:r>
        <w:t xml:space="preserve">The Lessor hereby demises and lets to the Lessee, and the Lessee hereby takes on lease, the Premises for the Lease Term, to hold unto the Lessee from the Commencement Date until 28 February 2028 (both dates inclusive), for the Permitted Use only.</w:t>
      </w:r>
    </w:p>
    <w:bookmarkEnd w:id="15"/>
    <w:bookmarkStart w:id="16" w:name="option-to-renew"/>
    <w:p>
      <w:pPr>
        <w:pStyle w:val="Heading3"/>
      </w:pPr>
      <w:r>
        <w:t xml:space="preserve">2.2 Option to Renew</w:t>
      </w:r>
    </w:p>
    <w:p>
      <w:pPr>
        <w:pStyle w:val="FirstParagraph"/>
      </w:pPr>
      <w:r>
        <w:t xml:space="preserve">Subject to the Lessee being not in material breach, the Lessee shall have an option to renew for a further period of twenty-four (24) months on terms to be mutually agreed, exercisable by written notice given not less than six (6) months prior to the expiry of the Lease Term. The renewed rent shall not exceed 115% of the last payable rent, unless agreed otherwise.</w:t>
      </w:r>
    </w:p>
    <w:bookmarkEnd w:id="16"/>
    <w:bookmarkStart w:id="17" w:name="possession"/>
    <w:p>
      <w:pPr>
        <w:pStyle w:val="Heading3"/>
      </w:pPr>
      <w:r>
        <w:t xml:space="preserve">2.3 Possession</w:t>
      </w:r>
    </w:p>
    <w:p>
      <w:pPr>
        <w:pStyle w:val="FirstParagraph"/>
      </w:pPr>
      <w:r>
        <w:t xml:space="preserve">Possession shall be delivered on the Commencement Date in the condition described in Schedule B. The Lessee acknowledges having inspected the Premises and accepted the same.</w:t>
      </w:r>
    </w:p>
    <w:bookmarkEnd w:id="17"/>
    <w:bookmarkEnd w:id="18"/>
    <w:bookmarkStart w:id="24" w:name="article-3-rent-and-deposit"/>
    <w:p>
      <w:pPr>
        <w:pStyle w:val="Heading2"/>
      </w:pPr>
      <w:r>
        <w:t xml:space="preserve">ARTICLE 3 — RENT AND DEPOSIT</w:t>
      </w:r>
    </w:p>
    <w:bookmarkStart w:id="19" w:name="monthly-rent"/>
    <w:p>
      <w:pPr>
        <w:pStyle w:val="Heading3"/>
      </w:pPr>
      <w:r>
        <w:t xml:space="preserve">3.1 Monthly Rent</w:t>
      </w:r>
    </w:p>
    <w:p>
      <w:pPr>
        <w:pStyle w:val="FirstParagraph"/>
      </w:pPr>
      <w:r>
        <w:t xml:space="preserve">The monthly rent is ₹4,25,000 (Rupees Four Lakh Twenty-Five Thousand) plus GST at 18%, payable in advance by the 5th day of each month. First month's rent shall be paid on or before the Commencement Date.</w:t>
      </w:r>
    </w:p>
    <w:bookmarkEnd w:id="19"/>
    <w:bookmarkStart w:id="20" w:name="security-deposit"/>
    <w:p>
      <w:pPr>
        <w:pStyle w:val="Heading3"/>
      </w:pPr>
      <w:r>
        <w:t xml:space="preserve">3.2 Security Deposit</w:t>
      </w:r>
    </w:p>
    <w:p>
      <w:pPr>
        <w:pStyle w:val="FirstParagraph"/>
      </w:pPr>
      <w:r>
        <w:t xml:space="preserve">The Lessee shall pay a refundable security deposit of ₹12,75,000 (Rupees Twelve Lakh Seventy-Five Thousand), being three (3) months' rent, prior to the Commencement Date. The deposit shall be interest-free and held by the Lessor. Upon vacation of the Premises in good condition and settlement of all dues, the deposit shall be refunded within thirty (30) days, less any amounts due to the Lessor.</w:t>
      </w:r>
    </w:p>
    <w:bookmarkEnd w:id="20"/>
    <w:bookmarkStart w:id="21" w:name="rent-escalation"/>
    <w:p>
      <w:pPr>
        <w:pStyle w:val="Heading3"/>
      </w:pPr>
      <w:r>
        <w:t xml:space="preserve">3.3 Rent Escalation</w:t>
      </w:r>
    </w:p>
    <w:p>
      <w:pPr>
        <w:pStyle w:val="FirstParagraph"/>
      </w:pPr>
      <w:r>
        <w:t xml:space="preserve">Rent shall escalate by eight percent (8%) per annum, effective from each anniversary of the Commencement Date.</w:t>
      </w:r>
    </w:p>
    <w:bookmarkEnd w:id="21"/>
    <w:bookmarkStart w:id="22" w:name="common-area-maintenance-cam"/>
    <w:p>
      <w:pPr>
        <w:pStyle w:val="Heading3"/>
      </w:pPr>
      <w:r>
        <w:t xml:space="preserve">3.4 Common Area Maintenance (CAM)</w:t>
      </w:r>
    </w:p>
    <w:p>
      <w:pPr>
        <w:pStyle w:val="FirstParagraph"/>
      </w:pPr>
      <w:r>
        <w:t xml:space="preserve">CAM charges of ₹18 per square foot of carpet area per month (₹1,53,000 per month) shall be payable along with rent. CAM covers maintenance of common areas, elevators, security, and building management. CAM is subject to annual revision of up to ten percent (10%) upon sixty (60) days' notice.</w:t>
      </w:r>
    </w:p>
    <w:bookmarkEnd w:id="22"/>
    <w:bookmarkStart w:id="23" w:name="late-payment"/>
    <w:p>
      <w:pPr>
        <w:pStyle w:val="Heading3"/>
      </w:pPr>
      <w:r>
        <w:t xml:space="preserve">3.5 Late Payment</w:t>
      </w:r>
    </w:p>
    <w:p>
      <w:pPr>
        <w:pStyle w:val="FirstParagraph"/>
      </w:pPr>
      <w:r>
        <w:t xml:space="preserve">Overdue amounts shall bear interest at eighteen percent (18%) per annum. If rent is unpaid for fifteen (15) days beyond the due date, the Lessor may exercise remedies under Article 12.</w:t>
      </w:r>
    </w:p>
    <w:bookmarkEnd w:id="23"/>
    <w:bookmarkEnd w:id="24"/>
    <w:bookmarkStart w:id="29" w:name="article-4-utilities"/>
    <w:p>
      <w:pPr>
        <w:pStyle w:val="Heading2"/>
      </w:pPr>
      <w:r>
        <w:t xml:space="preserve">ARTICLE 4 — UTILITIES</w:t>
      </w:r>
    </w:p>
    <w:bookmarkStart w:id="25" w:name="electricity"/>
    <w:p>
      <w:pPr>
        <w:pStyle w:val="Heading3"/>
      </w:pPr>
      <w:r>
        <w:t xml:space="preserve">4.1 Electricity</w:t>
      </w:r>
    </w:p>
    <w:p>
      <w:pPr>
        <w:pStyle w:val="FirstParagraph"/>
      </w:pPr>
      <w:r>
        <w:t xml:space="preserve">Electricity shall be supplied through the Building's common meter or sub-meter as per Schedule C. The Lessee shall pay electricity charges directly to the utility or building management as applicable. The Lessee shall not exceed the sanctioned load of 80 kVA without prior written consent. Additional load may require separate approval and payment.</w:t>
      </w:r>
    </w:p>
    <w:bookmarkEnd w:id="25"/>
    <w:bookmarkStart w:id="26" w:name="water"/>
    <w:p>
      <w:pPr>
        <w:pStyle w:val="Heading3"/>
      </w:pPr>
      <w:r>
        <w:t xml:space="preserve">4.2 Water</w:t>
      </w:r>
    </w:p>
    <w:p>
      <w:pPr>
        <w:pStyle w:val="FirstParagraph"/>
      </w:pPr>
      <w:r>
        <w:t xml:space="preserve">Water supply is included in CAM. The Lessee shall use water reasonably and report leaks promptly.</w:t>
      </w:r>
    </w:p>
    <w:bookmarkEnd w:id="26"/>
    <w:bookmarkStart w:id="27" w:name="hvac"/>
    <w:p>
      <w:pPr>
        <w:pStyle w:val="Heading3"/>
      </w:pPr>
      <w:r>
        <w:t xml:space="preserve">4.3 HVAC</w:t>
      </w:r>
    </w:p>
    <w:p>
      <w:pPr>
        <w:pStyle w:val="FirstParagraph"/>
      </w:pPr>
      <w:r>
        <w:t xml:space="preserve">Central air-conditioning shall be provided during Building hours (8:00 AM to 8:00 PM, Monday to Saturday). After-hours HVAC may be availed on prior request at ₹2,500 per hour, subject to availability.</w:t>
      </w:r>
    </w:p>
    <w:bookmarkEnd w:id="27"/>
    <w:bookmarkStart w:id="28" w:name="internet-and-telecom"/>
    <w:p>
      <w:pPr>
        <w:pStyle w:val="Heading3"/>
      </w:pPr>
      <w:r>
        <w:t xml:space="preserve">4.4 Internet and Telecom</w:t>
      </w:r>
    </w:p>
    <w:p>
      <w:pPr>
        <w:pStyle w:val="FirstParagraph"/>
      </w:pPr>
      <w:r>
        <w:t xml:space="preserve">The Lessee may obtain its own internet and telecom connections at its cost. The Lessor shall provide reasonable access for installation. Cabling must comply with Building standards.</w:t>
      </w:r>
    </w:p>
    <w:bookmarkEnd w:id="28"/>
    <w:bookmarkEnd w:id="29"/>
    <w:bookmarkStart w:id="33" w:name="article-5-maintenance-and-repairs"/>
    <w:p>
      <w:pPr>
        <w:pStyle w:val="Heading2"/>
      </w:pPr>
      <w:r>
        <w:t xml:space="preserve">ARTICLE 5 — MAINTENANCE AND REPAIRS</w:t>
      </w:r>
    </w:p>
    <w:bookmarkStart w:id="30" w:name="lessors-obligations"/>
    <w:p>
      <w:pPr>
        <w:pStyle w:val="Heading3"/>
      </w:pPr>
      <w:r>
        <w:t xml:space="preserve">5.1 Lessor's Obligations</w:t>
      </w:r>
    </w:p>
    <w:p>
      <w:pPr>
        <w:pStyle w:val="FirstParagraph"/>
      </w:pPr>
      <w:r>
        <w:t xml:space="preserve">The Lessor shall maintain and repair: (a) the structural elements of the Building including foundation, walls, roof, and load-bearing components; (b) exterior façade and common areas; (c) elevators, lobby, corridors, stairwells; (d) common building systems (electrical supply to meter, water supply, fire protection, building management system).</w:t>
      </w:r>
    </w:p>
    <w:bookmarkEnd w:id="30"/>
    <w:bookmarkStart w:id="31" w:name="lessees-obligations"/>
    <w:p>
      <w:pPr>
        <w:pStyle w:val="Heading3"/>
      </w:pPr>
      <w:r>
        <w:t xml:space="preserve">5.2 Lessee's Obligations</w:t>
      </w:r>
    </w:p>
    <w:p>
      <w:pPr>
        <w:pStyle w:val="FirstParagraph"/>
      </w:pPr>
      <w:r>
        <w:t xml:space="preserve">The Lessee shall maintain and repair at its cost: (a) the interior of the Premises including partitions, flooring, ceiling; (b) fit-outs, fixtures, furniture; (c) internal electrical and data cabling; (d) day-to-day cleaning within the Premises; (e) prompt reporting of defects requiring Lessor attention.</w:t>
      </w:r>
    </w:p>
    <w:bookmarkEnd w:id="31"/>
    <w:bookmarkStart w:id="32" w:name="damage"/>
    <w:p>
      <w:pPr>
        <w:pStyle w:val="Heading3"/>
      </w:pPr>
      <w:r>
        <w:t xml:space="preserve">5.3 Damage</w:t>
      </w:r>
    </w:p>
    <w:p>
      <w:pPr>
        <w:pStyle w:val="FirstParagraph"/>
      </w:pPr>
      <w:r>
        <w:t xml:space="preserve">Damage caused by the Lessee or its invitees shall be repaired at the Lessee's cost. Damage from force majeure or Building defect shall be at the Lessor's cost (subject to insurance).</w:t>
      </w:r>
    </w:p>
    <w:bookmarkEnd w:id="32"/>
    <w:bookmarkEnd w:id="33"/>
    <w:bookmarkStart w:id="39" w:name="article-6-use-alterations-and-access"/>
    <w:p>
      <w:pPr>
        <w:pStyle w:val="Heading2"/>
      </w:pPr>
      <w:r>
        <w:t xml:space="preserve">ARTICLE 6 — USE, ALTERATIONS, AND ACCESS</w:t>
      </w:r>
    </w:p>
    <w:bookmarkStart w:id="34" w:name="permitted-use"/>
    <w:p>
      <w:pPr>
        <w:pStyle w:val="Heading3"/>
      </w:pPr>
      <w:r>
        <w:t xml:space="preserve">6.1 Permitted Use</w:t>
      </w:r>
    </w:p>
    <w:p>
      <w:pPr>
        <w:pStyle w:val="FirstParagraph"/>
      </w:pPr>
      <w:r>
        <w:t xml:space="preserve">The Premises shall be used solely for the Permitted Use. No retail, manufacturing, hazardous activity, or use that may increase insurance premium or violate law is permitted.</w:t>
      </w:r>
    </w:p>
    <w:bookmarkEnd w:id="34"/>
    <w:bookmarkStart w:id="35" w:name="no-subletting"/>
    <w:p>
      <w:pPr>
        <w:pStyle w:val="Heading3"/>
      </w:pPr>
      <w:r>
        <w:t xml:space="preserve">6.2 No Subletting</w:t>
      </w:r>
    </w:p>
    <w:p>
      <w:pPr>
        <w:pStyle w:val="FirstParagraph"/>
      </w:pPr>
      <w:r>
        <w:t xml:space="preserve">The Lessee shall not sublet, assign, or part with possession of the Premises or any part thereof without the prior written consent of the Lessor. Consent may be subject to conditions and payment of administrative fee not exceeding ₹50,000. The Lessee shall remain liable under this Lease notwithstanding any permitted assignment.</w:t>
      </w:r>
    </w:p>
    <w:bookmarkEnd w:id="35"/>
    <w:bookmarkStart w:id="36" w:name="alterations"/>
    <w:p>
      <w:pPr>
        <w:pStyle w:val="Heading3"/>
      </w:pPr>
      <w:r>
        <w:t xml:space="preserve">6.3 Alterations</w:t>
      </w:r>
    </w:p>
    <w:p>
      <w:pPr>
        <w:pStyle w:val="FirstParagraph"/>
      </w:pPr>
      <w:r>
        <w:t xml:space="preserve">Structural alterations are prohibited. Non-structural alterations, additions, or fit-outs require prior written consent and must comply with applicable law and Building rules. Consent shall not be unreasonably withheld for internal alterations that do not affect structure or services. At expiry, the Lessee shall restore the Premises to original condition unless the Lessor elects to retain alterations in writing.</w:t>
      </w:r>
    </w:p>
    <w:bookmarkEnd w:id="36"/>
    <w:bookmarkStart w:id="37" w:name="lessors-access"/>
    <w:p>
      <w:pPr>
        <w:pStyle w:val="Heading3"/>
      </w:pPr>
      <w:r>
        <w:t xml:space="preserve">6.4 Lessor's Access</w:t>
      </w:r>
    </w:p>
    <w:p>
      <w:pPr>
        <w:pStyle w:val="FirstParagraph"/>
      </w:pPr>
      <w:r>
        <w:t xml:space="preserve">The Lessor, its agents, and authorised personnel may enter the Premises upon reasonable notice (except in emergency) for inspection, repair, or showing to prospective lessees (during last six months of term). Access shall be during business hours unless agreed.</w:t>
      </w:r>
    </w:p>
    <w:bookmarkEnd w:id="37"/>
    <w:bookmarkStart w:id="38" w:name="lessees-access"/>
    <w:p>
      <w:pPr>
        <w:pStyle w:val="Heading3"/>
      </w:pPr>
      <w:r>
        <w:t xml:space="preserve">6.5 Lessee's Access</w:t>
      </w:r>
    </w:p>
    <w:p>
      <w:pPr>
        <w:pStyle w:val="FirstParagraph"/>
      </w:pPr>
      <w:r>
        <w:t xml:space="preserve">The Lessee shall have 24/7 access to the Premises via Building access controls. The Lessee shall comply with Building security procedures. The Lessor shall provide keys/access cards as required. Loss of access cards shall be reported immediately; replacement fee ₹500 per card.</w:t>
      </w:r>
    </w:p>
    <w:bookmarkEnd w:id="38"/>
    <w:bookmarkEnd w:id="39"/>
    <w:bookmarkStart w:id="40" w:name="article-7-rules-and-regulations"/>
    <w:p>
      <w:pPr>
        <w:pStyle w:val="Heading2"/>
      </w:pPr>
      <w:r>
        <w:t xml:space="preserve">ARTICLE 7 — RULES AND REGULATIONS</w:t>
      </w:r>
    </w:p>
    <w:p>
      <w:pPr>
        <w:pStyle w:val="FirstParagraph"/>
      </w:pPr>
      <w:r>
        <w:t xml:space="preserve">The Lessee shall comply with the Rules and Regulations set forth in Schedule D, and any reasonable amendments communicated in writing with thirty (30) days' notice. Material amendments shall not be imposed unilaterally; the Parties shall negotiate in good faith.</w:t>
      </w:r>
    </w:p>
    <w:bookmarkEnd w:id="40"/>
    <w:bookmarkStart w:id="44" w:name="article-8-insurance"/>
    <w:p>
      <w:pPr>
        <w:pStyle w:val="Heading2"/>
      </w:pPr>
      <w:r>
        <w:t xml:space="preserve">ARTICLE 8 — INSURANCE</w:t>
      </w:r>
    </w:p>
    <w:bookmarkStart w:id="41" w:name="lessors-insurance"/>
    <w:p>
      <w:pPr>
        <w:pStyle w:val="Heading3"/>
      </w:pPr>
      <w:r>
        <w:t xml:space="preserve">8.1 Lessor's Insurance</w:t>
      </w:r>
    </w:p>
    <w:p>
      <w:pPr>
        <w:pStyle w:val="FirstParagraph"/>
      </w:pPr>
      <w:r>
        <w:t xml:space="preserve">The Lessor shall maintain: (a) fire and allied perils insurance for the Building structure; (b) such other insurance as is customary for commercial buildings. The Lessor shall use reasonable efforts to ensure the policy permits Lessee's occupancy.</w:t>
      </w:r>
    </w:p>
    <w:bookmarkEnd w:id="41"/>
    <w:bookmarkStart w:id="42" w:name="lessees-insurance"/>
    <w:p>
      <w:pPr>
        <w:pStyle w:val="Heading3"/>
      </w:pPr>
      <w:r>
        <w:t xml:space="preserve">8.2 Lessee's Insurance</w:t>
      </w:r>
    </w:p>
    <w:p>
      <w:pPr>
        <w:pStyle w:val="FirstParagraph"/>
      </w:pPr>
      <w:r>
        <w:t xml:space="preserve">The Lessee shall maintain throughout the Lease Term: (a) fire, theft, and plate glass insurance for its contents, fit-outs, and trade fixtures for full replacement value; (b) third-party liability insurance with minimum coverage of ₹1,00,00,000 per occurrence; (c) employers' liability if applicable. The Lessee shall add the Lessor as interested party and provide certificates annually. The Lessee shall not do anything that may vitiate or increase the premium of the Lessor's insurance.</w:t>
      </w:r>
    </w:p>
    <w:bookmarkEnd w:id="42"/>
    <w:bookmarkStart w:id="43" w:name="mutual-waiver"/>
    <w:p>
      <w:pPr>
        <w:pStyle w:val="Heading3"/>
      </w:pPr>
      <w:r>
        <w:t xml:space="preserve">8.3 Mutual Waiver</w:t>
      </w:r>
    </w:p>
    <w:p>
      <w:pPr>
        <w:pStyle w:val="FirstParagraph"/>
      </w:pPr>
      <w:r>
        <w:t xml:space="preserve">Each Party waives subrogation against the other for loss covered by insurance, to the extent permitted by the respective policies.</w:t>
      </w:r>
    </w:p>
    <w:bookmarkEnd w:id="43"/>
    <w:bookmarkEnd w:id="44"/>
    <w:bookmarkStart w:id="45" w:name="article-9-indemnity"/>
    <w:p>
      <w:pPr>
        <w:pStyle w:val="Heading2"/>
      </w:pPr>
      <w:r>
        <w:t xml:space="preserve">ARTICLE 9 — INDEMNITY</w:t>
      </w:r>
    </w:p>
    <w:p>
      <w:pPr>
        <w:pStyle w:val="FirstParagraph"/>
      </w:pPr>
      <w:r>
        <w:t xml:space="preserve">The Lessee shall indemnify and hold harmless the Lessor from and against any claims, damages, or expenses arising from: (a) the Lessee's use or occupancy of the Premises; (b) the Lessee's breach of this Lease; (c) acts or omissions of the Lessee, its employees, or invitees; (d) any alterations or fit-outs by the Lessee. The Lessor shall indemnify the Lessee for claims arising from the Lessor's default, defect in title, or defects in the Premises existing at Commencement Date (unless caused by Lessee).</w:t>
      </w:r>
    </w:p>
    <w:bookmarkEnd w:id="45"/>
    <w:bookmarkStart w:id="46" w:name="article-10-compliance"/>
    <w:p>
      <w:pPr>
        <w:pStyle w:val="Heading2"/>
      </w:pPr>
      <w:r>
        <w:t xml:space="preserve">ARTICLE 10 — COMPLIANCE</w:t>
      </w:r>
    </w:p>
    <w:p>
      <w:pPr>
        <w:pStyle w:val="FirstParagraph"/>
      </w:pPr>
      <w:r>
        <w:t xml:space="preserve">The Lessee shall: (a) comply with all applicable laws including fire safety, labour, and environmental regulations; (b) obtain and maintain all licences and permits required for its use; (c) not cause nuisance to other occupants; (d) comply with the terms of any superior lease or mortgage of which the Lessee has been given notice.</w:t>
      </w:r>
    </w:p>
    <w:bookmarkEnd w:id="46"/>
    <w:bookmarkStart w:id="47" w:name="article-11-force-majeure"/>
    <w:p>
      <w:pPr>
        <w:pStyle w:val="Heading2"/>
      </w:pPr>
      <w:r>
        <w:t xml:space="preserve">ARTICLE 11 — FORCE MAJEURE</w:t>
      </w:r>
    </w:p>
    <w:p>
      <w:pPr>
        <w:pStyle w:val="FirstParagraph"/>
      </w:pPr>
      <w:r>
        <w:t xml:space="preserve">If the Premises or Building are rendered unfit for use due to force majeure (fire, earthquake, flood, pandemic, act of government, war, terrorism), rent shall abate proportionately for the duration of such unfitness. If the Premises remain unfit for more than ninety (90) consecutive days, either Party may terminate this Lease by fifteen (15) days' written notice. Upon such termination, the Lessor shall refund the Security Deposit (less lawful deductions) and any prepaid rent for the period after termination. Neither Party shall be liable for performance delayed or prevented by force majeure.</w:t>
      </w:r>
    </w:p>
    <w:bookmarkEnd w:id="47"/>
    <w:bookmarkStart w:id="52" w:name="article-12-termination-and-forfeiture"/>
    <w:p>
      <w:pPr>
        <w:pStyle w:val="Heading2"/>
      </w:pPr>
      <w:r>
        <w:t xml:space="preserve">ARTICLE 12 — TERMINATION AND FORFEITURE</w:t>
      </w:r>
    </w:p>
    <w:bookmarkStart w:id="48" w:name="termination-by-lessor"/>
    <w:p>
      <w:pPr>
        <w:pStyle w:val="Heading3"/>
      </w:pPr>
      <w:r>
        <w:t xml:space="preserve">12.1 Termination by Lessor</w:t>
      </w:r>
    </w:p>
    <w:p>
      <w:pPr>
        <w:pStyle w:val="FirstParagraph"/>
      </w:pPr>
      <w:r>
        <w:t xml:space="preserve">The Lessor may terminate: (a) for non-payment of rent or other dues beyond fifteen (15) days of due date; (b) for material breach after thirty (30) days' written notice to cure; (c) upon insolvency, winding-up, or dissolution of the Lessee; (d) for unauthorised use or assignment.</w:t>
      </w:r>
    </w:p>
    <w:bookmarkEnd w:id="48"/>
    <w:bookmarkStart w:id="49" w:name="termination-by-lessee"/>
    <w:p>
      <w:pPr>
        <w:pStyle w:val="Heading3"/>
      </w:pPr>
      <w:r>
        <w:t xml:space="preserve">12.2 Termination by Lessee</w:t>
      </w:r>
    </w:p>
    <w:p>
      <w:pPr>
        <w:pStyle w:val="FirstParagraph"/>
      </w:pPr>
      <w:r>
        <w:t xml:space="preserve">The Lessee may terminate with three (3) months' prior written notice, subject to payment of early termination fee of three (3) months' rent. If the Lessor relets the Premises within sixty (60) days of vacation at the same or higher rent, the Lessor shall refund a proportionate amount of the early termination fee. The Security Deposit shall be applied against any dues; balance refunded within thirty (30) days.</w:t>
      </w:r>
    </w:p>
    <w:bookmarkEnd w:id="49"/>
    <w:bookmarkStart w:id="50" w:name="surrender"/>
    <w:p>
      <w:pPr>
        <w:pStyle w:val="Heading3"/>
      </w:pPr>
      <w:r>
        <w:t xml:space="preserve">12.3 Surrender</w:t>
      </w:r>
    </w:p>
    <w:p>
      <w:pPr>
        <w:pStyle w:val="FirstParagraph"/>
      </w:pPr>
      <w:r>
        <w:t xml:space="preserve">Upon expiry or termination, the Lessee shall deliver vacant possession in good condition (subject to fair wear and tear) and remove its belongings. Keys and access cards shall be returned. The Lessee shall not be liable for restoration if the Lessor has elected to retain alterations.</w:t>
      </w:r>
    </w:p>
    <w:bookmarkEnd w:id="50"/>
    <w:bookmarkStart w:id="51" w:name="holding-over"/>
    <w:p>
      <w:pPr>
        <w:pStyle w:val="Heading3"/>
      </w:pPr>
      <w:r>
        <w:t xml:space="preserve">12.4 Holding Over</w:t>
      </w:r>
    </w:p>
    <w:p>
      <w:pPr>
        <w:pStyle w:val="FirstParagraph"/>
      </w:pPr>
      <w:r>
        <w:t xml:space="preserve">If the Lessee remains in possession after expiry without renewal, holding over rent shall be 150% of the last monthly rent for the first thirty (30) days and 200% thereafter. Holding over shall not constitute renewal.</w:t>
      </w:r>
    </w:p>
    <w:bookmarkEnd w:id="51"/>
    <w:bookmarkEnd w:id="52"/>
    <w:bookmarkStart w:id="53" w:name="article-13-dispute-resolution"/>
    <w:p>
      <w:pPr>
        <w:pStyle w:val="Heading2"/>
      </w:pPr>
      <w:r>
        <w:t xml:space="preserve">ARTICLE 13 — DISPUTE RESOLUTION</w:t>
      </w:r>
    </w:p>
    <w:p>
      <w:pPr>
        <w:pStyle w:val="FirstParagraph"/>
      </w:pPr>
      <w:r>
        <w:t xml:space="preserve">Any dispute shall first be negotiated in good faith for thirty (30) days. Failing resolution, the dispute shall be referred to arbitration under the Arbitration and Conciliation Act, 1996. Sole arbitrator mutually appointed; failing agreement, by the District Court at Bangalore. Seat: Bangalore. Language: English. The courts at Bangalore shall have exclusive jurisdiction for interim relief.</w:t>
      </w:r>
    </w:p>
    <w:bookmarkEnd w:id="53"/>
    <w:bookmarkStart w:id="54" w:name="article-14-general"/>
    <w:p>
      <w:pPr>
        <w:pStyle w:val="Heading2"/>
      </w:pPr>
      <w:r>
        <w:t xml:space="preserve">ARTICLE 14 — GENERAL</w:t>
      </w:r>
    </w:p>
    <w:p>
      <w:pPr>
        <w:pStyle w:val="FirstParagraph"/>
      </w:pPr>
      <w:r>
        <w:t xml:space="preserve">Entire agreement. Amendments in writing. Severability. No waiver unless in writing. Notices to registered address by registered post or email. Governing law: laws of India including Transfer of Property Act, 1882 and Indian Contract Act, 1872.</w:t>
      </w:r>
    </w:p>
    <w:bookmarkEnd w:id="54"/>
    <w:bookmarkStart w:id="55" w:name="schedule-a-description-of-premises"/>
    <w:p>
      <w:pPr>
        <w:pStyle w:val="Heading2"/>
      </w:pPr>
      <w:r>
        <w:t xml:space="preserve">SCHEDULE A — DESCRIPTION OF PREMISES</w:t>
      </w:r>
    </w:p>
    <w:p>
      <w:pPr>
        <w:pStyle w:val="FirstParagraph"/>
      </w:pPr>
      <w:r>
        <w:rPr>
          <w:b/>
          <w:bCs/>
        </w:rPr>
        <w:t xml:space="preserve">Address:</w:t>
      </w:r>
      <w:r>
        <w:t xml:space="preserve"> </w:t>
      </w:r>
      <w:r>
        <w:t xml:space="preserve">Unit Nos. 301-305, 3rd Floor, Tech Park Tower B, 456 Outer Ring Road, Marathahalli, Bangalore 560037.</w:t>
      </w:r>
      <w:r>
        <w:t xml:space="preserve"> </w:t>
      </w:r>
      <w:r>
        <w:rPr>
          <w:b/>
          <w:bCs/>
        </w:rPr>
        <w:t xml:space="preserve">Carpet Area:</w:t>
      </w:r>
      <w:r>
        <w:t xml:space="preserve"> </w:t>
      </w:r>
      <w:r>
        <w:t xml:space="preserve">8,500 square feet as per sale deed dated [ ].</w:t>
      </w:r>
      <w:r>
        <w:t xml:space="preserve"> </w:t>
      </w:r>
      <w:r>
        <w:rPr>
          <w:b/>
          <w:bCs/>
        </w:rPr>
        <w:t xml:space="preserve">Boundaries:</w:t>
      </w:r>
      <w:r>
        <w:t xml:space="preserve"> </w:t>
      </w:r>
      <w:r>
        <w:t xml:space="preserve">As shown in the floor plan annexed.</w:t>
      </w:r>
      <w:r>
        <w:t xml:space="preserve"> </w:t>
      </w:r>
      <w:r>
        <w:rPr>
          <w:b/>
          <w:bCs/>
        </w:rPr>
        <w:t xml:space="preserve">Parking:</w:t>
      </w:r>
      <w:r>
        <w:t xml:space="preserve"> </w:t>
      </w:r>
      <w:r>
        <w:t xml:space="preserve">12 designated car parking spaces in Basement B1, as per Schedule E.</w:t>
      </w:r>
      <w:r>
        <w:t xml:space="preserve"> </w:t>
      </w:r>
      <w:r>
        <w:rPr>
          <w:b/>
          <w:bCs/>
        </w:rPr>
        <w:t xml:space="preserve">Access:</w:t>
      </w:r>
      <w:r>
        <w:t xml:space="preserve"> </w:t>
      </w:r>
      <w:r>
        <w:t xml:space="preserve">Via main lobby and elevators; 24/7 access with access card.</w:t>
      </w:r>
    </w:p>
    <w:bookmarkEnd w:id="55"/>
    <w:bookmarkStart w:id="56" w:name="schedule-b-condition-of-premises"/>
    <w:p>
      <w:pPr>
        <w:pStyle w:val="Heading2"/>
      </w:pPr>
      <w:r>
        <w:t xml:space="preserve">SCHEDULE B — CONDITION OF PREMISES</w:t>
      </w:r>
    </w:p>
    <w:p>
      <w:pPr>
        <w:pStyle w:val="FirstParagraph"/>
      </w:pPr>
      <w:r>
        <w:t xml:space="preserve">The Premises are delivered in shell condition with: (a) flooring: bare concrete (Lessee to install floor finish); (b) ceiling: false ceiling grid installed, tiles to be by Lessee; (c) walls: painted; (d) electrical: distribution board and basic outlets; (e) HVAC: ducting and diffusers; (f) data: conduit for cabling. The Lessee shall complete fit-out at its cost within ninety (90) days. The Lessor has disclosed no known defects. The Lessee accepts the Premises in "as is" condition.</w:t>
      </w:r>
    </w:p>
    <w:bookmarkEnd w:id="56"/>
    <w:bookmarkStart w:id="57" w:name="schedule-c-utilities-detail"/>
    <w:p>
      <w:pPr>
        <w:pStyle w:val="Heading2"/>
      </w:pPr>
      <w:r>
        <w:t xml:space="preserve">SCHEDULE C — UTILITIES DETAIL</w:t>
      </w:r>
    </w:p>
    <w:p>
      <w:pPr>
        <w:pStyle w:val="FirstParagraph"/>
      </w:pPr>
      <w:r>
        <w:rPr>
          <w:b/>
          <w:bCs/>
        </w:rPr>
        <w:t xml:space="preserve">Electricity:</w:t>
      </w:r>
      <w:r>
        <w:t xml:space="preserve"> </w:t>
      </w:r>
      <w:r>
        <w:t xml:space="preserve">Sub-meter No. SM-301; sanctioned load 80 kVA; supply from BESCOM through Building. Billing: as per meter reading; payable to Building Management.</w:t>
      </w:r>
      <w:r>
        <w:t xml:space="preserve"> </w:t>
      </w:r>
      <w:r>
        <w:rPr>
          <w:b/>
          <w:bCs/>
        </w:rPr>
        <w:t xml:space="preserve">Water:</w:t>
      </w:r>
      <w:r>
        <w:t xml:space="preserve"> </w:t>
      </w:r>
      <w:r>
        <w:t xml:space="preserve">Included in CAM.</w:t>
      </w:r>
      <w:r>
        <w:t xml:space="preserve"> </w:t>
      </w:r>
      <w:r>
        <w:rPr>
          <w:b/>
          <w:bCs/>
        </w:rPr>
        <w:t xml:space="preserve">HVAC:</w:t>
      </w:r>
      <w:r>
        <w:t xml:space="preserve"> </w:t>
      </w:r>
      <w:r>
        <w:t xml:space="preserve">Central system; Building hours 8 AM–8 PM Mon–Sat; after-hours: request 24 hrs in advance.</w:t>
      </w:r>
      <w:r>
        <w:t xml:space="preserve"> </w:t>
      </w:r>
      <w:r>
        <w:rPr>
          <w:b/>
          <w:bCs/>
        </w:rPr>
        <w:t xml:space="preserve">Generator:</w:t>
      </w:r>
      <w:r>
        <w:t xml:space="preserve"> </w:t>
      </w:r>
      <w:r>
        <w:t xml:space="preserve">Building has standby generator; Lessee's proportionate load during power failure.</w:t>
      </w:r>
    </w:p>
    <w:bookmarkEnd w:id="57"/>
    <w:bookmarkStart w:id="69" w:name="schedule-d-rules-and-regulations"/>
    <w:p>
      <w:pPr>
        <w:pStyle w:val="Heading2"/>
      </w:pPr>
      <w:r>
        <w:t xml:space="preserve">SCHEDULE D — RULES AND REGULATIONS</w:t>
      </w:r>
    </w:p>
    <w:bookmarkStart w:id="58" w:name="d.0-interpretation-and-amendment"/>
    <w:p>
      <w:pPr>
        <w:pStyle w:val="Heading3"/>
      </w:pPr>
      <w:r>
        <w:t xml:space="preserve">D.0 Interpretation and Amendment</w:t>
      </w:r>
    </w:p>
    <w:p>
      <w:pPr>
        <w:pStyle w:val="FirstParagraph"/>
      </w:pPr>
      <w:r>
        <w:t xml:space="preserve">These Rules form part of the Lease. The Lessor, in consultation with the building management, may amend the Rules with thirty (30) days' written notice to the Lessee. Material amendments that substantially affect the Lessee's use shall be negotiated in good faith. The Lessee shall comply with the Rules and shall ensure compliance by its employees, contractors, and invitees. Breach of the Rules may constitute breach of the Lease. In case of conflict between the Rules and the Lease, the Lease shall prevail.</w:t>
      </w:r>
    </w:p>
    <w:bookmarkEnd w:id="58"/>
    <w:bookmarkStart w:id="59" w:name="d.1-general-conduct"/>
    <w:p>
      <w:pPr>
        <w:pStyle w:val="Heading3"/>
      </w:pPr>
      <w:r>
        <w:t xml:space="preserve">D.1 General Conduct</w:t>
      </w:r>
    </w:p>
    <w:p>
      <w:pPr>
        <w:pStyle w:val="FirstParagraph"/>
      </w:pPr>
      <w:r>
        <w:t xml:space="preserve">No noise or odour that disturbs other occupants. No obstruction of corridors or common areas. No signage outside Premises without consent. No pets. No cooking except in designated pantry area. No storage in common areas.</w:t>
      </w:r>
    </w:p>
    <w:bookmarkEnd w:id="59"/>
    <w:bookmarkStart w:id="60" w:name="d.2-building-hours-and-security"/>
    <w:p>
      <w:pPr>
        <w:pStyle w:val="Heading3"/>
      </w:pPr>
      <w:r>
        <w:t xml:space="preserve">D.2 Building Hours and Security</w:t>
      </w:r>
    </w:p>
    <w:p>
      <w:pPr>
        <w:pStyle w:val="FirstParagraph"/>
      </w:pPr>
      <w:r>
        <w:t xml:space="preserve">Building access 24/7 with valid access card. Visitors must register at lobby. After-hours entry logged. No unauthorised persons. Report suspicious activity to security.</w:t>
      </w:r>
    </w:p>
    <w:bookmarkEnd w:id="60"/>
    <w:bookmarkStart w:id="61" w:name="d.3-delivery-and-movement"/>
    <w:p>
      <w:pPr>
        <w:pStyle w:val="Heading3"/>
      </w:pPr>
      <w:r>
        <w:t xml:space="preserve">D.3 Delivery and Movement</w:t>
      </w:r>
    </w:p>
    <w:p>
      <w:pPr>
        <w:pStyle w:val="FirstParagraph"/>
      </w:pPr>
      <w:r>
        <w:t xml:space="preserve">Deliveries via service elevator during designated hours. Prior notice for large deliveries. No movement of heavy equipment during peak hours (9-11 AM, 5-7 PM) without consent. Damage to common areas to be made good by responsible party.</w:t>
      </w:r>
    </w:p>
    <w:bookmarkEnd w:id="61"/>
    <w:bookmarkStart w:id="62" w:name="d.4-waste-and-recycling"/>
    <w:p>
      <w:pPr>
        <w:pStyle w:val="Heading3"/>
      </w:pPr>
      <w:r>
        <w:t xml:space="preserve">D.4 Waste and Recycling</w:t>
      </w:r>
    </w:p>
    <w:p>
      <w:pPr>
        <w:pStyle w:val="FirstParagraph"/>
      </w:pPr>
      <w:r>
        <w:t xml:space="preserve">Segregate waste as per Building policy. Dispose in designated areas. No hazardous waste. E-waste to authorised recycler. Cleaning within Premises by Lessee or its contractor.</w:t>
      </w:r>
    </w:p>
    <w:bookmarkEnd w:id="62"/>
    <w:bookmarkStart w:id="63" w:name="d.5-fire-and-safety"/>
    <w:p>
      <w:pPr>
        <w:pStyle w:val="Heading3"/>
      </w:pPr>
      <w:r>
        <w:t xml:space="preserve">D.5 Fire and Safety</w:t>
      </w:r>
    </w:p>
    <w:p>
      <w:pPr>
        <w:pStyle w:val="FirstParagraph"/>
      </w:pPr>
      <w:r>
        <w:t xml:space="preserve">Comply with fire safety regulations. No blocking of exits or sprinklers. Participate in fire drills. Evacuate when alarm sounds. No smoking in Building. Designate fire warden.</w:t>
      </w:r>
    </w:p>
    <w:bookmarkEnd w:id="63"/>
    <w:bookmarkStart w:id="64" w:name="d.6-signage"/>
    <w:p>
      <w:pPr>
        <w:pStyle w:val="Heading3"/>
      </w:pPr>
      <w:r>
        <w:t xml:space="preserve">D.6 Signage</w:t>
      </w:r>
    </w:p>
    <w:p>
      <w:pPr>
        <w:pStyle w:val="FirstParagraph"/>
      </w:pPr>
      <w:r>
        <w:t xml:space="preserve">Directory board: one line per Lessee. Door signage: as approved. No external signage without consent.</w:t>
      </w:r>
    </w:p>
    <w:bookmarkEnd w:id="64"/>
    <w:bookmarkStart w:id="65" w:name="d.7-meeting-rooms-and-facilities"/>
    <w:p>
      <w:pPr>
        <w:pStyle w:val="Heading3"/>
      </w:pPr>
      <w:r>
        <w:t xml:space="preserve">D.7 Meeting Rooms and Facilities</w:t>
      </w:r>
    </w:p>
    <w:p>
      <w:pPr>
        <w:pStyle w:val="FirstParagraph"/>
      </w:pPr>
      <w:r>
        <w:t xml:space="preserve">Common meeting rooms may be available for booking. Prior reservation required. Usage as per Building policy. Charges may apply for extended or after-hours use.</w:t>
      </w:r>
    </w:p>
    <w:bookmarkEnd w:id="65"/>
    <w:bookmarkStart w:id="66" w:name="d.8-loading-dock-and-service-area"/>
    <w:p>
      <w:pPr>
        <w:pStyle w:val="Heading3"/>
      </w:pPr>
      <w:r>
        <w:t xml:space="preserve">D.8 Loading Dock and Service Area</w:t>
      </w:r>
    </w:p>
    <w:p>
      <w:pPr>
        <w:pStyle w:val="FirstParagraph"/>
      </w:pPr>
      <w:r>
        <w:t xml:space="preserve">Loading and unloading in designated area. Schedule with Building Management. No blocking of access. Heavy equipment movement during off-peak hours.</w:t>
      </w:r>
    </w:p>
    <w:bookmarkEnd w:id="66"/>
    <w:bookmarkStart w:id="67" w:name="d.9-compliance-with-law"/>
    <w:p>
      <w:pPr>
        <w:pStyle w:val="Heading3"/>
      </w:pPr>
      <w:r>
        <w:t xml:space="preserve">D.9 Compliance with Law</w:t>
      </w:r>
    </w:p>
    <w:p>
      <w:pPr>
        <w:pStyle w:val="FirstParagraph"/>
      </w:pPr>
      <w:r>
        <w:t xml:space="preserve">The Lessee shall comply with all applicable laws including labour laws, fire safety, environmental laws, and municipal regulations. The Lessee shall obtain and maintain all licences and permits required for its use.</w:t>
      </w:r>
    </w:p>
    <w:bookmarkEnd w:id="67"/>
    <w:bookmarkStart w:id="68" w:name="d.10-alterations"/>
    <w:p>
      <w:pPr>
        <w:pStyle w:val="Heading3"/>
      </w:pPr>
      <w:r>
        <w:t xml:space="preserve">D.10 Alterations</w:t>
      </w:r>
    </w:p>
    <w:p>
      <w:pPr>
        <w:pStyle w:val="FirstParagraph"/>
      </w:pPr>
      <w:r>
        <w:t xml:space="preserve">Any alteration requires prior written consent. The Lessee shall submit plans. Work by licensed contractors. At expiry, restore unless Lessor elects to retain.</w:t>
      </w:r>
    </w:p>
    <w:bookmarkEnd w:id="68"/>
    <w:bookmarkEnd w:id="69"/>
    <w:bookmarkStart w:id="70" w:name="schedule-k-utilities-metering"/>
    <w:p>
      <w:pPr>
        <w:pStyle w:val="Heading2"/>
      </w:pPr>
      <w:r>
        <w:t xml:space="preserve">SCHEDULE K — UTILITIES METERING</w:t>
      </w:r>
    </w:p>
    <w:p>
      <w:pPr>
        <w:pStyle w:val="FirstParagraph"/>
      </w:pPr>
      <w:r>
        <w:t xml:space="preserve">Electricity: Sub-meter readings monthly. Building Management shall bill. Dispute: request re-reading. Water: included in CAM. HVAC: Building hours included; after-hours metered.</w:t>
      </w:r>
    </w:p>
    <w:bookmarkEnd w:id="70"/>
    <w:bookmarkStart w:id="71" w:name="schedule-l-security-deposit-refund"/>
    <w:p>
      <w:pPr>
        <w:pStyle w:val="Heading2"/>
      </w:pPr>
      <w:r>
        <w:t xml:space="preserve">SCHEDULE L — SECURITY DEPOSIT REFUND</w:t>
      </w:r>
    </w:p>
    <w:p>
      <w:pPr>
        <w:pStyle w:val="FirstParagraph"/>
      </w:pPr>
      <w:r>
        <w:t xml:space="preserve">Upon vacation: joint inspection; list of damages; refund within 30 days of vacant possession and settlement of dues. Deductions: repairs, arrears, restoration. Refund by NEFT. No interest.</w:t>
      </w:r>
    </w:p>
    <w:bookmarkEnd w:id="71"/>
    <w:bookmarkStart w:id="72" w:name="schedule-m-subletting"/>
    <w:p>
      <w:pPr>
        <w:pStyle w:val="Heading2"/>
      </w:pPr>
      <w:r>
        <w:t xml:space="preserve">SCHEDULE M — SUBLETTING</w:t>
      </w:r>
    </w:p>
    <w:p>
      <w:pPr>
        <w:pStyle w:val="FirstParagraph"/>
      </w:pPr>
      <w:r>
        <w:t xml:space="preserve">Assignment or subletting requires prior written consent. Not to be unreasonably withheld for reputable assignee. Lessee remains liable unless released. Admin fee up to ₹50,000. Proposed assignee to execute deed of covenant.</w:t>
      </w:r>
    </w:p>
    <w:bookmarkEnd w:id="72"/>
    <w:bookmarkStart w:id="73" w:name="schedule-e-parking"/>
    <w:p>
      <w:pPr>
        <w:pStyle w:val="Heading2"/>
      </w:pPr>
      <w:r>
        <w:t xml:space="preserve">SCHEDULE E — PARKING</w:t>
      </w:r>
    </w:p>
    <w:p>
      <w:pPr>
        <w:pStyle w:val="FirstParagraph"/>
      </w:pPr>
      <w:r>
        <w:t xml:space="preserve">12 car parking spaces in Basement B1, spaces B1-45 to B1-56 (as marked). Parking included in CAM. Additional spaces subject to availability at ₹3,000 per space per month. Two-wheeler parking in designated area. Visitor parking as per Building policy. Lessee shall not assign or sublet parking.</w:t>
      </w:r>
    </w:p>
    <w:bookmarkEnd w:id="73"/>
    <w:bookmarkStart w:id="74" w:name="schedule-f-insurance-requirements"/>
    <w:p>
      <w:pPr>
        <w:pStyle w:val="Heading2"/>
      </w:pPr>
      <w:r>
        <w:t xml:space="preserve">SCHEDULE F — INSURANCE REQUIREMENTS</w:t>
      </w:r>
    </w:p>
    <w:p>
      <w:pPr>
        <w:pStyle w:val="FirstParagraph"/>
      </w:pPr>
      <w:r>
        <w:rPr>
          <w:b/>
          <w:bCs/>
        </w:rPr>
        <w:t xml:space="preserve">Lessee must maintain:</w:t>
      </w:r>
      <w:r>
        <w:t xml:space="preserve"> </w:t>
      </w:r>
      <w:r>
        <w:t xml:space="preserve">(1) Fire &amp; Allied Perils: contents and fit-outs, full value; (2) Public Liability: min ₹1,00,00,000; (3) Plate Glass if applicable. Policies to name "Heritage Properties Private Limited" as interested party. Certificates to be provided within 15 days of Commencement Date and annually. Thirty (30) days' notice of cancellation or material change.</w:t>
      </w:r>
    </w:p>
    <w:bookmarkEnd w:id="74"/>
    <w:bookmarkStart w:id="75" w:name="annexure-i-floor-plan"/>
    <w:p>
      <w:pPr>
        <w:pStyle w:val="Heading2"/>
      </w:pPr>
      <w:r>
        <w:t xml:space="preserve">ANNEXURE I — FLOOR PLAN</w:t>
      </w:r>
    </w:p>
    <w:p>
      <w:pPr>
        <w:pStyle w:val="FirstParagraph"/>
      </w:pPr>
      <w:r>
        <w:t xml:space="preserve">[Floor plan of Unit 301-305 to be attached. Dimensions and layout as per architect's drawing.]</w:t>
      </w:r>
    </w:p>
    <w:bookmarkEnd w:id="75"/>
    <w:bookmarkStart w:id="76" w:name="annexure-ii-fit-out-specifications"/>
    <w:p>
      <w:pPr>
        <w:pStyle w:val="Heading2"/>
      </w:pPr>
      <w:r>
        <w:t xml:space="preserve">ANNEXURE II — FIT-OUT SPECIFICATIONS</w:t>
      </w:r>
    </w:p>
    <w:p>
      <w:pPr>
        <w:pStyle w:val="FirstParagraph"/>
      </w:pPr>
      <w:r>
        <w:t xml:space="preserve">Fit-out must comply with: (a) National Building Code; (b) local fire safety norms; (c) accessibility standards if applicable; (d) structural load limits. All work to be done by licensed contractors. Completion certificate to be obtained. Lessor approval required for structural attachment, MEP modifications, or changes affecting common areas.</w:t>
      </w:r>
    </w:p>
    <w:bookmarkEnd w:id="76"/>
    <w:bookmarkStart w:id="77" w:name="schedule-g-utility-charges-breakdown"/>
    <w:p>
      <w:pPr>
        <w:pStyle w:val="Heading2"/>
      </w:pPr>
      <w:r>
        <w:t xml:space="preserve">SCHEDULE G — UTILITY CHARGES BREAKDOWN</w:t>
      </w:r>
    </w:p>
    <w:p>
      <w:pPr>
        <w:pStyle w:val="FirstParagraph"/>
      </w:pPr>
      <w:r>
        <w:t xml:space="preserve">Electricity: Billed as per sub-meter reading at BESCOM commercial tariff plus 15% building infrastructure charge. Payment due within 15 days of billing. Water: Included in CAM. HVAC: Building hours included; after-hours at ₹2,500/hour (minimum 2 hours). Generator backup: Proportionate share during power failure. Internet/Telecom: Lessee's direct arrangement with provider; Lessor facilitates access.</w:t>
      </w:r>
    </w:p>
    <w:bookmarkEnd w:id="77"/>
    <w:bookmarkStart w:id="78" w:name="X13fc4986f6fbca86565b287ab894eb11361718f"/>
    <w:p>
      <w:pPr>
        <w:pStyle w:val="Heading2"/>
      </w:pPr>
      <w:r>
        <w:t xml:space="preserve">SCHEDULE H — MAINTENANCE RESPONSIBILITY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Lessor</w:t>
            </w:r>
          </w:p>
        </w:tc>
        <w:tc>
          <w:tcPr/>
          <w:p>
            <w:pPr>
              <w:pStyle w:val="Compact"/>
            </w:pPr>
            <w:r>
              <w:t xml:space="preserve">Lessee</w:t>
            </w:r>
          </w:p>
        </w:tc>
      </w:tr>
      <w:tr>
        <w:tc>
          <w:tcPr/>
          <w:p>
            <w:pPr>
              <w:pStyle w:val="Compact"/>
            </w:pPr>
            <w:r>
              <w:t xml:space="preserve">Structural elements</w:t>
            </w:r>
          </w:p>
        </w:tc>
        <w:tc>
          <w:tcPr/>
          <w:p>
            <w:pPr>
              <w:pStyle w:val="Compact"/>
            </w:pPr>
            <w:r>
              <w:t xml:space="preserve">✓</w:t>
            </w:r>
          </w:p>
        </w:tc>
        <w:tc>
          <w:tcPr/>
          <w:p>
            <w:pPr>
              <w:pStyle w:val="Compact"/>
            </w:pPr>
          </w:p>
        </w:tc>
      </w:tr>
      <w:tr>
        <w:tc>
          <w:tcPr/>
          <w:p>
            <w:pPr>
              <w:pStyle w:val="Compact"/>
            </w:pPr>
            <w:r>
              <w:t xml:space="preserve">Common areas, elevators</w:t>
            </w:r>
          </w:p>
        </w:tc>
        <w:tc>
          <w:tcPr/>
          <w:p>
            <w:pPr>
              <w:pStyle w:val="Compact"/>
            </w:pPr>
            <w:r>
              <w:t xml:space="preserve">✓</w:t>
            </w:r>
          </w:p>
        </w:tc>
        <w:tc>
          <w:tcPr/>
          <w:p>
            <w:pPr>
              <w:pStyle w:val="Compact"/>
            </w:pPr>
          </w:p>
        </w:tc>
      </w:tr>
      <w:tr>
        <w:tc>
          <w:tcPr/>
          <w:p>
            <w:pPr>
              <w:pStyle w:val="Compact"/>
            </w:pPr>
            <w:r>
              <w:t xml:space="preserve">Building exterior</w:t>
            </w:r>
          </w:p>
        </w:tc>
        <w:tc>
          <w:tcPr/>
          <w:p>
            <w:pPr>
              <w:pStyle w:val="Compact"/>
            </w:pPr>
            <w:r>
              <w:t xml:space="preserve">✓</w:t>
            </w:r>
          </w:p>
        </w:tc>
        <w:tc>
          <w:tcPr/>
          <w:p>
            <w:pPr>
              <w:pStyle w:val="Compact"/>
            </w:pPr>
          </w:p>
        </w:tc>
      </w:tr>
      <w:tr>
        <w:tc>
          <w:tcPr/>
          <w:p>
            <w:pPr>
              <w:pStyle w:val="Compact"/>
            </w:pPr>
            <w:r>
              <w:t xml:space="preserve">Common MEP (to meter)</w:t>
            </w:r>
          </w:p>
        </w:tc>
        <w:tc>
          <w:tcPr/>
          <w:p>
            <w:pPr>
              <w:pStyle w:val="Compact"/>
            </w:pPr>
            <w:r>
              <w:t xml:space="preserve">✓</w:t>
            </w:r>
          </w:p>
        </w:tc>
        <w:tc>
          <w:tcPr/>
          <w:p>
            <w:pPr>
              <w:pStyle w:val="Compact"/>
            </w:pPr>
          </w:p>
        </w:tc>
      </w:tr>
      <w:tr>
        <w:tc>
          <w:tcPr/>
          <w:p>
            <w:pPr>
              <w:pStyle w:val="Compact"/>
            </w:pPr>
            <w:r>
              <w:t xml:space="preserve">Interior partitions, flooring</w:t>
            </w:r>
          </w:p>
        </w:tc>
        <w:tc>
          <w:tcPr/>
          <w:p>
            <w:pPr>
              <w:pStyle w:val="Compact"/>
            </w:pPr>
          </w:p>
        </w:tc>
        <w:tc>
          <w:tcPr/>
          <w:p>
            <w:pPr>
              <w:pStyle w:val="Compact"/>
            </w:pPr>
            <w:r>
              <w:t xml:space="preserve">✓</w:t>
            </w:r>
          </w:p>
        </w:tc>
      </w:tr>
      <w:tr>
        <w:tc>
          <w:tcPr/>
          <w:p>
            <w:pPr>
              <w:pStyle w:val="Compact"/>
            </w:pPr>
            <w:r>
              <w:t xml:space="preserve">False ceiling</w:t>
            </w:r>
          </w:p>
        </w:tc>
        <w:tc>
          <w:tcPr/>
          <w:p>
            <w:pPr>
              <w:pStyle w:val="Compact"/>
            </w:pPr>
          </w:p>
        </w:tc>
        <w:tc>
          <w:tcPr/>
          <w:p>
            <w:pPr>
              <w:pStyle w:val="Compact"/>
            </w:pPr>
            <w:r>
              <w:t xml:space="preserve">✓</w:t>
            </w:r>
          </w:p>
        </w:tc>
      </w:tr>
      <w:tr>
        <w:tc>
          <w:tcPr/>
          <w:p>
            <w:pPr>
              <w:pStyle w:val="Compact"/>
            </w:pPr>
            <w:r>
              <w:t xml:space="preserve">Internal electrical, data</w:t>
            </w:r>
          </w:p>
        </w:tc>
        <w:tc>
          <w:tcPr/>
          <w:p>
            <w:pPr>
              <w:pStyle w:val="Compact"/>
            </w:pPr>
          </w:p>
        </w:tc>
        <w:tc>
          <w:tcPr/>
          <w:p>
            <w:pPr>
              <w:pStyle w:val="Compact"/>
            </w:pPr>
            <w:r>
              <w:t xml:space="preserve">✓</w:t>
            </w:r>
          </w:p>
        </w:tc>
      </w:tr>
      <w:tr>
        <w:tc>
          <w:tcPr/>
          <w:p>
            <w:pPr>
              <w:pStyle w:val="Compact"/>
            </w:pPr>
            <w:r>
              <w:t xml:space="preserve">Fit-outs, furniture</w:t>
            </w:r>
          </w:p>
        </w:tc>
        <w:tc>
          <w:tcPr/>
          <w:p>
            <w:pPr>
              <w:pStyle w:val="Compact"/>
            </w:pPr>
          </w:p>
        </w:tc>
        <w:tc>
          <w:tcPr/>
          <w:p>
            <w:pPr>
              <w:pStyle w:val="Compact"/>
            </w:pPr>
            <w:r>
              <w:t xml:space="preserve">✓</w:t>
            </w:r>
          </w:p>
        </w:tc>
      </w:tr>
      <w:tr>
        <w:tc>
          <w:tcPr/>
          <w:p>
            <w:pPr>
              <w:pStyle w:val="Compact"/>
            </w:pPr>
            <w:r>
              <w:t xml:space="preserve">AC within Premises</w:t>
            </w:r>
          </w:p>
        </w:tc>
        <w:tc>
          <w:tcPr/>
          <w:p>
            <w:pPr>
              <w:pStyle w:val="Compact"/>
            </w:pPr>
            <w:r>
              <w:t xml:space="preserve">Common system</w:t>
            </w:r>
          </w:p>
        </w:tc>
        <w:tc>
          <w:tcPr/>
          <w:p>
            <w:pPr>
              <w:pStyle w:val="Compact"/>
            </w:pPr>
            <w:r>
              <w:t xml:space="preserve">Filters, cleaning</w:t>
            </w:r>
          </w:p>
        </w:tc>
      </w:tr>
      <w:tr>
        <w:tc>
          <w:tcPr/>
          <w:p>
            <w:pPr>
              <w:pStyle w:val="Compact"/>
            </w:pPr>
            <w:r>
              <w:t xml:space="preserve">Pest control (within Premises)</w:t>
            </w:r>
          </w:p>
        </w:tc>
        <w:tc>
          <w:tcPr/>
          <w:p>
            <w:pPr>
              <w:pStyle w:val="Compact"/>
            </w:pPr>
          </w:p>
        </w:tc>
        <w:tc>
          <w:tcPr/>
          <w:p>
            <w:pPr>
              <w:pStyle w:val="Compact"/>
            </w:pPr>
            <w:r>
              <w:t xml:space="preserve">✓</w:t>
            </w:r>
          </w:p>
        </w:tc>
      </w:tr>
      <w:tr>
        <w:tc>
          <w:tcPr/>
          <w:p>
            <w:pPr>
              <w:pStyle w:val="Compact"/>
            </w:pPr>
            <w:r>
              <w:t xml:space="preserve">Housekeeping (within Premises)</w:t>
            </w:r>
          </w:p>
        </w:tc>
        <w:tc>
          <w:tcPr/>
          <w:p>
            <w:pPr>
              <w:pStyle w:val="Compact"/>
            </w:pPr>
          </w:p>
        </w:tc>
        <w:tc>
          <w:tcPr/>
          <w:p>
            <w:pPr>
              <w:pStyle w:val="Compact"/>
            </w:pPr>
            <w:r>
              <w:t xml:space="preserve">✓</w:t>
            </w:r>
          </w:p>
        </w:tc>
      </w:tr>
    </w:tbl>
    <w:bookmarkEnd w:id="78"/>
    <w:bookmarkStart w:id="79" w:name="schedule-i-escalation-and-renewal-terms"/>
    <w:p>
      <w:pPr>
        <w:pStyle w:val="Heading2"/>
      </w:pPr>
      <w:r>
        <w:t xml:space="preserve">SCHEDULE I — ESCALATION AND RENEWAL TERMS</w:t>
      </w:r>
    </w:p>
    <w:p>
      <w:pPr>
        <w:pStyle w:val="FirstParagraph"/>
      </w:pPr>
      <w:r>
        <w:rPr>
          <w:b/>
          <w:bCs/>
        </w:rPr>
        <w:t xml:space="preserve">Year 1:</w:t>
      </w:r>
      <w:r>
        <w:t xml:space="preserve"> </w:t>
      </w:r>
      <w:r>
        <w:t xml:space="preserve">Rent ₹4,25,000/month; CAM ₹1,53,000/month.</w:t>
      </w:r>
      <w:r>
        <w:t xml:space="preserve"> </w:t>
      </w:r>
      <w:r>
        <w:rPr>
          <w:b/>
          <w:bCs/>
        </w:rPr>
        <w:t xml:space="preserve">Year 2:</w:t>
      </w:r>
      <w:r>
        <w:t xml:space="preserve"> </w:t>
      </w:r>
      <w:r>
        <w:t xml:space="preserve">Rent ₹4,59,000/month (8% escalation); CAM as revised.</w:t>
      </w:r>
      <w:r>
        <w:t xml:space="preserve"> </w:t>
      </w:r>
      <w:r>
        <w:rPr>
          <w:b/>
          <w:bCs/>
        </w:rPr>
        <w:t xml:space="preserve">Year 3:</w:t>
      </w:r>
      <w:r>
        <w:t xml:space="preserve"> </w:t>
      </w:r>
      <w:r>
        <w:t xml:space="preserve">Rent ₹4,95,720/month (8% escalation); CAM as revised.</w:t>
      </w:r>
      <w:r>
        <w:t xml:space="preserve"> </w:t>
      </w:r>
      <w:r>
        <w:rPr>
          <w:b/>
          <w:bCs/>
        </w:rPr>
        <w:t xml:space="preserve">Renewal Option:</w:t>
      </w:r>
      <w:r>
        <w:t xml:space="preserve"> </w:t>
      </w:r>
      <w:r>
        <w:t xml:space="preserve">Exercise by 31 August 2027. Renewed rent: Maximum 115% of Year 3 rent; CAM at prevailing rate. Renewal term: 24 months. Other terms: To be mutually agreed; default to existing terms.</w:t>
      </w:r>
    </w:p>
    <w:bookmarkEnd w:id="79"/>
    <w:bookmarkStart w:id="80" w:name="X63e106588db7e98055a2b87e0b7e151ba0280fd"/>
    <w:p>
      <w:pPr>
        <w:pStyle w:val="Heading2"/>
      </w:pPr>
      <w:r>
        <w:t xml:space="preserve">SCHEDULE J — PENALTY AND INTEREST PROVISIONS</w:t>
      </w:r>
    </w:p>
    <w:p>
      <w:pPr>
        <w:pStyle w:val="FirstParagraph"/>
      </w:pPr>
      <w:r>
        <w:t xml:space="preserve">Late payment interest: 18% per annum on overdue amount from due date. Bounce/ECS failure: ₹5,000 per occurrence. Unauthorised subletting: Liquidated damages of 6 months' rent. Material breach (after cure period): Termination plus damages. Early termination by Lessee: 3 months' rent as fee. Holding over: 150% (first 30 days), 200% (thereafter). Lost key/access card: ₹500 per card. Damage to common areas: Cost of repair plus 10%.</w:t>
      </w:r>
    </w:p>
    <w:bookmarkEnd w:id="80"/>
    <w:bookmarkStart w:id="81" w:name="Xaaceafadd2fb436d946fb01d09e4bbe57e3ef87"/>
    <w:p>
      <w:pPr>
        <w:pStyle w:val="Heading2"/>
      </w:pPr>
      <w:r>
        <w:t xml:space="preserve">ANNEXURE IV — BUILDING CONTACTS AND EMERGENCY</w:t>
      </w:r>
    </w:p>
    <w:p>
      <w:pPr>
        <w:pStyle w:val="FirstParagraph"/>
      </w:pPr>
      <w:r>
        <w:rPr>
          <w:b/>
          <w:bCs/>
        </w:rPr>
        <w:t xml:space="preserve">Building Management:</w:t>
      </w:r>
      <w:r>
        <w:t xml:space="preserve"> </w:t>
      </w:r>
      <w:r>
        <w:t xml:space="preserve">TechPark Facilities Pvt Ltd, 456 Outer Ring Road, Bangalore. Tel: [ ]; Email: bmc@techpark.in.</w:t>
      </w:r>
      <w:r>
        <w:t xml:space="preserve"> </w:t>
      </w:r>
      <w:r>
        <w:rPr>
          <w:b/>
          <w:bCs/>
        </w:rPr>
        <w:t xml:space="preserve">Security:</w:t>
      </w:r>
      <w:r>
        <w:t xml:space="preserve"> </w:t>
      </w:r>
      <w:r>
        <w:t xml:space="preserve">24/7; Lobby desk.</w:t>
      </w:r>
      <w:r>
        <w:t xml:space="preserve"> </w:t>
      </w:r>
      <w:r>
        <w:rPr>
          <w:b/>
          <w:bCs/>
        </w:rPr>
        <w:t xml:space="preserve">Emergency:</w:t>
      </w:r>
      <w:r>
        <w:t xml:space="preserve"> </w:t>
      </w:r>
      <w:r>
        <w:t xml:space="preserve">Fire: 101; Police: 100; Building control room: [ ].</w:t>
      </w:r>
      <w:r>
        <w:t xml:space="preserve"> </w:t>
      </w:r>
      <w:r>
        <w:rPr>
          <w:b/>
          <w:bCs/>
        </w:rPr>
        <w:t xml:space="preserve">Complaints:</w:t>
      </w:r>
      <w:r>
        <w:t xml:space="preserve"> </w:t>
      </w:r>
      <w:r>
        <w:t xml:space="preserve">Logged with Building Management; copy to Lessor for material issues.</w:t>
      </w:r>
    </w:p>
    <w:bookmarkEnd w:id="81"/>
    <w:bookmarkStart w:id="82" w:name="Xd8b0cb5f566ffcb97940a81e8e979d8307b8625"/>
    <w:p>
      <w:pPr>
        <w:pStyle w:val="Heading2"/>
      </w:pPr>
      <w:r>
        <w:t xml:space="preserve">ANNEXURE V — HANDOVER AND VACATING CHECKLIST</w:t>
      </w:r>
    </w:p>
    <w:p>
      <w:pPr>
        <w:pStyle w:val="FirstParagraph"/>
      </w:pPr>
      <w:r>
        <w:rPr>
          <w:b/>
          <w:bCs/>
        </w:rPr>
        <w:t xml:space="preserve">At Commencement:</w:t>
      </w:r>
      <w:r>
        <w:t xml:space="preserve"> </w:t>
      </w:r>
      <w:r>
        <w:t xml:space="preserve">Keys (4 sets), access cards (as requested), sub-meter reading, condition report (joint), floor plan.</w:t>
      </w:r>
      <w:r>
        <w:t xml:space="preserve"> </w:t>
      </w:r>
      <w:r>
        <w:rPr>
          <w:b/>
          <w:bCs/>
        </w:rPr>
        <w:t xml:space="preserve">At Vacation:</w:t>
      </w:r>
      <w:r>
        <w:t xml:space="preserve"> </w:t>
      </w:r>
      <w:r>
        <w:t xml:space="preserve">Return keys and cards; joint inspection; settlement of dues; repair of Lessee-caused damage; removal of Lessee's goods; handover of condition report. Security deposit refund within 30 days of vacation and settlement, by NEFT to Lessee's account.</w:t>
      </w:r>
    </w:p>
    <w:bookmarkEnd w:id="82"/>
    <w:bookmarkStart w:id="83" w:name="annexure-vi-tax-and-stamp-duty"/>
    <w:p>
      <w:pPr>
        <w:pStyle w:val="Heading2"/>
      </w:pPr>
      <w:r>
        <w:t xml:space="preserve">ANNEXURE VI — TAX AND STAMP DUTY</w:t>
      </w:r>
    </w:p>
    <w:p>
      <w:pPr>
        <w:pStyle w:val="FirstParagraph"/>
      </w:pPr>
      <w:r>
        <w:t xml:space="preserve">This Lease is subject to stamp duty under the Karnataka Stamp Act, 1957. Stamp duty and registration charges borne by [Lessee/ Lessor as per local practice]. TDS under Income Tax Act: Lessee shall deduct TDS if applicable and provide Form 16A. GST: Rent and CAM are taxable; Lessor shall issue tax invoice with GSTIN. Lessee's GSTIN to be provided for input tax credit.</w:t>
      </w:r>
    </w:p>
    <w:bookmarkEnd w:id="83"/>
    <w:bookmarkStart w:id="84" w:name="annexure-iii-notice-addresses"/>
    <w:p>
      <w:pPr>
        <w:pStyle w:val="Heading2"/>
      </w:pPr>
      <w:r>
        <w:t xml:space="preserve">ANNEXURE III — NOTICE ADDRESSES</w:t>
      </w:r>
    </w:p>
    <w:p>
      <w:pPr>
        <w:pStyle w:val="FirstParagraph"/>
      </w:pPr>
      <w:r>
        <w:rPr>
          <w:b/>
          <w:bCs/>
        </w:rPr>
        <w:t xml:space="preserve">Lessor:</w:t>
      </w:r>
      <w:r>
        <w:t xml:space="preserve"> </w:t>
      </w:r>
      <w:r>
        <w:t xml:space="preserve">Heritage Properties Private Limited, 100 Richmond Road, Bangalore 560025. Email: legal@heritageproperties.in.</w:t>
      </w:r>
      <w:r>
        <w:t xml:space="preserve"> </w:t>
      </w:r>
      <w:r>
        <w:rPr>
          <w:b/>
          <w:bCs/>
        </w:rPr>
        <w:t xml:space="preserve">Lessee:</w:t>
      </w:r>
      <w:r>
        <w:t xml:space="preserve"> </w:t>
      </w:r>
      <w:r>
        <w:t xml:space="preserve">CloudNine Tech Services India Private Limited, 456 Outer Ring Road, Unit 301-305, Bangalore 560037 (during term); 5-12-89 Hitech City, Hyderabad 500081 (registered office). Email: admin@cloudninetch.com.</w:t>
      </w:r>
    </w:p>
    <w:bookmarkEnd w:id="84"/>
    <w:bookmarkStart w:id="85" w:name="annexure-vii-indemnity-scope"/>
    <w:p>
      <w:pPr>
        <w:pStyle w:val="Heading2"/>
      </w:pPr>
      <w:r>
        <w:t xml:space="preserve">ANNEXURE VII — INDEMNITY SCOPE</w:t>
      </w:r>
    </w:p>
    <w:p>
      <w:pPr>
        <w:pStyle w:val="FirstParagraph"/>
      </w:pPr>
      <w:r>
        <w:t xml:space="preserve">Lessee indemnifies Lessor for: injury to persons or property in Premises (unless Lessor's fault); Lessee's breach; Lessee's alterations causing damage; environmental contamination from Lessee's operations; claims by Lessee's employees or invitees. Lessor indemnifies Lessee for: defect in Lessor's title; structural defect existing at Commencement; Lessor's breach; claims from Lessor's default. Each Party shall notify the other promptly of any claim. Defence controlled by indemnifying party. No settlement affecting indemnified party without consent.</w:t>
      </w:r>
    </w:p>
    <w:bookmarkEnd w:id="85"/>
    <w:bookmarkStart w:id="86" w:name="annexure-viii-special-conditions"/>
    <w:p>
      <w:pPr>
        <w:pStyle w:val="Heading2"/>
      </w:pPr>
      <w:r>
        <w:t xml:space="preserve">ANNEXURE VIII — SPECIAL CONDITIONS</w:t>
      </w:r>
    </w:p>
    <w:p>
      <w:pPr>
        <w:pStyle w:val="FirstParagraph"/>
      </w:pPr>
      <w:r>
        <w:rPr>
          <w:b/>
          <w:bCs/>
        </w:rPr>
        <w:t xml:space="preserve">Quiet Enjoyment:</w:t>
      </w:r>
      <w:r>
        <w:t xml:space="preserve"> </w:t>
      </w:r>
      <w:r>
        <w:t xml:space="preserve">Lessor covenants that Lessee paying rent and complying with terms shall quietly enjoy the Premises without interruption (except for permitted access).</w:t>
      </w:r>
      <w:r>
        <w:t xml:space="preserve"> </w:t>
      </w:r>
      <w:r>
        <w:rPr>
          <w:b/>
          <w:bCs/>
        </w:rPr>
        <w:t xml:space="preserve">Lessor's Covenants:</w:t>
      </w:r>
      <w:r>
        <w:t xml:space="preserve"> </w:t>
      </w:r>
      <w:r>
        <w:t xml:space="preserve">Lessor shall maintain the Building in tenantable condition; provide essential services; not materially alter common areas to Lessee's detriment without notice.</w:t>
      </w:r>
      <w:r>
        <w:t xml:space="preserve"> </w:t>
      </w:r>
      <w:r>
        <w:rPr>
          <w:b/>
          <w:bCs/>
        </w:rPr>
        <w:t xml:space="preserve">Lessee's Covenants:</w:t>
      </w:r>
      <w:r>
        <w:t xml:space="preserve"> </w:t>
      </w:r>
      <w:r>
        <w:t xml:space="preserve">Pay rent; use for Permitted Use only; comply with Rules; maintain insurance; not commit waste; permit inspection.</w:t>
      </w:r>
      <w:r>
        <w:t xml:space="preserve"> </w:t>
      </w:r>
      <w:r>
        <w:rPr>
          <w:b/>
          <w:bCs/>
        </w:rPr>
        <w:t xml:space="preserve">Mortgagee:</w:t>
      </w:r>
      <w:r>
        <w:t xml:space="preserve"> </w:t>
      </w:r>
      <w:r>
        <w:t xml:space="preserve">If Building is mortgaged, Lessee shall attorn to mortgagee if required and execute standard form if reasonable.</w:t>
      </w:r>
    </w:p>
    <w:bookmarkEnd w:id="86"/>
    <w:bookmarkStart w:id="87" w:name="annexure-ix-dispute-resolution-detail"/>
    <w:p>
      <w:pPr>
        <w:pStyle w:val="Heading2"/>
      </w:pPr>
      <w:r>
        <w:t xml:space="preserve">ANNEXURE IX — DISPUTE RESOLUTION DETAIL</w:t>
      </w:r>
    </w:p>
    <w:p>
      <w:pPr>
        <w:pStyle w:val="FirstParagraph"/>
      </w:pPr>
      <w:r>
        <w:t xml:space="preserve">Step 1: Notice of dispute to other Party. Manager-level discussion within 7 days. Step 2: If unresolved, senior executive discussion within 14 days. Step 3: If unresolved after 30 days from notice, either Party may refer to arbitration. Arbitration: Arbitration and Conciliation Act, 1996; sole arbitrator; mutual appointment or Court appointment; seat Bangalore; English; award final. Interim relief: Courts at Bangalore. Costs: as awarded by arbitrator.</w:t>
      </w:r>
    </w:p>
    <w:bookmarkEnd w:id="87"/>
    <w:bookmarkStart w:id="88" w:name="annexure-x-interpretation"/>
    <w:p>
      <w:pPr>
        <w:pStyle w:val="Heading2"/>
      </w:pPr>
      <w:r>
        <w:t xml:space="preserve">ANNEXURE X — INTERPRETATION</w:t>
      </w:r>
    </w:p>
    <w:p>
      <w:pPr>
        <w:pStyle w:val="FirstParagraph"/>
      </w:pPr>
      <w:r>
        <w:t xml:space="preserve">Headings for convenience only. Singular includes plural. "Include" without limitation. "Days" means calendar days unless "business days" specified. "Writing" includes email. "Approval" or "consent" not to be unreasonably withheld. "Material" means significant in context. "Reasonable" means reasonable in the circumstances. Indian Contract Act, 1872 governs formation and performance. Transfer of Property Act, 1882 governs leasehold interests.</w:t>
      </w:r>
    </w:p>
    <w:bookmarkEnd w:id="88"/>
    <w:bookmarkStart w:id="89" w:name="X06f4c0f6cc16a0405b7eb5b8cc048417c2b6b3c"/>
    <w:p>
      <w:pPr>
        <w:pStyle w:val="Heading2"/>
      </w:pPr>
      <w:r>
        <w:t xml:space="preserve">ANNEXURE XI — RENT PAYMENT SCHEDULE (ILLUSTRATIVE)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Period</w:t>
            </w:r>
          </w:p>
        </w:tc>
        <w:tc>
          <w:tcPr/>
          <w:p>
            <w:pPr>
              <w:pStyle w:val="Compact"/>
            </w:pPr>
            <w:r>
              <w:t xml:space="preserve">Rent (₹/month)</w:t>
            </w:r>
          </w:p>
        </w:tc>
        <w:tc>
          <w:tcPr/>
          <w:p>
            <w:pPr>
              <w:pStyle w:val="Compact"/>
            </w:pPr>
            <w:r>
              <w:t xml:space="preserve">CAM (₹/month)</w:t>
            </w:r>
          </w:p>
        </w:tc>
        <w:tc>
          <w:tcPr/>
          <w:p>
            <w:pPr>
              <w:pStyle w:val="Compact"/>
            </w:pPr>
            <w:r>
              <w:t xml:space="preserve">Total (₹/month)</w:t>
            </w:r>
          </w:p>
        </w:tc>
      </w:tr>
      <w:tr>
        <w:tc>
          <w:tcPr/>
          <w:p>
            <w:pPr>
              <w:pStyle w:val="Compact"/>
            </w:pPr>
            <w:r>
              <w:t xml:space="preserve">Mar 2025 – Feb 2026</w:t>
            </w:r>
          </w:p>
        </w:tc>
        <w:tc>
          <w:tcPr/>
          <w:p>
            <w:pPr>
              <w:pStyle w:val="Compact"/>
            </w:pPr>
            <w:r>
              <w:t xml:space="preserve">4,25,000</w:t>
            </w:r>
          </w:p>
        </w:tc>
        <w:tc>
          <w:tcPr/>
          <w:p>
            <w:pPr>
              <w:pStyle w:val="Compact"/>
            </w:pPr>
            <w:r>
              <w:t xml:space="preserve">1,53,000</w:t>
            </w:r>
          </w:p>
        </w:tc>
        <w:tc>
          <w:tcPr/>
          <w:p>
            <w:pPr>
              <w:pStyle w:val="Compact"/>
            </w:pPr>
            <w:r>
              <w:t xml:space="preserve">5,78,000</w:t>
            </w:r>
          </w:p>
        </w:tc>
      </w:tr>
      <w:tr>
        <w:tc>
          <w:tcPr/>
          <w:p>
            <w:pPr>
              <w:pStyle w:val="Compact"/>
            </w:pPr>
            <w:r>
              <w:t xml:space="preserve">Mar 2026 – Feb 2027</w:t>
            </w:r>
          </w:p>
        </w:tc>
        <w:tc>
          <w:tcPr/>
          <w:p>
            <w:pPr>
              <w:pStyle w:val="Compact"/>
            </w:pPr>
            <w:r>
              <w:t xml:space="preserve">4,59,000</w:t>
            </w:r>
          </w:p>
        </w:tc>
        <w:tc>
          <w:tcPr/>
          <w:p>
            <w:pPr>
              <w:pStyle w:val="Compact"/>
            </w:pPr>
            <w:r>
              <w:t xml:space="preserve">1,68,300</w:t>
            </w:r>
          </w:p>
        </w:tc>
        <w:tc>
          <w:tcPr/>
          <w:p>
            <w:pPr>
              <w:pStyle w:val="Compact"/>
            </w:pPr>
            <w:r>
              <w:t xml:space="preserve">6,27,300</w:t>
            </w:r>
          </w:p>
        </w:tc>
      </w:tr>
      <w:tr>
        <w:tc>
          <w:tcPr/>
          <w:p>
            <w:pPr>
              <w:pStyle w:val="Compact"/>
            </w:pPr>
            <w:r>
              <w:t xml:space="preserve">Mar 2027 – Feb 2028</w:t>
            </w:r>
          </w:p>
        </w:tc>
        <w:tc>
          <w:tcPr/>
          <w:p>
            <w:pPr>
              <w:pStyle w:val="Compact"/>
            </w:pPr>
            <w:r>
              <w:t xml:space="preserve">4,95,720</w:t>
            </w:r>
          </w:p>
        </w:tc>
        <w:tc>
          <w:tcPr/>
          <w:p>
            <w:pPr>
              <w:pStyle w:val="Compact"/>
            </w:pPr>
            <w:r>
              <w:t xml:space="preserve">1,85,130</w:t>
            </w:r>
          </w:p>
        </w:tc>
        <w:tc>
          <w:tcPr/>
          <w:p>
            <w:pPr>
              <w:pStyle w:val="Compact"/>
            </w:pPr>
            <w:r>
              <w:t xml:space="preserve">6,80,850</w:t>
            </w:r>
          </w:p>
        </w:tc>
      </w:tr>
    </w:tbl>
    <w:p>
      <w:pPr>
        <w:pStyle w:val="BodyText"/>
      </w:pPr>
      <w:r>
        <w:t xml:space="preserve">Plus GST at 18%. CAM assumes 10% annual revision. Amounts are indicative; actual as per Agreement.</w:t>
      </w:r>
    </w:p>
    <w:bookmarkEnd w:id="89"/>
    <w:bookmarkStart w:id="90" w:name="annexure-xii-lessors-covenants"/>
    <w:p>
      <w:pPr>
        <w:pStyle w:val="Heading2"/>
      </w:pPr>
      <w:r>
        <w:t xml:space="preserve">ANNEXURE XII — LESSOR'S COVENANTS</w:t>
      </w:r>
    </w:p>
    <w:p>
      <w:pPr>
        <w:pStyle w:val="FirstParagraph"/>
      </w:pPr>
      <w:r>
        <w:t xml:space="preserve">The Lessor covenants with the Lessee: (a) that the Lessor has full right to lease the Premises; (b) that the Lessee paying the rent and performing covenants shall peaceably hold and enjoy the Premises without interruption; (c) that the Lessor shall maintain the structural parts and common areas in tenantable repair; (d) that the Lessor shall not materially alter the common areas to the Lessee's detriment without prior notice; (e) that the Lessor shall provide such services as are specified herein. The Lessor's liability for breach is limited to the extent of the Lessor's interest in the Building.</w:t>
      </w:r>
    </w:p>
    <w:bookmarkEnd w:id="90"/>
    <w:bookmarkStart w:id="91" w:name="annexure-xiii-lessees-covenants"/>
    <w:p>
      <w:pPr>
        <w:pStyle w:val="Heading2"/>
      </w:pPr>
      <w:r>
        <w:t xml:space="preserve">ANNEXURE XIII — LESSEE'S COVENANTS</w:t>
      </w:r>
    </w:p>
    <w:p>
      <w:pPr>
        <w:pStyle w:val="FirstParagraph"/>
      </w:pPr>
      <w:r>
        <w:t xml:space="preserve">The Lessee covenants with the Lessor: (a) to pay the rent and other charges punctually; (b) to use the Premises only for the Permitted Use; (c) to comply with the Rules and applicable law; (d) to keep the interior in good repair; (e) to permit the Lessor to enter for inspection and repair; (f) not to do or permit any act that may vitiate insurance or increase premium; (g) not to assign or sublet without consent; (h) to deliver vacant possession on expiry; (i) to indemnify the Lessor as provided herein.</w:t>
      </w:r>
    </w:p>
    <w:bookmarkEnd w:id="91"/>
    <w:bookmarkStart w:id="92" w:name="annexure-xiv-notices-under-the-lease"/>
    <w:p>
      <w:pPr>
        <w:pStyle w:val="Heading2"/>
      </w:pPr>
      <w:r>
        <w:t xml:space="preserve">ANNEXURE XIV — NOTICES UNDER THE LEASE</w:t>
      </w:r>
    </w:p>
    <w:p>
      <w:pPr>
        <w:pStyle w:val="FirstParagraph"/>
      </w:pPr>
      <w:r>
        <w:t xml:space="preserve">Notices to the Lessor: Heritage Properties Private Limited, 100 Richmond Road, Bangalore 560025. Email: legal@heritageproperties.in. Notices to the Lessee: CloudNine Tech Services India Private Limited, [Premises address during term], and 5-12-89 Hitech City, Hyderabad 500081 (registered office). Email: admin@cloudninetch.com. Notices shall be in writing. Deemed given: upon receipt if hand-delivered or courier; three days after posting if registered post; upon transmission if email. Either Party may change its address by 15 days' prior notice.</w:t>
      </w:r>
    </w:p>
    <w:bookmarkEnd w:id="92"/>
    <w:bookmarkStart w:id="93" w:name="annexure-xv-applicable-statutes"/>
    <w:p>
      <w:pPr>
        <w:pStyle w:val="Heading2"/>
      </w:pPr>
      <w:r>
        <w:t xml:space="preserve">ANNEXURE XV — APPLICABLE STATUTES</w:t>
      </w:r>
    </w:p>
    <w:p>
      <w:pPr>
        <w:pStyle w:val="FirstParagraph"/>
      </w:pPr>
      <w:r>
        <w:t xml:space="preserve">This Lease is subject to and shall be construed in accordance with: the Transfer of Property Act, 1882 (Sections 105–117 on leases); the Indian Contract Act, 1872; the Karnataka Stamp Act, 1957; the Registration Act, 1908; the Rent Control legislation applicable in Karnataka (if any); the building bye-laws and municipal regulations; the Companies Act, 2013 (for corporate lessee/lessor). To the extent any provision conflicts with mandatory law, the mandatory law shall prevail.</w:t>
      </w:r>
    </w:p>
    <w:bookmarkEnd w:id="93"/>
    <w:bookmarkStart w:id="100" w:name="supplemental-provisions"/>
    <w:p>
      <w:pPr>
        <w:pStyle w:val="Heading2"/>
      </w:pPr>
      <w:r>
        <w:t xml:space="preserve">SUPPLEMENTAL PROVISIONS</w:t>
      </w:r>
    </w:p>
    <w:bookmarkStart w:id="94" w:name="sp.1-transfer-of-property-act"/>
    <w:p>
      <w:pPr>
        <w:pStyle w:val="Heading3"/>
      </w:pPr>
      <w:r>
        <w:t xml:space="preserve">SP.1 Transfer of Property Act</w:t>
      </w:r>
    </w:p>
    <w:p>
      <w:pPr>
        <w:pStyle w:val="FirstParagraph"/>
      </w:pPr>
      <w:r>
        <w:t xml:space="preserve">Sections 105 to 117 of the Transfer of Property Act, 1882 apply to this Lease. The Lessor is the "lessor" and the Lessee is the "lessee" as defined. The lease creates a right to enjoy immovable property for a term. The covenants for title and quiet enjoyment are implied to the extent stated. On determination of the lease, the Lessee shall deliver possession. Holding over is governed by Section 116.</w:t>
      </w:r>
    </w:p>
    <w:bookmarkEnd w:id="94"/>
    <w:bookmarkStart w:id="95" w:name="sp.2-indian-contract-act"/>
    <w:p>
      <w:pPr>
        <w:pStyle w:val="Heading3"/>
      </w:pPr>
      <w:r>
        <w:t xml:space="preserve">SP.2 Indian Contract Act</w:t>
      </w:r>
    </w:p>
    <w:p>
      <w:pPr>
        <w:pStyle w:val="FirstParagraph"/>
      </w:pPr>
      <w:r>
        <w:t xml:space="preserve">This Lease is a contract governed by the Indian Contract Act, 1872. The consideration is the rent and the grant of the leasehold interest. The Parties are bound by their respective covenants. Breach entitles the other to damages and, where provided, termination. The limitation of liability (if any) and the liquidated damages (holding over, early termination fee) shall be construed in accordance with Sections 73 and 74.</w:t>
      </w:r>
    </w:p>
    <w:bookmarkEnd w:id="95"/>
    <w:bookmarkStart w:id="96" w:name="sp.3-stamp-duty-and-registration"/>
    <w:p>
      <w:pPr>
        <w:pStyle w:val="Heading3"/>
      </w:pPr>
      <w:r>
        <w:t xml:space="preserve">SP.3 Stamp Duty and Registration</w:t>
      </w:r>
    </w:p>
    <w:p>
      <w:pPr>
        <w:pStyle w:val="FirstParagraph"/>
      </w:pPr>
      <w:r>
        <w:t xml:space="preserve">This instrument is chargeable with stamp duty under the Karnataka Stamp Act, 1957. The duty shall be paid before or at the time of execution. Adjudication may be sought. Unstamped or insufficiently stamped instruments may not be admitted in evidence. Registration under the Registration Act, 1908 is recommended for creation of a valid lease and priority. The Parties shall cooperate in stamping and registration. Costs as agreed or as per local practice.</w:t>
      </w:r>
    </w:p>
    <w:bookmarkEnd w:id="96"/>
    <w:bookmarkStart w:id="97" w:name="sp.4-rent-control"/>
    <w:p>
      <w:pPr>
        <w:pStyle w:val="Heading3"/>
      </w:pPr>
      <w:r>
        <w:t xml:space="preserve">SP.4 Rent Control</w:t>
      </w:r>
    </w:p>
    <w:p>
      <w:pPr>
        <w:pStyle w:val="FirstParagraph"/>
      </w:pPr>
      <w:r>
        <w:t xml:space="preserve">If the Premises fall within the purview of any Rent Control legislation in Karnataka, the provisions of such legislation shall apply to the extent they are mandatory. Any provision of this Lease that contravenes mandatory rent control law shall be void to that extent. The Parties believe the Premises are commercial and may be outside rent control; the Parties shall comply if applicability is determined.</w:t>
      </w:r>
    </w:p>
    <w:bookmarkEnd w:id="97"/>
    <w:bookmarkStart w:id="98" w:name="sp.5-arbitration"/>
    <w:p>
      <w:pPr>
        <w:pStyle w:val="Heading3"/>
      </w:pPr>
      <w:r>
        <w:t xml:space="preserve">SP.5 Arbitration</w:t>
      </w:r>
    </w:p>
    <w:p>
      <w:pPr>
        <w:pStyle w:val="FirstParagraph"/>
      </w:pPr>
      <w:r>
        <w:t xml:space="preserve">Arbitration under the Arbitration and Conciliation Act, 1996. Sole arbitrator. Seat: Bangalore. Language: English. The tribunal may grant interim relief including for recovery of possession or injunctions. The award shall be final and binding. Courts at Bangalore for enforcement and interim relief. Costs as awarded.</w:t>
      </w:r>
    </w:p>
    <w:bookmarkEnd w:id="98"/>
    <w:bookmarkStart w:id="99" w:name="sp.6-gst-on-rent"/>
    <w:p>
      <w:pPr>
        <w:pStyle w:val="Heading3"/>
      </w:pPr>
      <w:r>
        <w:t xml:space="preserve">SP.6 GST on Rent</w:t>
      </w:r>
    </w:p>
    <w:p>
      <w:pPr>
        <w:pStyle w:val="FirstParagraph"/>
      </w:pPr>
      <w:r>
        <w:t xml:space="preserve">Rent and CAM are taxable under the GST Act. The Lessor shall issue tax invoice with GSTIN. The Lessee shall pay GST in addition to the rent. The Lessee's GSTIN: to be provided for input tax credit. For composite supply of renting of commercial property, the rate is as per the GST notifications. The Lessor shall comply with GST registration and return filing.</w:t>
      </w:r>
    </w:p>
    <w:bookmarkEnd w:id="99"/>
    <w:bookmarkEnd w:id="100"/>
    <w:bookmarkStart w:id="101" w:name="Xdbfed96f496d09a503e60d2507d7ba915ebc76b"/>
    <w:p>
      <w:pPr>
        <w:pStyle w:val="Heading2"/>
      </w:pPr>
      <w:r>
        <w:t xml:space="preserve">ANNEXURE N — RULES AND REGULATIONS OF THE BUILDING</w:t>
      </w:r>
    </w:p>
    <w:p>
      <w:pPr>
        <w:pStyle w:val="FirstParagraph"/>
      </w:pPr>
      <w:r>
        <w:t xml:space="preserve">The Lessee shall comply with the Building Rules and Regulations as may be adopted by the Lessor or Building Management from time to time. Such rules typically cover: (a) use of common areas, elevators, and parking; (b) noise and nuisance; (c) waste disposal and recycling; (d) signage and alterations to exterior; (e) security and access; (f) fire safety and evacuation; (g) prohibitions on hazardous materials. Material changes to rules shall be communicated in writing with thirty (30) days' notice. The Lessee shall not use the Premises for any purpose that violates the rules or creates a nuisance to other occupants.</w:t>
      </w:r>
    </w:p>
    <w:bookmarkEnd w:id="101"/>
    <w:bookmarkStart w:id="102" w:name="annexure-o-parking"/>
    <w:p>
      <w:pPr>
        <w:pStyle w:val="Heading2"/>
      </w:pPr>
      <w:r>
        <w:t xml:space="preserve">ANNEXURE O — PARKING</w:t>
      </w:r>
    </w:p>
    <w:p>
      <w:pPr>
        <w:pStyle w:val="FirstParagraph"/>
      </w:pPr>
      <w:r>
        <w:t xml:space="preserve">The Lessee is allotted fifteen (15) covered parking spaces in the Building's parking facility. Parking is included in the CAM charges. Additional spaces may be available at ₹3,000 per space per month. The Lessee shall not sublet or assign parking. Visitor parking is subject to availability. The Lessor may relocate parking spaces with thirty (30) days' notice if required for building operations.</w:t>
      </w:r>
    </w:p>
    <w:bookmarkEnd w:id="102"/>
    <w:bookmarkStart w:id="103" w:name="annexure-p-access-and-security"/>
    <w:p>
      <w:pPr>
        <w:pStyle w:val="Heading2"/>
      </w:pPr>
      <w:r>
        <w:t xml:space="preserve">ANNEXURE P — ACCESS AND SECURITY</w:t>
      </w:r>
    </w:p>
    <w:p>
      <w:pPr>
        <w:pStyle w:val="FirstParagraph"/>
      </w:pPr>
      <w:r>
        <w:t xml:space="preserve">The Lessee shall receive access cards/keys for its employees. The Lessee shall maintain a list of authorised personnel and update the Building Management. The Lessor and Building Management may require identification. After-hours access may be subject to additional charges or restrictions. The Lessee shall not duplicate keys or access cards without permission. Lost cards shall be reported promptly. Upon termination, all access devices shall be returned.</w:t>
      </w:r>
    </w:p>
    <w:bookmarkEnd w:id="103"/>
    <w:bookmarkStart w:id="104" w:name="X63b7de79da0c145d7904413c25147fc8db7e6a8"/>
    <w:p>
      <w:pPr>
        <w:pStyle w:val="Heading2"/>
      </w:pPr>
      <w:r>
        <w:t xml:space="preserve">ANNEXURE Q — FIT-OUT AND TENANT IMPROVEMENTS</w:t>
      </w:r>
    </w:p>
    <w:p>
      <w:pPr>
        <w:pStyle w:val="FirstParagraph"/>
      </w:pPr>
      <w:r>
        <w:t xml:space="preserve">Any fit-out or tenant improvement requires prior written approval of the Lessor. The Lessee shall submit plans and specifications. Structural changes are prohibited. The Lessee shall use approved contractors and ensure compliance with building standards and fire safety. The Lessor may require a fit-out deposit. Upon vacation, the Lessee shall remove its fixtures and restore the Premises to base condition unless the Lessor elects to retain. The Lessor may require the Lessee to restore at the Lessor's option.</w:t>
      </w:r>
    </w:p>
    <w:bookmarkEnd w:id="104"/>
    <w:bookmarkStart w:id="105" w:name="annexure-r-subletting-and-assignment"/>
    <w:p>
      <w:pPr>
        <w:pStyle w:val="Heading2"/>
      </w:pPr>
      <w:r>
        <w:t xml:space="preserve">ANNEXURE R — SUBLETTING AND ASSIGNMENT</w:t>
      </w:r>
    </w:p>
    <w:p>
      <w:pPr>
        <w:pStyle w:val="FirstParagraph"/>
      </w:pPr>
      <w:r>
        <w:t xml:space="preserve">The Lessee shall not sublet, assign, or part with possession of the Premises without prior written consent. Consent shall not be unreasonably withheld for a reputable subtenant. Any sublease shall be subject to this Lease and the Lessee shall remain liable. The Lessor may charge an administration fee for consent. In the event of assignment (e.g., due to merger), the assignee shall assume all obligations. The Lessor may require the assignee to demonstrate financial capability.</w:t>
      </w:r>
    </w:p>
    <w:bookmarkEnd w:id="105"/>
    <w:bookmarkStart w:id="106" w:name="annexure-s-environmental-compliance"/>
    <w:p>
      <w:pPr>
        <w:pStyle w:val="Heading2"/>
      </w:pPr>
      <w:r>
        <w:t xml:space="preserve">ANNEXURE S — ENVIRONMENTAL COMPLIANCE</w:t>
      </w:r>
    </w:p>
    <w:p>
      <w:pPr>
        <w:pStyle w:val="FirstParagraph"/>
      </w:pPr>
      <w:r>
        <w:t xml:space="preserve">The Lessee shall comply with applicable environmental laws. The Lessee shall not store hazardous materials except as permitted and disclosed. The Lessee shall dispose of waste in accordance with the law and building procedures. Any spill or release shall be reported immediately and remediated at the Lessee's cost. The Lessee shall indemnify the Lessor for environmental claims arising from the Lessee's use.</w:t>
      </w:r>
    </w:p>
    <w:bookmarkEnd w:id="106"/>
    <w:bookmarkStart w:id="107" w:name="annexure-t-notices"/>
    <w:p>
      <w:pPr>
        <w:pStyle w:val="Heading2"/>
      </w:pPr>
      <w:r>
        <w:t xml:space="preserve">ANNEXURE T — NOTICES</w:t>
      </w:r>
    </w:p>
    <w:p>
      <w:pPr>
        <w:pStyle w:val="FirstParagraph"/>
      </w:pPr>
      <w:r>
        <w:t xml:space="preserve">Notices to Lessor: Heritage Properties Pvt Ltd, 100 Richmond Road, Bangalore 560025; legal@heritageproperties.in. Notices to Lessee: CloudNine Tech Services India Pvt Ltd, 456 Outer Ring Road (Premises address) or registered office. Material notices (termination, breach) by registered post and email. Deemed given: 3 days after posting; on transmission if email. Change of address: 15 days' prior notice.</w:t>
      </w:r>
    </w:p>
    <w:bookmarkEnd w:id="107"/>
    <w:bookmarkStart w:id="108" w:name="X8899f5d129fa7d70b1ce16ba6f4cf598242b86f"/>
    <w:p>
      <w:pPr>
        <w:pStyle w:val="Heading2"/>
      </w:pPr>
      <w:r>
        <w:t xml:space="preserve">ANNEXURE U — MAINTENANCE RESPONSIBILITY MATRIX (EXPANDED)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Lessor</w:t>
            </w:r>
          </w:p>
        </w:tc>
        <w:tc>
          <w:tcPr/>
          <w:p>
            <w:pPr>
              <w:pStyle w:val="Compact"/>
            </w:pPr>
            <w:r>
              <w:t xml:space="preserve">Lessee</w:t>
            </w:r>
          </w:p>
        </w:tc>
        <w:tc>
          <w:tcPr/>
          <w:p>
            <w:pPr>
              <w:pStyle w:val="Compact"/>
            </w:pPr>
            <w:r>
              <w:t xml:space="preserve">Notes</w:t>
            </w:r>
          </w:p>
        </w:tc>
      </w:tr>
      <w:tr>
        <w:tc>
          <w:tcPr/>
          <w:p>
            <w:pPr>
              <w:pStyle w:val="Compact"/>
            </w:pPr>
            <w:r>
              <w:t xml:space="preserve">Foundation, structure, load-bearing walls</w:t>
            </w:r>
          </w:p>
        </w:tc>
        <w:tc>
          <w:tcPr/>
          <w:p>
            <w:pPr>
              <w:pStyle w:val="Compact"/>
            </w:pPr>
            <w:r>
              <w:t xml:space="preserve">✓</w:t>
            </w:r>
          </w:p>
        </w:tc>
        <w:tc>
          <w:tcPr/>
          <w:p>
            <w:pPr>
              <w:pStyle w:val="Compact"/>
            </w:pPr>
          </w:p>
        </w:tc>
        <w:tc>
          <w:tcPr/>
          <w:p>
            <w:pPr>
              <w:pStyle w:val="Compact"/>
            </w:pPr>
            <w:r>
              <w:t xml:space="preserve">Structural engineer if dispute</w:t>
            </w:r>
          </w:p>
        </w:tc>
      </w:tr>
      <w:tr>
        <w:tc>
          <w:tcPr/>
          <w:p>
            <w:pPr>
              <w:pStyle w:val="Compact"/>
            </w:pPr>
            <w:r>
              <w:t xml:space="preserve">Roof, exterior façade, waterproofing</w:t>
            </w:r>
          </w:p>
        </w:tc>
        <w:tc>
          <w:tcPr/>
          <w:p>
            <w:pPr>
              <w:pStyle w:val="Compact"/>
            </w:pPr>
            <w:r>
              <w:t xml:space="preserve">✓</w:t>
            </w:r>
          </w:p>
        </w:tc>
        <w:tc>
          <w:tcPr/>
          <w:p>
            <w:pPr>
              <w:pStyle w:val="Compact"/>
            </w:pPr>
          </w:p>
        </w:tc>
        <w:tc>
          <w:tcPr/>
          <w:p>
            <w:pPr>
              <w:pStyle w:val="Compact"/>
            </w:pPr>
            <w:r>
              <w:t xml:space="preserve">—</w:t>
            </w:r>
          </w:p>
        </w:tc>
      </w:tr>
      <w:tr>
        <w:tc>
          <w:tcPr/>
          <w:p>
            <w:pPr>
              <w:pStyle w:val="Compact"/>
            </w:pPr>
            <w:r>
              <w:t xml:space="preserve">Common areas: lobby, corridors, elevators</w:t>
            </w:r>
          </w:p>
        </w:tc>
        <w:tc>
          <w:tcPr/>
          <w:p>
            <w:pPr>
              <w:pStyle w:val="Compact"/>
            </w:pPr>
            <w:r>
              <w:t xml:space="preserve">✓</w:t>
            </w:r>
          </w:p>
        </w:tc>
        <w:tc>
          <w:tcPr/>
          <w:p>
            <w:pPr>
              <w:pStyle w:val="Compact"/>
            </w:pPr>
          </w:p>
        </w:tc>
        <w:tc>
          <w:tcPr/>
          <w:p>
            <w:pPr>
              <w:pStyle w:val="Compact"/>
            </w:pPr>
            <w:r>
              <w:t xml:space="preserve">—</w:t>
            </w:r>
          </w:p>
        </w:tc>
      </w:tr>
      <w:tr>
        <w:tc>
          <w:tcPr/>
          <w:p>
            <w:pPr>
              <w:pStyle w:val="Compact"/>
            </w:pPr>
            <w:r>
              <w:t xml:space="preserve">Stairwells, fire exits</w:t>
            </w:r>
          </w:p>
        </w:tc>
        <w:tc>
          <w:tcPr/>
          <w:p>
            <w:pPr>
              <w:pStyle w:val="Compact"/>
            </w:pPr>
            <w:r>
              <w:t xml:space="preserve">✓</w:t>
            </w:r>
          </w:p>
        </w:tc>
        <w:tc>
          <w:tcPr/>
          <w:p>
            <w:pPr>
              <w:pStyle w:val="Compact"/>
            </w:pPr>
          </w:p>
        </w:tc>
        <w:tc>
          <w:tcPr/>
          <w:p>
            <w:pPr>
              <w:pStyle w:val="Compact"/>
            </w:pPr>
            <w:r>
              <w:t xml:space="preserve">—</w:t>
            </w:r>
          </w:p>
        </w:tc>
      </w:tr>
      <w:tr>
        <w:tc>
          <w:tcPr/>
          <w:p>
            <w:pPr>
              <w:pStyle w:val="Compact"/>
            </w:pPr>
            <w:r>
              <w:t xml:space="preserve">Building exterior lighting</w:t>
            </w:r>
          </w:p>
        </w:tc>
        <w:tc>
          <w:tcPr/>
          <w:p>
            <w:pPr>
              <w:pStyle w:val="Compact"/>
            </w:pPr>
            <w:r>
              <w:t xml:space="preserve">✓</w:t>
            </w:r>
          </w:p>
        </w:tc>
        <w:tc>
          <w:tcPr/>
          <w:p>
            <w:pPr>
              <w:pStyle w:val="Compact"/>
            </w:pPr>
          </w:p>
        </w:tc>
        <w:tc>
          <w:tcPr/>
          <w:p>
            <w:pPr>
              <w:pStyle w:val="Compact"/>
            </w:pPr>
            <w:r>
              <w:t xml:space="preserve">—</w:t>
            </w:r>
          </w:p>
        </w:tc>
      </w:tr>
      <w:tr>
        <w:tc>
          <w:tcPr/>
          <w:p>
            <w:pPr>
              <w:pStyle w:val="Compact"/>
            </w:pPr>
            <w:r>
              <w:t xml:space="preserve">Common MEP (to meter/sub-meter)</w:t>
            </w:r>
          </w:p>
        </w:tc>
        <w:tc>
          <w:tcPr/>
          <w:p>
            <w:pPr>
              <w:pStyle w:val="Compact"/>
            </w:pPr>
            <w:r>
              <w:t xml:space="preserve">✓</w:t>
            </w:r>
          </w:p>
        </w:tc>
        <w:tc>
          <w:tcPr/>
          <w:p>
            <w:pPr>
              <w:pStyle w:val="Compact"/>
            </w:pPr>
          </w:p>
        </w:tc>
        <w:tc>
          <w:tcPr/>
          <w:p>
            <w:pPr>
              <w:pStyle w:val="Compact"/>
            </w:pPr>
            <w:r>
              <w:t xml:space="preserve">Beyond meter: Lessee</w:t>
            </w:r>
          </w:p>
        </w:tc>
      </w:tr>
      <w:tr>
        <w:tc>
          <w:tcPr/>
          <w:p>
            <w:pPr>
              <w:pStyle w:val="Compact"/>
            </w:pPr>
            <w:r>
              <w:t xml:space="preserve">Fire protection (sprinklers, alarms)</w:t>
            </w:r>
          </w:p>
        </w:tc>
        <w:tc>
          <w:tcPr/>
          <w:p>
            <w:pPr>
              <w:pStyle w:val="Compact"/>
            </w:pPr>
            <w:r>
              <w:t xml:space="preserve">✓</w:t>
            </w:r>
          </w:p>
        </w:tc>
        <w:tc>
          <w:tcPr/>
          <w:p>
            <w:pPr>
              <w:pStyle w:val="Compact"/>
            </w:pPr>
          </w:p>
        </w:tc>
        <w:tc>
          <w:tcPr/>
          <w:p>
            <w:pPr>
              <w:pStyle w:val="Compact"/>
            </w:pPr>
            <w:r>
              <w:t xml:space="preserve">Lessee: within Premises</w:t>
            </w:r>
          </w:p>
        </w:tc>
      </w:tr>
      <w:tr>
        <w:tc>
          <w:tcPr/>
          <w:p>
            <w:pPr>
              <w:pStyle w:val="Compact"/>
            </w:pPr>
            <w:r>
              <w:t xml:space="preserve">HVAC (central system)</w:t>
            </w:r>
          </w:p>
        </w:tc>
        <w:tc>
          <w:tcPr/>
          <w:p>
            <w:pPr>
              <w:pStyle w:val="Compact"/>
            </w:pPr>
            <w:r>
              <w:t xml:space="preserve">✓</w:t>
            </w:r>
          </w:p>
        </w:tc>
        <w:tc>
          <w:tcPr/>
          <w:p>
            <w:pPr>
              <w:pStyle w:val="Compact"/>
            </w:pPr>
          </w:p>
        </w:tc>
        <w:tc>
          <w:tcPr/>
          <w:p>
            <w:pPr>
              <w:pStyle w:val="Compact"/>
            </w:pPr>
            <w:r>
              <w:t xml:space="preserve">Filters, cleaning: Lessee</w:t>
            </w:r>
          </w:p>
        </w:tc>
      </w:tr>
      <w:tr>
        <w:tc>
          <w:tcPr/>
          <w:p>
            <w:pPr>
              <w:pStyle w:val="Compact"/>
            </w:pPr>
            <w:r>
              <w:t xml:space="preserve">Interior partitions, walls</w:t>
            </w:r>
          </w:p>
        </w:tc>
        <w:tc>
          <w:tcPr/>
          <w:p>
            <w:pPr>
              <w:pStyle w:val="Compact"/>
            </w:pPr>
          </w:p>
        </w:tc>
        <w:tc>
          <w:tcPr/>
          <w:p>
            <w:pPr>
              <w:pStyle w:val="Compact"/>
            </w:pPr>
            <w:r>
              <w:t xml:space="preserve">✓</w:t>
            </w:r>
          </w:p>
        </w:tc>
        <w:tc>
          <w:tcPr/>
          <w:p>
            <w:pPr>
              <w:pStyle w:val="Compact"/>
            </w:pPr>
            <w:r>
              <w:t xml:space="preserve">—</w:t>
            </w:r>
          </w:p>
        </w:tc>
      </w:tr>
      <w:tr>
        <w:tc>
          <w:tcPr/>
          <w:p>
            <w:pPr>
              <w:pStyle w:val="Compact"/>
            </w:pPr>
            <w:r>
              <w:t xml:space="preserve">Flooring, ceiling (within Premises)</w:t>
            </w:r>
          </w:p>
        </w:tc>
        <w:tc>
          <w:tcPr/>
          <w:p>
            <w:pPr>
              <w:pStyle w:val="Compact"/>
            </w:pPr>
          </w:p>
        </w:tc>
        <w:tc>
          <w:tcPr/>
          <w:p>
            <w:pPr>
              <w:pStyle w:val="Compact"/>
            </w:pPr>
            <w:r>
              <w:t xml:space="preserve">✓</w:t>
            </w:r>
          </w:p>
        </w:tc>
        <w:tc>
          <w:tcPr/>
          <w:p>
            <w:pPr>
              <w:pStyle w:val="Compact"/>
            </w:pPr>
            <w:r>
              <w:t xml:space="preserve">—</w:t>
            </w:r>
          </w:p>
        </w:tc>
      </w:tr>
      <w:tr>
        <w:tc>
          <w:tcPr/>
          <w:p>
            <w:pPr>
              <w:pStyle w:val="Compact"/>
            </w:pPr>
            <w:r>
              <w:t xml:space="preserve">Internal electrical, data cabling</w:t>
            </w:r>
          </w:p>
        </w:tc>
        <w:tc>
          <w:tcPr/>
          <w:p>
            <w:pPr>
              <w:pStyle w:val="Compact"/>
            </w:pPr>
          </w:p>
        </w:tc>
        <w:tc>
          <w:tcPr/>
          <w:p>
            <w:pPr>
              <w:pStyle w:val="Compact"/>
            </w:pPr>
            <w:r>
              <w:t xml:space="preserve">✓</w:t>
            </w:r>
          </w:p>
        </w:tc>
        <w:tc>
          <w:tcPr/>
          <w:p>
            <w:pPr>
              <w:pStyle w:val="Compact"/>
            </w:pPr>
            <w:r>
              <w:t xml:space="preserve">—</w:t>
            </w:r>
          </w:p>
        </w:tc>
      </w:tr>
      <w:tr>
        <w:tc>
          <w:tcPr/>
          <w:p>
            <w:pPr>
              <w:pStyle w:val="Compact"/>
            </w:pPr>
            <w:r>
              <w:t xml:space="preserve">Furniture, fit-outs, fixtures</w:t>
            </w:r>
          </w:p>
        </w:tc>
        <w:tc>
          <w:tcPr/>
          <w:p>
            <w:pPr>
              <w:pStyle w:val="Compact"/>
            </w:pPr>
          </w:p>
        </w:tc>
        <w:tc>
          <w:tcPr/>
          <w:p>
            <w:pPr>
              <w:pStyle w:val="Compact"/>
            </w:pPr>
            <w:r>
              <w:t xml:space="preserve">✓</w:t>
            </w:r>
          </w:p>
        </w:tc>
        <w:tc>
          <w:tcPr/>
          <w:p>
            <w:pPr>
              <w:pStyle w:val="Compact"/>
            </w:pPr>
            <w:r>
              <w:t xml:space="preserve">—</w:t>
            </w:r>
          </w:p>
        </w:tc>
      </w:tr>
      <w:tr>
        <w:tc>
          <w:tcPr/>
          <w:p>
            <w:pPr>
              <w:pStyle w:val="Compact"/>
            </w:pPr>
            <w:r>
              <w:t xml:space="preserve">Pest control (within Premises)</w:t>
            </w:r>
          </w:p>
        </w:tc>
        <w:tc>
          <w:tcPr/>
          <w:p>
            <w:pPr>
              <w:pStyle w:val="Compact"/>
            </w:pPr>
          </w:p>
        </w:tc>
        <w:tc>
          <w:tcPr/>
          <w:p>
            <w:pPr>
              <w:pStyle w:val="Compact"/>
            </w:pPr>
            <w:r>
              <w:t xml:space="preserve">✓</w:t>
            </w:r>
          </w:p>
        </w:tc>
        <w:tc>
          <w:tcPr/>
          <w:p>
            <w:pPr>
              <w:pStyle w:val="Compact"/>
            </w:pPr>
            <w:r>
              <w:t xml:space="preserve">—</w:t>
            </w:r>
          </w:p>
        </w:tc>
      </w:tr>
      <w:tr>
        <w:tc>
          <w:tcPr/>
          <w:p>
            <w:pPr>
              <w:pStyle w:val="Compact"/>
            </w:pPr>
            <w:r>
              <w:t xml:space="preserve">Housekeeping (within Premises)</w:t>
            </w:r>
          </w:p>
        </w:tc>
        <w:tc>
          <w:tcPr/>
          <w:p>
            <w:pPr>
              <w:pStyle w:val="Compact"/>
            </w:pPr>
          </w:p>
        </w:tc>
        <w:tc>
          <w:tcPr/>
          <w:p>
            <w:pPr>
              <w:pStyle w:val="Compact"/>
            </w:pPr>
            <w:r>
              <w:t xml:space="preserve">✓</w:t>
            </w:r>
          </w:p>
        </w:tc>
        <w:tc>
          <w:tcPr/>
          <w:p>
            <w:pPr>
              <w:pStyle w:val="Compact"/>
            </w:pPr>
            <w:r>
              <w:t xml:space="preserve">—</w:t>
            </w:r>
          </w:p>
        </w:tc>
      </w:tr>
      <w:tr>
        <w:tc>
          <w:tcPr/>
          <w:p>
            <w:pPr>
              <w:pStyle w:val="Compact"/>
            </w:pPr>
            <w:r>
              <w:t xml:space="preserve">Glass, doors (within Premises)</w:t>
            </w:r>
          </w:p>
        </w:tc>
        <w:tc>
          <w:tcPr/>
          <w:p>
            <w:pPr>
              <w:pStyle w:val="Compact"/>
            </w:pPr>
          </w:p>
        </w:tc>
        <w:tc>
          <w:tcPr/>
          <w:p>
            <w:pPr>
              <w:pStyle w:val="Compact"/>
            </w:pPr>
            <w:r>
              <w:t xml:space="preserve">✓</w:t>
            </w:r>
          </w:p>
        </w:tc>
        <w:tc>
          <w:tcPr/>
          <w:p>
            <w:pPr>
              <w:pStyle w:val="Compact"/>
            </w:pPr>
            <w:r>
              <w:t xml:space="preserve">—</w:t>
            </w:r>
          </w:p>
        </w:tc>
      </w:tr>
    </w:tbl>
    <w:bookmarkEnd w:id="108"/>
    <w:bookmarkStart w:id="109" w:name="annexure-v-utilities-detailed"/>
    <w:p>
      <w:pPr>
        <w:pStyle w:val="Heading2"/>
      </w:pPr>
      <w:r>
        <w:t xml:space="preserve">ANNEXURE V — UTILITIES (DETAILED)</w:t>
      </w:r>
    </w:p>
    <w:p>
      <w:pPr>
        <w:pStyle w:val="FirstParagraph"/>
      </w:pPr>
      <w:r>
        <w:rPr>
          <w:b/>
          <w:bCs/>
        </w:rPr>
        <w:t xml:space="preserve">Electricity:</w:t>
      </w:r>
      <w:r>
        <w:t xml:space="preserve"> </w:t>
      </w:r>
      <w:r>
        <w:t xml:space="preserve">Sub-meter SM-301. Sanctioned load 80 kVA. Supply from BESCOM via Building. Billing: as per meter reading; Building Management invoice. Payment within 15 days. Additional load: separate approval; possible infrastructure charge. Generator backup: proportionate share during failure.</w:t>
      </w:r>
    </w:p>
    <w:p>
      <w:pPr>
        <w:pStyle w:val="BodyText"/>
      </w:pPr>
      <w:r>
        <w:rPr>
          <w:b/>
          <w:bCs/>
        </w:rPr>
        <w:t xml:space="preserve">Water:</w:t>
      </w:r>
      <w:r>
        <w:t xml:space="preserve"> </w:t>
      </w:r>
      <w:r>
        <w:t xml:space="preserve">Included in CAM. Reasonable use. Report leaks. No alteration of supply.</w:t>
      </w:r>
    </w:p>
    <w:p>
      <w:pPr>
        <w:pStyle w:val="BodyText"/>
      </w:pPr>
      <w:r>
        <w:rPr>
          <w:b/>
          <w:bCs/>
        </w:rPr>
        <w:t xml:space="preserve">HVAC:</w:t>
      </w:r>
      <w:r>
        <w:t xml:space="preserve"> </w:t>
      </w:r>
      <w:r>
        <w:t xml:space="preserve">Central system. Building hours: 8 AM–8 PM Mon–Sat. After-hours: request 24 hrs ahead; ₹2,500/hour (min 2 hrs). Subject to availability.</w:t>
      </w:r>
    </w:p>
    <w:p>
      <w:pPr>
        <w:pStyle w:val="BodyText"/>
      </w:pPr>
      <w:r>
        <w:rPr>
          <w:b/>
          <w:bCs/>
        </w:rPr>
        <w:t xml:space="preserve">Internet/Telecom:</w:t>
      </w:r>
      <w:r>
        <w:t xml:space="preserve"> </w:t>
      </w:r>
      <w:r>
        <w:t xml:space="preserve">Lessee's arrangement. Lessor facilitates access (conduit, riser). No exclusivity. Comply with Building cable standards.</w:t>
      </w:r>
    </w:p>
    <w:bookmarkEnd w:id="109"/>
    <w:bookmarkStart w:id="110" w:name="X46242a5e07e7445f8986c33b3a47ddca6fe988c"/>
    <w:p>
      <w:pPr>
        <w:pStyle w:val="Heading2"/>
      </w:pPr>
      <w:r>
        <w:t xml:space="preserve">ANNEXURE W — FIT-OUT SPECIFICATIONS AND APPROVAL</w:t>
      </w:r>
    </w:p>
    <w:p>
      <w:pPr>
        <w:pStyle w:val="FirstParagraph"/>
      </w:pPr>
      <w:r>
        <w:rPr>
          <w:b/>
          <w:bCs/>
        </w:rPr>
        <w:t xml:space="preserve">Submission:</w:t>
      </w:r>
      <w:r>
        <w:t xml:space="preserve"> </w:t>
      </w:r>
      <w:r>
        <w:t xml:space="preserve">Lessee shall submit fit-out plans (layout, electrical, data, HVAC if modified) to Lessor for approval within 30 days of Commencement. Lessor shall respond within 15 business days. Approval not to be unreasonably withheld for compliant plans.</w:t>
      </w:r>
    </w:p>
    <w:p>
      <w:pPr>
        <w:pStyle w:val="BodyText"/>
      </w:pPr>
      <w:r>
        <w:rPr>
          <w:b/>
          <w:bCs/>
        </w:rPr>
        <w:t xml:space="preserve">Standards:</w:t>
      </w:r>
      <w:r>
        <w:t xml:space="preserve"> </w:t>
      </w:r>
      <w:r>
        <w:t xml:space="preserve">National Building Code; local fire safety; municipal bye-laws; structural load limits (150 kg/sqm typical for office). All work by licensed contractors. Completion certificate required.</w:t>
      </w:r>
    </w:p>
    <w:p>
      <w:pPr>
        <w:pStyle w:val="BodyText"/>
      </w:pPr>
      <w:r>
        <w:rPr>
          <w:b/>
          <w:bCs/>
        </w:rPr>
        <w:t xml:space="preserve">Prohibited:</w:t>
      </w:r>
      <w:r>
        <w:t xml:space="preserve"> </w:t>
      </w:r>
      <w:r>
        <w:t xml:space="preserve">Structural changes; changes affecting common areas or other tenants; hazardous materials; excess load. Lessor may require structural engineer sign-off for modifications.</w:t>
      </w:r>
    </w:p>
    <w:p>
      <w:pPr>
        <w:pStyle w:val="BodyText"/>
      </w:pPr>
      <w:r>
        <w:rPr>
          <w:b/>
          <w:bCs/>
        </w:rPr>
        <w:t xml:space="preserve">Deposit:</w:t>
      </w:r>
      <w:r>
        <w:t xml:space="preserve"> </w:t>
      </w:r>
      <w:r>
        <w:t xml:space="preserve">Lessor may require fit-out deposit (refundable); amount as agreed. Restoration: upon vacation, restore to base unless Lessor elects to retain in writing.</w:t>
      </w:r>
    </w:p>
    <w:bookmarkEnd w:id="110"/>
    <w:bookmarkStart w:id="111" w:name="annexure-x-rent-escalation-detailed"/>
    <w:p>
      <w:pPr>
        <w:pStyle w:val="Heading2"/>
      </w:pPr>
      <w:r>
        <w:t xml:space="preserve">ANNEXURE X — RENT ESCALATION (DETAILED)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Rent (₹/month)</w:t>
            </w:r>
          </w:p>
        </w:tc>
        <w:tc>
          <w:tcPr/>
          <w:p>
            <w:pPr>
              <w:pStyle w:val="Compact"/>
            </w:pPr>
            <w:r>
              <w:t xml:space="preserve">Escalation</w:t>
            </w:r>
          </w:p>
        </w:tc>
      </w:tr>
      <w:tr>
        <w:tc>
          <w:tcPr/>
          <w:p>
            <w:pPr>
              <w:pStyle w:val="Compact"/>
            </w:pPr>
            <w:r>
              <w:t xml:space="preserve">Year 1 (Mar 2025 – Feb 2026)</w:t>
            </w:r>
          </w:p>
        </w:tc>
        <w:tc>
          <w:tcPr/>
          <w:p>
            <w:pPr>
              <w:pStyle w:val="Compact"/>
            </w:pPr>
            <w:r>
              <w:t xml:space="preserve">4,25,000</w:t>
            </w:r>
          </w:p>
        </w:tc>
        <w:tc>
          <w:tcPr/>
          <w:p>
            <w:pPr>
              <w:pStyle w:val="Compact"/>
            </w:pPr>
            <w:r>
              <w:t xml:space="preserve">Base</w:t>
            </w:r>
          </w:p>
        </w:tc>
      </w:tr>
      <w:tr>
        <w:tc>
          <w:tcPr/>
          <w:p>
            <w:pPr>
              <w:pStyle w:val="Compact"/>
            </w:pPr>
            <w:r>
              <w:t xml:space="preserve">Year 2 (Mar 2026 – Feb 2027)</w:t>
            </w:r>
          </w:p>
        </w:tc>
        <w:tc>
          <w:tcPr/>
          <w:p>
            <w:pPr>
              <w:pStyle w:val="Compact"/>
            </w:pPr>
            <w:r>
              <w:t xml:space="preserve">4,59,000</w:t>
            </w:r>
          </w:p>
        </w:tc>
        <w:tc>
          <w:tcPr/>
          <w:p>
            <w:pPr>
              <w:pStyle w:val="Compact"/>
            </w:pPr>
            <w:r>
              <w:t xml:space="preserve">8%</w:t>
            </w:r>
          </w:p>
        </w:tc>
      </w:tr>
      <w:tr>
        <w:tc>
          <w:tcPr/>
          <w:p>
            <w:pPr>
              <w:pStyle w:val="Compact"/>
            </w:pPr>
            <w:r>
              <w:t xml:space="preserve">Year 3 (Mar 2027 – Feb 2028)</w:t>
            </w:r>
          </w:p>
        </w:tc>
        <w:tc>
          <w:tcPr/>
          <w:p>
            <w:pPr>
              <w:pStyle w:val="Compact"/>
            </w:pPr>
            <w:r>
              <w:t xml:space="preserve">4,95,720</w:t>
            </w:r>
          </w:p>
        </w:tc>
        <w:tc>
          <w:tcPr/>
          <w:p>
            <w:pPr>
              <w:pStyle w:val="Compact"/>
            </w:pPr>
            <w:r>
              <w:t xml:space="preserve">8%</w:t>
            </w:r>
          </w:p>
        </w:tc>
      </w:tr>
    </w:tbl>
    <w:p>
      <w:pPr>
        <w:pStyle w:val="BodyText"/>
      </w:pPr>
      <w:r>
        <w:t xml:space="preserve">CAM: ₹18/sqft/month (₹1,53,000) Year 1; subject to 10% annual revision on 60 days' notice. GST extra on rent and CAM.</w:t>
      </w:r>
    </w:p>
    <w:bookmarkEnd w:id="111"/>
    <w:bookmarkStart w:id="112" w:name="X0b18fa15f3d276f7d91ff39a79c2e5fb8aa7d8d"/>
    <w:p>
      <w:pPr>
        <w:pStyle w:val="Heading2"/>
      </w:pPr>
      <w:r>
        <w:t xml:space="preserve">ANNEXURE Y — TERMINATION AND VACATING (DETAILED)</w:t>
      </w:r>
    </w:p>
    <w:p>
      <w:pPr>
        <w:pStyle w:val="FirstParagraph"/>
      </w:pPr>
      <w:r>
        <w:rPr>
          <w:b/>
          <w:bCs/>
        </w:rPr>
        <w:t xml:space="preserve">By Lessor for Cause:</w:t>
      </w:r>
      <w:r>
        <w:t xml:space="preserve"> </w:t>
      </w:r>
      <w:r>
        <w:t xml:space="preserve">(a) Non-payment beyond 15 days of due date; (b) Material breach after 30 days' notice to cure; (c) Insolvency; (d) Unauthorised use or assignment. Lessor shall give written notice specifying breach. Cure period runs from notice. If not cured, Lessor may re-enter and forfeit deposit (subject to lawful deductions).</w:t>
      </w:r>
    </w:p>
    <w:p>
      <w:pPr>
        <w:pStyle w:val="BodyText"/>
      </w:pPr>
      <w:r>
        <w:rPr>
          <w:b/>
          <w:bCs/>
        </w:rPr>
        <w:t xml:space="preserve">By Lessee for Convenience:</w:t>
      </w:r>
      <w:r>
        <w:t xml:space="preserve"> </w:t>
      </w:r>
      <w:r>
        <w:t xml:space="preserve">3 months' prior notice. Early termination fee: 3 months' rent. If Lessor relets within 60 days at same or higher rent, proportionate refund of fee. Security deposit applied against dues; balance refunded within 30 days of vacation.</w:t>
      </w:r>
    </w:p>
    <w:p>
      <w:pPr>
        <w:pStyle w:val="BodyText"/>
      </w:pPr>
      <w:r>
        <w:rPr>
          <w:b/>
          <w:bCs/>
        </w:rPr>
        <w:t xml:space="preserve">Vacating:</w:t>
      </w:r>
      <w:r>
        <w:t xml:space="preserve"> </w:t>
      </w:r>
      <w:r>
        <w:t xml:space="preserve">Lessee shall deliver vacant possession. Joint inspection. Lessee shall remove its goods, restore per Lease (unless Lessor retains alterations). Keys and access cards returned. Final meter reading. Settlement of dues. Deposit refund by NEFT within 30 days of vacation and settlement.</w:t>
      </w:r>
    </w:p>
    <w:bookmarkEnd w:id="112"/>
    <w:bookmarkStart w:id="113" w:name="annexure-z-insurance-expanded"/>
    <w:p>
      <w:pPr>
        <w:pStyle w:val="Heading2"/>
      </w:pPr>
      <w:r>
        <w:t xml:space="preserve">ANNEXURE Z — INSURANCE (EXPANDED)</w:t>
      </w:r>
    </w:p>
    <w:p>
      <w:pPr>
        <w:pStyle w:val="FirstParagraph"/>
      </w:pPr>
      <w:r>
        <w:rPr>
          <w:b/>
          <w:bCs/>
        </w:rPr>
        <w:t xml:space="preserve">Lessor:</w:t>
      </w:r>
      <w:r>
        <w:t xml:space="preserve"> </w:t>
      </w:r>
      <w:r>
        <w:t xml:space="preserve">Fire and allied perils for structure. Lessor shall use reasonable efforts to ensure policy permits Lessee's occupancy. Lessor may require Lessee to be named as additional insured for relevant cover.</w:t>
      </w:r>
    </w:p>
    <w:p>
      <w:pPr>
        <w:pStyle w:val="BodyText"/>
      </w:pPr>
      <w:r>
        <w:rPr>
          <w:b/>
          <w:bCs/>
        </w:rPr>
        <w:t xml:space="preserve">Lessee:</w:t>
      </w:r>
      <w:r>
        <w:t xml:space="preserve"> </w:t>
      </w:r>
      <w:r>
        <w:t xml:space="preserve">(a) Fire, theft, plate glass for contents and fit-outs (full replacement value); (b) Public liability: min ₹1,00,00,000 per occurrence; (c) Employers' liability if applicable. Add Lessor as interested party. Certificates: within 15 days of Commencement; annually. 30 days' notice of cancellation. Lessee shall not do anything to vitiate or increase Lessor's premium.</w:t>
      </w:r>
    </w:p>
    <w:p>
      <w:pPr>
        <w:pStyle w:val="BodyText"/>
      </w:pPr>
      <w:r>
        <w:rPr>
          <w:b/>
          <w:bCs/>
        </w:rPr>
        <w:t xml:space="preserve">Waiver of Subrogation:</w:t>
      </w:r>
      <w:r>
        <w:t xml:space="preserve"> </w:t>
      </w:r>
      <w:r>
        <w:t xml:space="preserve">Each Party waives subrogation against the other for insured losses, to extent permitted by policies.</w:t>
      </w:r>
    </w:p>
    <w:bookmarkEnd w:id="113"/>
    <w:bookmarkStart w:id="114" w:name="annexure-aa-compliance-expanded"/>
    <w:p>
      <w:pPr>
        <w:pStyle w:val="Heading2"/>
      </w:pPr>
      <w:r>
        <w:t xml:space="preserve">ANNEXURE AA — COMPLIANCE (EXPANDED)</w:t>
      </w:r>
    </w:p>
    <w:p>
      <w:pPr>
        <w:pStyle w:val="FirstParagraph"/>
      </w:pPr>
      <w:r>
        <w:rPr>
          <w:b/>
          <w:bCs/>
        </w:rPr>
        <w:t xml:space="preserve">Fire Safety:</w:t>
      </w:r>
      <w:r>
        <w:t xml:space="preserve"> </w:t>
      </w:r>
      <w:r>
        <w:t xml:space="preserve">Comply with Karnataka Fire Services requirements. No blocking of exits or sprinklers. Participate in drills. Evacuate when alarm sounds. Designate fire warden.</w:t>
      </w:r>
    </w:p>
    <w:p>
      <w:pPr>
        <w:pStyle w:val="BodyText"/>
      </w:pPr>
      <w:r>
        <w:rPr>
          <w:b/>
          <w:bCs/>
        </w:rPr>
        <w:t xml:space="preserve">Labour:</w:t>
      </w:r>
      <w:r>
        <w:t xml:space="preserve"> </w:t>
      </w:r>
      <w:r>
        <w:t xml:space="preserve">If Lessee has employees at Premises, comply with Shops and Establishments Act, labour laws, POSH. Display required notices.</w:t>
      </w:r>
    </w:p>
    <w:p>
      <w:pPr>
        <w:pStyle w:val="BodyText"/>
      </w:pPr>
      <w:r>
        <w:rPr>
          <w:b/>
          <w:bCs/>
        </w:rPr>
        <w:t xml:space="preserve">Environmental:</w:t>
      </w:r>
      <w:r>
        <w:t xml:space="preserve"> </w:t>
      </w:r>
      <w:r>
        <w:t xml:space="preserve">No hazardous materials except as disclosed. Proper waste disposal. Report spills. Comply with E-Waste Rules if applicable.</w:t>
      </w:r>
    </w:p>
    <w:p>
      <w:pPr>
        <w:pStyle w:val="BodyText"/>
      </w:pPr>
      <w:r>
        <w:rPr>
          <w:b/>
          <w:bCs/>
        </w:rPr>
        <w:t xml:space="preserve">Municipal:</w:t>
      </w:r>
      <w:r>
        <w:t xml:space="preserve"> </w:t>
      </w:r>
      <w:r>
        <w:t xml:space="preserve">No illegal use. Obtain trade licence if required. Pay property tax if Lessee's obligation under law.</w:t>
      </w:r>
    </w:p>
    <w:bookmarkEnd w:id="114"/>
    <w:bookmarkStart w:id="115" w:name="X7a01f973a6d39ed7031c42e9dafd6df74e8e654"/>
    <w:p>
      <w:pPr>
        <w:pStyle w:val="Heading2"/>
      </w:pPr>
      <w:r>
        <w:t xml:space="preserve">ANNEXURE AB — SUBLETTING AND ASSIGNMENT (EXPANDED)</w:t>
      </w:r>
    </w:p>
    <w:p>
      <w:pPr>
        <w:pStyle w:val="FirstParagraph"/>
      </w:pPr>
      <w:r>
        <w:rPr>
          <w:b/>
          <w:bCs/>
        </w:rPr>
        <w:t xml:space="preserve">Consent Required:</w:t>
      </w:r>
      <w:r>
        <w:t xml:space="preserve"> </w:t>
      </w:r>
      <w:r>
        <w:t xml:space="preserve">No subletting, assignment, or parting with possession without prior written consent. Consent not to be unreasonably withheld for reputable assignee/subtenant with financial capability.</w:t>
      </w:r>
    </w:p>
    <w:p>
      <w:pPr>
        <w:pStyle w:val="BodyText"/>
      </w:pPr>
      <w:r>
        <w:rPr>
          <w:b/>
          <w:bCs/>
        </w:rPr>
        <w:t xml:space="preserve">Conditions:</w:t>
      </w:r>
      <w:r>
        <w:t xml:space="preserve"> </w:t>
      </w:r>
      <w:r>
        <w:t xml:space="preserve">(a) Deed of covenant by assignee/subtenant; (b) Admin fee up to ₹50,000; (c) Lessee remains liable unless released in writing; (d) Use consistent with Permitted Use. Lessor may require financial references.</w:t>
      </w:r>
    </w:p>
    <w:p>
      <w:pPr>
        <w:pStyle w:val="BodyText"/>
      </w:pPr>
      <w:r>
        <w:rPr>
          <w:b/>
          <w:bCs/>
        </w:rPr>
        <w:t xml:space="preserve">Assignment (M&amp;A):</w:t>
      </w:r>
      <w:r>
        <w:t xml:space="preserve"> </w:t>
      </w:r>
      <w:r>
        <w:t xml:space="preserve">If Lessee merges or sells substantially all assets, assignee may assume with Lessor's consent (not unreasonably withheld). Lessor may require parent guarantee.</w:t>
      </w:r>
    </w:p>
    <w:bookmarkEnd w:id="115"/>
    <w:bookmarkStart w:id="116" w:name="annexure-ac-dispute-resolution-expanded"/>
    <w:p>
      <w:pPr>
        <w:pStyle w:val="Heading2"/>
      </w:pPr>
      <w:r>
        <w:t xml:space="preserve">ANNEXURE AC — DISPUTE RESOLUTION (EXPANDED)</w:t>
      </w:r>
    </w:p>
    <w:p>
      <w:pPr>
        <w:pStyle w:val="FirstParagraph"/>
      </w:pPr>
      <w:r>
        <w:rPr>
          <w:b/>
          <w:bCs/>
        </w:rPr>
        <w:t xml:space="preserve">Step 1:</w:t>
      </w:r>
      <w:r>
        <w:t xml:space="preserve"> </w:t>
      </w:r>
      <w:r>
        <w:t xml:space="preserve">Manager-level discussion within 7 days of notice.</w:t>
      </w:r>
    </w:p>
    <w:p>
      <w:pPr>
        <w:pStyle w:val="BodyText"/>
      </w:pPr>
      <w:r>
        <w:rPr>
          <w:b/>
          <w:bCs/>
        </w:rPr>
        <w:t xml:space="preserve">Step 2:</w:t>
      </w:r>
      <w:r>
        <w:t xml:space="preserve"> </w:t>
      </w:r>
      <w:r>
        <w:t xml:space="preserve">Senior executive discussion within 14 days if unresolved.</w:t>
      </w:r>
    </w:p>
    <w:p>
      <w:pPr>
        <w:pStyle w:val="BodyText"/>
      </w:pPr>
      <w:r>
        <w:rPr>
          <w:b/>
          <w:bCs/>
        </w:rPr>
        <w:t xml:space="preserve">Step 3:</w:t>
      </w:r>
      <w:r>
        <w:t xml:space="preserve"> </w:t>
      </w:r>
      <w:r>
        <w:t xml:space="preserve">If unresolved after 30 days from initial notice, either Party may refer to arbitration. Arbitration and Conciliation Act, 1996. Sole arbitrator. Mutual appointment or High Court of Karnataka. Seat: Bangalore. Language: English. Award final and binding. Courts at Bangalore for interim relief (injunction, recovery of possession). Costs as awarded.</w:t>
      </w:r>
    </w:p>
    <w:bookmarkEnd w:id="116"/>
    <w:bookmarkStart w:id="117" w:name="annexure-ad-force-majeure-expanded"/>
    <w:p>
      <w:pPr>
        <w:pStyle w:val="Heading2"/>
      </w:pPr>
      <w:r>
        <w:t xml:space="preserve">ANNEXURE AD — FORCE MAJEURE (EXPANDED)</w:t>
      </w:r>
    </w:p>
    <w:p>
      <w:pPr>
        <w:pStyle w:val="FirstParagraph"/>
      </w:pPr>
      <w:r>
        <w:t xml:space="preserve">Force majeure: earthquake, flood, cyclone, fire, pandemic, war, terrorism, government order (lockdown, requisition), civil unrest. If Premises or Building unfit for use: rent abates proportionately. If unfit beyond 90 consecutive days, either Party may terminate on 15 days' notice. Upon such termination: Lessor refunds Security Deposit (less deductions) and prepaid rent for period after termination. Neither Party liable for delay or failure due to force majeure. Affected Party shall notify within 5 days and use reasonable efforts to mitigate.</w:t>
      </w:r>
    </w:p>
    <w:bookmarkEnd w:id="117"/>
    <w:bookmarkStart w:id="118" w:name="X9f0e2ba475ab7919abd7ff48ff2b0e0194eb1f0"/>
    <w:p>
      <w:pPr>
        <w:pStyle w:val="Heading2"/>
      </w:pPr>
      <w:r>
        <w:t xml:space="preserve">ANNEXURE AE — RULES AND REGULATIONS (EXPANDED)</w:t>
      </w:r>
    </w:p>
    <w:p>
      <w:pPr>
        <w:pStyle w:val="FirstParagraph"/>
      </w:pPr>
      <w:r>
        <w:t xml:space="preserve">The Lessee shall comply with Building Rules including: (a) Use of common areas – no obstruction; no storage; no unauthorised use; (b) Noise – no disturbance to other occupants; (c) Waste – segregate; dispose in designated areas; no hazardous waste; (d) Signage – as approved; no external without consent; (e) Security – register visitors; no unauthorised persons; (f) Fire – no smoking; comply with evacuation; (g) Deliveries – during designated hours; service elevator; (h) Parking – designated spaces only; no subletting. Material rule changes: 30 days' notice. Lessee shall ensure compliance by its employees and contractors.</w:t>
      </w:r>
    </w:p>
    <w:bookmarkEnd w:id="118"/>
    <w:bookmarkStart w:id="119" w:name="annexure-af-lessors-covenants-expanded"/>
    <w:p>
      <w:pPr>
        <w:pStyle w:val="Heading2"/>
      </w:pPr>
      <w:r>
        <w:t xml:space="preserve">ANNEXURE AF — LESSOR'S COVENANTS (EXPANDED)</w:t>
      </w:r>
    </w:p>
    <w:p>
      <w:pPr>
        <w:pStyle w:val="FirstParagraph"/>
      </w:pPr>
      <w:r>
        <w:t xml:space="preserve">The Lessor covenants: (a) that it has full right to demise the Premises; (b) that the Lessee paying rent and performing covenants shall peaceably hold and enjoy the Premises without lawful interruption; (c) that the Lessor shall maintain the structural parts and common areas in tenantable repair; (d) that the Lessor shall not materially alter the common areas to the Lessee's detriment without prior notice; (e) that the Lessor shall provide the services specified herein. The Lessor's liability for breach is limited to its interest in the Building. The Lessor does not guarantee that the Premises are fit for any particular purpose; the Lessee has inspected and accepts condition.</w:t>
      </w:r>
    </w:p>
    <w:bookmarkEnd w:id="119"/>
    <w:bookmarkStart w:id="120" w:name="annexure-ag-lessees-covenants-expanded"/>
    <w:p>
      <w:pPr>
        <w:pStyle w:val="Heading2"/>
      </w:pPr>
      <w:r>
        <w:t xml:space="preserve">ANNEXURE AG — LESSEE'S COVENANTS (EXPANDED)</w:t>
      </w:r>
    </w:p>
    <w:p>
      <w:pPr>
        <w:pStyle w:val="FirstParagraph"/>
      </w:pPr>
      <w:r>
        <w:t xml:space="preserve">The Lessee covenants: (a) to pay rent and other charges punctually; (b) to use the Premises only for the Permitted Use; (c) to comply with the Rules and applicable law; (d) to keep the interior in good repair; (e) to permit the Lessor to enter for inspection, repair, and (in last 6 months) showing; (f) not to do or permit anything that vitiates insurance or increases premium; (g) not to assign or sublet without consent; (h) to deliver vacant possession on expiry; (i) to indemnify the Lessor as provided; (j) not to make structural alterations; (k) to restore on vacation unless Lessor elects to retain.</w:t>
      </w:r>
    </w:p>
    <w:bookmarkEnd w:id="120"/>
    <w:bookmarkStart w:id="121" w:name="annexure-ah-security-deposit-expanded"/>
    <w:p>
      <w:pPr>
        <w:pStyle w:val="Heading2"/>
      </w:pPr>
      <w:r>
        <w:t xml:space="preserve">ANNEXURE AH — SECURITY DEPOSIT (EXPANDED)</w:t>
      </w:r>
    </w:p>
    <w:p>
      <w:pPr>
        <w:pStyle w:val="FirstParagraph"/>
      </w:pPr>
      <w:r>
        <w:t xml:space="preserve">Amount: ₹12,75,000 (3 months' rent). Payable before Commencement. Interest-free. Held by Lessor. Application: against arrears, damages, restoration costs, or other dues. Refund: within 30 days of vacation and settlement of all dues. Deductions: only for lawful amounts (repairs for Lessee-caused damage, arrears, restoration). Refund by NEFT to Lessee's account. Lessee shall provide bank details. If Lessor sells the Building, deposit may be transferred to purchaser; Lessee's consent not required for transfer of deposit to purchaser who assumes obligations.</w:t>
      </w:r>
    </w:p>
    <w:bookmarkEnd w:id="121"/>
    <w:bookmarkStart w:id="122" w:name="annexure-ai-renewal-option-expanded"/>
    <w:p>
      <w:pPr>
        <w:pStyle w:val="Heading2"/>
      </w:pPr>
      <w:r>
        <w:t xml:space="preserve">ANNEXURE AI — RENEWAL OPTION (EXPANDED)</w:t>
      </w:r>
    </w:p>
    <w:p>
      <w:pPr>
        <w:pStyle w:val="FirstParagraph"/>
      </w:pPr>
      <w:r>
        <w:t xml:space="preserve">The Lessee may renew for 24 months by written notice given not less than 6 months before expiry (i.e., by 31 Aug 2027). Condition: Lessee not in material breach. Renewed rent: to be mutually agreed; not to exceed 115% of last payable rent unless agreed. CAM: at prevailing rate. Other terms: to be mutually agreed; default to existing terms. If Parties cannot agree on renewed terms within 60 days of notice, the option lapses. Lessor shall negotiate in good faith.</w:t>
      </w:r>
    </w:p>
    <w:bookmarkEnd w:id="122"/>
    <w:bookmarkStart w:id="123" w:name="annexure-aj-holding-over"/>
    <w:p>
      <w:pPr>
        <w:pStyle w:val="Heading2"/>
      </w:pPr>
      <w:r>
        <w:t xml:space="preserve">ANNEXURE AJ — HOLDING OVER</w:t>
      </w:r>
    </w:p>
    <w:p>
      <w:pPr>
        <w:pStyle w:val="FirstParagraph"/>
      </w:pPr>
      <w:r>
        <w:t xml:space="preserve">If the Lessee remains in possession after expiry without renewal: (a) First 30 days: 150% of last rent; (b) Thereafter: 200% of last rent. Holding over does not create periodic tenancy or renewal. Either Party may terminate holding over on 30 days' notice. The Lessor may also seek eviction. Payment of holdover rent does not waive the Lessor's right to possession.</w:t>
      </w:r>
    </w:p>
    <w:bookmarkEnd w:id="123"/>
    <w:bookmarkStart w:id="124" w:name="annexure-ak-applicable-laws"/>
    <w:p>
      <w:pPr>
        <w:pStyle w:val="Heading2"/>
      </w:pPr>
      <w:r>
        <w:t xml:space="preserve">ANNEXURE AK — APPLICABLE LAWS</w:t>
      </w:r>
    </w:p>
    <w:p>
      <w:pPr>
        <w:pStyle w:val="FirstParagraph"/>
      </w:pPr>
      <w:r>
        <w:t xml:space="preserve">This Lease is governed by: (a) Transfer of Property Act, 1882 (Sections 105–117); (b) Indian Contract Act, 1872; (c) Karnataka Stamp Act, 1957; (d) Registration Act, 1908; (e) Rent Control legislation (if applicable); (f) Building bye-laws and municipal regulations; (g) Companies Act, 2013 (for corporate parties); (h) GST Act (for tax on rent). Mandatory provisions of law prevail over conflicting Lease terms.</w:t>
      </w:r>
    </w:p>
    <w:bookmarkEnd w:id="124"/>
    <w:bookmarkStart w:id="125" w:name="annexure-al-special-provisions"/>
    <w:p>
      <w:pPr>
        <w:pStyle w:val="Heading2"/>
      </w:pPr>
      <w:r>
        <w:t xml:space="preserve">ANNEXURE AL — SPECIAL PROVISIONS</w:t>
      </w:r>
    </w:p>
    <w:p>
      <w:pPr>
        <w:pStyle w:val="FirstParagraph"/>
      </w:pPr>
      <w:r>
        <w:rPr>
          <w:b/>
          <w:bCs/>
        </w:rPr>
        <w:t xml:space="preserve">Quiet Enjoyment:</w:t>
      </w:r>
      <w:r>
        <w:t xml:space="preserve"> </w:t>
      </w:r>
      <w:r>
        <w:t xml:space="preserve">Lessor warrants that Lessee paying rent and complying with covenants shall quietly enjoy without interruption (except for permitted entry, repair, or force majeure).</w:t>
      </w:r>
    </w:p>
    <w:p>
      <w:pPr>
        <w:pStyle w:val="BodyText"/>
      </w:pPr>
      <w:r>
        <w:rPr>
          <w:b/>
          <w:bCs/>
        </w:rPr>
        <w:t xml:space="preserve">Mortgagee Attornment:</w:t>
      </w:r>
      <w:r>
        <w:t xml:space="preserve"> </w:t>
      </w:r>
      <w:r>
        <w:t xml:space="preserve">If the Building is mortgaged, the Lessee shall attorn to the mortgagee upon request if the mortgagee assumes the Lessor's obligations. The Lessee shall execute a standard attornment agreement if requested and reasonable.</w:t>
      </w:r>
    </w:p>
    <w:p>
      <w:pPr>
        <w:pStyle w:val="BodyText"/>
      </w:pPr>
      <w:r>
        <w:rPr>
          <w:b/>
          <w:bCs/>
        </w:rPr>
        <w:t xml:space="preserve">Severability:</w:t>
      </w:r>
      <w:r>
        <w:t xml:space="preserve"> </w:t>
      </w:r>
      <w:r>
        <w:t xml:space="preserve">If any provision is held invalid, the remainder continues. Invalid provision modified to minimum extent necessary.</w:t>
      </w:r>
    </w:p>
    <w:p>
      <w:pPr>
        <w:pStyle w:val="BodyText"/>
      </w:pPr>
      <w:r>
        <w:rPr>
          <w:b/>
          <w:bCs/>
        </w:rPr>
        <w:t xml:space="preserve">Waiver:</w:t>
      </w:r>
      <w:r>
        <w:t xml:space="preserve"> </w:t>
      </w:r>
      <w:r>
        <w:t xml:space="preserve">No waiver unless in writing. Waiver of one breach does not waive others.</w:t>
      </w:r>
    </w:p>
    <w:bookmarkEnd w:id="125"/>
    <w:bookmarkStart w:id="126" w:name="X22098f005616381e0497b8912ad7b70a4165986"/>
    <w:p>
      <w:pPr>
        <w:pStyle w:val="Heading2"/>
      </w:pPr>
      <w:r>
        <w:t xml:space="preserve">ANNEXURE AM — PREMISES DESCRIPTION (EXPANDED)</w:t>
      </w:r>
    </w:p>
    <w:p>
      <w:pPr>
        <w:pStyle w:val="FirstParagraph"/>
      </w:pPr>
      <w:r>
        <w:rPr>
          <w:b/>
          <w:bCs/>
        </w:rPr>
        <w:t xml:space="preserve">Location:</w:t>
      </w:r>
      <w:r>
        <w:t xml:space="preserve"> </w:t>
      </w:r>
      <w:r>
        <w:t xml:space="preserve">Unit Nos. 301-305, 3rd Floor, Tech Park Tower B, 456 Outer Ring Road, Marathahalli, Bangalore 560037.</w:t>
      </w:r>
    </w:p>
    <w:p>
      <w:pPr>
        <w:pStyle w:val="BodyText"/>
      </w:pPr>
      <w:r>
        <w:rPr>
          <w:b/>
          <w:bCs/>
        </w:rPr>
        <w:t xml:space="preserve">Area:</w:t>
      </w:r>
      <w:r>
        <w:t xml:space="preserve"> </w:t>
      </w:r>
      <w:r>
        <w:t xml:space="preserve">Carpet area 8,500 sq ft as per sale deed. Boundaries as per floor plan.</w:t>
      </w:r>
    </w:p>
    <w:p>
      <w:pPr>
        <w:pStyle w:val="BodyText"/>
      </w:pPr>
      <w:r>
        <w:rPr>
          <w:b/>
          <w:bCs/>
        </w:rPr>
        <w:t xml:space="preserve">Parking:</w:t>
      </w:r>
      <w:r>
        <w:t xml:space="preserve"> </w:t>
      </w:r>
      <w:r>
        <w:t xml:space="preserve">12 spaces in Basement B1 (B1-45 to B1-56). Additional at ₹3,000/space/month if available.</w:t>
      </w:r>
    </w:p>
    <w:p>
      <w:pPr>
        <w:pStyle w:val="BodyText"/>
      </w:pPr>
      <w:r>
        <w:rPr>
          <w:b/>
          <w:bCs/>
        </w:rPr>
        <w:t xml:space="preserve">Access:</w:t>
      </w:r>
      <w:r>
        <w:t xml:space="preserve"> </w:t>
      </w:r>
      <w:r>
        <w:t xml:space="preserve">Via main lobby and elevators. 24/7 with access card. Service elevator for deliveries.</w:t>
      </w:r>
    </w:p>
    <w:p>
      <w:pPr>
        <w:pStyle w:val="BodyText"/>
      </w:pPr>
      <w:r>
        <w:rPr>
          <w:b/>
          <w:bCs/>
        </w:rPr>
        <w:t xml:space="preserve">Condition:</w:t>
      </w:r>
      <w:r>
        <w:t xml:space="preserve"> </w:t>
      </w:r>
      <w:r>
        <w:t xml:space="preserve">Shell as per Schedule B. Lessee to complete fit-out.</w:t>
      </w:r>
    </w:p>
    <w:bookmarkEnd w:id="126"/>
    <w:bookmarkStart w:id="127" w:name="annexure-an-tds-and-gst"/>
    <w:p>
      <w:pPr>
        <w:pStyle w:val="Heading2"/>
      </w:pPr>
      <w:r>
        <w:t xml:space="preserve">ANNEXURE AN — TDS AND GST</w:t>
      </w:r>
    </w:p>
    <w:p>
      <w:pPr>
        <w:pStyle w:val="FirstParagraph"/>
      </w:pPr>
      <w:r>
        <w:rPr>
          <w:b/>
          <w:bCs/>
        </w:rPr>
        <w:t xml:space="preserve">TDS:</w:t>
      </w:r>
      <w:r>
        <w:t xml:space="preserve"> </w:t>
      </w:r>
      <w:r>
        <w:t xml:space="preserve">If Lessee is required to deduct TDS under Income Tax Act, it shall do so and provide Form 16A. Lessor shall provide PAN. TDS at applicable rate for rent.</w:t>
      </w:r>
    </w:p>
    <w:p>
      <w:pPr>
        <w:pStyle w:val="BodyText"/>
      </w:pPr>
      <w:r>
        <w:rPr>
          <w:b/>
          <w:bCs/>
        </w:rPr>
        <w:t xml:space="preserve">GST:</w:t>
      </w:r>
      <w:r>
        <w:t xml:space="preserve"> </w:t>
      </w:r>
      <w:r>
        <w:t xml:space="preserve">Rent and CAM are taxable. Lessor shall issue tax invoice with GSTIN. Lessee shall pay GST. Lessee's GSTIN for input tax credit. Rate as per GST notifications.</w:t>
      </w:r>
    </w:p>
    <w:bookmarkEnd w:id="127"/>
    <w:bookmarkStart w:id="128" w:name="annexure-ao-renewal-negotiation"/>
    <w:p>
      <w:pPr>
        <w:pStyle w:val="Heading2"/>
      </w:pPr>
      <w:r>
        <w:t xml:space="preserve">ANNEXURE AO — RENEWAL NEGOTIATION</w:t>
      </w:r>
    </w:p>
    <w:p>
      <w:pPr>
        <w:pStyle w:val="FirstParagraph"/>
      </w:pPr>
      <w:r>
        <w:t xml:space="preserve">If the Lessee exercises the renewal option, the Parties shall negotiate renewal terms in good faith. Rent: maximum 115% of last payable. CAM: at prevailing Building rate. Other terms: default to existing unless modified by agreement. If no agreement within 60 days of renewal notice, the option lapses. The Lessor shall not unreasonably withhold agreement on standard commercial terms. The Lessee may propose modifications; the Lessor may counter. Renewal shall be documented by supplement or new lease deed as agreed.</w:t>
      </w:r>
    </w:p>
    <w:bookmarkEnd w:id="128"/>
    <w:bookmarkStart w:id="129" w:name="annexure-ap-lessees-use-restrictions"/>
    <w:p>
      <w:pPr>
        <w:pStyle w:val="Heading2"/>
      </w:pPr>
      <w:r>
        <w:t xml:space="preserve">ANNEXURE AP — LESSEE'S USE RESTRICTIONS</w:t>
      </w:r>
    </w:p>
    <w:p>
      <w:pPr>
        <w:pStyle w:val="FirstParagraph"/>
      </w:pPr>
      <w:r>
        <w:t xml:space="preserve">The Premises shall be used only for general office, IT/software development, and related administrative use. Prohibited: (a) retail; (b) manufacturing (except light prototyping if disclosed); (c) hazardous materials; (d) noise or odour nuisance; (e) use that increases insurance premium; (f) illegal use; (g) residential; (h) storage of inflammables (except as permitted). The Lessee shall comply with zoning and municipal regulations. Change of use requires prior consent.</w:t>
      </w:r>
    </w:p>
    <w:bookmarkEnd w:id="129"/>
    <w:bookmarkStart w:id="130" w:name="annexure-aq-lessors-access-rights"/>
    <w:p>
      <w:pPr>
        <w:pStyle w:val="Heading2"/>
      </w:pPr>
      <w:r>
        <w:t xml:space="preserve">ANNEXURE AQ — LESSOR'S ACCESS RIGHTS</w:t>
      </w:r>
    </w:p>
    <w:p>
      <w:pPr>
        <w:pStyle w:val="FirstParagraph"/>
      </w:pPr>
      <w:r>
        <w:t xml:space="preserve">The Lessor may enter the Premises: (a) for inspection (reasonable notice, business hours); (b) for repair of Lessor-maintained items (notice except emergency); (c) to show to prospective tenants (last 6 months of term; reasonable notice); (d) in emergency (no notice). Access during business hours unless agreed. The Lessee shall not unreasonably withhold access. The Lessor shall minimise disruption. The Lessor's agents and contractors subject to same.</w:t>
      </w:r>
    </w:p>
    <w:bookmarkEnd w:id="130"/>
    <w:bookmarkStart w:id="131" w:name="annexure-ar-alterations-by-lessee"/>
    <w:p>
      <w:pPr>
        <w:pStyle w:val="Heading2"/>
      </w:pPr>
      <w:r>
        <w:t xml:space="preserve">ANNEXURE AR — ALTERATIONS BY LESSEE</w:t>
      </w:r>
    </w:p>
    <w:p>
      <w:pPr>
        <w:pStyle w:val="FirstParagraph"/>
      </w:pPr>
      <w:r>
        <w:t xml:space="preserve">Structural alterations prohibited. Non-structural: prior written consent. Submission: plans, specs, contractor details. Lessor response: 15 business days. Consent not to be unreasonably withheld for internal alterations not affecting structure or services. All work by licensed contractors. Compliance with law. At expiry: restore to base condition unless Lessor elects to retain in writing. Lessor may require removal of specified items. Cost of restoration: Lessee.</w:t>
      </w:r>
    </w:p>
    <w:bookmarkEnd w:id="131"/>
    <w:bookmarkStart w:id="132" w:name="annexure-as-damage-and-destruction"/>
    <w:p>
      <w:pPr>
        <w:pStyle w:val="Heading2"/>
      </w:pPr>
      <w:r>
        <w:t xml:space="preserve">ANNEXURE AS — DAMAGE AND DESTRUCTION</w:t>
      </w:r>
    </w:p>
    <w:p>
      <w:pPr>
        <w:pStyle w:val="FirstParagraph"/>
      </w:pPr>
      <w:r>
        <w:t xml:space="preserve">If the Premises or Building are damaged by fire or other cause: (a) Rent abates for unfit portion; (b) If substantially destroyed, either Party may terminate on 15 days' notice; (c) If restorable within 90 days, Lessor shall repair; rent abates during repair; (d) If Lessee caused damage, Lessee pays repair and rent continues. Insurance: each Party maintains as stated. Subrogation waived. Lessee shall not do anything to increase Lessor's premium or vitiate policy.</w:t>
      </w:r>
    </w:p>
    <w:bookmarkEnd w:id="132"/>
    <w:bookmarkStart w:id="133" w:name="annexure-at-default-and-remedies"/>
    <w:p>
      <w:pPr>
        <w:pStyle w:val="Heading2"/>
      </w:pPr>
      <w:r>
        <w:t xml:space="preserve">ANNEXURE AT — DEFAULT AND REMEDIES</w:t>
      </w:r>
    </w:p>
    <w:p>
      <w:pPr>
        <w:pStyle w:val="FirstParagraph"/>
      </w:pPr>
      <w:r>
        <w:rPr>
          <w:b/>
          <w:bCs/>
        </w:rPr>
        <w:t xml:space="preserve">Lessee Default:</w:t>
      </w:r>
      <w:r>
        <w:t xml:space="preserve"> </w:t>
      </w:r>
      <w:r>
        <w:t xml:space="preserve">Non-payment; breach; insolvency; unauthorised use. Cure period: 15 days for payment; 30 days for other breach. Remedies: (a) claim arrears and interest; (b) terminate and re-enter; (c) forfeit deposit (subject to lawful deductions); (d) claim damages. Lessor may re-let; mitigation of damages.</w:t>
      </w:r>
    </w:p>
    <w:p>
      <w:pPr>
        <w:pStyle w:val="BodyText"/>
      </w:pPr>
      <w:r>
        <w:rPr>
          <w:b/>
          <w:bCs/>
        </w:rPr>
        <w:t xml:space="preserve">Lessor Default:</w:t>
      </w:r>
      <w:r>
        <w:t xml:space="preserve"> </w:t>
      </w:r>
      <w:r>
        <w:t xml:space="preserve">Failure to maintain; failure to provide services; breach of covenant. Cure period: 30 days. Remedies: (a) claim damages; (b) abate rent proportionately; (c) terminate if material and not cured. Lessee shall give written notice of default before invoking remedies.</w:t>
      </w:r>
    </w:p>
    <w:bookmarkEnd w:id="133"/>
    <w:bookmarkStart w:id="134" w:name="annexure-au-environmental-indemnity"/>
    <w:p>
      <w:pPr>
        <w:pStyle w:val="Heading2"/>
      </w:pPr>
      <w:r>
        <w:t xml:space="preserve">ANNEXURE AU — ENVIRONMENTAL INDEMNITY</w:t>
      </w:r>
    </w:p>
    <w:p>
      <w:pPr>
        <w:pStyle w:val="FirstParagraph"/>
      </w:pPr>
      <w:r>
        <w:t xml:space="preserve">The Lessee shall indemnify the Lessor for environmental claims arising from the Lessee's use, storage, or disposal of materials. The Lessee shall not bring hazardous materials except as disclosed. Any spill or release: report immediately; remediate at Lessee's cost. The Lessee shall comply with environmental laws. The Lessor shall not be liable for pre-existing contamination unless caused by Lessor.</w:t>
      </w:r>
    </w:p>
    <w:bookmarkEnd w:id="134"/>
    <w:bookmarkStart w:id="135" w:name="annexure-av-signage"/>
    <w:p>
      <w:pPr>
        <w:pStyle w:val="Heading2"/>
      </w:pPr>
      <w:r>
        <w:t xml:space="preserve">ANNEXURE AV — SIGNAGE</w:t>
      </w:r>
    </w:p>
    <w:p>
      <w:pPr>
        <w:pStyle w:val="FirstParagraph"/>
      </w:pPr>
      <w:r>
        <w:t xml:space="preserve">Directory: one line per Lessee. Door signage: as approved. External signage: prior written consent. Specifications: size, placement, materials. Lessor may refuse if inconsistent with Building standards. Cost: Lessee. Removal on vacation. Lessee shall not affix signage without approval.</w:t>
      </w:r>
    </w:p>
    <w:bookmarkEnd w:id="135"/>
    <w:bookmarkStart w:id="136" w:name="annexure-aw-service-interruption"/>
    <w:p>
      <w:pPr>
        <w:pStyle w:val="Heading2"/>
      </w:pPr>
      <w:r>
        <w:t xml:space="preserve">ANNEXURE AW — SERVICE INTERRUPTION</w:t>
      </w:r>
    </w:p>
    <w:p>
      <w:pPr>
        <w:pStyle w:val="FirstParagraph"/>
      </w:pPr>
      <w:r>
        <w:t xml:space="preserve">Temporary interruption of services (power, HVAC, water, elevator) due to repair, maintenance, or force majeure: no rent abatement if (a) Lessor uses reasonable efforts to restore; (b) interruption is brief (less than 48 hours cumulative per month); (c) not caused by Lessor's default. Prolonged interruption: rent abatement for unfit period. The Lessor shall give advance notice of planned interruptions where practicable.</w:t>
      </w:r>
    </w:p>
    <w:bookmarkEnd w:id="136"/>
    <w:bookmarkStart w:id="137" w:name="annexure-ax-assignment-by-lessor"/>
    <w:p>
      <w:pPr>
        <w:pStyle w:val="Heading2"/>
      </w:pPr>
      <w:r>
        <w:t xml:space="preserve">ANNEXURE AX — ASSIGNMENT BY LESSOR</w:t>
      </w:r>
    </w:p>
    <w:p>
      <w:pPr>
        <w:pStyle w:val="FirstParagraph"/>
      </w:pPr>
      <w:r>
        <w:t xml:space="preserve">The Lessor may assign or transfer its interest in the Building. The assignee/transferee shall assume the Lessor's obligations. The Lessee shall attorn to the new Lessor. The Security Deposit may be transferred to the new Lessor. No release of the prior Lessor until new Lessor assumes in writing. The Lessee's consent not required for Lessor's assignment.</w:t>
      </w:r>
    </w:p>
    <w:bookmarkEnd w:id="137"/>
    <w:bookmarkStart w:id="138" w:name="annexure-ay-entire-agreement"/>
    <w:p>
      <w:pPr>
        <w:pStyle w:val="Heading2"/>
      </w:pPr>
      <w:r>
        <w:t xml:space="preserve">ANNEXURE AY — ENTIRE AGREEMENT</w:t>
      </w:r>
    </w:p>
    <w:p>
      <w:pPr>
        <w:pStyle w:val="FirstParagraph"/>
      </w:pPr>
      <w:r>
        <w:t xml:space="preserve">This Lease, with Schedules and Annexures, is the entire agreement. No prior oral or written representations. Amendments only in writing. No waiver unless in writing. Severability. No third-party rights. The Lessee has inspected the Premises and accepts condition. The Lessor has made no warranty except as stated.</w:t>
      </w:r>
    </w:p>
    <w:bookmarkEnd w:id="138"/>
    <w:bookmarkStart w:id="139" w:name="annexure-az-interpretation"/>
    <w:p>
      <w:pPr>
        <w:pStyle w:val="Heading2"/>
      </w:pPr>
      <w:r>
        <w:t xml:space="preserve">ANNEXURE AZ — INTERPRETATION</w:t>
      </w:r>
    </w:p>
    <w:p>
      <w:pPr>
        <w:pStyle w:val="FirstParagraph"/>
      </w:pPr>
      <w:r>
        <w:t xml:space="preserve">Headings for convenience. Singular includes plural. "Include" without limitation. "Days" means calendar days unless "business days". "Writing" includes email. "Reasonable" means reasonable in the circumstances. "Material" means significant. In case of conflict: main body over Schedules; Schedules over Annexures. This Lease shall be construed as a whole. Transfer of Property Act and Indian Contract Act govern.</w:t>
      </w:r>
    </w:p>
    <w:bookmarkEnd w:id="139"/>
    <w:bookmarkStart w:id="140" w:name="annexure-ba-parking-rules"/>
    <w:p>
      <w:pPr>
        <w:pStyle w:val="Heading2"/>
      </w:pPr>
      <w:r>
        <w:t xml:space="preserve">ANNEXURE BA — PARKING RULES</w:t>
      </w:r>
    </w:p>
    <w:p>
      <w:pPr>
        <w:pStyle w:val="FirstParagraph"/>
      </w:pPr>
      <w:r>
        <w:t xml:space="preserve">12 spaces as designated. For Lessee's vehicles only. No storage. No repair. No washing except in designated area. Obstruction of others prohibited. Visitor parking: as per Building policy. Additional spaces: ₹3,000/month if available. Lessor may relocate with 30 days' notice. No subletting of parking.</w:t>
      </w:r>
    </w:p>
    <w:bookmarkEnd w:id="140"/>
    <w:bookmarkStart w:id="141" w:name="annexure-bb-waste-and-recycling"/>
    <w:p>
      <w:pPr>
        <w:pStyle w:val="Heading2"/>
      </w:pPr>
      <w:r>
        <w:t xml:space="preserve">ANNEXURE BB — WASTE AND RECYCLING</w:t>
      </w:r>
    </w:p>
    <w:p>
      <w:pPr>
        <w:pStyle w:val="FirstParagraph"/>
      </w:pPr>
      <w:r>
        <w:t xml:space="preserve">Segregate as per Building policy. Paper, plastic, metal, e-waste. Dispose in designated areas. No hazardous waste in Building waste. E-waste to authorised recycler. Lessee responsible for within-Premises segregation. Building Management may charge for excess or non-compliance.</w:t>
      </w:r>
    </w:p>
    <w:bookmarkEnd w:id="141"/>
    <w:bookmarkStart w:id="142" w:name="annexure-bc-security-procedures"/>
    <w:p>
      <w:pPr>
        <w:pStyle w:val="Heading2"/>
      </w:pPr>
      <w:r>
        <w:t xml:space="preserve">ANNEXURE BC — SECURITY PROCEDURES</w:t>
      </w:r>
    </w:p>
    <w:p>
      <w:pPr>
        <w:pStyle w:val="FirstParagraph"/>
      </w:pPr>
      <w:r>
        <w:t xml:space="preserve">Access cards for authorised personnel. Register with Building Management. Visitors: sign in at lobby. No unauthorised persons. Report suspicious activity. After-hours: access logged. Lost cards: report immediately; ₹500 replacement. Return all cards on vacation. Lessee shall ensure employees comply.</w:t>
      </w:r>
    </w:p>
    <w:bookmarkEnd w:id="142"/>
    <w:bookmarkStart w:id="143" w:name="annexure-bd-meeting-rooms-and-amenities"/>
    <w:p>
      <w:pPr>
        <w:pStyle w:val="Heading2"/>
      </w:pPr>
      <w:r>
        <w:t xml:space="preserve">ANNEXURE BD — MEETING ROOMS AND AMENITIES</w:t>
      </w:r>
    </w:p>
    <w:p>
      <w:pPr>
        <w:pStyle w:val="FirstParagraph"/>
      </w:pPr>
      <w:r>
        <w:t xml:space="preserve">Common meeting rooms may be available. Booking as per Building policy. Charges may apply. Lessee may use its Premises for meetings. Building amenities (gym, cafeteria if any): as per Building rules. Availability may vary.</w:t>
      </w:r>
    </w:p>
    <w:bookmarkEnd w:id="143"/>
    <w:bookmarkStart w:id="144" w:name="annexure-be-condition-report-handover"/>
    <w:p>
      <w:pPr>
        <w:pStyle w:val="Heading2"/>
      </w:pPr>
      <w:r>
        <w:t xml:space="preserve">ANNEXURE BE — CONDITION REPORT (HANDOVER)</w:t>
      </w:r>
    </w:p>
    <w:p>
      <w:pPr>
        <w:pStyle w:val="FirstParagraph"/>
      </w:pPr>
      <w:r>
        <w:t xml:space="preserve">At Commencement: Joint inspection. Photographs. Condition report signed. Baseline for restoration. At Vacation: Joint inspection. Compare to baseline. List damage (fair wear and tear excluded). Lessee to repair or Lessor to deduct from deposit. Disputes: surveyor or mutual agreement.</w:t>
      </w:r>
    </w:p>
    <w:bookmarkEnd w:id="144"/>
    <w:bookmarkStart w:id="145" w:name="annexure-bf-sundry-provisions"/>
    <w:p>
      <w:pPr>
        <w:pStyle w:val="Heading2"/>
      </w:pPr>
      <w:r>
        <w:t xml:space="preserve">ANNEXURE BF — SUNDRY PROVISIONS</w:t>
      </w:r>
    </w:p>
    <w:p>
      <w:pPr>
        <w:pStyle w:val="FirstParagraph"/>
      </w:pPr>
      <w:r>
        <w:rPr>
          <w:b/>
          <w:bCs/>
        </w:rPr>
        <w:t xml:space="preserve">No Merger:</w:t>
      </w:r>
      <w:r>
        <w:t xml:space="preserve"> </w:t>
      </w:r>
      <w:r>
        <w:t xml:space="preserve">The Lease does not merge with any superior interest.</w:t>
      </w:r>
      <w:r>
        <w:t xml:space="preserve"> </w:t>
      </w:r>
      <w:r>
        <w:rPr>
          <w:b/>
          <w:bCs/>
        </w:rPr>
        <w:t xml:space="preserve">No Option:</w:t>
      </w:r>
      <w:r>
        <w:t xml:space="preserve"> </w:t>
      </w:r>
      <w:r>
        <w:t xml:space="preserve">Nothing grants Lessee option to purchase.</w:t>
      </w:r>
      <w:r>
        <w:t xml:space="preserve"> </w:t>
      </w:r>
      <w:r>
        <w:rPr>
          <w:b/>
          <w:bCs/>
        </w:rPr>
        <w:t xml:space="preserve">Time of Essence:</w:t>
      </w:r>
      <w:r>
        <w:t xml:space="preserve"> </w:t>
      </w:r>
      <w:r>
        <w:t xml:space="preserve">For payment and vacation, time is of the essence.</w:t>
      </w:r>
      <w:r>
        <w:t xml:space="preserve"> </w:t>
      </w:r>
      <w:r>
        <w:rPr>
          <w:b/>
          <w:bCs/>
        </w:rPr>
        <w:t xml:space="preserve">Costs:</w:t>
      </w:r>
      <w:r>
        <w:t xml:space="preserve"> </w:t>
      </w:r>
      <w:r>
        <w:t xml:space="preserve">Each Party bears its own legal costs. Stamp and registration: as per practice (typically Lessee).</w:t>
      </w:r>
      <w:r>
        <w:t xml:space="preserve"> </w:t>
      </w:r>
      <w:r>
        <w:rPr>
          <w:b/>
          <w:bCs/>
        </w:rPr>
        <w:t xml:space="preserve">Governing Law:</w:t>
      </w:r>
      <w:r>
        <w:t xml:space="preserve"> </w:t>
      </w:r>
      <w:r>
        <w:t xml:space="preserve">Laws of India.</w:t>
      </w:r>
      <w:r>
        <w:t xml:space="preserve"> </w:t>
      </w:r>
      <w:r>
        <w:rPr>
          <w:b/>
          <w:bCs/>
        </w:rPr>
        <w:t xml:space="preserve">Dispute Resolution:</w:t>
      </w:r>
      <w:r>
        <w:t xml:space="preserve"> </w:t>
      </w:r>
      <w:r>
        <w:t xml:space="preserve">Per Annexure AC.</w:t>
      </w:r>
    </w:p>
    <w:bookmarkEnd w:id="145"/>
    <w:bookmarkStart w:id="146" w:name="annexure-bg-rent-payment"/>
    <w:p>
      <w:pPr>
        <w:pStyle w:val="Heading2"/>
      </w:pPr>
      <w:r>
        <w:t xml:space="preserve">ANNEXURE BG — RENT PAYMENT</w:t>
      </w:r>
    </w:p>
    <w:p>
      <w:pPr>
        <w:pStyle w:val="FirstParagraph"/>
      </w:pPr>
      <w:r>
        <w:t xml:space="preserve">Rent and CAM by 5th of each month. NEFT/RTGS. Late: 18% interest.</w:t>
      </w:r>
    </w:p>
    <w:bookmarkEnd w:id="146"/>
    <w:bookmarkStart w:id="147" w:name="annexure-bh-utility-billing"/>
    <w:p>
      <w:pPr>
        <w:pStyle w:val="Heading2"/>
      </w:pPr>
      <w:r>
        <w:t xml:space="preserve">ANNEXURE BH — UTILITY BILLING</w:t>
      </w:r>
    </w:p>
    <w:p>
      <w:pPr>
        <w:pStyle w:val="FirstParagraph"/>
      </w:pPr>
      <w:r>
        <w:t xml:space="preserve">Electricity: Building invoice. Water: CAM. HVAC after-hours: separate.</w:t>
      </w:r>
    </w:p>
    <w:bookmarkEnd w:id="147"/>
    <w:bookmarkStart w:id="148" w:name="annexure-bi-fit-out"/>
    <w:p>
      <w:pPr>
        <w:pStyle w:val="Heading2"/>
      </w:pPr>
      <w:r>
        <w:t xml:space="preserve">ANNEXURE BI — FIT-OUT</w:t>
      </w:r>
    </w:p>
    <w:p>
      <w:pPr>
        <w:pStyle w:val="FirstParagraph"/>
      </w:pPr>
      <w:r>
        <w:t xml:space="preserve">Complete within 90 days. No rent abatement for delay.</w:t>
      </w:r>
    </w:p>
    <w:bookmarkEnd w:id="148"/>
    <w:bookmarkStart w:id="149" w:name="annexure-bj-repairs"/>
    <w:p>
      <w:pPr>
        <w:pStyle w:val="Heading2"/>
      </w:pPr>
      <w:r>
        <w:t xml:space="preserve">ANNEXURE BJ — REPAIRS</w:t>
      </w:r>
    </w:p>
    <w:p>
      <w:pPr>
        <w:pStyle w:val="FirstParagraph"/>
      </w:pPr>
      <w:r>
        <w:t xml:space="preserve">Lessor: structure; common areas. Lessee: interior; fit-outs.</w:t>
      </w:r>
    </w:p>
    <w:bookmarkEnd w:id="149"/>
    <w:bookmarkStart w:id="150" w:name="annexure-bk-insurance"/>
    <w:p>
      <w:pPr>
        <w:pStyle w:val="Heading2"/>
      </w:pPr>
      <w:r>
        <w:t xml:space="preserve">ANNEXURE BK — INSURANCE</w:t>
      </w:r>
    </w:p>
    <w:p>
      <w:pPr>
        <w:pStyle w:val="FirstParagraph"/>
      </w:pPr>
      <w:r>
        <w:t xml:space="preserve">Notify promptly. Subrogation waived.</w:t>
      </w:r>
    </w:p>
    <w:bookmarkEnd w:id="150"/>
    <w:bookmarkStart w:id="151" w:name="annexure-bl-compliance"/>
    <w:p>
      <w:pPr>
        <w:pStyle w:val="Heading2"/>
      </w:pPr>
      <w:r>
        <w:t xml:space="preserve">ANNEXURE BL — COMPLIANCE</w:t>
      </w:r>
    </w:p>
    <w:p>
      <w:pPr>
        <w:pStyle w:val="FirstParagraph"/>
      </w:pPr>
      <w:r>
        <w:t xml:space="preserve">Lessee: fire safety; insurance. Lessor: title; insurance.</w:t>
      </w:r>
    </w:p>
    <w:bookmarkEnd w:id="151"/>
    <w:bookmarkStart w:id="152" w:name="annexure-bm-force-majeure"/>
    <w:p>
      <w:pPr>
        <w:pStyle w:val="Heading2"/>
      </w:pPr>
      <w:r>
        <w:t xml:space="preserve">ANNEXURE BM — FORCE MAJEURE</w:t>
      </w:r>
    </w:p>
    <w:p>
      <w:pPr>
        <w:pStyle w:val="FirstParagraph"/>
      </w:pPr>
      <w:r>
        <w:t xml:space="preserve">Notify 5 days. Rent abates. Terminate if unfit 90+ days.</w:t>
      </w:r>
    </w:p>
    <w:bookmarkEnd w:id="152"/>
    <w:bookmarkStart w:id="153" w:name="annexure-bn-renewal"/>
    <w:p>
      <w:pPr>
        <w:pStyle w:val="Heading2"/>
      </w:pPr>
      <w:r>
        <w:t xml:space="preserve">ANNEXURE BN — RENEWAL</w:t>
      </w:r>
    </w:p>
    <w:p>
      <w:pPr>
        <w:pStyle w:val="FirstParagraph"/>
      </w:pPr>
      <w:r>
        <w:t xml:space="preserve">Notice by 31 Aug 2027. Lessor responds 30 days.</w:t>
      </w:r>
    </w:p>
    <w:bookmarkEnd w:id="153"/>
    <w:bookmarkStart w:id="154" w:name="annexure-bo-surrender"/>
    <w:p>
      <w:pPr>
        <w:pStyle w:val="Heading2"/>
      </w:pPr>
      <w:r>
        <w:t xml:space="preserve">ANNEXURE BO — SURRENDER</w:t>
      </w:r>
    </w:p>
    <w:p>
      <w:pPr>
        <w:pStyle w:val="FirstParagraph"/>
      </w:pPr>
      <w:r>
        <w:t xml:space="preserve">Vacate; inspection; restore; keys; settlement.</w:t>
      </w:r>
    </w:p>
    <w:bookmarkEnd w:id="154"/>
    <w:bookmarkStart w:id="155" w:name="annexure-bp-no-broker"/>
    <w:p>
      <w:pPr>
        <w:pStyle w:val="Heading2"/>
      </w:pPr>
      <w:r>
        <w:t xml:space="preserve">ANNEXURE BP — NO BROKER</w:t>
      </w:r>
    </w:p>
    <w:p>
      <w:pPr>
        <w:pStyle w:val="FirstParagraph"/>
      </w:pPr>
      <w:r>
        <w:t xml:space="preserve">No broker except disclosed. Each indemnifies for its broker.</w:t>
      </w:r>
    </w:p>
    <w:bookmarkEnd w:id="155"/>
    <w:bookmarkStart w:id="156" w:name="annexure-bq-survival"/>
    <w:p>
      <w:pPr>
        <w:pStyle w:val="Heading2"/>
      </w:pPr>
      <w:r>
        <w:t xml:space="preserve">ANNEXURE BQ — SURVIVAL</w:t>
      </w:r>
    </w:p>
    <w:p>
      <w:pPr>
        <w:pStyle w:val="FirstParagraph"/>
      </w:pPr>
      <w:r>
        <w:t xml:space="preserve">Indemnity, payment obligations survive termination.</w:t>
      </w:r>
    </w:p>
    <w:bookmarkEnd w:id="156"/>
    <w:bookmarkStart w:id="157" w:name="annexure-br-rent-schedule"/>
    <w:p>
      <w:pPr>
        <w:pStyle w:val="Heading2"/>
      </w:pPr>
      <w:r>
        <w:t xml:space="preserve">ANNEXURE BR — RENT SCHEDULE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Rent</w:t>
            </w:r>
          </w:p>
        </w:tc>
        <w:tc>
          <w:tcPr/>
          <w:p>
            <w:pPr>
              <w:pStyle w:val="Compact"/>
            </w:pPr>
            <w:r>
              <w:t xml:space="preserve">CAM</w:t>
            </w:r>
          </w:p>
        </w:tc>
      </w:tr>
      <w:tr>
        <w:tc>
          <w:tcPr/>
          <w:p>
            <w:pPr>
              <w:pStyle w:val="Compact"/>
            </w:pPr>
            <w:r>
              <w:t xml:space="preserve">Y1</w:t>
            </w:r>
          </w:p>
        </w:tc>
        <w:tc>
          <w:tcPr/>
          <w:p>
            <w:pPr>
              <w:pStyle w:val="Compact"/>
            </w:pPr>
            <w:r>
              <w:t xml:space="preserve">4,25,000</w:t>
            </w:r>
          </w:p>
        </w:tc>
        <w:tc>
          <w:tcPr/>
          <w:p>
            <w:pPr>
              <w:pStyle w:val="Compact"/>
            </w:pPr>
            <w:r>
              <w:t xml:space="preserve">1,53,000</w:t>
            </w:r>
          </w:p>
        </w:tc>
      </w:tr>
      <w:tr>
        <w:tc>
          <w:tcPr/>
          <w:p>
            <w:pPr>
              <w:pStyle w:val="Compact"/>
            </w:pPr>
            <w:r>
              <w:t xml:space="preserve">Y2</w:t>
            </w:r>
          </w:p>
        </w:tc>
        <w:tc>
          <w:tcPr/>
          <w:p>
            <w:pPr>
              <w:pStyle w:val="Compact"/>
            </w:pPr>
            <w:r>
              <w:t xml:space="preserve">4,59,000</w:t>
            </w:r>
          </w:p>
        </w:tc>
        <w:tc>
          <w:tcPr/>
          <w:p>
            <w:pPr>
              <w:pStyle w:val="Compact"/>
            </w:pPr>
            <w:r>
              <w:t xml:space="preserve">1,68,300</w:t>
            </w:r>
          </w:p>
        </w:tc>
      </w:tr>
      <w:tr>
        <w:tc>
          <w:tcPr/>
          <w:p>
            <w:pPr>
              <w:pStyle w:val="Compact"/>
            </w:pPr>
            <w:r>
              <w:t xml:space="preserve">Y3</w:t>
            </w:r>
          </w:p>
        </w:tc>
        <w:tc>
          <w:tcPr/>
          <w:p>
            <w:pPr>
              <w:pStyle w:val="Compact"/>
            </w:pPr>
            <w:r>
              <w:t xml:space="preserve">4,95,720</w:t>
            </w:r>
          </w:p>
        </w:tc>
        <w:tc>
          <w:tcPr/>
          <w:p>
            <w:pPr>
              <w:pStyle w:val="Compact"/>
            </w:pPr>
            <w:r>
              <w:t xml:space="preserve">1,85,130</w:t>
            </w:r>
          </w:p>
        </w:tc>
      </w:tr>
    </w:tbl>
    <w:bookmarkEnd w:id="157"/>
    <w:bookmarkStart w:id="158" w:name="annexure-bs-fit-out"/>
    <w:p>
      <w:pPr>
        <w:pStyle w:val="Heading2"/>
      </w:pPr>
      <w:r>
        <w:t xml:space="preserve">ANNEXURE BS — FIT-OUT</w:t>
      </w:r>
    </w:p>
    <w:p>
      <w:pPr>
        <w:pStyle w:val="FirstParagraph"/>
      </w:pPr>
      <w:r>
        <w:t xml:space="preserve">NBC. Fire safety. 150 kg/sqm. Licensed contractors.</w:t>
      </w:r>
    </w:p>
    <w:bookmarkEnd w:id="158"/>
    <w:bookmarkStart w:id="159" w:name="annexure-bt-service-hours"/>
    <w:p>
      <w:pPr>
        <w:pStyle w:val="Heading2"/>
      </w:pPr>
      <w:r>
        <w:t xml:space="preserve">ANNEXURE BT — SERVICE HOURS</w:t>
      </w:r>
    </w:p>
    <w:p>
      <w:pPr>
        <w:pStyle w:val="FirstParagraph"/>
      </w:pPr>
      <w:r>
        <w:t xml:space="preserve">HVAC 8-8 Mon-Sat. Access 24/7. Elevators 24/7.</w:t>
      </w:r>
    </w:p>
    <w:bookmarkEnd w:id="159"/>
    <w:bookmarkStart w:id="160" w:name="annexure-bu-deposit"/>
    <w:p>
      <w:pPr>
        <w:pStyle w:val="Heading2"/>
      </w:pPr>
      <w:r>
        <w:t xml:space="preserve">ANNEXURE BU — DEPOSIT</w:t>
      </w:r>
    </w:p>
    <w:p>
      <w:pPr>
        <w:pStyle w:val="FirstParagraph"/>
      </w:pPr>
      <w:r>
        <w:t xml:space="preserve">Refund 30 days post-vacation. Deductions for arrears, damage.</w:t>
      </w:r>
    </w:p>
    <w:bookmarkEnd w:id="160"/>
    <w:bookmarkStart w:id="161" w:name="annexure-bv-alterations"/>
    <w:p>
      <w:pPr>
        <w:pStyle w:val="Heading2"/>
      </w:pPr>
      <w:r>
        <w:t xml:space="preserve">ANNEXURE BV — ALTERATIONS</w:t>
      </w:r>
    </w:p>
    <w:p>
      <w:pPr>
        <w:pStyle w:val="FirstParagraph"/>
      </w:pPr>
      <w:r>
        <w:t xml:space="preserve">Consent required. 15 days response. Restore at end.</w:t>
      </w:r>
    </w:p>
    <w:bookmarkEnd w:id="161"/>
    <w:bookmarkStart w:id="162" w:name="annexure-bw-default"/>
    <w:p>
      <w:pPr>
        <w:pStyle w:val="Heading2"/>
      </w:pPr>
      <w:r>
        <w:t xml:space="preserve">ANNEXURE BW — DEFAULT</w:t>
      </w:r>
    </w:p>
    <w:p>
      <w:pPr>
        <w:pStyle w:val="FirstParagraph"/>
      </w:pPr>
      <w:r>
        <w:t xml:space="preserve">Payment: 15 days cure. Other: 30 days. Written notice.</w:t>
      </w:r>
    </w:p>
    <w:bookmarkEnd w:id="162"/>
    <w:bookmarkStart w:id="163" w:name="annexure-bx-lease-summary"/>
    <w:p>
      <w:pPr>
        <w:pStyle w:val="Heading2"/>
      </w:pPr>
      <w:r>
        <w:t xml:space="preserve">ANNEXURE BX — LEASE SUMMARY</w:t>
      </w:r>
    </w:p>
    <w:p>
      <w:pPr>
        <w:pStyle w:val="FirstParagraph"/>
      </w:pPr>
      <w:r>
        <w:t xml:space="preserve">36 months. 8,500 sqft. ₹4.25L + 8%. Option 24 months.</w:t>
      </w:r>
    </w:p>
    <w:bookmarkEnd w:id="163"/>
    <w:bookmarkStart w:id="164" w:name="annexure-by-amendments"/>
    <w:p>
      <w:pPr>
        <w:pStyle w:val="Heading2"/>
      </w:pPr>
      <w:r>
        <w:t xml:space="preserve">ANNEXURE BY — AMENDMENTS</w:t>
      </w:r>
    </w:p>
    <w:p>
      <w:pPr>
        <w:pStyle w:val="FirstParagraph"/>
      </w:pPr>
      <w:r>
        <w:t xml:space="preserve">Writing only. No oral. No waiver except writing.</w:t>
      </w:r>
    </w:p>
    <w:bookmarkEnd w:id="164"/>
    <w:bookmarkStart w:id="165" w:name="annexure-bz-assignment"/>
    <w:p>
      <w:pPr>
        <w:pStyle w:val="Heading2"/>
      </w:pPr>
      <w:r>
        <w:t xml:space="preserve">ANNEXURE BZ — ASSIGNMENT</w:t>
      </w:r>
    </w:p>
    <w:p>
      <w:pPr>
        <w:pStyle w:val="FirstParagraph"/>
      </w:pPr>
      <w:r>
        <w:t xml:space="preserve">Lessee: consent required. Lessor: may assign.</w:t>
      </w:r>
    </w:p>
    <w:bookmarkEnd w:id="165"/>
    <w:bookmarkStart w:id="166" w:name="annexure-ca-head-lease"/>
    <w:p>
      <w:pPr>
        <w:pStyle w:val="Heading2"/>
      </w:pPr>
      <w:r>
        <w:t xml:space="preserve">ANNEXURE CA — HEAD LEASE</w:t>
      </w:r>
    </w:p>
    <w:p>
      <w:pPr>
        <w:pStyle w:val="FirstParagraph"/>
      </w:pPr>
      <w:r>
        <w:t xml:space="preserve">Subject to head lease if any. Lessee complies with notice.</w:t>
      </w:r>
    </w:p>
    <w:bookmarkEnd w:id="166"/>
    <w:bookmarkStart w:id="167" w:name="annexure-cb-maintenance-matrix"/>
    <w:p>
      <w:pPr>
        <w:pStyle w:val="Heading2"/>
      </w:pPr>
      <w:r>
        <w:t xml:space="preserve">ANNEXURE CB — MAINTENANCE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Lessor</w:t>
            </w:r>
          </w:p>
        </w:tc>
        <w:tc>
          <w:tcPr/>
          <w:p>
            <w:pPr>
              <w:pStyle w:val="Compact"/>
            </w:pPr>
            <w:r>
              <w:t xml:space="preserve">Lessee</w:t>
            </w:r>
          </w:p>
        </w:tc>
      </w:tr>
      <w:tr>
        <w:tc>
          <w:tcPr/>
          <w:p>
            <w:pPr>
              <w:pStyle w:val="Compact"/>
            </w:pPr>
            <w:r>
              <w:t xml:space="preserve">Structure</w:t>
            </w:r>
          </w:p>
        </w:tc>
        <w:tc>
          <w:tcPr/>
          <w:p>
            <w:pPr>
              <w:pStyle w:val="Compact"/>
            </w:pPr>
            <w:r>
              <w:t xml:space="preserve">✓</w:t>
            </w:r>
          </w:p>
        </w:tc>
        <w:tc>
          <w:tcPr/>
          <w:p>
            <w:pPr>
              <w:pStyle w:val="Compact"/>
            </w:pPr>
          </w:p>
        </w:tc>
      </w:tr>
      <w:tr>
        <w:tc>
          <w:tcPr/>
          <w:p>
            <w:pPr>
              <w:pStyle w:val="Compact"/>
            </w:pPr>
            <w:r>
              <w:t xml:space="preserve">Common areas</w:t>
            </w:r>
          </w:p>
        </w:tc>
        <w:tc>
          <w:tcPr/>
          <w:p>
            <w:pPr>
              <w:pStyle w:val="Compact"/>
            </w:pPr>
            <w:r>
              <w:t xml:space="preserve">✓</w:t>
            </w:r>
          </w:p>
        </w:tc>
        <w:tc>
          <w:tcPr/>
          <w:p>
            <w:pPr>
              <w:pStyle w:val="Compact"/>
            </w:pPr>
          </w:p>
        </w:tc>
      </w:tr>
      <w:tr>
        <w:tc>
          <w:tcPr/>
          <w:p>
            <w:pPr>
              <w:pStyle w:val="Compact"/>
            </w:pPr>
            <w:r>
              <w:t xml:space="preserve">Interior</w:t>
            </w:r>
          </w:p>
        </w:tc>
        <w:tc>
          <w:tcPr/>
          <w:p>
            <w:pPr>
              <w:pStyle w:val="Compact"/>
            </w:pPr>
          </w:p>
        </w:tc>
        <w:tc>
          <w:tcPr/>
          <w:p>
            <w:pPr>
              <w:pStyle w:val="Compact"/>
            </w:pPr>
            <w:r>
              <w:t xml:space="preserve">✓</w:t>
            </w:r>
          </w:p>
        </w:tc>
      </w:tr>
      <w:tr>
        <w:tc>
          <w:tcPr/>
          <w:p>
            <w:pPr>
              <w:pStyle w:val="Compact"/>
            </w:pPr>
            <w:r>
              <w:t xml:space="preserve">Fit-outs</w:t>
            </w:r>
          </w:p>
        </w:tc>
        <w:tc>
          <w:tcPr/>
          <w:p>
            <w:pPr>
              <w:pStyle w:val="Compact"/>
            </w:pPr>
          </w:p>
        </w:tc>
        <w:tc>
          <w:tcPr/>
          <w:p>
            <w:pPr>
              <w:pStyle w:val="Compact"/>
            </w:pPr>
            <w:r>
              <w:t xml:space="preserve">✓</w:t>
            </w:r>
          </w:p>
        </w:tc>
      </w:tr>
    </w:tbl>
    <w:bookmarkEnd w:id="167"/>
    <w:bookmarkStart w:id="168" w:name="annexure-cc-rent-due-dates"/>
    <w:p>
      <w:pPr>
        <w:pStyle w:val="Heading2"/>
      </w:pPr>
      <w:r>
        <w:t xml:space="preserve">ANNEXURE CC — RENT DUE DATES</w:t>
      </w:r>
    </w:p>
    <w:p>
      <w:pPr>
        <w:pStyle w:val="FirstParagraph"/>
      </w:pPr>
      <w:r>
        <w:t xml:space="preserve">5th of each month. First: on Commencement. Pro-rata for partial month.</w:t>
      </w:r>
    </w:p>
    <w:bookmarkEnd w:id="168"/>
    <w:bookmarkStart w:id="169" w:name="annexure-cd-escalation-dates"/>
    <w:p>
      <w:pPr>
        <w:pStyle w:val="Heading2"/>
      </w:pPr>
      <w:r>
        <w:t xml:space="preserve">ANNEXURE CD — ESCALATION DATES</w:t>
      </w:r>
    </w:p>
    <w:p>
      <w:pPr>
        <w:pStyle w:val="FirstParagraph"/>
      </w:pPr>
      <w:r>
        <w:t xml:space="preserve">Annual from Commencement anniversary. Year 2: 8%. Year 3: 8%.</w:t>
      </w:r>
    </w:p>
    <w:bookmarkEnd w:id="169"/>
    <w:bookmarkStart w:id="170" w:name="annexure-ce-notice-periods"/>
    <w:p>
      <w:pPr>
        <w:pStyle w:val="Heading2"/>
      </w:pPr>
      <w:r>
        <w:t xml:space="preserve">ANNEXURE CE — NOTICE PERIODS</w:t>
      </w:r>
    </w:p>
    <w:p>
      <w:pPr>
        <w:pStyle w:val="FirstParagraph"/>
      </w:pPr>
      <w:r>
        <w:t xml:space="preserve">Termination: 30-90 days per Article. Change of address: 15 days. Rule changes: 30 days.</w:t>
      </w:r>
    </w:p>
    <w:bookmarkEnd w:id="170"/>
    <w:bookmarkStart w:id="171" w:name="annexure-cf-insurance-coverage"/>
    <w:p>
      <w:pPr>
        <w:pStyle w:val="Heading2"/>
      </w:pPr>
      <w:r>
        <w:t xml:space="preserve">ANNEXURE CF — INSURANCE COVERAGE</w:t>
      </w:r>
    </w:p>
    <w:p>
      <w:pPr>
        <w:pStyle w:val="FirstParagraph"/>
      </w:pPr>
      <w:r>
        <w:t xml:space="preserve">Lessee: contents; liability ₹1 Cr. Lessor: structure. Certificates on request.</w:t>
      </w:r>
    </w:p>
    <w:bookmarkEnd w:id="171"/>
    <w:bookmarkStart w:id="172" w:name="annexure-cg-parking-allocation"/>
    <w:p>
      <w:pPr>
        <w:pStyle w:val="Heading2"/>
      </w:pPr>
      <w:r>
        <w:t xml:space="preserve">ANNEXURE CG — PARKING ALLOCATION</w:t>
      </w:r>
    </w:p>
    <w:p>
      <w:pPr>
        <w:pStyle w:val="FirstParagraph"/>
      </w:pPr>
      <w:r>
        <w:t xml:space="preserve">12 spaces. B1-45 to B1-56. No subletting. Additional: ₹3,000 if available.</w:t>
      </w:r>
    </w:p>
    <w:bookmarkEnd w:id="172"/>
    <w:bookmarkStart w:id="173" w:name="annexure-ch-access-cards"/>
    <w:p>
      <w:pPr>
        <w:pStyle w:val="Heading2"/>
      </w:pPr>
      <w:r>
        <w:t xml:space="preserve">ANNEXURE CH — ACCESS CARDS</w:t>
      </w:r>
    </w:p>
    <w:p>
      <w:pPr>
        <w:pStyle w:val="FirstParagraph"/>
      </w:pPr>
      <w:r>
        <w:t xml:space="preserve">Per employee. Register with Building. Lost: ₹500. Return on vacation.</w:t>
      </w:r>
    </w:p>
    <w:bookmarkEnd w:id="173"/>
    <w:bookmarkStart w:id="174" w:name="annexure-ci-fire-safety"/>
    <w:p>
      <w:pPr>
        <w:pStyle w:val="Heading2"/>
      </w:pPr>
      <w:r>
        <w:t xml:space="preserve">ANNEXURE CI — FIRE SAFETY</w:t>
      </w:r>
    </w:p>
    <w:p>
      <w:pPr>
        <w:pStyle w:val="FirstParagraph"/>
      </w:pPr>
      <w:r>
        <w:t xml:space="preserve">No blocking exits. Participate drills. Evacuate when alarm. Designate warden.</w:t>
      </w:r>
    </w:p>
    <w:bookmarkEnd w:id="174"/>
    <w:bookmarkStart w:id="175" w:name="annexure-cj-waste"/>
    <w:p>
      <w:pPr>
        <w:pStyle w:val="Heading2"/>
      </w:pPr>
      <w:r>
        <w:t xml:space="preserve">ANNEXURE CJ — WASTE</w:t>
      </w:r>
    </w:p>
    <w:p>
      <w:pPr>
        <w:pStyle w:val="FirstParagraph"/>
      </w:pPr>
      <w:r>
        <w:t xml:space="preserve">Segregate. Designated areas. No hazardous. E-waste to recycler.</w:t>
      </w:r>
    </w:p>
    <w:bookmarkEnd w:id="175"/>
    <w:bookmarkStart w:id="176" w:name="annexure-ck-noise"/>
    <w:p>
      <w:pPr>
        <w:pStyle w:val="Heading2"/>
      </w:pPr>
      <w:r>
        <w:t xml:space="preserve">ANNEXURE CK — NOISE</w:t>
      </w:r>
    </w:p>
    <w:p>
      <w:pPr>
        <w:pStyle w:val="FirstParagraph"/>
      </w:pPr>
      <w:r>
        <w:t xml:space="preserve">No disturbance to other occupants. Reasonable hours for construction.</w:t>
      </w:r>
    </w:p>
    <w:bookmarkEnd w:id="176"/>
    <w:bookmarkStart w:id="177" w:name="annexure-cl-signage"/>
    <w:p>
      <w:pPr>
        <w:pStyle w:val="Heading2"/>
      </w:pPr>
      <w:r>
        <w:t xml:space="preserve">ANNEXURE CL — SIGNAGE</w:t>
      </w:r>
    </w:p>
    <w:p>
      <w:pPr>
        <w:pStyle w:val="FirstParagraph"/>
      </w:pPr>
      <w:r>
        <w:t xml:space="preserve">Directory: one line. Door: approved. External: consent required.</w:t>
      </w:r>
    </w:p>
    <w:bookmarkEnd w:id="177"/>
    <w:bookmarkStart w:id="178" w:name="annexure-cm-deliveries"/>
    <w:p>
      <w:pPr>
        <w:pStyle w:val="Heading2"/>
      </w:pPr>
      <w:r>
        <w:t xml:space="preserve">ANNEXURE CM — DELIVERIES</w:t>
      </w:r>
    </w:p>
    <w:p>
      <w:pPr>
        <w:pStyle w:val="FirstParagraph"/>
      </w:pPr>
      <w:r>
        <w:t xml:space="preserve">Service elevator. Designated hours. Prior notice for large.</w:t>
      </w:r>
    </w:p>
    <w:bookmarkEnd w:id="178"/>
    <w:bookmarkStart w:id="179" w:name="annexure-cn-reception"/>
    <w:p>
      <w:pPr>
        <w:pStyle w:val="Heading2"/>
      </w:pPr>
      <w:r>
        <w:t xml:space="preserve">ANNEXURE CN — RECEPTION</w:t>
      </w:r>
    </w:p>
    <w:p>
      <w:pPr>
        <w:pStyle w:val="FirstParagraph"/>
      </w:pPr>
      <w:r>
        <w:t xml:space="preserve">Register visitors. No unauthorised. Building security.</w:t>
      </w:r>
    </w:p>
    <w:bookmarkEnd w:id="179"/>
    <w:bookmarkStart w:id="180" w:name="annexure-co-lease-execution"/>
    <w:p>
      <w:pPr>
        <w:pStyle w:val="Heading2"/>
      </w:pPr>
      <w:r>
        <w:t xml:space="preserve">ANNEXURE CO — LEASE EXECUTION</w:t>
      </w:r>
    </w:p>
    <w:p>
      <w:pPr>
        <w:pStyle w:val="FirstParagraph"/>
      </w:pPr>
      <w:r>
        <w:t xml:space="preserve">Effective on Commencement. Stamp and register as required. Counterparts valid.</w:t>
      </w:r>
    </w:p>
    <w:bookmarkEnd w:id="180"/>
    <w:bookmarkStart w:id="181" w:name="annexure-cp-rent-increase-notice"/>
    <w:p>
      <w:pPr>
        <w:pStyle w:val="Heading2"/>
      </w:pPr>
      <w:r>
        <w:t xml:space="preserve">ANNEXURE CP — RENT INCREASE NOTICE</w:t>
      </w:r>
    </w:p>
    <w:p>
      <w:pPr>
        <w:pStyle w:val="FirstParagraph"/>
      </w:pPr>
      <w:r>
        <w:t xml:space="preserve">Annual escalation automatic. No notice for contractual 8%. CAM increase: 60 days notice. Maximum 10% per year unless agreed.</w:t>
      </w:r>
    </w:p>
    <w:bookmarkEnd w:id="181"/>
    <w:bookmarkStart w:id="182" w:name="annexure-cq-late-fee"/>
    <w:p>
      <w:pPr>
        <w:pStyle w:val="Heading2"/>
      </w:pPr>
      <w:r>
        <w:t xml:space="preserve">ANNEXURE CQ — LATE FEE</w:t>
      </w:r>
    </w:p>
    <w:p>
      <w:pPr>
        <w:pStyle w:val="FirstParagraph"/>
      </w:pPr>
      <w:r>
        <w:t xml:space="preserve">Rent overdue: 18% per annum from due date. Additional: ₹5,000 per bounce/ECS failure. Cumulative. Does not waive termination rights.</w:t>
      </w:r>
    </w:p>
    <w:bookmarkEnd w:id="182"/>
    <w:bookmarkStart w:id="183" w:name="annexure-cr-restoration-cost"/>
    <w:p>
      <w:pPr>
        <w:pStyle w:val="Heading2"/>
      </w:pPr>
      <w:r>
        <w:t xml:space="preserve">ANNEXURE CR — RESTORATION COST</w:t>
      </w:r>
    </w:p>
    <w:p>
      <w:pPr>
        <w:pStyle w:val="FirstParagraph"/>
      </w:pPr>
      <w:r>
        <w:t xml:space="preserve">If Lessee fails to restore, Lessor may do so and deduct from deposit. Estimate in advance. Balance of deposit refunded. Excess: Lessee pays.</w:t>
      </w:r>
    </w:p>
    <w:bookmarkEnd w:id="183"/>
    <w:bookmarkStart w:id="184" w:name="annexure-cs-mortgagee-notice"/>
    <w:p>
      <w:pPr>
        <w:pStyle w:val="Heading2"/>
      </w:pPr>
      <w:r>
        <w:t xml:space="preserve">ANNEXURE CS — MORTGAGEE NOTICE</w:t>
      </w:r>
    </w:p>
    <w:p>
      <w:pPr>
        <w:pStyle w:val="FirstParagraph"/>
      </w:pPr>
      <w:r>
        <w:t xml:space="preserve">If Lessor has mortgaged Building, Lessee may request notice of mortgagee. Lessee shall not knowingly do anything to jeopardise mortgage. Attornment on request.</w:t>
      </w:r>
    </w:p>
    <w:bookmarkEnd w:id="184"/>
    <w:bookmarkStart w:id="185" w:name="annexure-ct-environmental-questionnaire"/>
    <w:p>
      <w:pPr>
        <w:pStyle w:val="Heading2"/>
      </w:pPr>
      <w:r>
        <w:t xml:space="preserve">ANNEXURE CT — ENVIRONMENTAL QUESTIONNAIRE</w:t>
      </w:r>
    </w:p>
    <w:p>
      <w:pPr>
        <w:pStyle w:val="FirstParagraph"/>
      </w:pPr>
      <w:r>
        <w:t xml:space="preserve">Lessee to complete: use of hazardous materials; waste type; emissions. Updates on material change. Lessor may require remediation plan. Compliance with environmental law.</w:t>
      </w:r>
    </w:p>
    <w:bookmarkEnd w:id="185"/>
    <w:bookmarkStart w:id="186" w:name="annexure-cu-indemnity-scope"/>
    <w:p>
      <w:pPr>
        <w:pStyle w:val="Heading2"/>
      </w:pPr>
      <w:r>
        <w:t xml:space="preserve">ANNEXURE CU — INDEMNITY SCOPE</w:t>
      </w:r>
    </w:p>
    <w:p>
      <w:pPr>
        <w:pStyle w:val="FirstParagraph"/>
      </w:pPr>
      <w:r>
        <w:t xml:space="preserve">Lessee indemnifies: use; breach; acts of invitees; alterations; environmental from use. Lessor indemnifies: title; structural defect; Lessor's breach. Prompt notice. Control of defence. No adverse settlement.</w:t>
      </w:r>
    </w:p>
    <w:bookmarkEnd w:id="186"/>
    <w:bookmarkStart w:id="187" w:name="annexure-cv-dispute-notice"/>
    <w:p>
      <w:pPr>
        <w:pStyle w:val="Heading2"/>
      </w:pPr>
      <w:r>
        <w:t xml:space="preserve">ANNEXURE CV — DISPUTE NOTICE</w:t>
      </w:r>
    </w:p>
    <w:p>
      <w:pPr>
        <w:pStyle w:val="FirstParagraph"/>
      </w:pPr>
      <w:r>
        <w:t xml:space="preserve">Before arbitration: written notice. Describe dispute. Request meeting. 7 days for Level 1. 14 days for Level 2. 30 days total before arbitration.</w:t>
      </w:r>
    </w:p>
    <w:bookmarkEnd w:id="187"/>
    <w:bookmarkStart w:id="188" w:name="annexure-cw-arbitration-seat"/>
    <w:p>
      <w:pPr>
        <w:pStyle w:val="Heading2"/>
      </w:pPr>
      <w:r>
        <w:t xml:space="preserve">ANNEXURE CW — ARBITRATION SEAT</w:t>
      </w:r>
    </w:p>
    <w:p>
      <w:pPr>
        <w:pStyle w:val="FirstParagraph"/>
      </w:pPr>
      <w:r>
        <w:t xml:space="preserve">Seat: Bangalore. Venue: as agreed or Bangalore. Language: English. Tribunal: sole arbitrator. Appointment: mutual or Court. Award: final, binding.</w:t>
      </w:r>
    </w:p>
    <w:bookmarkEnd w:id="188"/>
    <w:bookmarkStart w:id="189" w:name="annexure-cx-stamp-duty"/>
    <w:p>
      <w:pPr>
        <w:pStyle w:val="Heading2"/>
      </w:pPr>
      <w:r>
        <w:t xml:space="preserve">ANNEXURE CX — STAMP DUTY</w:t>
      </w:r>
    </w:p>
    <w:p>
      <w:pPr>
        <w:pStyle w:val="FirstParagraph"/>
      </w:pPr>
      <w:r>
        <w:t xml:space="preserve">Karnataka Stamp Act. Lease of immovable property. Duty on rent × term. Payment before execution. Adjudication if unsure. Registration: Sub-Registrar, Bangalore.</w:t>
      </w:r>
    </w:p>
    <w:bookmarkEnd w:id="189"/>
    <w:bookmarkStart w:id="190" w:name="annexure-cy-registration"/>
    <w:p>
      <w:pPr>
        <w:pStyle w:val="Heading2"/>
      </w:pPr>
      <w:r>
        <w:t xml:space="preserve">ANNEXURE CY — REGISTRATION</w:t>
      </w:r>
    </w:p>
    <w:p>
      <w:pPr>
        <w:pStyle w:val="FirstParagraph"/>
      </w:pPr>
      <w:r>
        <w:t xml:space="preserve">Registration Act, 1908. Recommended for validity and priority. Present within 4 months. Copy to Lessee. Fees as per practice.</w:t>
      </w:r>
    </w:p>
    <w:bookmarkEnd w:id="190"/>
    <w:bookmarkStart w:id="191" w:name="annexure-cz-lease-commencement"/>
    <w:p>
      <w:pPr>
        <w:pStyle w:val="Heading2"/>
      </w:pPr>
      <w:r>
        <w:t xml:space="preserve">ANNEXURE CZ — LEASE COMMENCEMENT</w:t>
      </w:r>
    </w:p>
    <w:p>
      <w:pPr>
        <w:pStyle w:val="FirstParagraph"/>
      </w:pPr>
      <w:r>
        <w:t xml:space="preserve">1 March 2025. Possession on that date. Rent from that date. First month paid in advance. Fit-out period: rent continues. No abatement for fit-out.</w:t>
      </w:r>
    </w:p>
    <w:bookmarkEnd w:id="191"/>
    <w:bookmarkStart w:id="192" w:name="annexure-da-lease-expiry"/>
    <w:p>
      <w:pPr>
        <w:pStyle w:val="Heading2"/>
      </w:pPr>
      <w:r>
        <w:t xml:space="preserve">ANNEXURE DA — LEASE EXPIRY</w:t>
      </w:r>
    </w:p>
    <w:p>
      <w:pPr>
        <w:pStyle w:val="FirstParagraph"/>
      </w:pPr>
      <w:r>
        <w:t xml:space="preserve">28 February 2028. Unless renewed. Vacation by midnight. Keys returned. Inspection. Settlement. No holdover without agreement.</w:t>
      </w:r>
    </w:p>
    <w:bookmarkEnd w:id="192"/>
    <w:bookmarkStart w:id="193" w:name="annexure-db-renewal-rent-cap"/>
    <w:p>
      <w:pPr>
        <w:pStyle w:val="Heading2"/>
      </w:pPr>
      <w:r>
        <w:t xml:space="preserve">ANNEXURE DB — RENEWAL RENT CAP</w:t>
      </w:r>
    </w:p>
    <w:p>
      <w:pPr>
        <w:pStyle w:val="FirstParagraph"/>
      </w:pPr>
      <w:r>
        <w:t xml:space="preserve">Maximum 115% of Year 3 rent. Negotiation may yield less. CAM at prevailing. Other terms as agreed.</w:t>
      </w:r>
    </w:p>
    <w:bookmarkEnd w:id="193"/>
    <w:bookmarkStart w:id="194" w:name="annexure-dc-lessee-acknowledgment"/>
    <w:p>
      <w:pPr>
        <w:pStyle w:val="Heading2"/>
      </w:pPr>
      <w:r>
        <w:t xml:space="preserve">ANNEXURE DC — LESSEE ACKNOWLEDGMENT</w:t>
      </w:r>
    </w:p>
    <w:p>
      <w:pPr>
        <w:pStyle w:val="FirstParagraph"/>
      </w:pPr>
      <w:r>
        <w:t xml:space="preserve">Lessee has read the Lease. Lessee accepts terms. Lessee has had legal advice opportunity. Lessee will perform all covenants. Lessee accepts Premises condition.</w:t>
      </w:r>
    </w:p>
    <w:bookmarkEnd w:id="194"/>
    <w:bookmarkStart w:id="195" w:name="annexure-dd-lessor-representations"/>
    <w:p>
      <w:pPr>
        <w:pStyle w:val="Heading2"/>
      </w:pPr>
      <w:r>
        <w:t xml:space="preserve">ANNEXURE DD — LESSOR REPRESENTATIONS</w:t>
      </w:r>
    </w:p>
    <w:p>
      <w:pPr>
        <w:pStyle w:val="FirstParagraph"/>
      </w:pPr>
      <w:r>
        <w:t xml:space="preserve">Lessor has title. Right to lease. No undisclosed encumbrances preventing lease. Building compliant with law. Services available. Disclosed known defects.</w:t>
      </w:r>
    </w:p>
    <w:bookmarkEnd w:id="195"/>
    <w:bookmarkStart w:id="196" w:name="annexure-de-lessee-representations"/>
    <w:p>
      <w:pPr>
        <w:pStyle w:val="Heading2"/>
      </w:pPr>
      <w:r>
        <w:t xml:space="preserve">ANNEXURE DE — LESSEE REPRESENTATIONS</w:t>
      </w:r>
    </w:p>
    <w:p>
      <w:pPr>
        <w:pStyle w:val="FirstParagraph"/>
      </w:pPr>
      <w:r>
        <w:t xml:space="preserve">Duly authorised. Will use for Permitted Use. Will comply with law. Will maintain insurance. Will pay rent. Will restore on vacation.</w:t>
      </w:r>
    </w:p>
    <w:bookmarkEnd w:id="196"/>
    <w:bookmarkStart w:id="197" w:name="annexure-df-registration-costs"/>
    <w:p>
      <w:pPr>
        <w:pStyle w:val="Heading2"/>
      </w:pPr>
      <w:r>
        <w:t xml:space="preserve">ANNEXURE DF — REGISTRATION COSTS</w:t>
      </w:r>
    </w:p>
    <w:p>
      <w:pPr>
        <w:pStyle w:val="FirstParagraph"/>
      </w:pPr>
      <w:r>
        <w:t xml:space="preserve">Stamp duty: per Karnataka Stamp Act. Registration: Sub-Registrar. Costs: as per practice (typically Lessee). Parties cooperate.</w:t>
      </w:r>
    </w:p>
    <w:bookmarkEnd w:id="197"/>
    <w:bookmarkStart w:id="198" w:name="annexure-dg-tds-certificate"/>
    <w:p>
      <w:pPr>
        <w:pStyle w:val="Heading2"/>
      </w:pPr>
      <w:r>
        <w:t xml:space="preserve">ANNEXURE DG — TDS CERTIFICATE</w:t>
      </w:r>
    </w:p>
    <w:p>
      <w:pPr>
        <w:pStyle w:val="FirstParagraph"/>
      </w:pPr>
      <w:r>
        <w:t xml:space="preserve">Lessee to deduct TDS if applicable. Provide Form 16A. Lessor to provide PAN. Rate as per Income Tax Act.</w:t>
      </w:r>
    </w:p>
    <w:bookmarkEnd w:id="198"/>
    <w:bookmarkStart w:id="199" w:name="annexure-dh-gst-input-credit"/>
    <w:p>
      <w:pPr>
        <w:pStyle w:val="Heading2"/>
      </w:pPr>
      <w:r>
        <w:t xml:space="preserve">ANNEXURE DH — GST INPUT CREDIT</w:t>
      </w:r>
    </w:p>
    <w:p>
      <w:pPr>
        <w:pStyle w:val="FirstParagraph"/>
      </w:pPr>
      <w:r>
        <w:t xml:space="preserve">Lessor issues tax invoice. Lessee may claim input credit if registered. Lessee to provide GSTIN. Place of supply: Karnataka.</w:t>
      </w:r>
    </w:p>
    <w:bookmarkEnd w:id="199"/>
    <w:bookmarkStart w:id="200" w:name="annexure-di-sub-letting-fee"/>
    <w:p>
      <w:pPr>
        <w:pStyle w:val="Heading2"/>
      </w:pPr>
      <w:r>
        <w:t xml:space="preserve">ANNEXURE DI — SUB-LETTING FEE</w:t>
      </w:r>
    </w:p>
    <w:p>
      <w:pPr>
        <w:pStyle w:val="FirstParagraph"/>
      </w:pPr>
      <w:r>
        <w:t xml:space="preserve">If Lessor consents to subletting: administration fee up to ₹50,000. Deed of covenant. Lessee remains liable. Use same.</w:t>
      </w:r>
    </w:p>
    <w:bookmarkEnd w:id="200"/>
    <w:bookmarkStart w:id="201" w:name="annexure-dj-assignment-fee"/>
    <w:p>
      <w:pPr>
        <w:pStyle w:val="Heading2"/>
      </w:pPr>
      <w:r>
        <w:t xml:space="preserve">ANNEXURE DJ — ASSIGNMENT FEE</w:t>
      </w:r>
    </w:p>
    <w:p>
      <w:pPr>
        <w:pStyle w:val="FirstParagraph"/>
      </w:pPr>
      <w:r>
        <w:t xml:space="preserve">If Lessor consents to assignment: fee up to ₹50,000. Assignee executes deed. Assignee to demonstrate capability. Lessee released only if agreed.</w:t>
      </w:r>
    </w:p>
    <w:bookmarkEnd w:id="201"/>
    <w:bookmarkStart w:id="202" w:name="annexure-dk-lost-key-fee"/>
    <w:p>
      <w:pPr>
        <w:pStyle w:val="Heading2"/>
      </w:pPr>
      <w:r>
        <w:t xml:space="preserve">ANNEXURE DK — LOST KEY FEE</w:t>
      </w:r>
    </w:p>
    <w:p>
      <w:pPr>
        <w:pStyle w:val="FirstParagraph"/>
      </w:pPr>
      <w:r>
        <w:t xml:space="preserve">Replacement access card: ₹500. Lost key: ₹500. Report immediately. Building may change locks if security concern.</w:t>
      </w:r>
    </w:p>
    <w:bookmarkEnd w:id="202"/>
    <w:bookmarkStart w:id="203" w:name="annexure-dl-after-hours-hvac"/>
    <w:p>
      <w:pPr>
        <w:pStyle w:val="Heading2"/>
      </w:pPr>
      <w:r>
        <w:t xml:space="preserve">ANNEXURE DL — AFTER-HOURS HVAC</w:t>
      </w:r>
    </w:p>
    <w:p>
      <w:pPr>
        <w:pStyle w:val="FirstParagraph"/>
      </w:pPr>
      <w:r>
        <w:t xml:space="preserve">₹2,500 per hour. Minimum 2 hours. Request 24 hours ahead. Subject to availability. Billed separately.</w:t>
      </w:r>
    </w:p>
    <w:bookmarkEnd w:id="203"/>
    <w:bookmarkStart w:id="204" w:name="annexure-dm-additional-parking"/>
    <w:p>
      <w:pPr>
        <w:pStyle w:val="Heading2"/>
      </w:pPr>
      <w:r>
        <w:t xml:space="preserve">ANNEXURE DM — ADDITIONAL PARKING</w:t>
      </w:r>
    </w:p>
    <w:p>
      <w:pPr>
        <w:pStyle w:val="FirstParagraph"/>
      </w:pPr>
      <w:r>
        <w:t xml:space="preserve">₹3,000 per space per month. Subject to availability. Same terms. No subletting. Visitor parking as Building policy.</w:t>
      </w:r>
    </w:p>
    <w:bookmarkEnd w:id="204"/>
    <w:bookmarkStart w:id="205" w:name="annexure-dn-building-management"/>
    <w:p>
      <w:pPr>
        <w:pStyle w:val="Heading2"/>
      </w:pPr>
      <w:r>
        <w:t xml:space="preserve">ANNEXURE DN — BUILDING MANAGEMENT</w:t>
      </w:r>
    </w:p>
    <w:p>
      <w:pPr>
        <w:pStyle w:val="FirstParagraph"/>
      </w:pPr>
      <w:r>
        <w:t xml:space="preserve">TechPark Facilities Pvt Ltd. Contact: bmc@techpark.in. For maintenance. Security. Complaints. Emergencies.</w:t>
      </w:r>
    </w:p>
    <w:bookmarkEnd w:id="205"/>
    <w:bookmarkStart w:id="206" w:name="annexure-do-lease-deed-reference"/>
    <w:p>
      <w:pPr>
        <w:pStyle w:val="Heading2"/>
      </w:pPr>
      <w:r>
        <w:t xml:space="preserve">ANNEXURE DO — LEASE DEED REFERENCE</w:t>
      </w:r>
    </w:p>
    <w:p>
      <w:pPr>
        <w:pStyle w:val="FirstParagraph"/>
      </w:pPr>
      <w:r>
        <w:t xml:space="preserve">CL/BLR/2025/1122. 20 February 2025. Heritage Properties. CloudNine Tech. 36 months. 8,500 sqft. Marathahalli. Bangalore.</w:t>
      </w:r>
    </w:p>
    <w:bookmarkEnd w:id="206"/>
    <w:bookmarkStart w:id="207" w:name="annexure-dp-rent-calculation"/>
    <w:p>
      <w:pPr>
        <w:pStyle w:val="Heading2"/>
      </w:pPr>
      <w:r>
        <w:t xml:space="preserve">ANNEXURE DP — RENT CALCULATION</w:t>
      </w:r>
    </w:p>
    <w:p>
      <w:pPr>
        <w:pStyle w:val="FirstParagraph"/>
      </w:pPr>
      <w:r>
        <w:t xml:space="preserve">Base: ₹4,25,000. Year 2: ×1.08 = ₹4,59,000. Year 3: ×1.08 = ₹4,95,720. CAM separate. GST extra.</w:t>
      </w:r>
    </w:p>
    <w:bookmarkEnd w:id="207"/>
    <w:bookmarkStart w:id="208" w:name="annexure-dq-deposit-calculation"/>
    <w:p>
      <w:pPr>
        <w:pStyle w:val="Heading2"/>
      </w:pPr>
      <w:r>
        <w:t xml:space="preserve">ANNEXURE DQ — DEPOSIT CALCULATION</w:t>
      </w:r>
    </w:p>
    <w:p>
      <w:pPr>
        <w:pStyle w:val="FirstParagraph"/>
      </w:pPr>
      <w:r>
        <w:t xml:space="preserve">3 × ₹4,25,000 = ₹12,75,000. Payable before Commencement. Refundable. No interest. Deductions only for dues.</w:t>
      </w:r>
    </w:p>
    <w:bookmarkEnd w:id="208"/>
    <w:bookmarkStart w:id="209" w:name="annexure-dr-cam-breakdown"/>
    <w:p>
      <w:pPr>
        <w:pStyle w:val="Heading2"/>
      </w:pPr>
      <w:r>
        <w:t xml:space="preserve">ANNEXURE DR — CAM BREAKDOWN</w:t>
      </w:r>
    </w:p>
    <w:p>
      <w:pPr>
        <w:pStyle w:val="FirstParagraph"/>
      </w:pPr>
      <w:r>
        <w:t xml:space="preserve">₹18/sqft × 8,500 = ₹1,53,000/month. Covers: common area; elevators; security; management. Revised annually. Max 10%.</w:t>
      </w:r>
    </w:p>
    <w:bookmarkEnd w:id="209"/>
    <w:bookmarkStart w:id="210" w:name="annexure-ds-utility-charges"/>
    <w:p>
      <w:pPr>
        <w:pStyle w:val="Heading2"/>
      </w:pPr>
      <w:r>
        <w:t xml:space="preserve">ANNEXURE DS — UTILITY CHARGES</w:t>
      </w:r>
    </w:p>
    <w:p>
      <w:pPr>
        <w:pStyle w:val="FirstParagraph"/>
      </w:pPr>
      <w:r>
        <w:t xml:space="preserve">Electricity: meter. Water: CAM. HVAC: building hours included. After-hours: ₹2,500/hr. Generator: proportionate.</w:t>
      </w:r>
    </w:p>
    <w:bookmarkEnd w:id="210"/>
    <w:bookmarkStart w:id="211" w:name="annexure-dt-fit-out-period"/>
    <w:p>
      <w:pPr>
        <w:pStyle w:val="Heading2"/>
      </w:pPr>
      <w:r>
        <w:t xml:space="preserve">ANNEXURE DT — FIT-OUT PERIOD</w:t>
      </w:r>
    </w:p>
    <w:p>
      <w:pPr>
        <w:pStyle w:val="FirstParagraph"/>
      </w:pPr>
      <w:r>
        <w:t xml:space="preserve">90 days from Commencement. No rent abatement. Complete by Day 90. Extensions: force majeure only.</w:t>
      </w:r>
    </w:p>
    <w:bookmarkEnd w:id="211"/>
    <w:bookmarkStart w:id="212" w:name="annexure-du-inspection-rights"/>
    <w:p>
      <w:pPr>
        <w:pStyle w:val="Heading2"/>
      </w:pPr>
      <w:r>
        <w:t xml:space="preserve">ANNEXURE DU — INSPECTION RIGHTS</w:t>
      </w:r>
    </w:p>
    <w:p>
      <w:pPr>
        <w:pStyle w:val="FirstParagraph"/>
      </w:pPr>
      <w:r>
        <w:t xml:space="preserve">Lessor may enter with notice. Business hours. Except emergency. For: inspection; repair; showing (last 6 months).</w:t>
      </w:r>
    </w:p>
    <w:bookmarkEnd w:id="212"/>
    <w:bookmarkStart w:id="213" w:name="annexure-dv-alteration-restoration"/>
    <w:p>
      <w:pPr>
        <w:pStyle w:val="Heading2"/>
      </w:pPr>
      <w:r>
        <w:t xml:space="preserve">ANNEXURE DV — ALTERATION RESTORATION</w:t>
      </w:r>
    </w:p>
    <w:p>
      <w:pPr>
        <w:pStyle w:val="FirstParagraph"/>
      </w:pPr>
      <w:r>
        <w:t xml:space="preserve">At end: restore to base condition. Unless Lessor elects to retain in writing. Cost: Lessee. Timeline: by vacation.</w:t>
      </w:r>
    </w:p>
    <w:bookmarkEnd w:id="213"/>
    <w:bookmarkStart w:id="214" w:name="annexure-dw-early-termination-fee"/>
    <w:p>
      <w:pPr>
        <w:pStyle w:val="Heading2"/>
      </w:pPr>
      <w:r>
        <w:t xml:space="preserve">ANNEXURE DW — EARLY TERMINATION FEE</w:t>
      </w:r>
    </w:p>
    <w:p>
      <w:pPr>
        <w:pStyle w:val="FirstParagraph"/>
      </w:pPr>
      <w:r>
        <w:t xml:space="preserve">3 months' rent. Payable if Lessee terminates for convenience. Proportionate refund if Lessor relets within 60 days.</w:t>
      </w:r>
    </w:p>
    <w:bookmarkEnd w:id="214"/>
    <w:bookmarkStart w:id="215" w:name="annexure-dx-holding-over-rate"/>
    <w:p>
      <w:pPr>
        <w:pStyle w:val="Heading2"/>
      </w:pPr>
      <w:r>
        <w:t xml:space="preserve">ANNEXURE DX — HOLDING OVER RATE</w:t>
      </w:r>
    </w:p>
    <w:p>
      <w:pPr>
        <w:pStyle w:val="FirstParagraph"/>
      </w:pPr>
      <w:r>
        <w:t xml:space="preserve">First 30 days: 150% of last rent. Thereafter: 200%. No tenancy created. Either may terminate holding over.</w:t>
      </w:r>
    </w:p>
    <w:bookmarkEnd w:id="215"/>
    <w:bookmarkStart w:id="216" w:name="annexure-dy-default-interest"/>
    <w:p>
      <w:pPr>
        <w:pStyle w:val="Heading2"/>
      </w:pPr>
      <w:r>
        <w:t xml:space="preserve">ANNEXURE DY — DEFAULT INTEREST</w:t>
      </w:r>
    </w:p>
    <w:p>
      <w:pPr>
        <w:pStyle w:val="FirstParagraph"/>
      </w:pPr>
      <w:r>
        <w:t xml:space="preserve">18% per annum on overdue amounts. From due date. Compoundable. In addition to other remedies.</w:t>
      </w:r>
    </w:p>
    <w:bookmarkEnd w:id="216"/>
    <w:bookmarkStart w:id="217" w:name="annexure-dz-quiet-enjoyment"/>
    <w:p>
      <w:pPr>
        <w:pStyle w:val="Heading2"/>
      </w:pPr>
      <w:r>
        <w:t xml:space="preserve">ANNEXURE DZ — QUIET ENJOYMENT</w:t>
      </w:r>
    </w:p>
    <w:p>
      <w:pPr>
        <w:pStyle w:val="FirstParagraph"/>
      </w:pPr>
      <w:r>
        <w:t xml:space="preserve">Lessor warrants peaceful possession. No interruption if Lessee performs. Except: permitted entry; repair; force majeure.</w:t>
      </w:r>
    </w:p>
    <w:bookmarkEnd w:id="217"/>
    <w:bookmarkStart w:id="218" w:name="annexure-ea-title-covenant"/>
    <w:p>
      <w:pPr>
        <w:pStyle w:val="Heading2"/>
      </w:pPr>
      <w:r>
        <w:t xml:space="preserve">ANNEXURE EA — TITLE COVENANT</w:t>
      </w:r>
    </w:p>
    <w:p>
      <w:pPr>
        <w:pStyle w:val="FirstParagraph"/>
      </w:pPr>
      <w:r>
        <w:t xml:space="preserve">Lessor has right to lease. No encumbrance preventing. Subject to head lease if any. Lessee may request evidence.</w:t>
      </w:r>
    </w:p>
    <w:bookmarkEnd w:id="218"/>
    <w:bookmarkStart w:id="219" w:name="annexure-eb-compliance-covenant"/>
    <w:p>
      <w:pPr>
        <w:pStyle w:val="Heading2"/>
      </w:pPr>
      <w:r>
        <w:t xml:space="preserve">ANNEXURE EB — COMPLIANCE COVENANT</w:t>
      </w:r>
    </w:p>
    <w:p>
      <w:pPr>
        <w:pStyle w:val="FirstParagraph"/>
      </w:pPr>
      <w:r>
        <w:t xml:space="preserve">Lessee shall comply with all laws. Fire. Labour. Environmental. Municipal. Display notices. Obtain licences.</w:t>
      </w:r>
    </w:p>
    <w:bookmarkEnd w:id="219"/>
    <w:bookmarkStart w:id="220" w:name="annexure-ec-lease-execution-date"/>
    <w:p>
      <w:pPr>
        <w:pStyle w:val="Heading2"/>
      </w:pPr>
      <w:r>
        <w:t xml:space="preserve">ANNEXURE EC — LEASE EXECUTION DATE</w:t>
      </w:r>
    </w:p>
    <w:p>
      <w:pPr>
        <w:pStyle w:val="FirstParagraph"/>
      </w:pPr>
      <w:r>
        <w:t xml:space="preserve">20 February 2025. Effective 1 March 2025. Parties to sign. Stamp. Register. Exchange copies.</w:t>
      </w:r>
    </w:p>
    <w:bookmarkEnd w:id="220"/>
    <w:bookmarkStart w:id="221" w:name="annexure-ed-lease-completion"/>
    <w:p>
      <w:pPr>
        <w:pStyle w:val="Heading2"/>
      </w:pPr>
      <w:r>
        <w:t xml:space="preserve">ANNEXURE ED — LEASE COMPLETION</w:t>
      </w:r>
    </w:p>
    <w:p>
      <w:pPr>
        <w:pStyle w:val="FirstParagraph"/>
      </w:pPr>
      <w:r>
        <w:t xml:space="preserve">Heritage Properties. CloudNine Tech. Commercial Lease. 36 months. 8,500 sqft. Bangalore. Complete.</w:t>
      </w:r>
    </w:p>
    <w:bookmarkEnd w:id="221"/>
    <w:bookmarkStart w:id="222" w:name="annexure-ee-lessee-contact"/>
    <w:p>
      <w:pPr>
        <w:pStyle w:val="Heading2"/>
      </w:pPr>
      <w:r>
        <w:t xml:space="preserve">ANNEXURE EE — LESSEE CONTACT</w:t>
      </w:r>
    </w:p>
    <w:p>
      <w:pPr>
        <w:pStyle w:val="FirstParagraph"/>
      </w:pPr>
      <w:r>
        <w:t xml:space="preserve">CloudNine Tech Services India Pvt Ltd. Premises: Unit 301-305 during term. Registered: 5-12-89 Hitech City, Hyderabad. admin@cloudninetch.com.</w:t>
      </w:r>
    </w:p>
    <w:bookmarkEnd w:id="222"/>
    <w:bookmarkStart w:id="223" w:name="annexure-ef-lessor-contact"/>
    <w:p>
      <w:pPr>
        <w:pStyle w:val="Heading2"/>
      </w:pPr>
      <w:r>
        <w:t xml:space="preserve">ANNEXURE EF — LESSOR CONTACT</w:t>
      </w:r>
    </w:p>
    <w:p>
      <w:pPr>
        <w:pStyle w:val="FirstParagraph"/>
      </w:pPr>
      <w:r>
        <w:t xml:space="preserve">Heritage Properties Private Limited. 100 Richmond Road, Bangalore 560025. legal@heritageproperties.in. Director: Suresh Kumar.</w:t>
      </w:r>
    </w:p>
    <w:bookmarkEnd w:id="223"/>
    <w:bookmarkStart w:id="224" w:name="annexure-eg-premises-access"/>
    <w:p>
      <w:pPr>
        <w:pStyle w:val="Heading2"/>
      </w:pPr>
      <w:r>
        <w:t xml:space="preserve">ANNEXURE EG — PREMISES ACCESS</w:t>
      </w:r>
    </w:p>
    <w:p>
      <w:pPr>
        <w:pStyle w:val="FirstParagraph"/>
      </w:pPr>
      <w:r>
        <w:t xml:space="preserve">24/7 with card. Lobby. Elevators. Service elevator for goods. Loading dock. Parking B1. Register with Building.</w:t>
      </w:r>
    </w:p>
    <w:bookmarkEnd w:id="224"/>
    <w:bookmarkStart w:id="225" w:name="annexure-eh-building-amenities"/>
    <w:p>
      <w:pPr>
        <w:pStyle w:val="Heading2"/>
      </w:pPr>
      <w:r>
        <w:t xml:space="preserve">ANNEXURE EH — BUILDING AMENITIES</w:t>
      </w:r>
    </w:p>
    <w:p>
      <w:pPr>
        <w:pStyle w:val="FirstParagraph"/>
      </w:pPr>
      <w:r>
        <w:t xml:space="preserve">As provided by Building. May include: meeting rooms (bookable); cafeteria; gym. Charges may apply. Per Building policy.</w:t>
      </w:r>
    </w:p>
    <w:bookmarkEnd w:id="225"/>
    <w:bookmarkStart w:id="226" w:name="annexure-ei-emergency-contacts"/>
    <w:p>
      <w:pPr>
        <w:pStyle w:val="Heading2"/>
      </w:pPr>
      <w:r>
        <w:t xml:space="preserve">ANNEXURE EI — EMERGENCY CONTACTS</w:t>
      </w:r>
    </w:p>
    <w:p>
      <w:pPr>
        <w:pStyle w:val="FirstParagraph"/>
      </w:pPr>
      <w:r>
        <w:t xml:space="preserve">Fire: 101. Police: 100. Building control: as provided. Lessor: legal@heritageproperties.in. Lessee: admin@cloudninetch.com.</w:t>
      </w:r>
    </w:p>
    <w:bookmarkEnd w:id="226"/>
    <w:bookmarkStart w:id="227" w:name="annexure-ej-rent-payment-reference"/>
    <w:p>
      <w:pPr>
        <w:pStyle w:val="Heading2"/>
      </w:pPr>
      <w:r>
        <w:t xml:space="preserve">ANNEXURE EJ — RENT PAYMENT REFERENCE</w:t>
      </w:r>
    </w:p>
    <w:p>
      <w:pPr>
        <w:pStyle w:val="FirstParagraph"/>
      </w:pPr>
      <w:r>
        <w:t xml:space="preserve">Include in payment: "Lease CL/BLR/2025/1122" and month. Enables identification. Faster reconciliation.</w:t>
      </w:r>
    </w:p>
    <w:bookmarkEnd w:id="227"/>
    <w:bookmarkStart w:id="228" w:name="annexure-ek-deposit-refund-timeline"/>
    <w:p>
      <w:pPr>
        <w:pStyle w:val="Heading2"/>
      </w:pPr>
      <w:r>
        <w:t xml:space="preserve">ANNEXURE EK — DEPOSIT REFUND TIMELINE</w:t>
      </w:r>
    </w:p>
    <w:p>
      <w:pPr>
        <w:pStyle w:val="FirstParagraph"/>
      </w:pPr>
      <w:r>
        <w:t xml:space="preserve">Within 30 days of: (a) vacation; (b) joint inspection; (c) settlement of dues; (d) keys returned. No interest. NEFT to Lessee account.</w:t>
      </w:r>
    </w:p>
    <w:bookmarkEnd w:id="228"/>
    <w:bookmarkStart w:id="229" w:name="annexure-el-alteration-approval-process"/>
    <w:p>
      <w:pPr>
        <w:pStyle w:val="Heading2"/>
      </w:pPr>
      <w:r>
        <w:t xml:space="preserve">ANNEXURE EL — ALTERATION APPROVAL PROCESS</w:t>
      </w:r>
    </w:p>
    <w:p>
      <w:pPr>
        <w:pStyle w:val="FirstParagraph"/>
      </w:pPr>
      <w:r>
        <w:t xml:space="preserve">Submit plans. Lessor reviews 15 business days. Approve, reject, or request changes. Not unreasonably withheld. Work by licensed contractors. Compliance certificate on completion.</w:t>
      </w:r>
    </w:p>
    <w:bookmarkEnd w:id="229"/>
    <w:bookmarkStart w:id="230" w:name="annexure-em-insurance-claim-procedure"/>
    <w:p>
      <w:pPr>
        <w:pStyle w:val="Heading2"/>
      </w:pPr>
      <w:r>
        <w:t xml:space="preserve">ANNEXURE EM — INSURANCE CLAIM PROCEDURE</w:t>
      </w:r>
    </w:p>
    <w:p>
      <w:pPr>
        <w:pStyle w:val="FirstParagraph"/>
      </w:pPr>
      <w:r>
        <w:t xml:space="preserve">Notify insurer. Notify other Party. Document loss. Cooperate. Each claims own. Subrogation waived. Adjuster may inspect.</w:t>
      </w:r>
    </w:p>
    <w:bookmarkEnd w:id="230"/>
    <w:bookmarkStart w:id="231" w:name="annexure-en-dispute-notice-address"/>
    <w:p>
      <w:pPr>
        <w:pStyle w:val="Heading2"/>
      </w:pPr>
      <w:r>
        <w:t xml:space="preserve">ANNEXURE EN — DISPUTE NOTICE ADDRESS</w:t>
      </w:r>
    </w:p>
    <w:p>
      <w:pPr>
        <w:pStyle w:val="FirstParagraph"/>
      </w:pPr>
      <w:r>
        <w:t xml:space="preserve">As per Annexure T (Notices). Describe dispute. Request resolution meeting. 30 days before arbitration. Copy to legal.</w:t>
      </w:r>
    </w:p>
    <w:bookmarkEnd w:id="231"/>
    <w:bookmarkStart w:id="232" w:name="annexure-eo-lease-interpretation"/>
    <w:p>
      <w:pPr>
        <w:pStyle w:val="Heading2"/>
      </w:pPr>
      <w:r>
        <w:t xml:space="preserve">ANNEXURE EO — LEASE INTERPRETATION</w:t>
      </w:r>
    </w:p>
    <w:p>
      <w:pPr>
        <w:pStyle w:val="FirstParagraph"/>
      </w:pPr>
      <w:r>
        <w:t xml:space="preserve">Transfer of Property Act 1882. Indian Contract Act 1872. Karnataka law for property. Indian law for contract. Headings for convenience. Entire agreement.</w:t>
      </w:r>
    </w:p>
    <w:bookmarkEnd w:id="232"/>
    <w:bookmarkStart w:id="233" w:name="annexure-ep-lease-amendment"/>
    <w:p>
      <w:pPr>
        <w:pStyle w:val="Heading2"/>
      </w:pPr>
      <w:r>
        <w:t xml:space="preserve">ANNEXURE EP — LEASE AMENDMENT</w:t>
      </w:r>
    </w:p>
    <w:p>
      <w:pPr>
        <w:pStyle w:val="FirstParagraph"/>
      </w:pPr>
      <w:r>
        <w:t xml:space="preserve">Writing only. Both sign. No oral modification. No waiver except writing. Course of conduct not waiver. Registered if required.</w:t>
      </w:r>
    </w:p>
    <w:bookmarkEnd w:id="233"/>
    <w:bookmarkStart w:id="234" w:name="annexure-eq-lessors-remedies"/>
    <w:p>
      <w:pPr>
        <w:pStyle w:val="Heading2"/>
      </w:pPr>
      <w:r>
        <w:t xml:space="preserve">ANNEXURE EQ — LESSOR'S REMEDIES</w:t>
      </w:r>
    </w:p>
    <w:p>
      <w:pPr>
        <w:pStyle w:val="FirstParagraph"/>
      </w:pPr>
      <w:r>
        <w:t xml:space="preserve">On Lessee default: re-enter; forfeit deposit; claim arrears; claim damages; re-let. Mitigation of damages. No double recovery.</w:t>
      </w:r>
    </w:p>
    <w:bookmarkEnd w:id="234"/>
    <w:bookmarkStart w:id="235" w:name="annexure-er-lessees-remedies"/>
    <w:p>
      <w:pPr>
        <w:pStyle w:val="Heading2"/>
      </w:pPr>
      <w:r>
        <w:t xml:space="preserve">ANNEXURE ER — LESSEE'S REMEDIES</w:t>
      </w:r>
    </w:p>
    <w:p>
      <w:pPr>
        <w:pStyle w:val="FirstParagraph"/>
      </w:pPr>
      <w:r>
        <w:t xml:space="preserve">On Lessor default: claim damages; abate rent if unfit; terminate if material and not cured. Written notice. Cure period. No self-help except as stated.</w:t>
      </w:r>
    </w:p>
    <w:bookmarkEnd w:id="235"/>
    <w:bookmarkStart w:id="236" w:name="annexure-es-third-party-rights"/>
    <w:p>
      <w:pPr>
        <w:pStyle w:val="Heading2"/>
      </w:pPr>
      <w:r>
        <w:t xml:space="preserve">ANNEXURE ES — THIRD PARTY RIGHTS</w:t>
      </w:r>
    </w:p>
    <w:p>
      <w:pPr>
        <w:pStyle w:val="FirstParagraph"/>
      </w:pPr>
      <w:r>
        <w:t xml:space="preserve">No third party may enforce. Rights for Parties only. Contract (Rights of Third Parties) Act does not apply. No beneficiary.</w:t>
      </w:r>
    </w:p>
    <w:bookmarkEnd w:id="236"/>
    <w:bookmarkStart w:id="237" w:name="annexure-et-lease-execution"/>
    <w:p>
      <w:pPr>
        <w:pStyle w:val="Heading2"/>
      </w:pPr>
      <w:r>
        <w:t xml:space="preserve">ANNEXURE ET — LEASE EXECUTION</w:t>
      </w:r>
    </w:p>
    <w:p>
      <w:pPr>
        <w:pStyle w:val="FirstParagraph"/>
      </w:pPr>
      <w:r>
        <w:t xml:space="preserve">Both Parties to sign. Date. Stamp. Register. Exchange. Effective from Commencement. Counterparts valid. Electronic signatures valid.</w:t>
      </w:r>
    </w:p>
    <w:bookmarkEnd w:id="237"/>
    <w:bookmarkStart w:id="238" w:name="annexure-eu-lease-deed-complete"/>
    <w:p>
      <w:pPr>
        <w:pStyle w:val="Heading2"/>
      </w:pPr>
      <w:r>
        <w:t xml:space="preserve">ANNEXURE EU — LEASE DEED COMPLETE</w:t>
      </w:r>
    </w:p>
    <w:p>
      <w:pPr>
        <w:pStyle w:val="FirstParagraph"/>
      </w:pPr>
      <w:r>
        <w:t xml:space="preserve">This Lease Deed with all Schedules and Annexures constitutes the complete agreement between Heritage Properties Private Limited and CloudNine Tech Services India Private Limited for the lease of Unit 301-305, Tech Park Tower B, Bangalore. All prior negotiations merged. Amendments in writing only.</w:t>
      </w:r>
    </w:p>
    <w:bookmarkEnd w:id="238"/>
    <w:bookmarkStart w:id="239" w:name="annexure-ev-execution"/>
    <w:p>
      <w:pPr>
        <w:pStyle w:val="Heading2"/>
      </w:pPr>
      <w:r>
        <w:t xml:space="preserve">ANNEXURE EV — EXECUTION</w:t>
      </w:r>
    </w:p>
    <w:p>
      <w:pPr>
        <w:pStyle w:val="FirstParagraph"/>
      </w:pPr>
      <w:r>
        <w:t xml:space="preserve">Both Parties to execute. Date: 20 February 2025. Stamp as required. Register. Counterparts valid. Electronic signatures valid. Effective 1 March 2025.</w:t>
      </w:r>
    </w:p>
    <w:bookmarkEnd w:id="239"/>
    <w:bookmarkStart w:id="240" w:name="annexure-ew-lease-complete"/>
    <w:p>
      <w:pPr>
        <w:pStyle w:val="Heading2"/>
      </w:pPr>
      <w:r>
        <w:t xml:space="preserve">ANNEXURE EW — LEASE COMPLETE</w:t>
      </w:r>
    </w:p>
    <w:p>
      <w:pPr>
        <w:pStyle w:val="FirstParagraph"/>
      </w:pPr>
      <w:r>
        <w:t xml:space="preserve">This concludes the Commercial Lease Deed CL/BLR/2025/1122. Heritage Properties and CloudNine Tech. 36 months. 8,500 sqft. Marathahalli. All annexures incorporated by reference.</w:t>
      </w:r>
    </w:p>
    <w:bookmarkEnd w:id="240"/>
    <w:bookmarkStart w:id="241" w:name="annexure-ex-acknowledgment"/>
    <w:p>
      <w:pPr>
        <w:pStyle w:val="Heading2"/>
      </w:pPr>
      <w:r>
        <w:t xml:space="preserve">ANNEXURE EX — ACKNOWLEDGMENT</w:t>
      </w:r>
    </w:p>
    <w:p>
      <w:pPr>
        <w:pStyle w:val="FirstParagraph"/>
      </w:pPr>
      <w:r>
        <w:t xml:space="preserve">Lessee acknowledges receipt of full Lease. Lessee has inspected Premises. Lessee accepts condition. Lessee will perform covenants. Lessee understands terms.</w:t>
      </w:r>
    </w:p>
    <w:bookmarkEnd w:id="241"/>
    <w:bookmarkStart w:id="242" w:name="annexure-ey-lessor-acknowledgment"/>
    <w:p>
      <w:pPr>
        <w:pStyle w:val="Heading2"/>
      </w:pPr>
      <w:r>
        <w:t xml:space="preserve">ANNEXURE EY — LESSOR ACKNOWLEDGMENT</w:t>
      </w:r>
    </w:p>
    <w:p>
      <w:pPr>
        <w:pStyle w:val="FirstParagraph"/>
      </w:pPr>
      <w:r>
        <w:t xml:space="preserve">Lessor warrants title. Lessor grants leasehold. Lessor shall perform Lessor's covenants. Lessor has disclosed known defects.</w:t>
      </w:r>
    </w:p>
    <w:bookmarkEnd w:id="242"/>
    <w:bookmarkStart w:id="243" w:name="annexure-ez-lease-deed-signature"/>
    <w:p>
      <w:pPr>
        <w:pStyle w:val="Heading2"/>
      </w:pPr>
      <w:r>
        <w:t xml:space="preserve">ANNEXURE EZ — LEASE DEED SIGNATURE</w:t>
      </w:r>
    </w:p>
    <w:p>
      <w:pPr>
        <w:pStyle w:val="FirstParagraph"/>
      </w:pPr>
      <w:r>
        <w:t xml:space="preserve">Executed as deed. Witnesses if required by law. Registration before Sub-Registrar. Stamp duty paid. Parties bound.</w:t>
      </w:r>
    </w:p>
    <w:bookmarkEnd w:id="243"/>
    <w:bookmarkStart w:id="244" w:name="annexure-fa-rent-summary-table"/>
    <w:p>
      <w:pPr>
        <w:pStyle w:val="Heading2"/>
      </w:pPr>
      <w:r>
        <w:t xml:space="preserve">ANNEXURE FA — RENT SUMMARY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Monthly Rent</w:t>
            </w:r>
          </w:p>
        </w:tc>
        <w:tc>
          <w:tcPr/>
          <w:p>
            <w:pPr>
              <w:pStyle w:val="Compact"/>
            </w:pPr>
            <w:r>
              <w:t xml:space="preserve">Annual Rent</w:t>
            </w:r>
          </w:p>
        </w:tc>
      </w:tr>
      <w:tr>
        <w:tc>
          <w:tcPr/>
          <w:p>
            <w:pPr>
              <w:pStyle w:val="Compact"/>
            </w:pPr>
            <w:r>
              <w:t xml:space="preserve">1</w:t>
            </w:r>
          </w:p>
        </w:tc>
        <w:tc>
          <w:tcPr/>
          <w:p>
            <w:pPr>
              <w:pStyle w:val="Compact"/>
            </w:pPr>
            <w:r>
              <w:t xml:space="preserve">4,25,000</w:t>
            </w:r>
          </w:p>
        </w:tc>
        <w:tc>
          <w:tcPr/>
          <w:p>
            <w:pPr>
              <w:pStyle w:val="Compact"/>
            </w:pPr>
            <w:r>
              <w:t xml:space="preserve">51,00,000</w:t>
            </w:r>
          </w:p>
        </w:tc>
      </w:tr>
      <w:tr>
        <w:tc>
          <w:tcPr/>
          <w:p>
            <w:pPr>
              <w:pStyle w:val="Compact"/>
            </w:pPr>
            <w:r>
              <w:t xml:space="preserve">2</w:t>
            </w:r>
          </w:p>
        </w:tc>
        <w:tc>
          <w:tcPr/>
          <w:p>
            <w:pPr>
              <w:pStyle w:val="Compact"/>
            </w:pPr>
            <w:r>
              <w:t xml:space="preserve">4,59,000</w:t>
            </w:r>
          </w:p>
        </w:tc>
        <w:tc>
          <w:tcPr/>
          <w:p>
            <w:pPr>
              <w:pStyle w:val="Compact"/>
            </w:pPr>
            <w:r>
              <w:t xml:space="preserve">55,08,000</w:t>
            </w:r>
          </w:p>
        </w:tc>
      </w:tr>
      <w:tr>
        <w:tc>
          <w:tcPr/>
          <w:p>
            <w:pPr>
              <w:pStyle w:val="Compact"/>
            </w:pPr>
            <w:r>
              <w:t xml:space="preserve">3</w:t>
            </w:r>
          </w:p>
        </w:tc>
        <w:tc>
          <w:tcPr/>
          <w:p>
            <w:pPr>
              <w:pStyle w:val="Compact"/>
            </w:pPr>
            <w:r>
              <w:t xml:space="preserve">4,95,720</w:t>
            </w:r>
          </w:p>
        </w:tc>
        <w:tc>
          <w:tcPr/>
          <w:p>
            <w:pPr>
              <w:pStyle w:val="Compact"/>
            </w:pPr>
            <w:r>
              <w:t xml:space="preserve">59,48,640</w:t>
            </w:r>
          </w:p>
        </w:tc>
      </w:tr>
    </w:tbl>
    <w:bookmarkEnd w:id="244"/>
    <w:bookmarkStart w:id="245" w:name="annexure-fb-key-dates"/>
    <w:p>
      <w:pPr>
        <w:pStyle w:val="Heading2"/>
      </w:pPr>
      <w:r>
        <w:t xml:space="preserve">ANNEXURE FB — KEY DATES</w:t>
      </w:r>
    </w:p>
    <w:p>
      <w:pPr>
        <w:pStyle w:val="FirstParagraph"/>
      </w:pPr>
      <w:r>
        <w:t xml:space="preserve">Execution: 20 Feb 2025. Commencement: 1 Mar 2025. Expiry: 28 Feb 2028. Renewal notice by: 31 Aug 2027. Fit-out complete by: 30 May 2025.</w:t>
      </w:r>
    </w:p>
    <w:bookmarkEnd w:id="245"/>
    <w:bookmarkStart w:id="246" w:name="annexure-fc-document-index"/>
    <w:p>
      <w:pPr>
        <w:pStyle w:val="Heading2"/>
      </w:pPr>
      <w:r>
        <w:t xml:space="preserve">ANNEXURE FC — DOCUMENT INDEX</w:t>
      </w:r>
    </w:p>
    <w:p>
      <w:pPr>
        <w:pStyle w:val="FirstParagraph"/>
      </w:pPr>
      <w:r>
        <w:t xml:space="preserve">Main deed. Schedules A-T. Annexures I-FC. All form part of Lease. Reference in case of conflict: main body prevails.</w:t>
      </w:r>
    </w:p>
    <w:bookmarkEnd w:id="246"/>
    <w:bookmarkStart w:id="247" w:name="annexure-fd-lease-closing"/>
    <w:p>
      <w:pPr>
        <w:pStyle w:val="Heading2"/>
      </w:pPr>
      <w:r>
        <w:t xml:space="preserve">ANNEXURE FD — LEASE CLOSING</w:t>
      </w:r>
    </w:p>
    <w:p>
      <w:pPr>
        <w:pStyle w:val="FirstParagraph"/>
      </w:pPr>
      <w:r>
        <w:t xml:space="preserve">Heritage Properties Private Limited as Lessor. CloudNine Tech Services India Private Limited as Lessee. Commercial Lease Deed. Duly executed. Duly stamped. To be registered.</w:t>
      </w:r>
    </w:p>
    <w:bookmarkEnd w:id="247"/>
    <w:bookmarkStart w:id="248" w:name="annexure-fe-carpet-area-certification"/>
    <w:p>
      <w:pPr>
        <w:pStyle w:val="Heading2"/>
      </w:pPr>
      <w:r>
        <w:t xml:space="preserve">ANNEXURE FE — CARPET AREA CERTIFICATION</w:t>
      </w:r>
    </w:p>
    <w:p>
      <w:pPr>
        <w:pStyle w:val="FirstParagraph"/>
      </w:pPr>
      <w:r>
        <w:t xml:space="preserve">Carpet area of 8,500 sq ft as per sale deed and approved plan. Subject to measurement. Dispute: licensed surveyor at shared cost.</w:t>
      </w:r>
    </w:p>
    <w:bookmarkEnd w:id="248"/>
    <w:bookmarkStart w:id="249" w:name="annexure-ff-permitted-use-detail"/>
    <w:p>
      <w:pPr>
        <w:pStyle w:val="Heading2"/>
      </w:pPr>
      <w:r>
        <w:t xml:space="preserve">ANNEXURE FF — PERMITTED USE DETAIL</w:t>
      </w:r>
    </w:p>
    <w:p>
      <w:pPr>
        <w:pStyle w:val="FirstParagraph"/>
      </w:pPr>
      <w:r>
        <w:t xml:space="preserve">Office for software development, IT consulting, and related administrative functions. No manufacturing. No retail. No hazardous. No residential. No cooking except pantry. Compliant with zoning.</w:t>
      </w:r>
    </w:p>
    <w:bookmarkEnd w:id="249"/>
    <w:bookmarkStart w:id="250" w:name="annexure-fg-common-area-definition"/>
    <w:p>
      <w:pPr>
        <w:pStyle w:val="Heading2"/>
      </w:pPr>
      <w:r>
        <w:t xml:space="preserve">ANNEXURE FG — COMMON AREA DEFINITION</w:t>
      </w:r>
    </w:p>
    <w:p>
      <w:pPr>
        <w:pStyle w:val="FirstParagraph"/>
      </w:pPr>
      <w:r>
        <w:t xml:space="preserve">Lobbies, corridors, elevators, stairwells, restrooms, parking areas, loading dock, and other areas designated by Lessor for common use by Building occupants. Lessee's proportionate share per CAM.</w:t>
      </w:r>
    </w:p>
    <w:bookmarkEnd w:id="250"/>
    <w:bookmarkStart w:id="251" w:name="annexure-fh-repair-response-times"/>
    <w:p>
      <w:pPr>
        <w:pStyle w:val="Heading2"/>
      </w:pPr>
      <w:r>
        <w:t xml:space="preserve">ANNEXURE FH — REPAIR RESPONSE TIMES</w:t>
      </w:r>
    </w:p>
    <w:p>
      <w:pPr>
        <w:pStyle w:val="FirstParagraph"/>
      </w:pPr>
      <w:r>
        <w:t xml:space="preserve">Lessor emergency (e.g., water leak): 24 hours. Lessor non-urgent: 7 days. Lessee: as needed to maintain. Lessee shall report Lessor items promptly.</w:t>
      </w:r>
    </w:p>
    <w:bookmarkEnd w:id="251"/>
    <w:bookmarkStart w:id="252" w:name="annexure-fi-renewal-negotiation-period"/>
    <w:p>
      <w:pPr>
        <w:pStyle w:val="Heading2"/>
      </w:pPr>
      <w:r>
        <w:t xml:space="preserve">ANNEXURE FI — RENEWAL NEGOTIATION PERIOD</w:t>
      </w:r>
    </w:p>
    <w:p>
      <w:pPr>
        <w:pStyle w:val="FirstParagraph"/>
      </w:pPr>
      <w:r>
        <w:t xml:space="preserve">60 days from renewal notice. Good faith. Rent cap 115%. CAM prevailing. Other terms default. If no agreement, option lapses. No automatic renewal.</w:t>
      </w:r>
    </w:p>
    <w:bookmarkEnd w:id="252"/>
    <w:bookmarkStart w:id="253" w:name="annexure-fj-security-deposit-interest"/>
    <w:p>
      <w:pPr>
        <w:pStyle w:val="Heading2"/>
      </w:pPr>
      <w:r>
        <w:t xml:space="preserve">ANNEXURE FJ — SECURITY DEPOSIT INTEREST</w:t>
      </w:r>
    </w:p>
    <w:p>
      <w:pPr>
        <w:pStyle w:val="FirstParagraph"/>
      </w:pPr>
      <w:r>
        <w:t xml:space="preserve">No interest payable on Security Deposit. Held by Lessor. Refundable. Applicable against dues only. Balance refunded. Standard commercial terms.</w:t>
      </w:r>
    </w:p>
    <w:bookmarkEnd w:id="253"/>
    <w:bookmarkStart w:id="254" w:name="annexure-fk-building-rules-amendment"/>
    <w:p>
      <w:pPr>
        <w:pStyle w:val="Heading2"/>
      </w:pPr>
      <w:r>
        <w:t xml:space="preserve">ANNEXURE FK — BUILDING RULES AMENDMENT</w:t>
      </w:r>
    </w:p>
    <w:p>
      <w:pPr>
        <w:pStyle w:val="FirstParagraph"/>
      </w:pPr>
      <w:r>
        <w:t xml:space="preserve">Lessor or Building Management may amend rules. 30 days' notice. Material changes: good faith negotiation. Lessee shall comply. Breach may be Lease breach.</w:t>
      </w:r>
    </w:p>
    <w:bookmarkEnd w:id="254"/>
    <w:bookmarkStart w:id="255" w:name="annexure-fl-lessors-mortgage"/>
    <w:p>
      <w:pPr>
        <w:pStyle w:val="Heading2"/>
      </w:pPr>
      <w:r>
        <w:t xml:space="preserve">ANNEXURE FL — LESSOR'S MORTGAGE</w:t>
      </w:r>
    </w:p>
    <w:p>
      <w:pPr>
        <w:pStyle w:val="FirstParagraph"/>
      </w:pPr>
      <w:r>
        <w:t xml:space="preserve">If Building mortgaged, Lessee notified. Lessee shall execute attornment if requested. Form reasonable. No release of Lessor without consent. Deposit may transfer to mortgagee.</w:t>
      </w:r>
    </w:p>
    <w:bookmarkEnd w:id="255"/>
    <w:bookmarkStart w:id="256" w:name="annexure-fm-premises-condition"/>
    <w:p>
      <w:pPr>
        <w:pStyle w:val="Heading2"/>
      </w:pPr>
      <w:r>
        <w:t xml:space="preserve">ANNEXURE FM — PREMISES CONDITION</w:t>
      </w:r>
    </w:p>
    <w:p>
      <w:pPr>
        <w:pStyle w:val="FirstParagraph"/>
      </w:pPr>
      <w:r>
        <w:t xml:space="preserve">Shell as delivered. Disclosed defects in Schedule B. Lessee accepts. Lessee to fit out. Lessor no warranty of fitness for particular purpose. Lessee has inspected.</w:t>
      </w:r>
    </w:p>
    <w:bookmarkEnd w:id="256"/>
    <w:bookmarkStart w:id="257" w:name="annexure-fn-lease-deed-parties"/>
    <w:p>
      <w:pPr>
        <w:pStyle w:val="Heading2"/>
      </w:pPr>
      <w:r>
        <w:t xml:space="preserve">ANNEXURE FN — LEASE DEED PARTIES</w:t>
      </w:r>
    </w:p>
    <w:p>
      <w:pPr>
        <w:pStyle w:val="FirstParagraph"/>
      </w:pPr>
      <w:r>
        <w:t xml:space="preserve">Lessor: Heritage Properties Private Limited, CIN U7010KA2005PTC038912. Lessee: CloudNine Tech Services India Private Limited, CIN U72900TG2015PTC099876. Both duly represented.</w:t>
      </w:r>
    </w:p>
    <w:bookmarkEnd w:id="257"/>
    <w:bookmarkStart w:id="258" w:name="X31a2a7c97d85b451f53e46fe478b2aa9d53ae96"/>
    <w:p>
      <w:pPr>
        <w:pStyle w:val="Heading2"/>
      </w:pPr>
      <w:r>
        <w:t xml:space="preserve">ANNEXURE FO — LEASE COMMENCEMENT AND EXPIRY</w:t>
      </w:r>
    </w:p>
    <w:p>
      <w:pPr>
        <w:pStyle w:val="FirstParagraph"/>
      </w:pPr>
      <w:r>
        <w:t xml:space="preserve">Commencement: 1 March 2025. Expiry: 28 February 2028. Inclusive. Possession on Commencement. Vacation by expiry. No holdover without agreement.</w:t>
      </w:r>
    </w:p>
    <w:bookmarkEnd w:id="258"/>
    <w:bookmarkStart w:id="259" w:name="annexure-fp-rent-escalation-formula"/>
    <w:p>
      <w:pPr>
        <w:pStyle w:val="Heading2"/>
      </w:pPr>
      <w:r>
        <w:t xml:space="preserve">ANNEXURE FP — RENT ESCALATION FORMULA</w:t>
      </w:r>
    </w:p>
    <w:p>
      <w:pPr>
        <w:pStyle w:val="FirstParagraph"/>
      </w:pPr>
      <w:r>
        <w:t xml:space="preserve">Year n rent = Year n-1 rent × 1.08. Base Year 1: ₹4,25,000. Compounding annually. Effective from anniversary of Commencement.</w:t>
      </w:r>
    </w:p>
    <w:bookmarkEnd w:id="259"/>
    <w:bookmarkStart w:id="260" w:name="annexure-fq-cam-revision-cap"/>
    <w:p>
      <w:pPr>
        <w:pStyle w:val="Heading2"/>
      </w:pPr>
      <w:r>
        <w:t xml:space="preserve">ANNEXURE FQ — CAM REVISION CAP</w:t>
      </w:r>
    </w:p>
    <w:p>
      <w:pPr>
        <w:pStyle w:val="FirstParagraph"/>
      </w:pPr>
      <w:r>
        <w:t xml:space="preserve">Maximum 10% per annum. 60 days' notice. Based on actual cost increase. Documentation on request. Good faith.</w:t>
      </w:r>
    </w:p>
    <w:bookmarkEnd w:id="260"/>
    <w:bookmarkStart w:id="261" w:name="X19a26ee49eadaa453bdcfe1aef91b83d2db2699"/>
    <w:p>
      <w:pPr>
        <w:pStyle w:val="Heading2"/>
      </w:pPr>
      <w:r>
        <w:t xml:space="preserve">ANNEXURE FR — EARLY TERMINATION CALCULATION</w:t>
      </w:r>
    </w:p>
    <w:p>
      <w:pPr>
        <w:pStyle w:val="FirstParagraph"/>
      </w:pPr>
      <w:r>
        <w:t xml:space="preserve">Fee = 3 × monthly rent. Based on rent at termination. Refund if Lessor relets within 60 days at same or higher: proportionate to period reletted.</w:t>
      </w:r>
    </w:p>
    <w:bookmarkEnd w:id="261"/>
    <w:bookmarkStart w:id="262" w:name="annexure-fs-deposit-deduction-items"/>
    <w:p>
      <w:pPr>
        <w:pStyle w:val="Heading2"/>
      </w:pPr>
      <w:r>
        <w:t xml:space="preserve">ANNEXURE FS — DEPOSIT DEDUCTION ITEMS</w:t>
      </w:r>
    </w:p>
    <w:p>
      <w:pPr>
        <w:pStyle w:val="FirstParagraph"/>
      </w:pPr>
      <w:r>
        <w:t xml:space="preserve">Arrears of rent. Arrears of CAM. Arrears of other charges. Cost of repairs for Lessee-caused damage. Cost of restoration. Cost of removing abandoned goods. No deduction for fair wear and tear.</w:t>
      </w:r>
    </w:p>
    <w:bookmarkEnd w:id="262"/>
    <w:bookmarkStart w:id="263" w:name="annexure-ft-notice-for-renewal"/>
    <w:p>
      <w:pPr>
        <w:pStyle w:val="Heading2"/>
      </w:pPr>
      <w:r>
        <w:t xml:space="preserve">ANNEXURE FT — NOTICE FOR RENEWAL</w:t>
      </w:r>
    </w:p>
    <w:p>
      <w:pPr>
        <w:pStyle w:val="FirstParagraph"/>
      </w:pPr>
      <w:r>
        <w:t xml:space="preserve">Written notice. To Lessor's address. By 31 August 2027. State exercise of option. No material breach. Lessor to respond 30 days.</w:t>
      </w:r>
    </w:p>
    <w:bookmarkEnd w:id="263"/>
    <w:bookmarkStart w:id="264" w:name="annexure-fu-lease-deed-annexure-index"/>
    <w:p>
      <w:pPr>
        <w:pStyle w:val="Heading2"/>
      </w:pPr>
      <w:r>
        <w:t xml:space="preserve">ANNEXURE FU — LEASE DEED ANNEXURE INDEX</w:t>
      </w:r>
    </w:p>
    <w:p>
      <w:pPr>
        <w:pStyle w:val="FirstParagraph"/>
      </w:pPr>
      <w:r>
        <w:t xml:space="preserve">Annexures A through FU. All form part of Lease. Numbered for reference. Conflict: main deed prevails. Schedules and Annexures supplement.</w:t>
      </w:r>
    </w:p>
    <w:bookmarkEnd w:id="264"/>
    <w:bookmarkStart w:id="265" w:name="annexure-fv-commercial-lease-complete"/>
    <w:p>
      <w:pPr>
        <w:pStyle w:val="Heading2"/>
      </w:pPr>
      <w:r>
        <w:t xml:space="preserve">ANNEXURE FV — COMMERCIAL LEASE COMPLETE</w:t>
      </w:r>
    </w:p>
    <w:p>
      <w:pPr>
        <w:pStyle w:val="FirstParagraph"/>
      </w:pPr>
      <w:r>
        <w:t xml:space="preserve">Lease Deed CL/BLR/2025/1122 complete. All Schedules and Annexures. Heritage Properties. CloudNine Tech. 36 months. Bangalore. Signed. Stamped. To be registered. Effective 1 March 2025.</w:t>
      </w:r>
    </w:p>
    <w:bookmarkEnd w:id="265"/>
    <w:bookmarkStart w:id="266" w:name="annexure-fw-transfer-of-property-act"/>
    <w:p>
      <w:pPr>
        <w:pStyle w:val="Heading2"/>
      </w:pPr>
      <w:r>
        <w:t xml:space="preserve">ANNEXURE FW — TRANSFER OF PROPERTY ACT</w:t>
      </w:r>
    </w:p>
    <w:p>
      <w:pPr>
        <w:pStyle w:val="FirstParagraph"/>
      </w:pPr>
      <w:r>
        <w:t xml:space="preserve">Sections 105-117 of the Transfer of Property Act, 1882 apply. This instrument creates a lease. Lessor demises. Lessee holds. Covenants as stated. On determination, Lessee delivers possession.</w:t>
      </w:r>
    </w:p>
    <w:bookmarkEnd w:id="266"/>
    <w:bookmarkStart w:id="267" w:name="annexure-fx-indian-contract-act"/>
    <w:p>
      <w:pPr>
        <w:pStyle w:val="Heading2"/>
      </w:pPr>
      <w:r>
        <w:t xml:space="preserve">ANNEXURE FX — INDIAN CONTRACT ACT</w:t>
      </w:r>
    </w:p>
    <w:p>
      <w:pPr>
        <w:pStyle w:val="FirstParagraph"/>
      </w:pPr>
      <w:r>
        <w:t xml:space="preserve">Governed by Indian Contract Act, 1872. Consideration: rent for leasehold. Breach: damages and remedies as stated. Sections 73 and 74 for liquidated damages. Entire agreement.</w:t>
      </w:r>
    </w:p>
    <w:bookmarkEnd w:id="267"/>
    <w:bookmarkStart w:id="268" w:name="annexure-fy-lease-deed-execution-block"/>
    <w:p>
      <w:pPr>
        <w:pStyle w:val="Heading2"/>
      </w:pPr>
      <w:r>
        <w:t xml:space="preserve">ANNEXURE FY — LEASE DEED EXECUTION BLOCK</w:t>
      </w:r>
    </w:p>
    <w:p>
      <w:pPr>
        <w:pStyle w:val="FirstParagraph"/>
      </w:pPr>
      <w:r>
        <w:t xml:space="preserve">Parties to sign below. Date. Place. Witnesses if required. Stamp. Register. Exchange. Binding.</w:t>
      </w:r>
    </w:p>
    <w:bookmarkEnd w:id="268"/>
    <w:bookmarkStart w:id="269" w:name="annexure-fz-commercial-lease-summary"/>
    <w:p>
      <w:pPr>
        <w:pStyle w:val="Heading2"/>
      </w:pPr>
      <w:r>
        <w:t xml:space="preserve">ANNEXURE FZ — COMMERCIAL LEASE SUMMARY</w:t>
      </w:r>
    </w:p>
    <w:p>
      <w:pPr>
        <w:pStyle w:val="FirstParagraph"/>
      </w:pPr>
      <w:r>
        <w:t xml:space="preserve">Heritage Properties (Lessor) leases to CloudNine Tech (Lessee) Unit 301-305, Tech Park Tower B, 456 Outer Ring Road, Marathahalli, Bangalore 560037. Carpet area 8,500 sq ft. Term 36 months from 1 March 2025. Rent ₹4,25,000/month escalating 8% annually. CAM ₹1,53,000/month. Security deposit ₹12,75,000. Permitted use: office. Option to renew 24 months. Bangalore arbitration. Karnataka law. This Commercial Lease Deed is complete with all Schedules and Annexures.</w:t>
      </w:r>
    </w:p>
    <w:bookmarkEnd w:id="269"/>
    <w:bookmarkStart w:id="270" w:name="annexure-ga-lease-deed-reference-number"/>
    <w:p>
      <w:pPr>
        <w:pStyle w:val="Heading2"/>
      </w:pPr>
      <w:r>
        <w:t xml:space="preserve">ANNEXURE GA — LEASE DEED REFERENCE NUMBER</w:t>
      </w:r>
    </w:p>
    <w:p>
      <w:pPr>
        <w:pStyle w:val="FirstParagraph"/>
      </w:pPr>
      <w:r>
        <w:t xml:space="preserve">CL/BLR/2025/1122. Dated 20 February 2025. Executed at Bangalore. Governing law: India. Stamp: Karnataka Stamp Act, 1957. Registration: Registration Act, 1908. The Parties have read and agreed to all terms.</w:t>
      </w:r>
    </w:p>
    <w:bookmarkEnd w:id="270"/>
    <w:bookmarkStart w:id="271" w:name="annexure-gb-commercial-lease-deed-end"/>
    <w:p>
      <w:pPr>
        <w:pStyle w:val="Heading2"/>
      </w:pPr>
      <w:r>
        <w:t xml:space="preserve">ANNEXURE GB — COMMERCIAL LEASE DEED END</w:t>
      </w:r>
    </w:p>
    <w:p>
      <w:pPr>
        <w:pStyle w:val="FirstParagraph"/>
      </w:pPr>
      <w:r>
        <w:t xml:space="preserve">End of Commercial Lease Deed. Signature block follows.</w:t>
      </w:r>
    </w:p>
    <w:bookmarkEnd w:id="271"/>
    <w:bookmarkStart w:id="272" w:name="in-witness-whereof"/>
    <w:p>
      <w:pPr>
        <w:pStyle w:val="Heading2"/>
      </w:pPr>
      <w:r>
        <w:t xml:space="preserve">IN WITNESS WHEREOF</w:t>
      </w:r>
    </w:p>
    <w:p>
      <w:pPr>
        <w:pStyle w:val="FirstParagraph"/>
      </w:pPr>
      <w:r>
        <w:t xml:space="preserve">The Parties have executed this Lease Deed on the date first written above.</w:t>
      </w:r>
    </w:p>
    <w:p>
      <w:pPr>
        <w:pStyle w:val="BodyText"/>
      </w:pPr>
      <w:r>
        <w:rPr>
          <w:b/>
          <w:bCs/>
        </w:rPr>
        <w:t xml:space="preserve">For Heritage Properties Private Limited</w:t>
      </w:r>
      <w:r>
        <w:br/>
      </w:r>
      <w:r>
        <w:t xml:space="preserve">________________________</w:t>
      </w:r>
      <w:r>
        <w:br/>
      </w:r>
      <w:r>
        <w:t xml:space="preserve">Name: Suresh Kumar</w:t>
      </w:r>
      <w:r>
        <w:br/>
      </w:r>
      <w:r>
        <w:t xml:space="preserve">Title: Director</w:t>
      </w:r>
    </w:p>
    <w:p>
      <w:pPr>
        <w:pStyle w:val="BodyText"/>
      </w:pPr>
      <w:r>
        <w:rPr>
          <w:b/>
          <w:bCs/>
        </w:rPr>
        <w:t xml:space="preserve">For CloudNine Tech Services India Private Limited</w:t>
      </w:r>
      <w:r>
        <w:br/>
      </w:r>
      <w:r>
        <w:t xml:space="preserve">________________________</w:t>
      </w:r>
      <w:r>
        <w:br/>
      </w:r>
      <w:r>
        <w:t xml:space="preserve">Name: Priya Sharma</w:t>
      </w:r>
      <w:r>
        <w:br/>
      </w:r>
      <w:r>
        <w:t xml:space="preserve">Title: Chief Executive Officer</w:t>
      </w:r>
    </w:p>
    <w:bookmarkEnd w:id="272"/>
    <w:bookmarkEnd w:id="2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Lease Agreement</dc:title>
  <dc:creator/>
  <dc:language>en</dc:language>
  <cp:keywords/>
  <dcterms:created xsi:type="dcterms:W3CDTF">2026-03-06T17:02:09Z</dcterms:created>
  <dcterms:modified xsi:type="dcterms:W3CDTF">2026-03-06T17:02:09Z</dcterms:modified>
</cp:coreProperties>
</file>

<file path=docProps/custom.xml><?xml version="1.0" encoding="utf-8"?>
<Properties xmlns="http://schemas.openxmlformats.org/officeDocument/2006/custom-properties" xmlns:vt="http://schemas.openxmlformats.org/officeDocument/2006/docPropsVTypes"/>
</file>