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Mutual Non-Disclosure Agreement – Joint Venture Exploration</w:t>
      </w:r>
    </w:p>
    <w:bookmarkStart w:id="76" w:name="mutual-non-disclosure-agreement"/>
    <w:p>
      <w:pPr>
        <w:pStyle w:val="Heading1"/>
      </w:pPr>
      <w:r>
        <w:t xml:space="preserve">MUTUAL NON-DISCLOSURE AGREEMENT</w:t>
      </w:r>
    </w:p>
    <w:bookmarkStart w:id="9" w:name="joint-venture-exploration"/>
    <w:p>
      <w:pPr>
        <w:pStyle w:val="Heading2"/>
      </w:pPr>
      <w:r>
        <w:t xml:space="preserve">JOINT VENTURE EXPLORATION</w:t>
      </w:r>
    </w:p>
    <w:p>
      <w:pPr>
        <w:pStyle w:val="FirstParagraph"/>
      </w:pPr>
      <w:r>
        <w:rPr>
          <w:b/>
          <w:bCs/>
        </w:rPr>
        <w:t xml:space="preserve">Agreement Reference:</w:t>
      </w:r>
      <w:r>
        <w:t xml:space="preserve"> </w:t>
      </w:r>
      <w:r>
        <w:t xml:space="preserve">MNDA/JV/2025/001</w:t>
      </w:r>
      <w:r>
        <w:br/>
      </w:r>
      <w:r>
        <w:rPr>
          <w:b/>
          <w:bCs/>
        </w:rPr>
        <w:t xml:space="preserve">Execution Date:</w:t>
      </w:r>
      <w:r>
        <w:t xml:space="preserve"> </w:t>
      </w:r>
      <w:r>
        <w:t xml:space="preserve">15 March 2025</w:t>
      </w:r>
      <w:r>
        <w:br/>
      </w:r>
      <w:r>
        <w:rPr>
          <w:b/>
          <w:bCs/>
        </w:rPr>
        <w:t xml:space="preserve">Governing Law:</w:t>
      </w:r>
      <w:r>
        <w:t xml:space="preserve"> </w:t>
      </w:r>
      <w:r>
        <w:t xml:space="preserve">Indian Contract Act, 1872; Arbitration and Conciliation Act, 1996</w:t>
      </w:r>
    </w:p>
    <w:bookmarkEnd w:id="9"/>
    <w:bookmarkStart w:id="10" w:name="parties"/>
    <w:p>
      <w:pPr>
        <w:pStyle w:val="Heading2"/>
      </w:pPr>
      <w:r>
        <w:t xml:space="preserve">PARTIES</w:t>
      </w:r>
    </w:p>
    <w:p>
      <w:pPr>
        <w:pStyle w:val="FirstParagraph"/>
      </w:pPr>
      <w:r>
        <w:rPr>
          <w:b/>
          <w:bCs/>
        </w:rPr>
        <w:t xml:space="preserve">PARTY A:</w:t>
      </w:r>
      <w:r>
        <w:t xml:space="preserve"> </w:t>
      </w:r>
      <w:r>
        <w:t xml:space="preserve">Reliance Retail Limited, a company incorporated under the Companies Act, 2013, having its registered office at 3rd Floor, Maker Chambers IV, 222 Nariman Point, Mumbai, Maharashtra 400021, represented by its Executive Director Mr. Venkatesh Iyer ("Party A").</w:t>
      </w:r>
    </w:p>
    <w:p>
      <w:pPr>
        <w:pStyle w:val="BodyText"/>
      </w:pPr>
      <w:r>
        <w:rPr>
          <w:b/>
          <w:bCs/>
        </w:rPr>
        <w:t xml:space="preserve">PARTY B:</w:t>
      </w:r>
      <w:r>
        <w:t xml:space="preserve"> </w:t>
      </w:r>
      <w:r>
        <w:t xml:space="preserve">Aditya Retail Ventures Private Limited, a company incorporated under the Companies Act, 2013, having its registered office at 78, Anna Salai, Chennai, Tamil Nadu 600002, represented by its Managing Director Ms. Lakshmi Narayanan ("Party B").</w:t>
      </w:r>
    </w:p>
    <w:p>
      <w:pPr>
        <w:pStyle w:val="BodyText"/>
      </w:pPr>
      <w:r>
        <w:t xml:space="preserve">Party A and Party B are each referred to as a "Party" and collectively as the "Parties". Each Party may be a "Disclosing Party" when disclosing Information and a "Receiving Party" when receiving Information.</w:t>
      </w:r>
    </w:p>
    <w:bookmarkEnd w:id="10"/>
    <w:bookmarkStart w:id="11" w:name="recitals"/>
    <w:p>
      <w:pPr>
        <w:pStyle w:val="Heading2"/>
      </w:pPr>
      <w:r>
        <w:t xml:space="preserve">RECITALS</w:t>
      </w:r>
    </w:p>
    <w:p>
      <w:pPr>
        <w:pStyle w:val="FirstParagraph"/>
      </w:pPr>
      <w:r>
        <w:t xml:space="preserve">WHEREAS the Parties are exploring a potential joint venture or strategic alliance for the establishment and operation of retail outlets and e-commerce operations in certain product categories in India;</w:t>
      </w:r>
    </w:p>
    <w:p>
      <w:pPr>
        <w:pStyle w:val="BodyText"/>
      </w:pPr>
      <w:r>
        <w:t xml:space="preserve">WHEREAS in connection with such exploration, each Party may disclose to the other certain confidential and proprietary information;</w:t>
      </w:r>
    </w:p>
    <w:p>
      <w:pPr>
        <w:pStyle w:val="BodyText"/>
      </w:pPr>
      <w:r>
        <w:t xml:space="preserve">WHEREAS the Parties wish to protect such information and to define the terms under which it may be used and disclosed;</w:t>
      </w:r>
    </w:p>
    <w:p>
      <w:pPr>
        <w:pStyle w:val="BodyText"/>
      </w:pPr>
      <w:r>
        <w:t xml:space="preserve">NOW, THEREFORE, in consideration of the mutual covenants herein and the Parties' desire to explore the potential transaction, the Parties agree as follows:</w:t>
      </w:r>
    </w:p>
    <w:bookmarkEnd w:id="11"/>
    <w:bookmarkStart w:id="14" w:name="article-1-definitions"/>
    <w:p>
      <w:pPr>
        <w:pStyle w:val="Heading2"/>
      </w:pPr>
      <w:r>
        <w:t xml:space="preserve">ARTICLE 1 — DEFINITIONS</w:t>
      </w:r>
    </w:p>
    <w:bookmarkStart w:id="12" w:name="definitions"/>
    <w:p>
      <w:pPr>
        <w:pStyle w:val="Heading3"/>
      </w:pPr>
      <w:r>
        <w:t xml:space="preserve">1.1 Definitions</w:t>
      </w:r>
    </w:p>
    <w:p>
      <w:pPr>
        <w:pStyle w:val="FirstParagraph"/>
      </w:pPr>
      <w:r>
        <w:rPr>
          <w:b/>
          <w:bCs/>
        </w:rPr>
        <w:t xml:space="preserve">"Affiliate"</w:t>
      </w:r>
      <w:r>
        <w:t xml:space="preserve"> </w:t>
      </w:r>
      <w:r>
        <w:t xml:space="preserve">means any entity that directly or indirectly controls, is controlled by, or is under common control with a Party. "Control" means ownership of more than fifty percent (50%) of voting equity or the power to direct management.</w:t>
      </w:r>
    </w:p>
    <w:p>
      <w:pPr>
        <w:pStyle w:val="BodyText"/>
      </w:pPr>
      <w:r>
        <w:rPr>
          <w:b/>
          <w:bCs/>
        </w:rPr>
        <w:t xml:space="preserve">"Confidential Information"</w:t>
      </w:r>
      <w:r>
        <w:t xml:space="preserve"> </w:t>
      </w:r>
      <w:r>
        <w:t xml:space="preserve">has the meaning in Article 2.</w:t>
      </w:r>
    </w:p>
    <w:p>
      <w:pPr>
        <w:pStyle w:val="BodyText"/>
      </w:pPr>
      <w:r>
        <w:rPr>
          <w:b/>
          <w:bCs/>
        </w:rPr>
        <w:t xml:space="preserve">"Evaluation"</w:t>
      </w:r>
      <w:r>
        <w:t xml:space="preserve"> </w:t>
      </w:r>
      <w:r>
        <w:t xml:space="preserve">or</w:t>
      </w:r>
      <w:r>
        <w:t xml:space="preserve"> </w:t>
      </w:r>
      <w:r>
        <w:rPr>
          <w:b/>
          <w:bCs/>
        </w:rPr>
        <w:t xml:space="preserve">"Purpose"</w:t>
      </w:r>
      <w:r>
        <w:t xml:space="preserve"> </w:t>
      </w:r>
      <w:r>
        <w:t xml:space="preserve">means the evaluation and negotiation of a potential joint venture, strategic alliance, acquisition, or other business arrangement between the Parties (the "Potential Transaction").</w:t>
      </w:r>
    </w:p>
    <w:p>
      <w:pPr>
        <w:pStyle w:val="BodyText"/>
      </w:pPr>
      <w:r>
        <w:rPr>
          <w:b/>
          <w:bCs/>
        </w:rPr>
        <w:t xml:space="preserve">"Effective Date"</w:t>
      </w:r>
      <w:r>
        <w:t xml:space="preserve"> </w:t>
      </w:r>
      <w:r>
        <w:t xml:space="preserve">means 15 March 2025.</w:t>
      </w:r>
    </w:p>
    <w:p>
      <w:pPr>
        <w:pStyle w:val="BodyText"/>
      </w:pPr>
      <w:r>
        <w:rPr>
          <w:b/>
          <w:bCs/>
        </w:rPr>
        <w:t xml:space="preserve">"Representatives"</w:t>
      </w:r>
      <w:r>
        <w:t xml:space="preserve"> </w:t>
      </w:r>
      <w:r>
        <w:t xml:space="preserve">means a Party's directors, officers, employees, agents, advisors (including legal, financial, accounting, and technical advisors) who have a need to know for the Purpose.</w:t>
      </w:r>
    </w:p>
    <w:p>
      <w:pPr>
        <w:pStyle w:val="BodyText"/>
      </w:pPr>
      <w:r>
        <w:rPr>
          <w:b/>
          <w:bCs/>
        </w:rPr>
        <w:t xml:space="preserve">"Term"</w:t>
      </w:r>
      <w:r>
        <w:t xml:space="preserve"> </w:t>
      </w:r>
      <w:r>
        <w:t xml:space="preserve">means the period from the Effective Date until the earlier of: (a) three (3) years; (b) termination by either Party on thirty (30) days' notice; (c) execution of definitive agreements governing the Potential Transaction (which may supersede this Agreement as to future disclosures).</w:t>
      </w:r>
    </w:p>
    <w:bookmarkEnd w:id="12"/>
    <w:bookmarkStart w:id="13" w:name="interpretation"/>
    <w:p>
      <w:pPr>
        <w:pStyle w:val="Heading3"/>
      </w:pPr>
      <w:r>
        <w:t xml:space="preserve">1.2 Interpretation</w:t>
      </w:r>
    </w:p>
    <w:p>
      <w:pPr>
        <w:pStyle w:val="FirstParagraph"/>
      </w:pPr>
      <w:r>
        <w:t xml:space="preserve">Headings for convenience only. Singular includes plural. "Include" without limitation. "Days" means calendar days. References to "Articles" and "Schedules" are to this Agreement.</w:t>
      </w:r>
    </w:p>
    <w:bookmarkEnd w:id="13"/>
    <w:bookmarkEnd w:id="14"/>
    <w:bookmarkStart w:id="19" w:name="article-2-confidential-information"/>
    <w:p>
      <w:pPr>
        <w:pStyle w:val="Heading2"/>
      </w:pPr>
      <w:r>
        <w:t xml:space="preserve">ARTICLE 2 — CONFIDENTIAL INFORMATION</w:t>
      </w:r>
    </w:p>
    <w:bookmarkStart w:id="15" w:name="purpose-of-disclosure-and-no-obligation"/>
    <w:p>
      <w:pPr>
        <w:pStyle w:val="Heading3"/>
      </w:pPr>
      <w:r>
        <w:t xml:space="preserve">2.0 Purpose of Disclosure and No Obligation</w:t>
      </w:r>
    </w:p>
    <w:p>
      <w:pPr>
        <w:pStyle w:val="FirstParagraph"/>
      </w:pPr>
      <w:r>
        <w:t xml:space="preserve">The Parties are entering into this Agreement in connection with their mutual desire to explore and evaluate a potential joint venture, strategic alliance, or similar business arrangement (the "Potential Transaction"). The purpose of disclosures under this Agreement is solely to facilitate such evaluation and negotiation. Neither Party is obligated to proceed with the Potential Transaction, to make any proposal, or to negotiate in good faith, except as set forth herein. Either Party may terminate the evaluation at any time on thirty (30) days' written notice. This Agreement does not create any partnership, joint venture, or agency relationship between the Parties.</w:t>
      </w:r>
    </w:p>
    <w:p>
      <w:pPr>
        <w:pStyle w:val="BodyText"/>
      </w:pPr>
      <w:r>
        <w:t xml:space="preserve">The Parties expressly acknowledge that: (a) they are in preliminary discussions only; (b) no binding commitment exists except as to confidentiality and use of information; (c) either Party may withdraw at any time; (d) the terms of any future transaction will be set forth in separate definitive agreements; (e) this Agreement does not restrict either Party from pursuing other opportunities or conducting business with other parties, subject to the non-use and non-disclosure obligations herein.</w:t>
      </w:r>
    </w:p>
    <w:bookmarkEnd w:id="15"/>
    <w:bookmarkStart w:id="16" w:name="definition"/>
    <w:p>
      <w:pPr>
        <w:pStyle w:val="Heading3"/>
      </w:pPr>
      <w:r>
        <w:t xml:space="preserve">2.1 Definition</w:t>
      </w:r>
    </w:p>
    <w:p>
      <w:pPr>
        <w:pStyle w:val="FirstParagraph"/>
      </w:pPr>
      <w:r>
        <w:t xml:space="preserve">"Confidential Information" means any information disclosed by the Disclosing Party to the Receiving Party, whether orally, in writing, or in electronic or other form, that: (a) is designated as confidential at the time of disclosure; (b) reasonably ought to be understood as confidential given its nature or the circumstances of disclosure; or (c) relates to the Potential Transaction. Confidential Information includes, without limitation:</w:t>
      </w:r>
    </w:p>
    <w:p>
      <w:pPr>
        <w:pStyle w:val="Compact"/>
        <w:numPr>
          <w:ilvl w:val="0"/>
          <w:numId w:val="1001"/>
        </w:numPr>
      </w:pPr>
      <w:r>
        <w:t xml:space="preserve">Business plans, strategies, financial information, forecasts, projections;</w:t>
      </w:r>
    </w:p>
    <w:p>
      <w:pPr>
        <w:pStyle w:val="Compact"/>
        <w:numPr>
          <w:ilvl w:val="0"/>
          <w:numId w:val="1001"/>
        </w:numPr>
      </w:pPr>
      <w:r>
        <w:t xml:space="preserve">Customer lists, supplier information, pricing, margins;</w:t>
      </w:r>
    </w:p>
    <w:p>
      <w:pPr>
        <w:pStyle w:val="Compact"/>
        <w:numPr>
          <w:ilvl w:val="0"/>
          <w:numId w:val="1001"/>
        </w:numPr>
      </w:pPr>
      <w:r>
        <w:t xml:space="preserve">Technical information, processes, formulae, designs, software;</w:t>
      </w:r>
    </w:p>
    <w:p>
      <w:pPr>
        <w:pStyle w:val="Compact"/>
        <w:numPr>
          <w:ilvl w:val="0"/>
          <w:numId w:val="1001"/>
        </w:numPr>
      </w:pPr>
      <w:r>
        <w:t xml:space="preserve">Marketing plans, product plans, research and development;</w:t>
      </w:r>
    </w:p>
    <w:p>
      <w:pPr>
        <w:pStyle w:val="Compact"/>
        <w:numPr>
          <w:ilvl w:val="0"/>
          <w:numId w:val="1001"/>
        </w:numPr>
      </w:pPr>
      <w:r>
        <w:t xml:space="preserve">Personnel information, organisational structure;</w:t>
      </w:r>
    </w:p>
    <w:p>
      <w:pPr>
        <w:pStyle w:val="Compact"/>
        <w:numPr>
          <w:ilvl w:val="0"/>
          <w:numId w:val="1001"/>
        </w:numPr>
      </w:pPr>
      <w:r>
        <w:t xml:space="preserve">Terms and conditions of this Agreement and any negotiations;</w:t>
      </w:r>
    </w:p>
    <w:p>
      <w:pPr>
        <w:pStyle w:val="Compact"/>
        <w:numPr>
          <w:ilvl w:val="0"/>
          <w:numId w:val="1001"/>
        </w:numPr>
      </w:pPr>
      <w:r>
        <w:t xml:space="preserve">Any information derived from or incorporating the foregoing.</w:t>
      </w:r>
    </w:p>
    <w:bookmarkEnd w:id="16"/>
    <w:bookmarkStart w:id="17" w:name="exclusions"/>
    <w:p>
      <w:pPr>
        <w:pStyle w:val="Heading3"/>
      </w:pPr>
      <w:r>
        <w:t xml:space="preserve">2.2 Exclusions</w:t>
      </w:r>
    </w:p>
    <w:p>
      <w:pPr>
        <w:pStyle w:val="FirstParagraph"/>
      </w:pPr>
      <w:r>
        <w:t xml:space="preserve">Confidential Information does not include information that the Receiving Party can demonstrate: (a) is or becomes publicly available (other than through breach of this Agreement); (b) was rightfully known to the Receiving Party prior to disclosure (without restriction); (c) is independently developed by the Receiving Party without use of the Confidential Information; (d) is rightfully received from a third party without restriction on disclosure; (e) is required to be disclosed by law (subject to Article 6). The burden of proof for exclusions is on the Receiving Party.</w:t>
      </w:r>
    </w:p>
    <w:bookmarkEnd w:id="17"/>
    <w:bookmarkStart w:id="18" w:name="marking"/>
    <w:p>
      <w:pPr>
        <w:pStyle w:val="Heading3"/>
      </w:pPr>
      <w:r>
        <w:t xml:space="preserve">2.3 Marking</w:t>
      </w:r>
    </w:p>
    <w:p>
      <w:pPr>
        <w:pStyle w:val="FirstParagraph"/>
      </w:pPr>
      <w:r>
        <w:t xml:space="preserve">Oral disclosures shall be summarised in writing and marked confidential within fifteen (15) days. Failure to mark does not waive confidentiality if the information reasonably ought to be treated as confidential.</w:t>
      </w:r>
    </w:p>
    <w:bookmarkEnd w:id="18"/>
    <w:bookmarkEnd w:id="19"/>
    <w:bookmarkStart w:id="24" w:name="article-3-obligations-of-receiving-party"/>
    <w:p>
      <w:pPr>
        <w:pStyle w:val="Heading2"/>
      </w:pPr>
      <w:r>
        <w:t xml:space="preserve">ARTICLE 3 — OBLIGATIONS OF RECEIVING PARTY</w:t>
      </w:r>
    </w:p>
    <w:bookmarkStart w:id="20" w:name="non-disclosure"/>
    <w:p>
      <w:pPr>
        <w:pStyle w:val="Heading3"/>
      </w:pPr>
      <w:r>
        <w:t xml:space="preserve">3.1 Non-Disclosure</w:t>
      </w:r>
    </w:p>
    <w:p>
      <w:pPr>
        <w:pStyle w:val="FirstParagraph"/>
      </w:pPr>
      <w:r>
        <w:t xml:space="preserve">The Receiving Party shall not disclose Confidential Information to any third party without the prior written consent of the Disclosing Party, except to its Representatives on a need-to-know basis and subject to confidentiality obligations at least as protective as herein.</w:t>
      </w:r>
    </w:p>
    <w:bookmarkEnd w:id="20"/>
    <w:bookmarkStart w:id="21" w:name="use"/>
    <w:p>
      <w:pPr>
        <w:pStyle w:val="Heading3"/>
      </w:pPr>
      <w:r>
        <w:t xml:space="preserve">3.2 Use</w:t>
      </w:r>
    </w:p>
    <w:p>
      <w:pPr>
        <w:pStyle w:val="FirstParagraph"/>
      </w:pPr>
      <w:r>
        <w:t xml:space="preserve">The Receiving Party shall use Confidential Information solely for the Purpose. The Receiving Party shall not use Confidential Information for its own benefit or for the benefit of any third party, or to the detriment of the Disclosing Party.</w:t>
      </w:r>
    </w:p>
    <w:bookmarkEnd w:id="21"/>
    <w:bookmarkStart w:id="22" w:name="care"/>
    <w:p>
      <w:pPr>
        <w:pStyle w:val="Heading3"/>
      </w:pPr>
      <w:r>
        <w:t xml:space="preserve">3.3 Care</w:t>
      </w:r>
    </w:p>
    <w:p>
      <w:pPr>
        <w:pStyle w:val="FirstParagraph"/>
      </w:pPr>
      <w:r>
        <w:t xml:space="preserve">The Receiving Party shall protect Confidential Information with at least the same degree of care it uses for its own confidential information of like kind, and in any event no less than reasonable care.</w:t>
      </w:r>
    </w:p>
    <w:bookmarkEnd w:id="22"/>
    <w:bookmarkStart w:id="23" w:name="no-license"/>
    <w:p>
      <w:pPr>
        <w:pStyle w:val="Heading3"/>
      </w:pPr>
      <w:r>
        <w:t xml:space="preserve">3.4 No License</w:t>
      </w:r>
    </w:p>
    <w:p>
      <w:pPr>
        <w:pStyle w:val="FirstParagraph"/>
      </w:pPr>
      <w:r>
        <w:t xml:space="preserve">No licence or right is granted by disclosure. All Confidential Information remains the property of the Disclosing Party. Nothing herein obligates either Party to proceed with the Potential Transaction.</w:t>
      </w:r>
    </w:p>
    <w:bookmarkEnd w:id="23"/>
    <w:bookmarkEnd w:id="24"/>
    <w:bookmarkStart w:id="28" w:name="article-4-mutual-covenants"/>
    <w:p>
      <w:pPr>
        <w:pStyle w:val="Heading2"/>
      </w:pPr>
      <w:r>
        <w:t xml:space="preserve">ARTICLE 4 — MUTUAL COVENANTS</w:t>
      </w:r>
    </w:p>
    <w:bookmarkStart w:id="25" w:name="no-solicitation"/>
    <w:p>
      <w:pPr>
        <w:pStyle w:val="Heading3"/>
      </w:pPr>
      <w:r>
        <w:t xml:space="preserve">4.1 No Solicitation</w:t>
      </w:r>
    </w:p>
    <w:p>
      <w:pPr>
        <w:pStyle w:val="FirstParagraph"/>
      </w:pPr>
      <w:r>
        <w:t xml:space="preserve">During the Term and for twelve (12) months thereafter, neither Party shall, without prior written consent, solicit for employment any key employee of the other Party who was involved in the Evaluation. This does not prohibit general advertising or hire from response thereto.</w:t>
      </w:r>
    </w:p>
    <w:bookmarkEnd w:id="25"/>
    <w:bookmarkStart w:id="26" w:name="non-circumvention"/>
    <w:p>
      <w:pPr>
        <w:pStyle w:val="Heading3"/>
      </w:pPr>
      <w:r>
        <w:t xml:space="preserve">4.2 Non-Circumvention</w:t>
      </w:r>
    </w:p>
    <w:p>
      <w:pPr>
        <w:pStyle w:val="FirstParagraph"/>
      </w:pPr>
      <w:r>
        <w:t xml:space="preserve">Neither Party shall use Confidential Information to circumvent the other or to directly or indirectly pursue the Potential Transaction with the other Party's counterparties, suppliers, or partners identified through the Evaluation, without the other Party's consent.</w:t>
      </w:r>
    </w:p>
    <w:bookmarkEnd w:id="26"/>
    <w:bookmarkStart w:id="27" w:name="no-representation"/>
    <w:p>
      <w:pPr>
        <w:pStyle w:val="Heading3"/>
      </w:pPr>
      <w:r>
        <w:t xml:space="preserve">4.3 No Representation</w:t>
      </w:r>
    </w:p>
    <w:p>
      <w:pPr>
        <w:pStyle w:val="FirstParagraph"/>
      </w:pPr>
      <w:r>
        <w:t xml:space="preserve">Neither Party makes any representation or warranty as to the accuracy or completeness of its Confidential Information. Each Party accepts the information "as is". Liability for inaccuracy shall be as per the definitive agreements, if any.</w:t>
      </w:r>
    </w:p>
    <w:bookmarkEnd w:id="27"/>
    <w:bookmarkEnd w:id="28"/>
    <w:bookmarkStart w:id="29" w:name="article-5-disclosure-to-representatives"/>
    <w:p>
      <w:pPr>
        <w:pStyle w:val="Heading2"/>
      </w:pPr>
      <w:r>
        <w:t xml:space="preserve">ARTICLE 5 — DISCLOSURE TO REPRESENTATIVES</w:t>
      </w:r>
    </w:p>
    <w:p>
      <w:pPr>
        <w:pStyle w:val="FirstParagraph"/>
      </w:pPr>
      <w:r>
        <w:t xml:space="preserve">The Receiving Party may disclose Confidential Information to its Representatives who need to know for the Purpose, provided such Representatives are bound by obligations of confidentiality (whether by agreement, professional duty, or employment) at least as protective as herein. The Receiving Party shall be responsible for any breach by its Representatives. Representatives exclude external advisors who are subject to conflicting engagements; the Receiving Party shall ensure appropriate conflict checks.</w:t>
      </w:r>
    </w:p>
    <w:bookmarkEnd w:id="29"/>
    <w:bookmarkStart w:id="30" w:name="article-6-compelled-disclosure"/>
    <w:p>
      <w:pPr>
        <w:pStyle w:val="Heading2"/>
      </w:pPr>
      <w:r>
        <w:t xml:space="preserve">ARTICLE 6 — COMPELLED DISCLOSURE</w:t>
      </w:r>
    </w:p>
    <w:p>
      <w:pPr>
        <w:pStyle w:val="FirstParagraph"/>
      </w:pPr>
      <w:r>
        <w:t xml:space="preserve">If the Receiving Party is required by law, regulation, court order, or regulatory authority to disclose Confidential Information, it shall: (a) give prompt written notice to the Disclosing Party (where lawful); (b) cooperate in any effort to obtain a protective order or confidential treatment; (c) disclose only that portion legally required; (d) use reasonable efforts to ensure confidential treatment. The Disclosing Party may participate in the proceeding at its own expense.</w:t>
      </w:r>
    </w:p>
    <w:bookmarkEnd w:id="30"/>
    <w:bookmarkStart w:id="31" w:name="article-7-return-and-destruction"/>
    <w:p>
      <w:pPr>
        <w:pStyle w:val="Heading2"/>
      </w:pPr>
      <w:r>
        <w:t xml:space="preserve">ARTICLE 7 — RETURN AND DESTRUCTION</w:t>
      </w:r>
    </w:p>
    <w:p>
      <w:pPr>
        <w:pStyle w:val="FirstParagraph"/>
      </w:pPr>
      <w:r>
        <w:t xml:space="preserve">Upon the Disclosing Party's request or upon termination of the Term, the Receiving Party shall promptly return or destroy all tangible materials containing Confidential Information and certify in writing that it has done so. The Receiving Party may retain one (1) copy for legal and regulatory compliance, subject to continued confidentiality. Survival of obligations under Articles 2, 3, 4, 8, 9, and 10 is unaffected.</w:t>
      </w:r>
    </w:p>
    <w:bookmarkEnd w:id="31"/>
    <w:bookmarkStart w:id="32" w:name="article-8-term-and-survival"/>
    <w:p>
      <w:pPr>
        <w:pStyle w:val="Heading2"/>
      </w:pPr>
      <w:r>
        <w:t xml:space="preserve">ARTICLE 8 — TERM AND SURVIVAL</w:t>
      </w:r>
    </w:p>
    <w:p>
      <w:pPr>
        <w:pStyle w:val="FirstParagraph"/>
      </w:pPr>
      <w:r>
        <w:t xml:space="preserve">This Agreement is effective from the Effective Date. The obligations of confidentiality and non-use shall survive for five (5) years from the date of disclosure of the relevant Confidential Information, except for trade secrets and information that remains confidential, which shall be protected for so long as it remains confidential. The Parties may terminate the evaluation at any time on thirty (30) days' written notice; termination does not affect obligations with respect to information already disclosed.</w:t>
      </w:r>
    </w:p>
    <w:bookmarkEnd w:id="32"/>
    <w:bookmarkStart w:id="33" w:name="article-9-indemnification"/>
    <w:p>
      <w:pPr>
        <w:pStyle w:val="Heading2"/>
      </w:pPr>
      <w:r>
        <w:t xml:space="preserve">ARTICLE 9 — INDEMNIFICATION</w:t>
      </w:r>
    </w:p>
    <w:p>
      <w:pPr>
        <w:pStyle w:val="FirstParagraph"/>
      </w:pPr>
      <w:r>
        <w:t xml:space="preserve">Each Receiving Party shall indemnify and hold harmless the Disclosing Party from and against any claims, damages, or expenses arising from the Receiving Party's (or its Representatives') breach of this Agreement. The indemnified Party shall give prompt notice, cooperate in defence, and permit the indemnifying Party to control. No settlement affecting the indemnified Party without consent.</w:t>
      </w:r>
    </w:p>
    <w:bookmarkEnd w:id="33"/>
    <w:bookmarkStart w:id="34" w:name="article-10-remedies"/>
    <w:p>
      <w:pPr>
        <w:pStyle w:val="Heading2"/>
      </w:pPr>
      <w:r>
        <w:t xml:space="preserve">ARTICLE 10 — REMEDIES</w:t>
      </w:r>
    </w:p>
    <w:p>
      <w:pPr>
        <w:pStyle w:val="FirstParagraph"/>
      </w:pPr>
      <w:r>
        <w:t xml:space="preserve">The Parties acknowledge that breach may cause irreparable harm for which monetary damages may be inadequate. Each Party shall be entitled to seek injunctive or equitable relief in addition to any other remedy. No bond shall be required for such relief to the extent permitted by law. The aggregate liability cap under this Agreement shall be ₹5,00,00,000 (Rupees Five Crore) per Party, except for fraud or wilful misconduct.</w:t>
      </w:r>
    </w:p>
    <w:bookmarkEnd w:id="34"/>
    <w:bookmarkStart w:id="35" w:name="article-11-force-majeure"/>
    <w:p>
      <w:pPr>
        <w:pStyle w:val="Heading2"/>
      </w:pPr>
      <w:r>
        <w:t xml:space="preserve">ARTICLE 11 — FORCE MAJEURE</w:t>
      </w:r>
    </w:p>
    <w:p>
      <w:pPr>
        <w:pStyle w:val="FirstParagraph"/>
      </w:pPr>
      <w:r>
        <w:t xml:space="preserve">Neither Party shall be liable for failure or delay due to circumstances beyond reasonable control, including act of God, war, terrorism, pandemic, government action, or natural disaster. The affected Party shall notify within five (5) days. If Force Majeure continues for more than sixty (60) days, either Party may terminate on fifteen (15) days' notice.</w:t>
      </w:r>
    </w:p>
    <w:bookmarkEnd w:id="35"/>
    <w:bookmarkStart w:id="38" w:name="Xa373a215bafc5e40bec6d3add38b0d17bc74b09"/>
    <w:p>
      <w:pPr>
        <w:pStyle w:val="Heading2"/>
      </w:pPr>
      <w:r>
        <w:t xml:space="preserve">ARTICLE 12 — GOVERNING LAW AND DISPUTE RESOLUTION</w:t>
      </w:r>
    </w:p>
    <w:bookmarkStart w:id="36" w:name="governing-law"/>
    <w:p>
      <w:pPr>
        <w:pStyle w:val="Heading3"/>
      </w:pPr>
      <w:r>
        <w:t xml:space="preserve">12.1 Governing Law</w:t>
      </w:r>
    </w:p>
    <w:p>
      <w:pPr>
        <w:pStyle w:val="FirstParagraph"/>
      </w:pPr>
      <w:r>
        <w:t xml:space="preserve">This Agreement is governed by the Indian Contract Act, 1872 and the laws of India. Courts at Mumbai shall have exclusive jurisdiction for interim relief.</w:t>
      </w:r>
    </w:p>
    <w:bookmarkEnd w:id="36"/>
    <w:bookmarkStart w:id="37" w:name="arbitration"/>
    <w:p>
      <w:pPr>
        <w:pStyle w:val="Heading3"/>
      </w:pPr>
      <w:r>
        <w:t xml:space="preserve">12.2 Arbitration</w:t>
      </w:r>
    </w:p>
    <w:p>
      <w:pPr>
        <w:pStyle w:val="FirstParagraph"/>
      </w:pPr>
      <w:r>
        <w:t xml:space="preserve">Any dispute shall first be subject to good-faith negotiation for thirty (30) days. Failing resolution, the dispute shall be referred to arbitration under the Arbitration and Conciliation Act, 1996. Sole arbitrator mutually appointed; failing agreement, by the High Court of Bombay. Seat: Mumbai. Language: English. Award final and binding.</w:t>
      </w:r>
    </w:p>
    <w:bookmarkEnd w:id="37"/>
    <w:bookmarkEnd w:id="38"/>
    <w:bookmarkStart w:id="39" w:name="article-13-general"/>
    <w:p>
      <w:pPr>
        <w:pStyle w:val="Heading2"/>
      </w:pPr>
      <w:r>
        <w:t xml:space="preserve">ARTICLE 13 — GENERAL</w:t>
      </w:r>
    </w:p>
    <w:p>
      <w:pPr>
        <w:pStyle w:val="FirstParagraph"/>
      </w:pPr>
      <w:r>
        <w:t xml:space="preserve">Entire agreement. Amendments in writing. Severability. No waiver unless in writing. No assignment without consent. Notices to registered address. Counterparts and electronic signatures valid.</w:t>
      </w:r>
    </w:p>
    <w:bookmarkEnd w:id="39"/>
    <w:bookmarkStart w:id="40" w:name="Xc43dbda05f74280a3224aa43f98e23804b0656f"/>
    <w:p>
      <w:pPr>
        <w:pStyle w:val="Heading2"/>
      </w:pPr>
      <w:r>
        <w:t xml:space="preserve">SCHEDULE A — DESCRIPTION OF POTENTIAL TRANSACTION</w:t>
      </w:r>
    </w:p>
    <w:p>
      <w:pPr>
        <w:pStyle w:val="FirstParagraph"/>
      </w:pPr>
      <w:r>
        <w:t xml:space="preserve">The Parties are exploring: (a) formation of a joint venture company for retail operations in [product categories]; (b) potential equity participation and governance structure; (c) supply arrangements; (d) brand licensing; (e) technology and systems integration; (f) geographic scope. The scope may be refined during negotiations. This Agreement covers all information exchanged in connection with the exploration, whether or not the Transaction proceeds.</w:t>
      </w:r>
    </w:p>
    <w:bookmarkEnd w:id="40"/>
    <w:bookmarkStart w:id="41" w:name="schedule-b-designated-contacts"/>
    <w:p>
      <w:pPr>
        <w:pStyle w:val="Heading2"/>
      </w:pPr>
      <w:r>
        <w:t xml:space="preserve">SCHEDULE B — DESIGNATED CONTACTS</w:t>
      </w:r>
    </w:p>
    <w:p>
      <w:pPr>
        <w:pStyle w:val="FirstParagraph"/>
      </w:pPr>
      <w:r>
        <w:rPr>
          <w:b/>
          <w:bCs/>
        </w:rPr>
        <w:t xml:space="preserve">Party A:</w:t>
      </w:r>
      <w:r>
        <w:t xml:space="preserve"> </w:t>
      </w:r>
      <w:r>
        <w:t xml:space="preserve">Mr. Venkatesh Iyer, Executive Director, Reliance Retail Limited. Email: venkatesh.iyer@ril.com.</w:t>
      </w:r>
      <w:r>
        <w:t xml:space="preserve"> </w:t>
      </w:r>
      <w:r>
        <w:rPr>
          <w:b/>
          <w:bCs/>
        </w:rPr>
        <w:t xml:space="preserve">Party B:</w:t>
      </w:r>
      <w:r>
        <w:t xml:space="preserve"> </w:t>
      </w:r>
      <w:r>
        <w:t xml:space="preserve">Ms. Lakshmi Narayanan, Managing Director, Aditya Retail Ventures Private Limited. Email: lakshmi@adityaretail.com. All disclosures and notices under this Agreement shall be copied to the designated contact. Either Party may change its contact by written notice.</w:t>
      </w:r>
    </w:p>
    <w:bookmarkEnd w:id="41"/>
    <w:bookmarkStart w:id="42" w:name="schedule-c-information-categories"/>
    <w:p>
      <w:pPr>
        <w:pStyle w:val="Heading2"/>
      </w:pPr>
      <w:r>
        <w:t xml:space="preserve">SCHEDULE C — INFORMATION CATEGORIES</w:t>
      </w:r>
    </w:p>
    <w:p>
      <w:pPr>
        <w:pStyle w:val="FirstParagraph"/>
      </w:pPr>
      <w:r>
        <w:t xml:space="preserve">Without limiting the definition of Confidential Information, the following categories are acknowledged as typically confidential: (1) Financial: revenue, costs, margins, projections, debt, valuations; (2) Operational: store formats, supply chain, logistics, vendor terms; (3) Strategic: expansion plans, market analysis, competitive positioning; (4) Technical: systems, processes, proprietary software; (5) Legal: contracts, litigation, regulatory matters; (6) Personnel: key personnel, compensation structures.</w:t>
      </w:r>
    </w:p>
    <w:bookmarkEnd w:id="42"/>
    <w:bookmarkStart w:id="43" w:name="schedule-d-destruction-certificate"/>
    <w:p>
      <w:pPr>
        <w:pStyle w:val="Heading2"/>
      </w:pPr>
      <w:r>
        <w:t xml:space="preserve">SCHEDULE D — DESTRUCTION CERTIFICATE</w:t>
      </w:r>
    </w:p>
    <w:p>
      <w:pPr>
        <w:pStyle w:val="FirstParagraph"/>
      </w:pPr>
      <w:r>
        <w:t xml:space="preserve">Upon return/destruction, the Receiving Party shall provide a certificate substantially in the following form: "We certify that we have returned or destroyed all Confidential Information received from [Disclosing Party] under the Mutual NDA dated [date], except for one archival copy retained for legal/compliance purposes, which remains subject to the confidentiality obligations of the Agreement. [Receiving Party]"</w:t>
      </w:r>
    </w:p>
    <w:bookmarkEnd w:id="43"/>
    <w:bookmarkStart w:id="44" w:name="schedule-e-permitted-disclosures"/>
    <w:p>
      <w:pPr>
        <w:pStyle w:val="Heading2"/>
      </w:pPr>
      <w:r>
        <w:t xml:space="preserve">SCHEDULE E — PERMITTED DISCLOSURES</w:t>
      </w:r>
    </w:p>
    <w:p>
      <w:pPr>
        <w:pStyle w:val="FirstParagraph"/>
      </w:pPr>
      <w:r>
        <w:t xml:space="preserve">Confidential Information may be disclosed to: (a) Affiliates who need to know for the Purpose, subject to same obligations; (b) lenders or investors in connection with the Potential Transaction, under confidentiality; (c) regulators as required by law; (d) professional advisors bound by duty of confidentiality. Prior notice to Disclosing Party for (a) and (b) where practicable.</w:t>
      </w:r>
    </w:p>
    <w:bookmarkEnd w:id="44"/>
    <w:bookmarkStart w:id="45" w:name="annexure-i-standard-of-care"/>
    <w:p>
      <w:pPr>
        <w:pStyle w:val="Heading2"/>
      </w:pPr>
      <w:r>
        <w:t xml:space="preserve">ANNEXURE I — STANDARD OF CARE</w:t>
      </w:r>
    </w:p>
    <w:p>
      <w:pPr>
        <w:pStyle w:val="FirstParagraph"/>
      </w:pPr>
      <w:r>
        <w:t xml:space="preserve">"Reasonable care" means: (a) limiting access to need-to-know personnel; (b) secure storage (physical and electronic); (c) no use outside the Purpose; (d) prompt reporting of suspected breach; (e) compliance with the Receiving Party's internal policies on confidential information. For highly sensitive information (e.g., pricing, strategy), enhanced measures such as encryption, access logs, and need-to-know approval may be required.</w:t>
      </w:r>
    </w:p>
    <w:bookmarkEnd w:id="45"/>
    <w:bookmarkStart w:id="46" w:name="annexure-ii-notice-procedures"/>
    <w:p>
      <w:pPr>
        <w:pStyle w:val="Heading2"/>
      </w:pPr>
      <w:r>
        <w:t xml:space="preserve">ANNEXURE II — NOTICE PROCEDURES</w:t>
      </w:r>
    </w:p>
    <w:p>
      <w:pPr>
        <w:pStyle w:val="FirstParagraph"/>
      </w:pPr>
      <w:r>
        <w:t xml:space="preserve">Notices shall be in writing, sent to the registered address and designated contact email. Deemed given: upon receipt if hand-delivered or courier; three (3) days after posting if registered post; upon successful transmission if email (with read receipt requested). Change of address by fifteen (15) days' prior notice.</w:t>
      </w:r>
    </w:p>
    <w:bookmarkEnd w:id="46"/>
    <w:bookmarkStart w:id="47" w:name="annexure-iii-anti-bribery"/>
    <w:p>
      <w:pPr>
        <w:pStyle w:val="Heading2"/>
      </w:pPr>
      <w:r>
        <w:t xml:space="preserve">ANNEXURE III — ANTI-BRIBERY</w:t>
      </w:r>
    </w:p>
    <w:p>
      <w:pPr>
        <w:pStyle w:val="FirstParagraph"/>
      </w:pPr>
      <w:r>
        <w:t xml:space="preserve">Each Party warrants that in connection with this Agreement and the Potential Transaction it has not and will not offer, promise, or give any undue advantage to any public official or person in the private sector. Each Party shall comply with the Prevention of Corruption Act, 1988 and applicable anti-bribery laws. Breach shall constitute material breach entitling the other Party to terminate.</w:t>
      </w:r>
    </w:p>
    <w:bookmarkEnd w:id="47"/>
    <w:bookmarkStart w:id="48" w:name="annexure-iv-data-protection"/>
    <w:p>
      <w:pPr>
        <w:pStyle w:val="Heading2"/>
      </w:pPr>
      <w:r>
        <w:t xml:space="preserve">ANNEXURE IV — DATA PROTECTION</w:t>
      </w:r>
    </w:p>
    <w:p>
      <w:pPr>
        <w:pStyle w:val="FirstParagraph"/>
      </w:pPr>
      <w:r>
        <w:t xml:space="preserve">To the extent Confidential Information includes personal data, the Receiving Party shall process it only for the Purpose, in compliance with applicable data protection law. The Receiving Party shall implement appropriate technical and organisational measures. Personal data shall be returned or deleted upon request or termination, unless retention is required by law.</w:t>
      </w:r>
    </w:p>
    <w:bookmarkEnd w:id="48"/>
    <w:bookmarkStart w:id="49" w:name="annexure-v-no-obligation"/>
    <w:p>
      <w:pPr>
        <w:pStyle w:val="Heading2"/>
      </w:pPr>
      <w:r>
        <w:t xml:space="preserve">ANNEXURE V — NO OBLIGATION</w:t>
      </w:r>
    </w:p>
    <w:p>
      <w:pPr>
        <w:pStyle w:val="FirstParagraph"/>
      </w:pPr>
      <w:r>
        <w:t xml:space="preserve">This Agreement does not obligate either Party to: (a) proceed with the Potential Transaction; (b) accept any proposal or term; (c) negotiate exclusively with the other; (d) disclose any particular information. Either Party may terminate discussions at any time. Neither Party shall have any claim against the other for failing to consummate the Transaction, except for breach of this Agreement.</w:t>
      </w:r>
    </w:p>
    <w:bookmarkEnd w:id="49"/>
    <w:bookmarkStart w:id="50" w:name="annexure-vi-standstill-optional"/>
    <w:p>
      <w:pPr>
        <w:pStyle w:val="Heading2"/>
      </w:pPr>
      <w:r>
        <w:t xml:space="preserve">ANNEXURE VI — STANDSTILL (OPTIONAL)</w:t>
      </w:r>
    </w:p>
    <w:p>
      <w:pPr>
        <w:pStyle w:val="FirstParagraph"/>
      </w:pPr>
      <w:r>
        <w:t xml:space="preserve">[If agreed by the Parties] During the Term and for sixty (60) days thereafter, neither Party shall, without the other's prior written consent: (a) acquire or offer to acquire equity or assets of the other; (b) make a public proposal regarding a transaction; (c) solicit proxies or seek to influence the other's shareholders. This standstill may be waived in writing.</w:t>
      </w:r>
    </w:p>
    <w:bookmarkEnd w:id="50"/>
    <w:bookmarkStart w:id="51" w:name="annexure-vii-materials-and-data-room"/>
    <w:p>
      <w:pPr>
        <w:pStyle w:val="Heading2"/>
      </w:pPr>
      <w:r>
        <w:t xml:space="preserve">ANNEXURE VII — MATERIALS AND DATA ROOM</w:t>
      </w:r>
    </w:p>
    <w:p>
      <w:pPr>
        <w:pStyle w:val="FirstParagraph"/>
      </w:pPr>
      <w:r>
        <w:t xml:space="preserve">The Parties may establish a virtual data room for sharing documents. Access shall be on need-to-know basis. The data room provider shall have appropriate security. All materials in the data room constitute Confidential Information. The Receiving Party shall not download, copy, or extract materials except as necessary for the Purpose. Upon termination, the Receiving Party shall certify deletion of downloaded materials. The Disclosing Party may revoke access at any time.</w:t>
      </w:r>
    </w:p>
    <w:bookmarkEnd w:id="51"/>
    <w:bookmarkStart w:id="52" w:name="annexure-viii-conflict-of-interest"/>
    <w:p>
      <w:pPr>
        <w:pStyle w:val="Heading2"/>
      </w:pPr>
      <w:r>
        <w:t xml:space="preserve">ANNEXURE VIII — CONFLICT OF INTEREST</w:t>
      </w:r>
    </w:p>
    <w:p>
      <w:pPr>
        <w:pStyle w:val="FirstParagraph"/>
      </w:pPr>
      <w:r>
        <w:t xml:space="preserve">Each Party shall disclose to the other any actual or potential conflict of interest that may arise during the Evaluation. If a Party is advising or has advised a competitor or conflicting party in respect of matters related to the Potential Transaction, it shall disclose the same. The other Party may require appropriate information barriers or decline to share certain information. Failure to disclose a material conflict may constitute breach.</w:t>
      </w:r>
    </w:p>
    <w:bookmarkEnd w:id="52"/>
    <w:bookmarkStart w:id="53" w:name="annexure-ix-termination-consequences"/>
    <w:p>
      <w:pPr>
        <w:pStyle w:val="Heading2"/>
      </w:pPr>
      <w:r>
        <w:t xml:space="preserve">ANNEXURE IX — TERMINATION CONSEQUENCES</w:t>
      </w:r>
    </w:p>
    <w:p>
      <w:pPr>
        <w:pStyle w:val="FirstParagraph"/>
      </w:pPr>
      <w:r>
        <w:t xml:space="preserve">Upon termination of the Evaluation: (a) each Party shall return or destroy Confidential Information within fifteen (15) days; (b) each Party shall certify compliance; (c) the Parties may mutually agree to extend the Term for a specified period; (d) no Party shall have any obligation to reimburse the other for costs incurred in the Evaluation; (e) survival provisions remain in effect. If definitive agreements are executed, they shall govern with respect to information disclosed thereunder; this Agreement shall continue to govern information disclosed prior thereto.</w:t>
      </w:r>
    </w:p>
    <w:bookmarkEnd w:id="53"/>
    <w:bookmarkStart w:id="54" w:name="annexure-x-intellectual-property"/>
    <w:p>
      <w:pPr>
        <w:pStyle w:val="Heading2"/>
      </w:pPr>
      <w:r>
        <w:t xml:space="preserve">ANNEXURE X — INTELLECTUAL PROPERTY</w:t>
      </w:r>
    </w:p>
    <w:p>
      <w:pPr>
        <w:pStyle w:val="FirstParagraph"/>
      </w:pPr>
      <w:r>
        <w:t xml:space="preserve">No licence or assignment of intellectual property is granted by this Agreement. If the Parties exchange technical information, designs, or other IP, such exchange is subject to confidentiality only. Rights to use such IP for the Potential Transaction shall be set forth in the definitive agreements. Neither Party shall reverse engineer, decompile, or extract trade secrets from materials received, except as expressly permitted in writing.</w:t>
      </w:r>
    </w:p>
    <w:bookmarkEnd w:id="54"/>
    <w:bookmarkStart w:id="55" w:name="X4ff69924d8637fa3af5cc960b1e0594454cc99a"/>
    <w:p>
      <w:pPr>
        <w:pStyle w:val="Heading2"/>
      </w:pPr>
      <w:r>
        <w:t xml:space="preserve">SCHEDULE F — EXCEPTIONS TO NON-SOLICITATION</w:t>
      </w:r>
    </w:p>
    <w:p>
      <w:pPr>
        <w:pStyle w:val="FirstParagraph"/>
      </w:pPr>
      <w:r>
        <w:t xml:space="preserve">The non-solicitation in Article 4.1 does not apply to: (a) employees who respond to general recruitment advertising; (b) employees whose employment was terminated by the other Party more than six (6) months prior; (c) employees who initiate contact without solicitation; (d) recruitment through search firms where the search firm was not instructed to target the other Party's employees. The burden of proof that an exception applies is on the Receiving Party.</w:t>
      </w:r>
    </w:p>
    <w:bookmarkEnd w:id="55"/>
    <w:bookmarkStart w:id="56" w:name="schedule-g-indemnity-procedure"/>
    <w:p>
      <w:pPr>
        <w:pStyle w:val="Heading2"/>
      </w:pPr>
      <w:r>
        <w:t xml:space="preserve">SCHEDULE G — INDEMNITY PROCEDURE</w:t>
      </w:r>
    </w:p>
    <w:p>
      <w:pPr>
        <w:pStyle w:val="FirstParagraph"/>
      </w:pPr>
      <w:r>
        <w:t xml:space="preserve">Claims for indemnification: (a) Indemnified Party shall give prompt written notice including nature of claim and estimated amount; (b) Indemnifying Party may assume defence with counsel reasonably acceptable to Indemnified Party; (c) Indemnified Party shall cooperate and provide information; (d) Indemnifying Party shall not settle without Indemnified Party's consent if settlement imposes liability on or admits fault by Indemnified Party; (e) Indemnified Party may participate at its own expense. Failure to give prompt notice shall not relieve Indemnifying Party except to the extent prejudiced.</w:t>
      </w:r>
    </w:p>
    <w:bookmarkEnd w:id="56"/>
    <w:bookmarkStart w:id="57" w:name="schedule-h-liability-cap-and-exclusions"/>
    <w:p>
      <w:pPr>
        <w:pStyle w:val="Heading2"/>
      </w:pPr>
      <w:r>
        <w:t xml:space="preserve">SCHEDULE H — LIABILITY CAP AND EXCLUSIONS</w:t>
      </w:r>
    </w:p>
    <w:p>
      <w:pPr>
        <w:pStyle w:val="FirstParagraph"/>
      </w:pPr>
      <w:r>
        <w:t xml:space="preserve">Aggregate liability per Party: ₹5,00,00,000. Excluded from cap: fraud; wilful misconduct; breach of confidentiality (no cap for direct damages); indemnification obligations. Neither Party liable for: indirect; incidental; special; consequential; punitive; or loss of profits, revenue, or business opportunity. These limitations apply in contract, tort, negligence, or otherwise. The Parties acknowledge these limitations reflect the allocation of risk in a pre-transaction NDA.</w:t>
      </w:r>
    </w:p>
    <w:bookmarkEnd w:id="57"/>
    <w:bookmarkStart w:id="58" w:name="schedule-i-dispute-resolution-procedure"/>
    <w:p>
      <w:pPr>
        <w:pStyle w:val="Heading2"/>
      </w:pPr>
      <w:r>
        <w:t xml:space="preserve">SCHEDULE I — DISPUTE RESOLUTION PROCEDURE</w:t>
      </w:r>
    </w:p>
    <w:p>
      <w:pPr>
        <w:pStyle w:val="FirstParagraph"/>
      </w:pPr>
      <w:r>
        <w:t xml:space="preserve">Step 1: Either Party may give written notice of a dispute to the other. Step 2: Within seven (7) days, the Parties shall designate senior executives (Director or above) to meet and attempt resolution. Step 3: The executives shall meet within fifteen (15) days of the notice, in person or by video. Step 4: If unresolved within thirty (30) days of the initial notice, either Party may refer the dispute to arbitration. Step 5: Arbitration under the Arbitration and Conciliation Act, 1996. Sole arbitrator. Mutual appointment or Court appointment (High Court of Bombay). Seat: Mumbai. Language: English. Award final and binding. The arbitral proceedings shall be confidential.</w:t>
      </w:r>
    </w:p>
    <w:bookmarkEnd w:id="58"/>
    <w:bookmarkStart w:id="59" w:name="schedule-j-survival-of-obligations"/>
    <w:p>
      <w:pPr>
        <w:pStyle w:val="Heading2"/>
      </w:pPr>
      <w:r>
        <w:t xml:space="preserve">SCHEDULE J — SURVIVAL OF OBLIGATIONS</w:t>
      </w:r>
    </w:p>
    <w:p>
      <w:pPr>
        <w:pStyle w:val="FirstParagraph"/>
      </w:pPr>
      <w:r>
        <w:t xml:space="preserve">The following provisions survive termination or expiry of this Agreement: Article 2 (Confidential Information – definition and exclusions); Article 3 (Obligations – for the survival period stated); Article 4 (Mutual Covenants – non-solicitation for 12 months, non-circumvention); Article 7 (Return and Destruction); Article 9 (Indemnification); Article 10 (Remedies); Article 12 (Governing Law and Arbitration); Schedules and Annexures to the extent they relate to surviving obligations. Survival periods: Confidentiality – 5 years from disclosure (trade secrets indefinitely); Non-solicitation – 12 months from end of Term.</w:t>
      </w:r>
    </w:p>
    <w:bookmarkEnd w:id="59"/>
    <w:bookmarkStart w:id="60" w:name="annexure-xi-representations"/>
    <w:p>
      <w:pPr>
        <w:pStyle w:val="Heading2"/>
      </w:pPr>
      <w:r>
        <w:t xml:space="preserve">ANNEXURE XI — REPRESENTATIONS</w:t>
      </w:r>
    </w:p>
    <w:p>
      <w:pPr>
        <w:pStyle w:val="FirstParagraph"/>
      </w:pPr>
      <w:r>
        <w:t xml:space="preserve">Each Party represents to the other that: (a) it is duly organised, validly existing, and has full power and authority to enter this Agreement; (b) this Agreement has been duly authorised and constitutes a valid and binding obligation; (c) execution does not violate any law, order, or agreement binding on it; (d) it has disclosed any material conflicts or impediments known to it; (e) it will comply with applicable law in performing its obligations. These representations are made as of the Effective Date and are relied upon by the other Party.</w:t>
      </w:r>
    </w:p>
    <w:bookmarkEnd w:id="60"/>
    <w:bookmarkStart w:id="61" w:name="annexure-xii-term-and-renewal"/>
    <w:p>
      <w:pPr>
        <w:pStyle w:val="Heading2"/>
      </w:pPr>
      <w:r>
        <w:t xml:space="preserve">ANNEXURE XII — TERM AND RENEWAL</w:t>
      </w:r>
    </w:p>
    <w:p>
      <w:pPr>
        <w:pStyle w:val="FirstParagraph"/>
      </w:pPr>
      <w:r>
        <w:t xml:space="preserve">The initial Term is three (3) years from the Effective Date. Either Party may terminate on thirty (30) days' written notice at any time. If the Parties execute definitive agreements (e.g., JV agreement, shareholders' agreement), such agreements may supersede or supplement this Agreement with respect to information disclosed thereunder. This Agreement continues to govern information disclosed prior to such definitive agreements. The Parties may extend the Term by mutual written agreement. Termination does not affect obligations with respect to information already disclosed.</w:t>
      </w:r>
    </w:p>
    <w:bookmarkEnd w:id="61"/>
    <w:bookmarkStart w:id="62" w:name="annexure-xiii-no-obligation-to-proceed"/>
    <w:p>
      <w:pPr>
        <w:pStyle w:val="Heading2"/>
      </w:pPr>
      <w:r>
        <w:t xml:space="preserve">ANNEXURE XIII — NO OBLIGATION TO PROCEED</w:t>
      </w:r>
    </w:p>
    <w:p>
      <w:pPr>
        <w:pStyle w:val="FirstParagraph"/>
      </w:pPr>
      <w:r>
        <w:t xml:space="preserve">This Agreement does not create any obligation on either Party to: (a) proceed with the Potential Transaction; (b) negotiate in good faith or for any period; (c) accept any proposal or term; (d) disclose any particular information; (e) refrain from pursuing other opportunities. Either Party may terminate the evaluation at any time. Neither Party shall have any claim against the other for failing to consummate the Transaction, for breaking off negotiations, or for pursuing other opportunities, except for breach of this Agreement (e.g., unauthorised use or disclosure of Confidential Information).</w:t>
      </w:r>
    </w:p>
    <w:bookmarkEnd w:id="62"/>
    <w:bookmarkStart w:id="63" w:name="annexure-xiv-entire-agreement"/>
    <w:p>
      <w:pPr>
        <w:pStyle w:val="Heading2"/>
      </w:pPr>
      <w:r>
        <w:t xml:space="preserve">ANNEXURE XIV — ENTIRE AGREEMENT</w:t>
      </w:r>
    </w:p>
    <w:p>
      <w:pPr>
        <w:pStyle w:val="FirstParagraph"/>
      </w:pPr>
      <w:r>
        <w:t xml:space="preserve">This Agreement, together with its Schedules and Annexures, constitutes the entire agreement between the Parties regarding the subject matter and supersedes all prior discussions, negotiations, and agreements. No amendment shall be effective unless in writing and signed by both Parties. No waiver of any provision shall be effective unless in writing. No waiver of any breach shall constitute a waiver of any subsequent breach. If any provision is held invalid, the remaining provisions shall remain in full force. The Parties shall negotiate in good faith to replace an invalid provision with one that achieves the intended effect.</w:t>
      </w:r>
    </w:p>
    <w:bookmarkEnd w:id="63"/>
    <w:bookmarkStart w:id="64" w:name="annexure-xv-assignment-and-beneficiaries"/>
    <w:p>
      <w:pPr>
        <w:pStyle w:val="Heading2"/>
      </w:pPr>
      <w:r>
        <w:t xml:space="preserve">ANNEXURE XV — ASSIGNMENT AND BENEFICIARIES</w:t>
      </w:r>
    </w:p>
    <w:p>
      <w:pPr>
        <w:pStyle w:val="FirstParagraph"/>
      </w:pPr>
      <w:r>
        <w:t xml:space="preserve">Neither Party may assign this Agreement without the prior written consent of the other, except that either Party may assign to an Affiliate or in connection with a merger, acquisition, or sale of substantially all assets, provided the assignee assumes all obligations and the assignor remains liable until such assumption. This Agreement is for the benefit of the Parties only; no third party shall have any right hereunder. The Receiving Party's obligations are also for the benefit of the Disclosing Party's Affiliates who may disclose through the Disclosing Party.</w:t>
      </w:r>
    </w:p>
    <w:bookmarkEnd w:id="64"/>
    <w:bookmarkStart w:id="65" w:name="X99a263a63616db43836dd03f0b6e94452c1fae5"/>
    <w:p>
      <w:pPr>
        <w:pStyle w:val="Heading2"/>
      </w:pPr>
      <w:r>
        <w:t xml:space="preserve">ANNEXURE XVI — COUNTERPARTS AND ELECTRONIC SIGNATURE</w:t>
      </w:r>
    </w:p>
    <w:p>
      <w:pPr>
        <w:pStyle w:val="FirstParagraph"/>
      </w:pPr>
      <w:r>
        <w:t xml:space="preserve">This Agreement may be executed in counterparts, each of which shall be deemed an original and all of which together shall constitute one instrument. Signature pages may be exchanged by email or electronic transmission. Electronic signatures (including DocuSign or similar) shall be valid and binding. The Parties consent to the use of electronic records and signatures. Each Party shall provide an original executed copy if requested.</w:t>
      </w:r>
    </w:p>
    <w:bookmarkEnd w:id="65"/>
    <w:bookmarkStart w:id="74" w:name="X480ec82dd967bbeed6c6cbfe39674c412dd6487"/>
    <w:p>
      <w:pPr>
        <w:pStyle w:val="Heading2"/>
      </w:pPr>
      <w:r>
        <w:t xml:space="preserve">SUPPLEMENTAL PROVISIONS — INDIAN CONTRACT ACT AND LEGAL FRAMEWORK</w:t>
      </w:r>
    </w:p>
    <w:bookmarkStart w:id="66" w:name="sp.1-applicable-law"/>
    <w:p>
      <w:pPr>
        <w:pStyle w:val="Heading3"/>
      </w:pPr>
      <w:r>
        <w:t xml:space="preserve">SP.1 Applicable Law</w:t>
      </w:r>
    </w:p>
    <w:p>
      <w:pPr>
        <w:pStyle w:val="FirstParagraph"/>
      </w:pPr>
      <w:r>
        <w:t xml:space="preserve">This Agreement shall be governed by and construed in accordance with the Indian Contract Act, 1872, the Specific Relief Act, 1963 (for remedies), and the Arbitration and Conciliation Act, 1996. The Parties submit to the exclusive jurisdiction of the courts at Mumbai for the purpose of enforcing this Agreement and for interim relief. The United Nations Convention on Contracts for the International Sale of Goods shall not apply.</w:t>
      </w:r>
    </w:p>
    <w:bookmarkEnd w:id="66"/>
    <w:bookmarkStart w:id="67" w:name="sp.2-severability"/>
    <w:p>
      <w:pPr>
        <w:pStyle w:val="Heading3"/>
      </w:pPr>
      <w:r>
        <w:t xml:space="preserve">SP.2 Severability</w:t>
      </w:r>
    </w:p>
    <w:p>
      <w:pPr>
        <w:pStyle w:val="FirstParagraph"/>
      </w:pPr>
      <w:r>
        <w:t xml:space="preserve">If any provision of this Agreement is held to be invalid, illegal, or unenforceable by a court of competent jurisdiction, such invalidity shall not affect the remaining provisions. The invalid provision shall be modified to the minimum extent necessary to make it valid and enforceable, or if such modification is not possible, severed. The Parties shall negotiate in good faith to replace the invalid provision with one that achieves the intended commercial effect.</w:t>
      </w:r>
    </w:p>
    <w:bookmarkEnd w:id="67"/>
    <w:bookmarkStart w:id="68" w:name="sp.3-waiver"/>
    <w:p>
      <w:pPr>
        <w:pStyle w:val="Heading3"/>
      </w:pPr>
      <w:r>
        <w:t xml:space="preserve">SP.3 Waiver</w:t>
      </w:r>
    </w:p>
    <w:p>
      <w:pPr>
        <w:pStyle w:val="FirstParagraph"/>
      </w:pPr>
      <w:r>
        <w:t xml:space="preserve">No failure or delay by either Party in exercising any right under this Agreement shall operate as a waiver thereof. No single or partial exercise of any right shall preclude any other or further exercise. No waiver shall be effective unless in writing and signed by the waiving Party. A waiver of any breach shall not constitute a waiver of any subsequent breach.</w:t>
      </w:r>
    </w:p>
    <w:bookmarkEnd w:id="68"/>
    <w:bookmarkStart w:id="69" w:name="sp.4-third-party-rights"/>
    <w:p>
      <w:pPr>
        <w:pStyle w:val="Heading3"/>
      </w:pPr>
      <w:r>
        <w:t xml:space="preserve">SP.4 Third-Party Rights</w:t>
      </w:r>
    </w:p>
    <w:p>
      <w:pPr>
        <w:pStyle w:val="FirstParagraph"/>
      </w:pPr>
      <w:r>
        <w:t xml:space="preserve">This Agreement does not confer any rights on any person or entity other than the Parties and their permitted successors and assigns. No third party may enforce any provision of this Agreement. The obligations of the Receiving Party are undertaken for the benefit of the Disclosing Party and its Affiliates who may disclose through the Disclosing Party.</w:t>
      </w:r>
    </w:p>
    <w:bookmarkEnd w:id="69"/>
    <w:bookmarkStart w:id="70" w:name="sp.5-costs"/>
    <w:p>
      <w:pPr>
        <w:pStyle w:val="Heading3"/>
      </w:pPr>
      <w:r>
        <w:t xml:space="preserve">SP.5 Costs</w:t>
      </w:r>
    </w:p>
    <w:p>
      <w:pPr>
        <w:pStyle w:val="FirstParagraph"/>
      </w:pPr>
      <w:r>
        <w:t xml:space="preserve">Each Party shall bear its own costs and expenses incurred in connection with the negotiation, preparation, and execution of this Agreement. In the event of any dispute, the costs of arbitration (including arbitrator's fees and legal costs) shall be as awarded by the arbitral tribunal.</w:t>
      </w:r>
    </w:p>
    <w:bookmarkEnd w:id="70"/>
    <w:bookmarkStart w:id="71" w:name="sp.6-language"/>
    <w:p>
      <w:pPr>
        <w:pStyle w:val="Heading3"/>
      </w:pPr>
      <w:r>
        <w:t xml:space="preserve">SP.6 Language</w:t>
      </w:r>
    </w:p>
    <w:p>
      <w:pPr>
        <w:pStyle w:val="FirstParagraph"/>
      </w:pPr>
      <w:r>
        <w:t xml:space="preserve">This Agreement is executed in the English language. Any translation is for convenience only. In the event of conflict, the English version shall prevail. All communications and notices under this Agreement shall be in English.</w:t>
      </w:r>
    </w:p>
    <w:bookmarkEnd w:id="71"/>
    <w:bookmarkStart w:id="72" w:name="sp.7-force-majeure-detail"/>
    <w:p>
      <w:pPr>
        <w:pStyle w:val="Heading3"/>
      </w:pPr>
      <w:r>
        <w:t xml:space="preserve">SP.7 Force Majeure Detail</w:t>
      </w:r>
    </w:p>
    <w:p>
      <w:pPr>
        <w:pStyle w:val="FirstParagraph"/>
      </w:pPr>
      <w:r>
        <w:t xml:space="preserve">Force majeure includes but is not limited to: act of God; war, terrorism, civil unrest; epidemic, pandemic, quarantine; government action, law, or order; embargo, sanctions; strike, lockout; natural disaster (earthquake, flood, cyclone); fire; disruption of essential utilities. The affected Party shall use reasonable efforts to mitigate. If the Evaluation cannot proceed for 60 days due to force majeure, either Party may terminate. Termination does not affect obligations with respect to information already disclosed.</w:t>
      </w:r>
    </w:p>
    <w:bookmarkEnd w:id="72"/>
    <w:bookmarkStart w:id="73" w:name="sp.8-interpretation"/>
    <w:p>
      <w:pPr>
        <w:pStyle w:val="Heading3"/>
      </w:pPr>
      <w:r>
        <w:t xml:space="preserve">SP.8 Interpretation</w:t>
      </w:r>
    </w:p>
    <w:p>
      <w:pPr>
        <w:pStyle w:val="FirstParagraph"/>
      </w:pPr>
      <w:r>
        <w:t xml:space="preserve">In this Agreement: (a) "include" and "including" mean without limitation; (b) references to "writing" include email where acknowledged; (c) "days" means calendar days unless "business days" specified; (d) "business days" means weekdays excluding public holidays in Maharashtra and Tamil Nadu; (e) headings are for convenience only; (f) references to "Articles" and "Schedules" are to this Agreement; (g) the singular includes the plural; (h) "control" has the meaning given in the definition of Affiliate; (i) "person" includes natural persons and legal entities.</w:t>
      </w:r>
    </w:p>
    <w:bookmarkEnd w:id="73"/>
    <w:bookmarkEnd w:id="74"/>
    <w:bookmarkStart w:id="75" w:name="in-witness-whereof"/>
    <w:p>
      <w:pPr>
        <w:pStyle w:val="Heading2"/>
      </w:pPr>
      <w:r>
        <w:t xml:space="preserve">IN WITNESS WHEREOF</w:t>
      </w:r>
    </w:p>
    <w:p>
      <w:pPr>
        <w:pStyle w:val="FirstParagraph"/>
      </w:pPr>
      <w:r>
        <w:t xml:space="preserve">The Parties have executed this Agreement as of the date first written above.</w:t>
      </w:r>
    </w:p>
    <w:p>
      <w:pPr>
        <w:pStyle w:val="BodyText"/>
      </w:pPr>
      <w:r>
        <w:rPr>
          <w:b/>
          <w:bCs/>
        </w:rPr>
        <w:t xml:space="preserve">For Reliance Retail Limited</w:t>
      </w:r>
      <w:r>
        <w:br/>
      </w:r>
      <w:r>
        <w:t xml:space="preserve">________________________</w:t>
      </w:r>
      <w:r>
        <w:br/>
      </w:r>
      <w:r>
        <w:t xml:space="preserve">Name: Venkatesh Iyer</w:t>
      </w:r>
      <w:r>
        <w:br/>
      </w:r>
      <w:r>
        <w:t xml:space="preserve">Title: Executive Director</w:t>
      </w:r>
    </w:p>
    <w:p>
      <w:pPr>
        <w:pStyle w:val="BodyText"/>
      </w:pPr>
      <w:r>
        <w:rPr>
          <w:b/>
          <w:bCs/>
        </w:rPr>
        <w:t xml:space="preserve">For Aditya Retail Ventures Private Limited</w:t>
      </w:r>
      <w:r>
        <w:br/>
      </w:r>
      <w:r>
        <w:t xml:space="preserve">________________________</w:t>
      </w:r>
      <w:r>
        <w:br/>
      </w:r>
      <w:r>
        <w:t xml:space="preserve">Name: Lakshmi Narayanan</w:t>
      </w:r>
      <w:r>
        <w:br/>
      </w:r>
      <w:r>
        <w:t xml:space="preserve">Title: Managing Director</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 – Joint Venture Exploration</dc:title>
  <dc:creator/>
  <dc:language>en</dc:language>
  <cp:keywords/>
  <dcterms:created xsi:type="dcterms:W3CDTF">2026-03-06T17:04:04Z</dcterms:created>
  <dcterms:modified xsi:type="dcterms:W3CDTF">2026-03-06T17:04:04Z</dcterms:modified>
</cp:coreProperties>
</file>

<file path=docProps/custom.xml><?xml version="1.0" encoding="utf-8"?>
<Properties xmlns="http://schemas.openxmlformats.org/officeDocument/2006/custom-properties" xmlns:vt="http://schemas.openxmlformats.org/officeDocument/2006/docPropsVTypes"/>
</file>